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88E2E">
      <w:pPr>
        <w:spacing w:line="360" w:lineRule="auto"/>
        <w:ind w:right="-26"/>
        <w:jc w:val="center"/>
        <w:rPr>
          <w:rFonts w:hAnsi="宋体" w:cs="宋体"/>
          <w:b/>
          <w:bCs/>
          <w:kern w:val="2"/>
          <w:sz w:val="48"/>
          <w:szCs w:val="48"/>
          <w:lang w:val="zh-CN"/>
        </w:rPr>
      </w:pPr>
    </w:p>
    <w:p w14:paraId="7C23469C">
      <w:pPr>
        <w:spacing w:line="360" w:lineRule="auto"/>
        <w:ind w:right="-26"/>
        <w:jc w:val="center"/>
        <w:rPr>
          <w:rFonts w:hAnsi="宋体" w:cs="宋体"/>
          <w:b/>
          <w:bCs/>
          <w:kern w:val="2"/>
          <w:sz w:val="48"/>
          <w:szCs w:val="48"/>
          <w:lang w:val="zh-CN"/>
        </w:rPr>
      </w:pPr>
    </w:p>
    <w:p w14:paraId="7058CEF2">
      <w:pPr>
        <w:spacing w:line="360" w:lineRule="auto"/>
        <w:ind w:right="-26"/>
        <w:jc w:val="center"/>
        <w:rPr>
          <w:rFonts w:hAnsi="宋体" w:cs="宋体"/>
          <w:b/>
          <w:bCs/>
          <w:kern w:val="2"/>
          <w:sz w:val="48"/>
          <w:szCs w:val="48"/>
          <w:lang w:val="zh-CN"/>
        </w:rPr>
      </w:pPr>
    </w:p>
    <w:p w14:paraId="1A0818EC">
      <w:pPr>
        <w:spacing w:line="360" w:lineRule="auto"/>
        <w:ind w:right="-26"/>
        <w:jc w:val="center"/>
        <w:rPr>
          <w:rFonts w:hAnsi="宋体" w:cs="宋体"/>
          <w:b/>
          <w:bCs/>
          <w:kern w:val="2"/>
          <w:sz w:val="48"/>
          <w:szCs w:val="48"/>
          <w:lang w:val="zh-CN"/>
        </w:rPr>
      </w:pPr>
    </w:p>
    <w:p w14:paraId="43B0C4B7">
      <w:pPr>
        <w:spacing w:line="360" w:lineRule="auto"/>
        <w:ind w:right="-26"/>
        <w:jc w:val="center"/>
        <w:rPr>
          <w:rFonts w:hAnsi="宋体" w:cs="宋体"/>
          <w:b/>
          <w:bCs/>
          <w:kern w:val="2"/>
          <w:sz w:val="48"/>
          <w:szCs w:val="48"/>
          <w:lang w:val="zh-CN"/>
        </w:rPr>
      </w:pPr>
    </w:p>
    <w:p w14:paraId="46483C27">
      <w:pPr>
        <w:spacing w:line="360" w:lineRule="auto"/>
        <w:ind w:right="-26"/>
        <w:jc w:val="center"/>
        <w:rPr>
          <w:rFonts w:hint="eastAsia" w:ascii="Times New Roman" w:eastAsia="宋体" w:cs="宋体"/>
          <w:b/>
          <w:bCs/>
          <w:kern w:val="2"/>
          <w:sz w:val="48"/>
          <w:szCs w:val="48"/>
          <w:lang w:eastAsia="zh-CN"/>
        </w:rPr>
      </w:pPr>
      <w:r>
        <w:rPr>
          <w:rFonts w:hint="eastAsia" w:ascii="Times New Roman" w:cs="宋体"/>
          <w:b/>
          <w:bCs/>
          <w:kern w:val="2"/>
          <w:sz w:val="48"/>
          <w:szCs w:val="48"/>
          <w:lang w:eastAsia="zh-CN"/>
        </w:rPr>
        <w:t>东莞市污泥集中处理处置项目电动叉车及登高车采购项目（重新采购）</w:t>
      </w:r>
    </w:p>
    <w:p w14:paraId="78EAFC53">
      <w:pPr>
        <w:spacing w:line="360" w:lineRule="auto"/>
        <w:ind w:right="-26"/>
        <w:jc w:val="center"/>
        <w:rPr>
          <w:rFonts w:hint="eastAsia" w:ascii="Times New Roman" w:cs="宋体"/>
          <w:b/>
          <w:bCs/>
          <w:kern w:val="2"/>
          <w:sz w:val="48"/>
          <w:szCs w:val="48"/>
        </w:rPr>
      </w:pPr>
    </w:p>
    <w:p w14:paraId="4ACC9F80">
      <w:pPr>
        <w:spacing w:line="360" w:lineRule="auto"/>
        <w:ind w:right="-26"/>
        <w:jc w:val="center"/>
        <w:rPr>
          <w:rFonts w:hAnsi="宋体" w:cs="宋体"/>
          <w:b/>
          <w:bCs/>
          <w:kern w:val="2"/>
          <w:sz w:val="48"/>
          <w:szCs w:val="48"/>
          <w:lang w:val="zh-CN"/>
        </w:rPr>
      </w:pPr>
      <w:r>
        <w:rPr>
          <w:rFonts w:hint="eastAsia" w:hAnsi="宋体" w:cs="宋体"/>
          <w:b/>
          <w:bCs/>
          <w:kern w:val="2"/>
          <w:sz w:val="48"/>
          <w:szCs w:val="48"/>
          <w:lang w:val="zh-CN"/>
        </w:rPr>
        <w:t>询价文件</w:t>
      </w:r>
    </w:p>
    <w:p w14:paraId="270FD575">
      <w:pPr>
        <w:spacing w:line="360" w:lineRule="auto"/>
        <w:ind w:right="-26"/>
        <w:jc w:val="center"/>
        <w:rPr>
          <w:rFonts w:hAnsi="宋体" w:cs="宋体"/>
          <w:b/>
          <w:bCs/>
          <w:kern w:val="2"/>
          <w:sz w:val="48"/>
          <w:szCs w:val="48"/>
          <w:lang w:val="zh-CN"/>
        </w:rPr>
      </w:pPr>
    </w:p>
    <w:p w14:paraId="257CA8D2">
      <w:pPr>
        <w:spacing w:line="360" w:lineRule="auto"/>
        <w:ind w:right="-26"/>
        <w:jc w:val="center"/>
        <w:rPr>
          <w:rFonts w:hAnsi="宋体" w:cs="宋体"/>
          <w:b/>
          <w:bCs/>
          <w:kern w:val="2"/>
          <w:sz w:val="48"/>
          <w:szCs w:val="48"/>
          <w:lang w:val="zh-CN"/>
        </w:rPr>
      </w:pPr>
    </w:p>
    <w:p w14:paraId="3A65466C">
      <w:pPr>
        <w:spacing w:line="360" w:lineRule="auto"/>
        <w:ind w:right="-26"/>
        <w:jc w:val="center"/>
        <w:rPr>
          <w:rFonts w:hAnsi="宋体" w:cs="宋体"/>
          <w:b/>
          <w:bCs/>
          <w:kern w:val="2"/>
          <w:sz w:val="48"/>
          <w:szCs w:val="48"/>
          <w:lang w:val="zh-CN"/>
        </w:rPr>
      </w:pPr>
    </w:p>
    <w:p w14:paraId="5A4B77AC">
      <w:pPr>
        <w:spacing w:line="360" w:lineRule="auto"/>
        <w:ind w:right="-26"/>
        <w:jc w:val="center"/>
        <w:rPr>
          <w:rFonts w:hAnsi="宋体" w:cs="宋体"/>
          <w:b/>
          <w:bCs/>
          <w:kern w:val="2"/>
          <w:sz w:val="48"/>
          <w:szCs w:val="48"/>
          <w:lang w:val="zh-CN"/>
        </w:rPr>
      </w:pPr>
    </w:p>
    <w:p w14:paraId="1C3AE48B">
      <w:pPr>
        <w:spacing w:line="360" w:lineRule="auto"/>
        <w:ind w:right="-26"/>
        <w:jc w:val="center"/>
        <w:rPr>
          <w:rFonts w:hAnsi="宋体" w:cs="宋体"/>
          <w:b/>
          <w:bCs/>
          <w:kern w:val="2"/>
          <w:sz w:val="48"/>
          <w:szCs w:val="48"/>
          <w:lang w:val="zh-CN"/>
        </w:rPr>
      </w:pPr>
    </w:p>
    <w:p w14:paraId="1A5E60EB">
      <w:pPr>
        <w:spacing w:line="360" w:lineRule="auto"/>
        <w:ind w:right="-26"/>
        <w:jc w:val="center"/>
        <w:rPr>
          <w:rFonts w:hAnsi="宋体" w:cs="宋体"/>
          <w:b/>
          <w:bCs/>
          <w:kern w:val="2"/>
          <w:sz w:val="48"/>
          <w:szCs w:val="48"/>
          <w:lang w:val="zh-CN"/>
        </w:rPr>
      </w:pPr>
    </w:p>
    <w:p w14:paraId="31B8E898">
      <w:pPr>
        <w:spacing w:line="360" w:lineRule="auto"/>
        <w:ind w:right="-26"/>
        <w:jc w:val="center"/>
        <w:rPr>
          <w:rFonts w:hAnsi="宋体" w:cs="宋体"/>
          <w:b/>
          <w:bCs/>
          <w:kern w:val="2"/>
          <w:sz w:val="48"/>
          <w:szCs w:val="48"/>
          <w:lang w:val="zh-CN"/>
        </w:rPr>
      </w:pPr>
    </w:p>
    <w:p w14:paraId="1DBFE52A">
      <w:pPr>
        <w:spacing w:line="360" w:lineRule="auto"/>
        <w:jc w:val="center"/>
        <w:rPr>
          <w:rFonts w:hAnsi="宋体" w:cs="宋体"/>
          <w:b/>
          <w:bCs/>
          <w:sz w:val="32"/>
          <w:szCs w:val="32"/>
        </w:rPr>
      </w:pPr>
      <w:bookmarkStart w:id="0" w:name="_Hlk26971294"/>
      <w:r>
        <w:rPr>
          <w:rFonts w:hint="eastAsia" w:hAnsi="宋体" w:cs="宋体"/>
          <w:b/>
          <w:bCs/>
          <w:spacing w:val="28"/>
          <w:sz w:val="32"/>
          <w:szCs w:val="32"/>
        </w:rPr>
        <w:t>东莞市水务环境投资控股集团净水有限公司</w:t>
      </w:r>
    </w:p>
    <w:bookmarkEnd w:id="0"/>
    <w:p w14:paraId="65C73CD8">
      <w:pPr>
        <w:spacing w:after="156" w:line="360" w:lineRule="auto"/>
        <w:jc w:val="center"/>
        <w:rPr>
          <w:rFonts w:hAnsi="宋体" w:cs="宋体"/>
          <w:b/>
          <w:bCs/>
          <w:kern w:val="2"/>
          <w:sz w:val="32"/>
          <w:szCs w:val="32"/>
          <w:lang w:val="zh-CN"/>
        </w:rPr>
        <w:sectPr>
          <w:headerReference r:id="rId3" w:type="default"/>
          <w:footerReference r:id="rId4" w:type="default"/>
          <w:pgSz w:w="11906" w:h="16838"/>
          <w:pgMar w:top="1440" w:right="1800" w:bottom="1440" w:left="1800" w:header="851" w:footer="992" w:gutter="0"/>
          <w:pgNumType w:fmt="decimal"/>
          <w:cols w:space="0" w:num="1"/>
          <w:docGrid w:type="lines" w:linePitch="332" w:charSpace="0"/>
        </w:sectPr>
      </w:pPr>
      <w:r>
        <w:rPr>
          <w:rFonts w:ascii="Times New Roman"/>
          <w:b/>
          <w:bCs/>
          <w:kern w:val="2"/>
          <w:sz w:val="32"/>
          <w:szCs w:val="32"/>
          <w:lang w:val="zh-CN"/>
        </w:rPr>
        <w:t>2026年</w:t>
      </w:r>
      <w:r>
        <w:rPr>
          <w:rFonts w:hint="eastAsia" w:ascii="Times New Roman"/>
          <w:b/>
          <w:bCs/>
          <w:color w:val="000000" w:themeColor="text1"/>
          <w:kern w:val="2"/>
          <w:sz w:val="32"/>
          <w:szCs w:val="32"/>
          <w:lang w:val="en-US" w:eastAsia="zh-CN"/>
          <w14:textFill>
            <w14:solidFill>
              <w14:schemeClr w14:val="tx1"/>
            </w14:solidFill>
          </w14:textFill>
        </w:rPr>
        <w:t>5</w:t>
      </w:r>
      <w:r>
        <w:rPr>
          <w:rFonts w:ascii="Times New Roman"/>
          <w:b/>
          <w:bCs/>
          <w:kern w:val="2"/>
          <w:sz w:val="32"/>
          <w:szCs w:val="32"/>
          <w:lang w:val="zh-CN"/>
        </w:rPr>
        <w:t>月</w:t>
      </w:r>
      <w:r>
        <w:rPr>
          <w:rFonts w:hint="eastAsia" w:ascii="Times New Roman"/>
          <w:b/>
          <w:bCs/>
          <w:color w:val="000000" w:themeColor="text1"/>
          <w:kern w:val="2"/>
          <w:sz w:val="32"/>
          <w:szCs w:val="32"/>
          <w:lang w:val="en-US" w:eastAsia="zh-CN"/>
          <w14:textFill>
            <w14:solidFill>
              <w14:schemeClr w14:val="tx1"/>
            </w14:solidFill>
          </w14:textFill>
        </w:rPr>
        <w:t>9</w:t>
      </w:r>
      <w:r>
        <w:rPr>
          <w:rFonts w:ascii="Times New Roman"/>
          <w:b/>
          <w:bCs/>
          <w:kern w:val="2"/>
          <w:sz w:val="32"/>
          <w:szCs w:val="32"/>
          <w:lang w:val="zh-CN"/>
        </w:rPr>
        <w:t>日</w:t>
      </w:r>
    </w:p>
    <w:sdt>
      <w:sdtPr>
        <w:rPr>
          <w:rFonts w:hint="eastAsia" w:ascii="宋体" w:hAnsi="宋体" w:eastAsia="宋体" w:cs="宋体"/>
          <w:color w:val="auto"/>
          <w:sz w:val="24"/>
          <w:szCs w:val="24"/>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lang w:val="zh-CN"/>
        </w:rPr>
      </w:sdtEndPr>
      <w:sdtContent>
        <w:p w14:paraId="27761A57">
          <w:pPr>
            <w:pStyle w:val="29"/>
            <w:spacing w:before="0" w:line="360" w:lineRule="auto"/>
            <w:jc w:val="center"/>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val="zh-CN"/>
              <w14:textFill>
                <w14:solidFill>
                  <w14:schemeClr w14:val="tx1"/>
                </w14:solidFill>
              </w14:textFill>
            </w:rPr>
            <w:t>目   录</w:t>
          </w:r>
        </w:p>
        <w:p w14:paraId="78DD3659">
          <w:pPr>
            <w:pStyle w:val="14"/>
            <w:rPr>
              <w:rFonts w:ascii="Times New Roman"/>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r>
            <w:fldChar w:fldCharType="begin"/>
          </w:r>
          <w:r>
            <w:instrText xml:space="preserve"> HYPERLINK \l "_Toc29476690" </w:instrText>
          </w:r>
          <w:r>
            <w:fldChar w:fldCharType="separate"/>
          </w:r>
          <w:r>
            <w:rPr>
              <w:rStyle w:val="27"/>
              <w:rFonts w:ascii="Times New Roman"/>
              <w:sz w:val="28"/>
              <w:szCs w:val="28"/>
            </w:rPr>
            <w:t>第一章 询价邀请函</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_Toc29476690 \h </w:instrText>
          </w:r>
          <w:r>
            <w:rPr>
              <w:rFonts w:ascii="Times New Roman"/>
              <w:sz w:val="28"/>
              <w:szCs w:val="28"/>
            </w:rPr>
            <w:fldChar w:fldCharType="separate"/>
          </w:r>
          <w:r>
            <w:rPr>
              <w:rFonts w:ascii="Times New Roman"/>
              <w:sz w:val="28"/>
              <w:szCs w:val="28"/>
            </w:rPr>
            <w:t>3</w:t>
          </w:r>
          <w:r>
            <w:rPr>
              <w:rFonts w:ascii="Times New Roman"/>
              <w:sz w:val="28"/>
              <w:szCs w:val="28"/>
            </w:rPr>
            <w:fldChar w:fldCharType="end"/>
          </w:r>
          <w:r>
            <w:rPr>
              <w:rFonts w:ascii="Times New Roman"/>
              <w:sz w:val="28"/>
              <w:szCs w:val="28"/>
            </w:rPr>
            <w:fldChar w:fldCharType="end"/>
          </w:r>
        </w:p>
        <w:p w14:paraId="597ADDC1">
          <w:pPr>
            <w:pStyle w:val="14"/>
            <w:rPr>
              <w:rFonts w:ascii="Times New Roman"/>
              <w:kern w:val="2"/>
              <w:sz w:val="22"/>
            </w:rPr>
          </w:pPr>
          <w:r>
            <w:fldChar w:fldCharType="begin"/>
          </w:r>
          <w:r>
            <w:instrText xml:space="preserve"> HYPERLINK \l "_Toc29476691" </w:instrText>
          </w:r>
          <w:r>
            <w:fldChar w:fldCharType="separate"/>
          </w:r>
          <w:r>
            <w:rPr>
              <w:rStyle w:val="27"/>
              <w:rFonts w:ascii="Times New Roman"/>
              <w:sz w:val="28"/>
              <w:szCs w:val="28"/>
            </w:rPr>
            <w:t>第二章 用户需求</w:t>
          </w:r>
          <w:r>
            <w:rPr>
              <w:rStyle w:val="27"/>
              <w:rFonts w:hint="eastAsia" w:ascii="Times New Roman"/>
              <w:sz w:val="28"/>
              <w:szCs w:val="28"/>
            </w:rPr>
            <w:t>书</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_Toc29476691 \h </w:instrText>
          </w:r>
          <w:r>
            <w:rPr>
              <w:rFonts w:ascii="Times New Roman"/>
              <w:sz w:val="28"/>
              <w:szCs w:val="28"/>
            </w:rPr>
            <w:fldChar w:fldCharType="separate"/>
          </w:r>
          <w:r>
            <w:rPr>
              <w:rFonts w:ascii="Times New Roman"/>
              <w:sz w:val="28"/>
              <w:szCs w:val="28"/>
            </w:rPr>
            <w:t>5</w:t>
          </w:r>
          <w:r>
            <w:rPr>
              <w:rFonts w:ascii="Times New Roman"/>
              <w:sz w:val="28"/>
              <w:szCs w:val="28"/>
            </w:rPr>
            <w:fldChar w:fldCharType="end"/>
          </w:r>
          <w:r>
            <w:rPr>
              <w:rFonts w:ascii="Times New Roman"/>
              <w:sz w:val="28"/>
              <w:szCs w:val="28"/>
            </w:rPr>
            <w:fldChar w:fldCharType="end"/>
          </w:r>
        </w:p>
        <w:p w14:paraId="599A24D5">
          <w:pPr>
            <w:pStyle w:val="14"/>
            <w:rPr>
              <w:rFonts w:ascii="Times New Roman"/>
              <w:kern w:val="2"/>
              <w:sz w:val="22"/>
            </w:rPr>
          </w:pPr>
          <w:r>
            <w:fldChar w:fldCharType="begin"/>
          </w:r>
          <w:r>
            <w:instrText xml:space="preserve"> HYPERLINK \l "_Toc29476692" </w:instrText>
          </w:r>
          <w:r>
            <w:fldChar w:fldCharType="separate"/>
          </w:r>
          <w:r>
            <w:rPr>
              <w:rStyle w:val="27"/>
              <w:rFonts w:ascii="Times New Roman"/>
              <w:sz w:val="28"/>
              <w:szCs w:val="28"/>
            </w:rPr>
            <w:t>第三章 合同条款</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_Toc29476692 \h </w:instrText>
          </w:r>
          <w:r>
            <w:rPr>
              <w:rFonts w:ascii="Times New Roman"/>
              <w:sz w:val="28"/>
              <w:szCs w:val="28"/>
            </w:rPr>
            <w:fldChar w:fldCharType="separate"/>
          </w:r>
          <w:r>
            <w:rPr>
              <w:rFonts w:ascii="Times New Roman"/>
              <w:sz w:val="28"/>
              <w:szCs w:val="28"/>
            </w:rPr>
            <w:t>10</w:t>
          </w:r>
          <w:r>
            <w:rPr>
              <w:rFonts w:ascii="Times New Roman"/>
              <w:sz w:val="28"/>
              <w:szCs w:val="28"/>
            </w:rPr>
            <w:fldChar w:fldCharType="end"/>
          </w:r>
          <w:r>
            <w:rPr>
              <w:rFonts w:ascii="Times New Roman"/>
              <w:sz w:val="28"/>
              <w:szCs w:val="28"/>
            </w:rPr>
            <w:fldChar w:fldCharType="end"/>
          </w:r>
        </w:p>
        <w:p w14:paraId="0983D28E">
          <w:pPr>
            <w:pStyle w:val="14"/>
            <w:rPr>
              <w:rFonts w:hint="eastAsia" w:ascii="Times New Roman" w:eastAsia="宋体"/>
              <w:kern w:val="2"/>
              <w:sz w:val="22"/>
              <w:lang w:val="en-US" w:eastAsia="zh-CN"/>
            </w:rPr>
          </w:pPr>
          <w:r>
            <w:fldChar w:fldCharType="begin"/>
          </w:r>
          <w:r>
            <w:instrText xml:space="preserve"> HYPERLINK \l "_Toc29476707" </w:instrText>
          </w:r>
          <w:r>
            <w:fldChar w:fldCharType="separate"/>
          </w:r>
          <w:r>
            <w:rPr>
              <w:rStyle w:val="27"/>
              <w:rFonts w:ascii="Times New Roman"/>
              <w:sz w:val="28"/>
              <w:szCs w:val="28"/>
            </w:rPr>
            <w:t>第四章 报价须知</w:t>
          </w:r>
          <w:r>
            <w:rPr>
              <w:rFonts w:ascii="Times New Roman"/>
              <w:sz w:val="28"/>
              <w:szCs w:val="28"/>
            </w:rPr>
            <w:tab/>
          </w:r>
          <w:r>
            <w:rPr>
              <w:rFonts w:hint="eastAsia" w:ascii="Times New Roman"/>
              <w:sz w:val="28"/>
              <w:szCs w:val="28"/>
              <w:lang w:val="en-US" w:eastAsia="zh-CN"/>
            </w:rPr>
            <w:t>4</w:t>
          </w:r>
          <w:r>
            <w:rPr>
              <w:rFonts w:ascii="Times New Roman"/>
              <w:sz w:val="28"/>
              <w:szCs w:val="28"/>
            </w:rPr>
            <w:fldChar w:fldCharType="end"/>
          </w:r>
          <w:r>
            <w:rPr>
              <w:rFonts w:hint="eastAsia" w:ascii="Times New Roman"/>
              <w:sz w:val="28"/>
              <w:szCs w:val="28"/>
              <w:lang w:val="en-US" w:eastAsia="zh-CN"/>
            </w:rPr>
            <w:t>4</w:t>
          </w:r>
        </w:p>
        <w:p w14:paraId="21313687">
          <w:pPr>
            <w:pStyle w:val="14"/>
            <w:rPr>
              <w:rFonts w:hint="eastAsia" w:ascii="Times New Roman" w:eastAsia="宋体"/>
              <w:kern w:val="2"/>
              <w:sz w:val="22"/>
              <w:lang w:val="en-US" w:eastAsia="zh-CN"/>
            </w:rPr>
          </w:pPr>
          <w:r>
            <w:fldChar w:fldCharType="begin"/>
          </w:r>
          <w:r>
            <w:instrText xml:space="preserve"> HYPERLINK \l "_Toc29476708" </w:instrText>
          </w:r>
          <w:r>
            <w:fldChar w:fldCharType="separate"/>
          </w:r>
          <w:r>
            <w:rPr>
              <w:rStyle w:val="27"/>
              <w:rFonts w:ascii="Times New Roman"/>
              <w:sz w:val="28"/>
              <w:szCs w:val="28"/>
            </w:rPr>
            <w:t>第五章 报价文件（格式）</w:t>
          </w:r>
          <w:r>
            <w:rPr>
              <w:rFonts w:ascii="Times New Roman"/>
              <w:sz w:val="28"/>
              <w:szCs w:val="28"/>
            </w:rPr>
            <w:tab/>
          </w:r>
          <w:r>
            <w:rPr>
              <w:rFonts w:hint="eastAsia" w:ascii="Times New Roman"/>
              <w:sz w:val="28"/>
              <w:szCs w:val="28"/>
              <w:lang w:val="en-US" w:eastAsia="zh-CN"/>
            </w:rPr>
            <w:t>4</w:t>
          </w:r>
          <w:r>
            <w:rPr>
              <w:rFonts w:ascii="Times New Roman"/>
              <w:sz w:val="28"/>
              <w:szCs w:val="28"/>
            </w:rPr>
            <w:fldChar w:fldCharType="end"/>
          </w:r>
          <w:r>
            <w:rPr>
              <w:rFonts w:hint="eastAsia" w:ascii="Times New Roman"/>
              <w:sz w:val="28"/>
              <w:szCs w:val="28"/>
              <w:lang w:val="en-US" w:eastAsia="zh-CN"/>
            </w:rPr>
            <w:t>6</w:t>
          </w:r>
        </w:p>
        <w:p w14:paraId="26734DA7">
          <w:pPr>
            <w:spacing w:line="360" w:lineRule="auto"/>
            <w:rPr>
              <w:rFonts w:ascii="Times New Roman"/>
              <w:sz w:val="32"/>
              <w:szCs w:val="32"/>
            </w:rPr>
            <w:sectPr>
              <w:pgSz w:w="11906" w:h="16838"/>
              <w:pgMar w:top="1440" w:right="1803" w:bottom="1440" w:left="1803" w:header="851" w:footer="992" w:gutter="0"/>
              <w:pgNumType w:fmt="decimal"/>
              <w:cols w:space="0" w:num="1"/>
              <w:docGrid w:type="lines" w:linePitch="332" w:charSpace="0"/>
            </w:sectPr>
          </w:pPr>
          <w:r>
            <w:rPr>
              <w:rFonts w:ascii="Times New Roman"/>
              <w:sz w:val="40"/>
              <w:szCs w:val="40"/>
              <w:lang w:val="zh-CN"/>
            </w:rPr>
            <w:fldChar w:fldCharType="end"/>
          </w:r>
        </w:p>
      </w:sdtContent>
    </w:sdt>
    <w:p w14:paraId="3076CB0C">
      <w:pPr>
        <w:pStyle w:val="3"/>
        <w:spacing w:before="0" w:after="0"/>
        <w:jc w:val="center"/>
        <w:rPr>
          <w:rFonts w:hAnsi="宋体" w:cs="宋体"/>
          <w:b w:val="0"/>
          <w:bCs w:val="0"/>
          <w:szCs w:val="32"/>
        </w:rPr>
      </w:pPr>
      <w:bookmarkStart w:id="1" w:name="_Toc29476690"/>
      <w:r>
        <w:rPr>
          <w:rFonts w:hint="eastAsia" w:hAnsi="宋体" w:cs="宋体"/>
          <w:szCs w:val="32"/>
        </w:rPr>
        <w:t>第一章 询价邀请函</w:t>
      </w:r>
      <w:bookmarkEnd w:id="1"/>
    </w:p>
    <w:p w14:paraId="58585ADB">
      <w:pPr>
        <w:spacing w:line="360" w:lineRule="auto"/>
        <w:rPr>
          <w:rFonts w:hAnsi="宋体" w:cs="宋体"/>
        </w:rPr>
      </w:pPr>
      <w:r>
        <w:rPr>
          <w:rFonts w:hint="eastAsia" w:hAnsi="宋体" w:cs="宋体"/>
        </w:rPr>
        <w:t>各供应商：</w:t>
      </w:r>
    </w:p>
    <w:p w14:paraId="50A2790C">
      <w:pPr>
        <w:spacing w:line="360" w:lineRule="auto"/>
        <w:ind w:firstLine="480" w:firstLineChars="200"/>
        <w:rPr>
          <w:rFonts w:hAnsi="宋体" w:cs="宋体"/>
        </w:rPr>
      </w:pPr>
      <w:r>
        <w:rPr>
          <w:rFonts w:hint="eastAsia" w:hAnsi="宋体" w:cs="宋体"/>
        </w:rPr>
        <w:t>我公司的</w:t>
      </w:r>
      <w:r>
        <w:rPr>
          <w:rFonts w:hint="eastAsia" w:hAnsi="宋体" w:cs="宋体"/>
          <w:u w:val="single"/>
        </w:rPr>
        <w:t>“</w:t>
      </w:r>
      <w:r>
        <w:rPr>
          <w:rFonts w:hint="eastAsia" w:hAnsi="宋体" w:cs="宋体"/>
          <w:u w:val="single"/>
          <w:lang w:eastAsia="zh-CN"/>
        </w:rPr>
        <w:t>东莞市污泥集中处理处置项目电动叉车及登高车采购项目（重新采购）</w:t>
      </w:r>
      <w:r>
        <w:rPr>
          <w:rFonts w:hint="eastAsia" w:hAnsi="宋体" w:cs="宋体"/>
          <w:u w:val="single"/>
        </w:rPr>
        <w:t>”</w:t>
      </w:r>
      <w:r>
        <w:rPr>
          <w:rFonts w:hint="eastAsia" w:hAnsi="宋体" w:cs="宋体"/>
        </w:rPr>
        <w:t>正式开展，现邀请贵司参与本项目的询价采购。具体采购信息如下：</w:t>
      </w:r>
    </w:p>
    <w:p w14:paraId="040A9402">
      <w:pPr>
        <w:spacing w:line="360" w:lineRule="auto"/>
        <w:ind w:firstLine="424" w:firstLineChars="177"/>
        <w:rPr>
          <w:rFonts w:hint="eastAsia" w:hAnsi="宋体" w:eastAsia="宋体" w:cs="宋体"/>
          <w:lang w:val="en-US" w:eastAsia="zh-CN"/>
        </w:rPr>
      </w:pPr>
      <w:r>
        <w:rPr>
          <w:rFonts w:hint="eastAsia" w:hAnsi="宋体" w:cs="宋体"/>
        </w:rPr>
        <w:t>一、采购项目编号</w:t>
      </w:r>
      <w:r>
        <w:rPr>
          <w:rFonts w:hint="eastAsia" w:hAnsi="宋体" w:cs="宋体"/>
          <w:color w:val="000000" w:themeColor="text1"/>
          <w14:textFill>
            <w14:solidFill>
              <w14:schemeClr w14:val="tx1"/>
            </w14:solidFill>
          </w14:textFill>
        </w:rPr>
        <w:t>：</w:t>
      </w:r>
      <w:r>
        <w:rPr>
          <w:rFonts w:hint="eastAsia" w:ascii="Times New Roman" w:cs="宋体"/>
          <w:color w:val="000000" w:themeColor="text1"/>
          <w:lang w:eastAsia="zh-CN"/>
          <w14:textFill>
            <w14:solidFill>
              <w14:schemeClr w14:val="tx1"/>
            </w14:solidFill>
          </w14:textFill>
        </w:rPr>
        <w:t>JS-2026-042</w:t>
      </w:r>
    </w:p>
    <w:p w14:paraId="24DCD19E">
      <w:pPr>
        <w:spacing w:line="360" w:lineRule="auto"/>
        <w:ind w:firstLine="424" w:firstLineChars="177"/>
        <w:rPr>
          <w:rFonts w:hint="eastAsia" w:hAnsi="宋体" w:eastAsia="宋体" w:cs="宋体"/>
          <w:lang w:eastAsia="zh-CN"/>
        </w:rPr>
      </w:pPr>
      <w:r>
        <w:rPr>
          <w:rFonts w:hint="eastAsia" w:hAnsi="宋体" w:cs="宋体"/>
        </w:rPr>
        <w:t>二、采购项目名称：</w:t>
      </w:r>
      <w:r>
        <w:rPr>
          <w:rFonts w:hint="eastAsia" w:ascii="Times New Roman" w:cs="宋体"/>
          <w:u w:val="single"/>
          <w:lang w:eastAsia="zh-CN"/>
        </w:rPr>
        <w:t>东莞市污泥集中处理处置项目电动叉车及登高车采购项目（重新采购）</w:t>
      </w:r>
    </w:p>
    <w:p w14:paraId="4662596A">
      <w:pPr>
        <w:spacing w:line="360" w:lineRule="auto"/>
        <w:ind w:firstLine="424" w:firstLineChars="177"/>
        <w:rPr>
          <w:rFonts w:hAnsi="宋体" w:cs="宋体"/>
        </w:rPr>
      </w:pPr>
      <w:r>
        <w:rPr>
          <w:rFonts w:hint="eastAsia" w:hAnsi="宋体" w:cs="宋体"/>
        </w:rPr>
        <w:t>三、采购预算：</w:t>
      </w:r>
      <w:r>
        <w:rPr>
          <w:rFonts w:hint="eastAsia" w:ascii="Times New Roman" w:cs="宋体"/>
        </w:rPr>
        <w:t>不含税最高</w:t>
      </w:r>
      <w:r>
        <w:rPr>
          <w:rFonts w:hint="eastAsia" w:ascii="Times New Roman" w:eastAsia="宋体" w:cs="宋体"/>
        </w:rPr>
        <w:t>限价</w:t>
      </w:r>
      <w:r>
        <w:rPr>
          <w:rFonts w:hint="eastAsia" w:ascii="Times New Roman" w:cs="宋体"/>
        </w:rPr>
        <w:t>为</w:t>
      </w:r>
      <w:r>
        <w:rPr>
          <w:rFonts w:hint="eastAsia" w:ascii="Times New Roman" w:cs="宋体"/>
          <w:lang w:eastAsia="zh-CN"/>
        </w:rPr>
        <w:t>344,690.2</w:t>
      </w:r>
      <w:r>
        <w:rPr>
          <w:rFonts w:hint="eastAsia" w:ascii="Times New Roman" w:cs="宋体"/>
          <w:lang w:val="en-US" w:eastAsia="zh-CN"/>
        </w:rPr>
        <w:t>7</w:t>
      </w:r>
      <w:r>
        <w:rPr>
          <w:rFonts w:hint="eastAsia" w:ascii="Times New Roman" w:cs="宋体"/>
        </w:rPr>
        <w:t>元</w:t>
      </w:r>
      <w:r>
        <w:rPr>
          <w:rFonts w:ascii="Times New Roman"/>
          <w:bCs/>
          <w:color w:val="000000"/>
          <w:szCs w:val="21"/>
        </w:rPr>
        <w:t>。</w:t>
      </w:r>
    </w:p>
    <w:p w14:paraId="460D0821">
      <w:pPr>
        <w:spacing w:line="360" w:lineRule="auto"/>
        <w:ind w:firstLine="424" w:firstLineChars="177"/>
        <w:rPr>
          <w:rFonts w:hAnsi="宋体" w:cs="宋体"/>
        </w:rPr>
      </w:pPr>
      <w:r>
        <w:rPr>
          <w:rFonts w:hint="eastAsia" w:hAnsi="宋体" w:cs="宋体"/>
        </w:rPr>
        <w:t>四、采购内容：</w:t>
      </w:r>
      <w:r>
        <w:rPr>
          <w:rFonts w:hint="eastAsia" w:hAnsi="宋体" w:cs="宋体"/>
          <w:u w:val="single"/>
          <w:lang w:val="en-US" w:eastAsia="zh-CN"/>
        </w:rPr>
        <w:t>2台</w:t>
      </w:r>
      <w:r>
        <w:rPr>
          <w:rFonts w:hint="eastAsia" w:hAnsi="宋体" w:cs="宋体"/>
          <w:u w:val="single"/>
          <w:lang w:eastAsia="zh-CN"/>
        </w:rPr>
        <w:t>电动叉车及</w:t>
      </w:r>
      <w:r>
        <w:rPr>
          <w:rFonts w:hint="eastAsia" w:hAnsi="宋体" w:cs="宋体"/>
          <w:u w:val="single"/>
          <w:lang w:val="en-US" w:eastAsia="zh-CN"/>
        </w:rPr>
        <w:t>1台</w:t>
      </w:r>
      <w:r>
        <w:rPr>
          <w:rFonts w:hint="eastAsia" w:hAnsi="宋体" w:cs="宋体"/>
          <w:u w:val="single"/>
          <w:lang w:eastAsia="zh-CN"/>
        </w:rPr>
        <w:t>登高车</w:t>
      </w:r>
      <w:r>
        <w:rPr>
          <w:rFonts w:hint="eastAsia" w:hAnsi="宋体" w:cs="宋体"/>
        </w:rPr>
        <w:t>（具体详见用户需求书）</w:t>
      </w:r>
    </w:p>
    <w:p w14:paraId="3F2D691F">
      <w:pPr>
        <w:spacing w:line="300" w:lineRule="auto"/>
        <w:ind w:firstLine="424" w:firstLineChars="177"/>
        <w:rPr>
          <w:rFonts w:hAnsi="宋体" w:cs="宋体"/>
        </w:rPr>
      </w:pPr>
      <w:r>
        <w:rPr>
          <w:rFonts w:hint="eastAsia" w:hAnsi="宋体" w:cs="宋体"/>
        </w:rPr>
        <w:t>五、资质要求：</w:t>
      </w:r>
    </w:p>
    <w:p w14:paraId="66B74FBE">
      <w:pPr>
        <w:spacing w:line="300" w:lineRule="auto"/>
        <w:ind w:firstLine="424" w:firstLineChars="177"/>
        <w:rPr>
          <w:rFonts w:ascii="Times New Roman"/>
        </w:rPr>
      </w:pPr>
      <w:r>
        <w:rPr>
          <w:rFonts w:hAnsi="宋体" w:cs="宋体"/>
        </w:rPr>
        <w:t>1.</w:t>
      </w:r>
      <w:r>
        <w:rPr>
          <w:rFonts w:hint="eastAsia" w:hAnsi="宋体" w:cs="宋体"/>
        </w:rPr>
        <w:t>报价人</w:t>
      </w:r>
      <w:r>
        <w:rPr>
          <w:rFonts w:ascii="Times New Roman"/>
        </w:rPr>
        <w:t>自2023年1月1日以来，</w:t>
      </w:r>
      <w:r>
        <w:rPr>
          <w:rFonts w:hint="eastAsia" w:hAnsi="宋体" w:cs="宋体"/>
          <w:color w:val="auto"/>
          <w:highlight w:val="none"/>
          <w:u w:val="none"/>
          <w:lang w:val="en-US" w:eastAsia="zh-CN"/>
        </w:rPr>
        <w:t>至少具备</w:t>
      </w:r>
      <w:r>
        <w:rPr>
          <w:rFonts w:hint="eastAsia" w:hAnsi="宋体" w:cs="宋体"/>
          <w:color w:val="auto"/>
          <w:highlight w:val="none"/>
          <w:u w:val="single"/>
          <w:lang w:val="en-US" w:eastAsia="zh-CN"/>
        </w:rPr>
        <w:t>叉车</w:t>
      </w:r>
      <w:r>
        <w:rPr>
          <w:rFonts w:hint="eastAsia" w:hAnsi="宋体" w:cs="宋体"/>
          <w:b/>
          <w:bCs/>
          <w:color w:val="auto"/>
          <w:highlight w:val="red"/>
          <w:u w:val="single"/>
          <w:lang w:val="en-US" w:eastAsia="zh-CN"/>
        </w:rPr>
        <w:t>及</w:t>
      </w:r>
      <w:r>
        <w:rPr>
          <w:rFonts w:hint="eastAsia" w:hAnsi="宋体" w:cs="宋体"/>
          <w:color w:val="auto"/>
          <w:highlight w:val="none"/>
          <w:u w:val="single"/>
          <w:lang w:val="en-US" w:eastAsia="zh-CN"/>
        </w:rPr>
        <w:t>登高车的供货或销售业绩</w:t>
      </w:r>
      <w:r>
        <w:rPr>
          <w:rFonts w:hint="eastAsia" w:hAnsi="宋体" w:cs="宋体"/>
          <w:color w:val="auto"/>
          <w:highlight w:val="none"/>
          <w:lang w:val="en-US" w:eastAsia="zh-CN"/>
        </w:rPr>
        <w:t>，业绩可为一份或多份，供货清单涵盖前述车辆类型。</w:t>
      </w:r>
      <w:r>
        <w:rPr>
          <w:rFonts w:ascii="宋体" w:hAnsi="宋体" w:eastAsia="宋体" w:cs="宋体"/>
          <w:color w:val="auto"/>
          <w:highlight w:val="none"/>
        </w:rPr>
        <w:t>（合同签订日期为</w:t>
      </w:r>
      <w:r>
        <w:rPr>
          <w:rFonts w:hint="eastAsia" w:ascii="宋体" w:hAnsi="宋体" w:eastAsia="宋体" w:cs="宋体"/>
          <w:color w:val="auto"/>
          <w:highlight w:val="none"/>
          <w:lang w:eastAsia="zh-CN"/>
        </w:rPr>
        <w:t>2023年1月1日</w:t>
      </w:r>
      <w:r>
        <w:rPr>
          <w:rFonts w:ascii="宋体" w:hAnsi="宋体" w:eastAsia="宋体" w:cs="宋体"/>
          <w:color w:val="auto"/>
          <w:highlight w:val="none"/>
        </w:rPr>
        <w:t>或以后</w:t>
      </w:r>
      <w:r>
        <w:rPr>
          <w:rFonts w:hint="eastAsia" w:ascii="宋体" w:hAnsi="宋体" w:eastAsia="宋体" w:cs="宋体"/>
          <w:color w:val="auto"/>
          <w:highlight w:val="none"/>
        </w:rPr>
        <w:t>）</w:t>
      </w:r>
      <w:r>
        <w:rPr>
          <w:rFonts w:ascii="Times New Roman"/>
        </w:rPr>
        <w:t>；</w:t>
      </w:r>
    </w:p>
    <w:p w14:paraId="2A41A65F">
      <w:pPr>
        <w:spacing w:line="300" w:lineRule="auto"/>
        <w:ind w:firstLine="424" w:firstLineChars="177"/>
        <w:rPr>
          <w:rFonts w:hAnsi="宋体" w:cs="宋体"/>
        </w:rPr>
      </w:pPr>
      <w:r>
        <w:rPr>
          <w:rFonts w:hAnsi="宋体" w:cs="宋体"/>
        </w:rPr>
        <w:t>2.</w:t>
      </w:r>
      <w:r>
        <w:rPr>
          <w:rFonts w:hint="eastAsia" w:hAnsi="宋体" w:cs="宋体"/>
        </w:rPr>
        <w:t>报价人未被列入“信用中国”网站（www.creditchina.gov.cn）失信被执行人、重大税收违法失信主体、政府采购严重违法失信行为记录名单（处罚期限届满的除外）。</w:t>
      </w:r>
    </w:p>
    <w:p w14:paraId="7CFDC4E8">
      <w:pPr>
        <w:spacing w:line="360" w:lineRule="auto"/>
        <w:ind w:firstLine="424" w:firstLineChars="177"/>
        <w:rPr>
          <w:rFonts w:ascii="Times New Roman" w:cs="宋体"/>
        </w:rPr>
      </w:pPr>
      <w:r>
        <w:rPr>
          <w:rFonts w:hint="eastAsia" w:hAnsi="宋体" w:cs="宋体"/>
        </w:rPr>
        <w:t>六、成交原则：</w:t>
      </w:r>
      <w:r>
        <w:rPr>
          <w:rFonts w:hint="eastAsia" w:hAnsi="宋体" w:cs="宋体"/>
          <w:b/>
        </w:rPr>
        <w:t>从实质性满足采购需求的供应商中，按不含税价最低成交原则确定成交供应商</w:t>
      </w:r>
      <w:r>
        <w:rPr>
          <w:rFonts w:hint="eastAsia" w:hAnsi="宋体" w:cs="宋体"/>
        </w:rPr>
        <w:t>。</w:t>
      </w:r>
    </w:p>
    <w:p w14:paraId="2E780034">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七、报价文件递交截止时间：</w:t>
      </w:r>
      <w:bookmarkStart w:id="2" w:name="_Hlk27138379"/>
      <w:r>
        <w:rPr>
          <w:rFonts w:ascii="Times New Roman"/>
          <w:color w:val="000000" w:themeColor="text1"/>
          <w14:textFill>
            <w14:solidFill>
              <w14:schemeClr w14:val="tx1"/>
            </w14:solidFill>
          </w14:textFill>
        </w:rPr>
        <w:t>2026年</w:t>
      </w:r>
      <w:r>
        <w:rPr>
          <w:rFonts w:hint="eastAsia" w:ascii="Times New Roman"/>
          <w:color w:val="000000" w:themeColor="text1"/>
          <w:lang w:val="en-US" w:eastAsia="zh-CN"/>
          <w14:textFill>
            <w14:solidFill>
              <w14:schemeClr w14:val="tx1"/>
            </w14:solidFill>
          </w14:textFill>
        </w:rPr>
        <w:t>5</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15</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14</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30</w:t>
      </w:r>
      <w:r>
        <w:rPr>
          <w:rFonts w:ascii="Times New Roman"/>
          <w:color w:val="000000" w:themeColor="text1"/>
          <w14:textFill>
            <w14:solidFill>
              <w14:schemeClr w14:val="tx1"/>
            </w14:solidFill>
          </w14:textFill>
        </w:rPr>
        <w:t>分</w:t>
      </w:r>
      <w:bookmarkEnd w:id="2"/>
      <w:r>
        <w:rPr>
          <w:rFonts w:hint="eastAsia" w:hAnsi="宋体" w:cs="宋体"/>
          <w:color w:val="000000" w:themeColor="text1"/>
          <w14:textFill>
            <w14:solidFill>
              <w14:schemeClr w14:val="tx1"/>
            </w14:solidFill>
          </w14:textFill>
        </w:rPr>
        <w:t>。</w:t>
      </w:r>
    </w:p>
    <w:p w14:paraId="4CAC918C">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八、报价文件递交地点：</w:t>
      </w:r>
      <w:r>
        <w:rPr>
          <w:rFonts w:hint="eastAsia" w:hAnsi="宋体" w:cs="宋体"/>
        </w:rPr>
        <w:t>东莞市南城街道宏北路16号水业大厦1</w:t>
      </w:r>
      <w:r>
        <w:rPr>
          <w:rFonts w:hAnsi="宋体" w:cs="宋体"/>
        </w:rPr>
        <w:t>0</w:t>
      </w:r>
      <w:r>
        <w:rPr>
          <w:rFonts w:hint="eastAsia" w:hAnsi="宋体" w:cs="宋体"/>
        </w:rPr>
        <w:t>楼净水公司招标成本部</w:t>
      </w:r>
      <w:r>
        <w:rPr>
          <w:rFonts w:hint="eastAsia" w:hAnsi="宋体" w:cs="宋体"/>
          <w:color w:val="000000" w:themeColor="text1"/>
          <w14:textFill>
            <w14:solidFill>
              <w14:schemeClr w14:val="tx1"/>
            </w14:solidFill>
          </w14:textFill>
        </w:rPr>
        <w:t>。</w:t>
      </w:r>
    </w:p>
    <w:p w14:paraId="13588CB7">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九、报价文件开封时间：</w:t>
      </w:r>
      <w:r>
        <w:rPr>
          <w:rFonts w:ascii="Times New Roman"/>
          <w:color w:val="000000" w:themeColor="text1"/>
          <w14:textFill>
            <w14:solidFill>
              <w14:schemeClr w14:val="tx1"/>
            </w14:solidFill>
          </w14:textFill>
        </w:rPr>
        <w:t>2026年</w:t>
      </w:r>
      <w:r>
        <w:rPr>
          <w:rFonts w:hint="eastAsia" w:ascii="Times New Roman"/>
          <w:color w:val="000000" w:themeColor="text1"/>
          <w:lang w:val="en-US" w:eastAsia="zh-CN"/>
          <w14:textFill>
            <w14:solidFill>
              <w14:schemeClr w14:val="tx1"/>
            </w14:solidFill>
          </w14:textFill>
        </w:rPr>
        <w:t>5</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15</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14</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30</w:t>
      </w:r>
      <w:r>
        <w:rPr>
          <w:rFonts w:ascii="Times New Roman"/>
          <w:color w:val="000000" w:themeColor="text1"/>
          <w14:textFill>
            <w14:solidFill>
              <w14:schemeClr w14:val="tx1"/>
            </w14:solidFill>
          </w14:textFill>
        </w:rPr>
        <w:t>分</w:t>
      </w:r>
      <w:r>
        <w:rPr>
          <w:rFonts w:hint="eastAsia" w:hAnsi="宋体" w:cs="宋体"/>
          <w:color w:val="000000" w:themeColor="text1"/>
          <w14:textFill>
            <w14:solidFill>
              <w14:schemeClr w14:val="tx1"/>
            </w14:solidFill>
          </w14:textFill>
        </w:rPr>
        <w:t>。</w:t>
      </w:r>
    </w:p>
    <w:p w14:paraId="471B0EB0">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十、开封地点：东莞市水务环境投资控股集团净水有限公司</w:t>
      </w:r>
      <w:r>
        <w:rPr>
          <w:rFonts w:hAnsi="宋体" w:cs="宋体"/>
          <w:color w:val="000000" w:themeColor="text1"/>
          <w14:textFill>
            <w14:solidFill>
              <w14:schemeClr w14:val="tx1"/>
            </w14:solidFill>
          </w14:textFill>
        </w:rPr>
        <w:t>10</w:t>
      </w:r>
      <w:r>
        <w:rPr>
          <w:rFonts w:hint="eastAsia" w:hAnsi="宋体" w:cs="宋体"/>
          <w:color w:val="000000" w:themeColor="text1"/>
          <w14:textFill>
            <w14:solidFill>
              <w14:schemeClr w14:val="tx1"/>
            </w14:solidFill>
          </w14:textFill>
        </w:rPr>
        <w:t>楼开标室。</w:t>
      </w:r>
    </w:p>
    <w:p w14:paraId="740F5757">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十一、采购人联系方式：</w:t>
      </w:r>
    </w:p>
    <w:p w14:paraId="0B96A9E8">
      <w:pPr>
        <w:spacing w:line="360" w:lineRule="auto"/>
        <w:ind w:left="566" w:leftChars="236" w:firstLine="285"/>
        <w:rPr>
          <w:rFonts w:hint="default" w:hAnsi="宋体" w:eastAsia="宋体" w:cs="宋体"/>
          <w:color w:val="000000" w:themeColor="text1"/>
          <w:lang w:val="en-US" w:eastAsia="zh-CN"/>
          <w14:textFill>
            <w14:solidFill>
              <w14:schemeClr w14:val="tx1"/>
            </w14:solidFill>
          </w14:textFill>
        </w:rPr>
      </w:pPr>
      <w:bookmarkStart w:id="3" w:name="_Hlk27138405"/>
      <w:r>
        <w:rPr>
          <w:rFonts w:hint="eastAsia" w:hAnsi="宋体" w:cs="宋体"/>
          <w:color w:val="000000" w:themeColor="text1"/>
          <w14:textFill>
            <w14:solidFill>
              <w14:schemeClr w14:val="tx1"/>
            </w14:solidFill>
          </w14:textFill>
        </w:rPr>
        <w:t>采购联系人：</w:t>
      </w:r>
      <w:r>
        <w:rPr>
          <w:rFonts w:hint="eastAsia" w:hAnsi="宋体" w:cs="宋体"/>
          <w:color w:val="000000" w:themeColor="text1"/>
          <w:lang w:val="en-US" w:eastAsia="zh-CN"/>
          <w14:textFill>
            <w14:solidFill>
              <w14:schemeClr w14:val="tx1"/>
            </w14:solidFill>
          </w14:textFill>
        </w:rPr>
        <w:t>黄工</w:t>
      </w:r>
    </w:p>
    <w:p w14:paraId="2E00E227">
      <w:pPr>
        <w:spacing w:line="360" w:lineRule="auto"/>
        <w:ind w:left="566" w:leftChars="236" w:firstLine="285"/>
        <w:rPr>
          <w:rFonts w:hint="default" w:hAnsi="宋体" w:eastAsia="宋体" w:cs="宋体"/>
          <w:color w:val="000000" w:themeColor="text1"/>
          <w:lang w:val="en-US" w:eastAsia="zh-CN"/>
          <w14:textFill>
            <w14:solidFill>
              <w14:schemeClr w14:val="tx1"/>
            </w14:solidFill>
          </w14:textFill>
        </w:rPr>
      </w:pPr>
      <w:r>
        <w:rPr>
          <w:rFonts w:hint="eastAsia" w:hAnsi="宋体" w:cs="宋体"/>
          <w:color w:val="000000" w:themeColor="text1"/>
          <w14:textFill>
            <w14:solidFill>
              <w14:schemeClr w14:val="tx1"/>
            </w14:solidFill>
          </w14:textFill>
        </w:rPr>
        <w:t>联系电话：</w:t>
      </w:r>
      <w:r>
        <w:rPr>
          <w:rFonts w:hint="eastAsia" w:ascii="Times New Roman" w:cs="宋体"/>
          <w:color w:val="000000" w:themeColor="text1"/>
          <w:lang w:val="en-US" w:eastAsia="zh-CN"/>
          <w14:textFill>
            <w14:solidFill>
              <w14:schemeClr w14:val="tx1"/>
            </w14:solidFill>
          </w14:textFill>
        </w:rPr>
        <w:t>0769-2882 3252</w:t>
      </w:r>
    </w:p>
    <w:p w14:paraId="2F2C07C3">
      <w:pPr>
        <w:spacing w:line="360" w:lineRule="auto"/>
        <w:ind w:left="566" w:leftChars="236" w:firstLine="285"/>
        <w:rPr>
          <w:rFonts w:hAnsi="宋体" w:cs="宋体"/>
        </w:rPr>
      </w:pPr>
      <w:r>
        <w:rPr>
          <w:rFonts w:hint="eastAsia" w:hAnsi="宋体" w:cs="宋体"/>
          <w:color w:val="000000" w:themeColor="text1"/>
          <w14:textFill>
            <w14:solidFill>
              <w14:schemeClr w14:val="tx1"/>
            </w14:solidFill>
          </w14:textFill>
        </w:rPr>
        <w:t>联系地址：</w:t>
      </w:r>
      <w:bookmarkEnd w:id="3"/>
      <w:r>
        <w:rPr>
          <w:rFonts w:hint="eastAsia" w:hAnsi="宋体" w:cs="宋体"/>
        </w:rPr>
        <w:t>东莞市南城街道宏北路16号水业大厦1</w:t>
      </w:r>
      <w:r>
        <w:rPr>
          <w:rFonts w:hAnsi="宋体" w:cs="宋体"/>
        </w:rPr>
        <w:t>0</w:t>
      </w:r>
      <w:r>
        <w:rPr>
          <w:rFonts w:hint="eastAsia" w:hAnsi="宋体" w:cs="宋体"/>
        </w:rPr>
        <w:t>楼（东莞市水务环境投资控股集团净水有限公司）</w:t>
      </w:r>
    </w:p>
    <w:p w14:paraId="7488F861">
      <w:pPr>
        <w:spacing w:line="360" w:lineRule="auto"/>
        <w:ind w:left="566" w:leftChars="236" w:firstLine="285"/>
        <w:rPr>
          <w:rFonts w:hint="eastAsia" w:hAnsi="宋体" w:cs="宋体"/>
          <w:color w:val="000000" w:themeColor="text1"/>
          <w14:textFill>
            <w14:solidFill>
              <w14:schemeClr w14:val="tx1"/>
            </w14:solidFill>
          </w14:textFill>
        </w:rPr>
      </w:pPr>
    </w:p>
    <w:p w14:paraId="47329284">
      <w:pPr>
        <w:spacing w:line="360" w:lineRule="auto"/>
        <w:jc w:val="right"/>
        <w:rPr>
          <w:rFonts w:hAnsi="宋体" w:cs="宋体"/>
          <w:color w:val="000000" w:themeColor="text1"/>
          <w14:textFill>
            <w14:solidFill>
              <w14:schemeClr w14:val="tx1"/>
            </w14:solidFill>
          </w14:textFill>
        </w:rPr>
      </w:pPr>
      <w:bookmarkStart w:id="4" w:name="_Hlk27138410"/>
      <w:r>
        <w:rPr>
          <w:rFonts w:hint="eastAsia" w:hAnsi="宋体" w:cs="宋体"/>
          <w:color w:val="000000" w:themeColor="text1"/>
          <w14:textFill>
            <w14:solidFill>
              <w14:schemeClr w14:val="tx1"/>
            </w14:solidFill>
          </w14:textFill>
        </w:rPr>
        <w:t>东莞市水务环境投资控股集团净水有限公司</w:t>
      </w:r>
    </w:p>
    <w:p w14:paraId="76D22EC7">
      <w:pPr>
        <w:wordWrap w:val="0"/>
        <w:spacing w:line="360" w:lineRule="auto"/>
        <w:jc w:val="right"/>
        <w:rPr>
          <w:rFonts w:hAnsi="宋体" w:cs="宋体"/>
          <w:color w:val="000000" w:themeColor="text1"/>
          <w14:textFill>
            <w14:solidFill>
              <w14:schemeClr w14:val="tx1"/>
            </w14:solidFill>
          </w14:textFill>
        </w:rPr>
      </w:pPr>
      <w:r>
        <w:rPr>
          <w:rFonts w:ascii="Times New Roman"/>
          <w:color w:val="000000" w:themeColor="text1"/>
          <w14:textFill>
            <w14:solidFill>
              <w14:schemeClr w14:val="tx1"/>
            </w14:solidFill>
          </w14:textFill>
        </w:rPr>
        <w:t>2026年</w:t>
      </w:r>
      <w:r>
        <w:rPr>
          <w:rFonts w:hint="eastAsia" w:ascii="Times New Roman"/>
          <w:color w:val="000000" w:themeColor="text1"/>
          <w:lang w:val="en-US" w:eastAsia="zh-CN"/>
          <w14:textFill>
            <w14:solidFill>
              <w14:schemeClr w14:val="tx1"/>
            </w14:solidFill>
          </w14:textFill>
        </w:rPr>
        <w:t>5</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9</w:t>
      </w:r>
      <w:r>
        <w:rPr>
          <w:rFonts w:ascii="Times New Roman"/>
          <w:color w:val="000000" w:themeColor="text1"/>
          <w14:textFill>
            <w14:solidFill>
              <w14:schemeClr w14:val="tx1"/>
            </w14:solidFill>
          </w14:textFill>
        </w:rPr>
        <w:t>日</w:t>
      </w:r>
      <w:r>
        <w:rPr>
          <w:rFonts w:hint="eastAsia" w:ascii="Times New Roman"/>
          <w:color w:val="000000" w:themeColor="text1"/>
          <w14:textFill>
            <w14:solidFill>
              <w14:schemeClr w14:val="tx1"/>
            </w14:solidFill>
          </w14:textFill>
        </w:rPr>
        <w:t xml:space="preserve">      </w:t>
      </w:r>
      <w:bookmarkEnd w:id="4"/>
    </w:p>
    <w:p w14:paraId="785991C9">
      <w:pPr>
        <w:spacing w:line="360" w:lineRule="auto"/>
        <w:rPr>
          <w:rFonts w:hAnsi="宋体" w:cs="宋体"/>
        </w:rPr>
        <w:sectPr>
          <w:pgSz w:w="11906" w:h="16838"/>
          <w:pgMar w:top="1440" w:right="1803" w:bottom="1440" w:left="1803" w:header="851" w:footer="992" w:gutter="0"/>
          <w:pgNumType w:fmt="decimal"/>
          <w:cols w:space="0" w:num="1"/>
          <w:docGrid w:type="lines" w:linePitch="332" w:charSpace="0"/>
        </w:sectPr>
      </w:pPr>
    </w:p>
    <w:p w14:paraId="1F3AB1D9">
      <w:pPr>
        <w:pStyle w:val="3"/>
        <w:spacing w:before="0" w:after="0"/>
        <w:jc w:val="center"/>
        <w:rPr>
          <w:rFonts w:hAnsi="宋体" w:cs="宋体"/>
          <w:szCs w:val="32"/>
        </w:rPr>
      </w:pPr>
      <w:bookmarkStart w:id="5" w:name="_Toc29476691"/>
      <w:r>
        <w:rPr>
          <w:rFonts w:hint="eastAsia" w:hAnsi="宋体" w:cs="宋体"/>
          <w:szCs w:val="32"/>
        </w:rPr>
        <w:t>第二章 用户需求</w:t>
      </w:r>
      <w:bookmarkEnd w:id="5"/>
    </w:p>
    <w:p w14:paraId="26699325">
      <w:pPr>
        <w:spacing w:line="360" w:lineRule="auto"/>
        <w:rPr>
          <w:rFonts w:ascii="Times New Roman"/>
          <w:szCs w:val="21"/>
        </w:rPr>
      </w:pPr>
      <w:bookmarkStart w:id="6" w:name="_Toc447044600"/>
      <w:bookmarkStart w:id="7" w:name="_Toc447045087"/>
      <w:bookmarkStart w:id="8" w:name="_Toc447044476"/>
    </w:p>
    <w:p w14:paraId="01450AE5">
      <w:pPr>
        <w:keepNext w:val="0"/>
        <w:keepLines w:val="0"/>
        <w:pageBreakBefore w:val="0"/>
        <w:widowControl/>
        <w:kinsoku w:val="0"/>
        <w:wordWrap/>
        <w:overflowPunct/>
        <w:topLinePunct w:val="0"/>
        <w:autoSpaceDE w:val="0"/>
        <w:autoSpaceDN w:val="0"/>
        <w:bidi w:val="0"/>
        <w:adjustRightInd w:val="0"/>
        <w:snapToGrid w:val="0"/>
        <w:spacing w:line="360" w:lineRule="auto"/>
        <w:ind w:firstLine="430" w:firstLineChars="200"/>
        <w:textAlignment w:val="baseline"/>
        <w:rPr>
          <w:rFonts w:hint="eastAsia" w:ascii="宋体" w:hAnsi="宋体" w:eastAsia="宋体" w:cs="宋体"/>
          <w:b/>
          <w:bCs/>
          <w:spacing w:val="2"/>
          <w:sz w:val="21"/>
          <w:szCs w:val="21"/>
          <w:highlight w:val="none"/>
          <w:lang w:val="en-US" w:eastAsia="zh-CN"/>
        </w:rPr>
      </w:pPr>
      <w:r>
        <w:rPr>
          <w:rFonts w:hint="eastAsia" w:ascii="宋体" w:hAnsi="宋体" w:eastAsia="宋体" w:cs="宋体"/>
          <w:b/>
          <w:bCs/>
          <w:spacing w:val="2"/>
          <w:sz w:val="21"/>
          <w:szCs w:val="21"/>
          <w:highlight w:val="none"/>
          <w:lang w:val="en-US" w:eastAsia="zh-CN"/>
        </w:rPr>
        <w:t>一、基本情况</w:t>
      </w:r>
    </w:p>
    <w:p w14:paraId="7B25B42F">
      <w:pPr>
        <w:keepLines w:val="0"/>
        <w:widowControl/>
        <w:kinsoku/>
        <w:wordWrap/>
        <w:overflowPunct/>
        <w:topLinePunct w:val="0"/>
        <w:autoSpaceDE/>
        <w:autoSpaceDN/>
        <w:bidi w:val="0"/>
        <w:adjustRightInd/>
        <w:snapToGrid/>
        <w:spacing w:line="360" w:lineRule="auto"/>
        <w:ind w:firstLine="428" w:firstLineChars="200"/>
        <w:jc w:val="left"/>
        <w:textAlignment w:val="auto"/>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本技术规范适用于东莞市污泥集中处理处置项目电动叉车及登高车采购项目（重新采购）（下称“采购项目”）相关货物的供货、运输、储存、安装、调试、验收以及人员培训等全部内容。</w:t>
      </w:r>
    </w:p>
    <w:p w14:paraId="1A590B14">
      <w:pPr>
        <w:keepLines w:val="0"/>
        <w:widowControl/>
        <w:kinsoku/>
        <w:wordWrap/>
        <w:overflowPunct/>
        <w:topLinePunct w:val="0"/>
        <w:autoSpaceDE/>
        <w:autoSpaceDN/>
        <w:bidi w:val="0"/>
        <w:adjustRightInd/>
        <w:snapToGrid/>
        <w:spacing w:line="360" w:lineRule="auto"/>
        <w:ind w:firstLine="428" w:firstLineChars="200"/>
        <w:jc w:val="left"/>
        <w:textAlignment w:val="auto"/>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本技术规定不得被认为是详尽无遗的，本技术规范所提及的性能要求和供货范围都是最低限度的要求，并未对一切技术细节作出规定，供货单位保证提供的产品及安装质量符合本技术规范和国家印发的强制性标准。</w:t>
      </w:r>
    </w:p>
    <w:p w14:paraId="1ACA4DD3">
      <w:pPr>
        <w:keepLines w:val="0"/>
        <w:widowControl/>
        <w:kinsoku/>
        <w:wordWrap/>
        <w:overflowPunct/>
        <w:topLinePunct w:val="0"/>
        <w:autoSpaceDE/>
        <w:autoSpaceDN/>
        <w:bidi w:val="0"/>
        <w:adjustRightInd/>
        <w:snapToGrid/>
        <w:spacing w:line="360" w:lineRule="auto"/>
        <w:ind w:firstLine="428" w:firstLineChars="200"/>
        <w:jc w:val="left"/>
        <w:textAlignment w:val="auto"/>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供货单位提供的货物、软件附件等所涉及到的专利等知识产权费用及所有的技术服务费用均被认为已包含在报价之内，系统所涉及的任何专利问题，由供货单位负责解决，采购人不承担任何由专利等纠纷引起的任何经济及法律责任。</w:t>
      </w:r>
    </w:p>
    <w:p w14:paraId="0B9016FC">
      <w:pPr>
        <w:keepLines w:val="0"/>
        <w:widowControl/>
        <w:kinsoku/>
        <w:wordWrap/>
        <w:overflowPunct/>
        <w:topLinePunct w:val="0"/>
        <w:autoSpaceDE/>
        <w:autoSpaceDN/>
        <w:bidi w:val="0"/>
        <w:adjustRightInd/>
        <w:snapToGrid/>
        <w:spacing w:line="360" w:lineRule="auto"/>
        <w:ind w:firstLine="428" w:firstLineChars="200"/>
        <w:jc w:val="left"/>
        <w:textAlignment w:val="auto"/>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供货单位提供的所有设备应是全新的、先进可靠的，满足本技术规范书所有技术参数要求的，且是在市面上广泛应用、稳定可靠的产品。</w:t>
      </w:r>
    </w:p>
    <w:p w14:paraId="3A2D96D9">
      <w:pPr>
        <w:keepLines w:val="0"/>
        <w:widowControl/>
        <w:kinsoku/>
        <w:wordWrap/>
        <w:overflowPunct/>
        <w:topLinePunct w:val="0"/>
        <w:autoSpaceDE/>
        <w:autoSpaceDN/>
        <w:bidi w:val="0"/>
        <w:adjustRightInd/>
        <w:snapToGrid/>
        <w:spacing w:line="360" w:lineRule="auto"/>
        <w:ind w:firstLine="430" w:firstLineChars="200"/>
        <w:jc w:val="left"/>
        <w:textAlignment w:val="auto"/>
        <w:rPr>
          <w:rFonts w:hint="eastAsia" w:ascii="宋体" w:hAnsi="宋体" w:eastAsia="宋体" w:cs="宋体"/>
          <w:spacing w:val="2"/>
          <w:sz w:val="21"/>
          <w:szCs w:val="21"/>
          <w:highlight w:val="none"/>
          <w:lang w:val="en-US" w:eastAsia="zh-CN"/>
        </w:rPr>
      </w:pPr>
      <w:r>
        <w:rPr>
          <w:rFonts w:hint="eastAsia" w:ascii="宋体" w:hAnsi="宋体" w:eastAsia="宋体" w:cs="宋体"/>
          <w:b/>
          <w:bCs/>
          <w:spacing w:val="2"/>
          <w:sz w:val="21"/>
          <w:szCs w:val="21"/>
          <w:highlight w:val="none"/>
          <w:lang w:val="en-US" w:eastAsia="zh-CN"/>
        </w:rPr>
        <w:t>无论多少以及多么微小的偏差，必须清楚地表示在报价文件中，如供货单位没有在报价文件中对本采购文件提出技术偏差，则可认为供货单位完全接受和同意本采购文件的要求，所供设备需完全响应本技术需求</w:t>
      </w:r>
      <w:r>
        <w:rPr>
          <w:rFonts w:hint="eastAsia" w:ascii="宋体" w:hAnsi="宋体" w:eastAsia="宋体" w:cs="宋体"/>
          <w:spacing w:val="2"/>
          <w:sz w:val="21"/>
          <w:szCs w:val="21"/>
          <w:highlight w:val="none"/>
          <w:lang w:val="en-US" w:eastAsia="zh-CN"/>
        </w:rPr>
        <w:t>。</w:t>
      </w:r>
    </w:p>
    <w:p w14:paraId="1BAC0356">
      <w:pPr>
        <w:keepLines w:val="0"/>
        <w:widowControl/>
        <w:kinsoku/>
        <w:wordWrap/>
        <w:overflowPunct/>
        <w:topLinePunct w:val="0"/>
        <w:autoSpaceDE/>
        <w:autoSpaceDN/>
        <w:bidi w:val="0"/>
        <w:adjustRightInd/>
        <w:snapToGrid/>
        <w:spacing w:line="360" w:lineRule="auto"/>
        <w:ind w:firstLine="428" w:firstLineChars="200"/>
        <w:jc w:val="left"/>
        <w:textAlignment w:val="auto"/>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采购预算：</w:t>
      </w:r>
      <w:r>
        <w:rPr>
          <w:rFonts w:hint="eastAsia" w:ascii="宋体" w:hAnsi="宋体" w:eastAsia="宋体" w:cs="宋体"/>
          <w:spacing w:val="2"/>
          <w:sz w:val="21"/>
          <w:szCs w:val="21"/>
          <w:highlight w:val="none"/>
          <w:lang w:eastAsia="zh-CN"/>
        </w:rPr>
        <w:t>344,690.2</w:t>
      </w:r>
      <w:r>
        <w:rPr>
          <w:rFonts w:hint="eastAsia" w:ascii="宋体" w:hAnsi="宋体" w:eastAsia="宋体" w:cs="宋体"/>
          <w:spacing w:val="2"/>
          <w:sz w:val="21"/>
          <w:szCs w:val="21"/>
          <w:highlight w:val="none"/>
          <w:lang w:val="en-US" w:eastAsia="zh-CN"/>
        </w:rPr>
        <w:t>7元（不含税）</w:t>
      </w:r>
    </w:p>
    <w:p w14:paraId="5F20096E">
      <w:pPr>
        <w:keepLines w:val="0"/>
        <w:widowControl/>
        <w:numPr>
          <w:ilvl w:val="0"/>
          <w:numId w:val="0"/>
        </w:numPr>
        <w:kinsoku/>
        <w:wordWrap/>
        <w:overflowPunct/>
        <w:topLinePunct w:val="0"/>
        <w:autoSpaceDE/>
        <w:autoSpaceDN/>
        <w:bidi w:val="0"/>
        <w:adjustRightInd/>
        <w:snapToGrid/>
        <w:spacing w:line="360" w:lineRule="auto"/>
        <w:ind w:firstLine="430" w:firstLineChars="200"/>
        <w:jc w:val="left"/>
        <w:textAlignment w:val="auto"/>
        <w:rPr>
          <w:rFonts w:hint="eastAsia" w:ascii="宋体" w:hAnsi="宋体" w:eastAsia="宋体" w:cs="宋体"/>
          <w:b/>
          <w:bCs/>
          <w:spacing w:val="2"/>
          <w:sz w:val="21"/>
          <w:szCs w:val="21"/>
          <w:highlight w:val="none"/>
          <w:lang w:val="en-US" w:eastAsia="zh-CN"/>
        </w:rPr>
      </w:pPr>
      <w:r>
        <w:rPr>
          <w:rFonts w:hint="eastAsia" w:ascii="宋体" w:hAnsi="宋体" w:eastAsia="宋体" w:cs="宋体"/>
          <w:b/>
          <w:bCs/>
          <w:spacing w:val="2"/>
          <w:sz w:val="21"/>
          <w:szCs w:val="21"/>
          <w:highlight w:val="none"/>
          <w:lang w:val="en-US" w:eastAsia="zh-CN"/>
        </w:rPr>
        <w:t>二、项目期限要求</w:t>
      </w:r>
    </w:p>
    <w:p w14:paraId="05040C17">
      <w:pPr>
        <w:keepLines w:val="0"/>
        <w:widowControl/>
        <w:numPr>
          <w:ilvl w:val="0"/>
          <w:numId w:val="0"/>
        </w:numPr>
        <w:kinsoku/>
        <w:wordWrap/>
        <w:overflowPunct/>
        <w:topLinePunct w:val="0"/>
        <w:autoSpaceDE/>
        <w:autoSpaceDN/>
        <w:bidi w:val="0"/>
        <w:adjustRightInd/>
        <w:snapToGrid/>
        <w:spacing w:line="360" w:lineRule="auto"/>
        <w:ind w:firstLine="428" w:firstLineChars="200"/>
        <w:jc w:val="left"/>
        <w:textAlignment w:val="auto"/>
        <w:rPr>
          <w:rFonts w:hint="eastAsia" w:ascii="宋体" w:hAnsi="宋体" w:eastAsia="宋体" w:cs="宋体"/>
          <w:spacing w:val="2"/>
          <w:sz w:val="21"/>
          <w:szCs w:val="21"/>
          <w:highlight w:val="none"/>
          <w:lang w:val="en-US" w:eastAsia="zh-CN"/>
        </w:rPr>
      </w:pPr>
      <w:r>
        <w:rPr>
          <w:rFonts w:hint="eastAsia" w:ascii="宋体" w:hAnsi="宋体" w:eastAsia="宋体" w:cs="宋体"/>
          <w:snapToGrid w:val="0"/>
          <w:color w:val="000000"/>
          <w:spacing w:val="2"/>
          <w:kern w:val="0"/>
          <w:sz w:val="21"/>
          <w:szCs w:val="21"/>
          <w:highlight w:val="none"/>
          <w:lang w:val="en-US" w:eastAsia="zh-CN" w:bidi="ar-SA"/>
        </w:rPr>
        <w:t>1.供货单位需在</w:t>
      </w:r>
      <w:r>
        <w:rPr>
          <w:rFonts w:hint="eastAsia" w:ascii="宋体" w:hAnsi="宋体" w:eastAsia="宋体" w:cs="宋体"/>
          <w:spacing w:val="2"/>
          <w:sz w:val="21"/>
          <w:szCs w:val="21"/>
          <w:highlight w:val="none"/>
          <w:lang w:val="en-US" w:eastAsia="zh-CN"/>
        </w:rPr>
        <w:t>在签订合同后20日内具备发货条件；</w:t>
      </w:r>
    </w:p>
    <w:p w14:paraId="46F39045">
      <w:pPr>
        <w:keepLines w:val="0"/>
        <w:widowControl/>
        <w:numPr>
          <w:ilvl w:val="0"/>
          <w:numId w:val="0"/>
        </w:numPr>
        <w:kinsoku/>
        <w:wordWrap/>
        <w:overflowPunct/>
        <w:topLinePunct w:val="0"/>
        <w:autoSpaceDE/>
        <w:autoSpaceDN/>
        <w:bidi w:val="0"/>
        <w:adjustRightInd/>
        <w:snapToGrid/>
        <w:spacing w:line="360" w:lineRule="auto"/>
        <w:ind w:firstLine="428" w:firstLineChars="200"/>
        <w:jc w:val="left"/>
        <w:textAlignment w:val="auto"/>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2.</w:t>
      </w:r>
      <w:r>
        <w:rPr>
          <w:rFonts w:hint="eastAsia" w:ascii="宋体" w:hAnsi="宋体" w:eastAsia="宋体" w:cs="宋体"/>
          <w:snapToGrid w:val="0"/>
          <w:color w:val="000000"/>
          <w:spacing w:val="2"/>
          <w:kern w:val="0"/>
          <w:sz w:val="21"/>
          <w:szCs w:val="21"/>
          <w:highlight w:val="none"/>
          <w:lang w:val="en-US" w:eastAsia="zh-CN" w:bidi="ar-SA"/>
        </w:rPr>
        <w:t>供货单位</w:t>
      </w:r>
      <w:r>
        <w:rPr>
          <w:rFonts w:hint="eastAsia" w:ascii="宋体" w:hAnsi="宋体" w:eastAsia="宋体" w:cs="宋体"/>
          <w:sz w:val="21"/>
          <w:szCs w:val="21"/>
          <w:highlight w:val="none"/>
          <w:lang w:val="en-US" w:eastAsia="zh-CN"/>
        </w:rPr>
        <w:t>应在</w:t>
      </w:r>
      <w:r>
        <w:rPr>
          <w:rFonts w:hint="eastAsia" w:ascii="宋体" w:hAnsi="宋体" w:eastAsia="宋体" w:cs="宋体"/>
          <w:spacing w:val="2"/>
          <w:sz w:val="21"/>
          <w:szCs w:val="21"/>
          <w:highlight w:val="none"/>
          <w:lang w:val="en-US" w:eastAsia="zh-CN"/>
        </w:rPr>
        <w:t>采购人发出发货通知单之日起3日内完成电动叉车及电动登高车的供货；</w:t>
      </w:r>
    </w:p>
    <w:p w14:paraId="397B607A">
      <w:pPr>
        <w:keepLines w:val="0"/>
        <w:widowControl/>
        <w:numPr>
          <w:ilvl w:val="0"/>
          <w:numId w:val="0"/>
        </w:numPr>
        <w:kinsoku/>
        <w:wordWrap/>
        <w:overflowPunct/>
        <w:topLinePunct w:val="0"/>
        <w:autoSpaceDE/>
        <w:autoSpaceDN/>
        <w:bidi w:val="0"/>
        <w:adjustRightInd/>
        <w:snapToGrid/>
        <w:spacing w:line="360" w:lineRule="auto"/>
        <w:ind w:firstLine="428" w:firstLineChars="200"/>
        <w:jc w:val="left"/>
        <w:textAlignment w:val="auto"/>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3.采购人发出发货通知单之日起30日内，供货单位完成所有货物的调试、特种设备使用登记及上牌工作，并完成验收等相关手续的办理。</w:t>
      </w:r>
    </w:p>
    <w:p w14:paraId="1C5785F1">
      <w:pPr>
        <w:keepLines w:val="0"/>
        <w:widowControl/>
        <w:kinsoku/>
        <w:wordWrap/>
        <w:overflowPunct/>
        <w:topLinePunct w:val="0"/>
        <w:autoSpaceDE/>
        <w:autoSpaceDN/>
        <w:bidi w:val="0"/>
        <w:adjustRightInd/>
        <w:snapToGrid/>
        <w:spacing w:line="360" w:lineRule="auto"/>
        <w:ind w:firstLine="430" w:firstLineChars="200"/>
        <w:jc w:val="left"/>
        <w:textAlignment w:val="auto"/>
        <w:rPr>
          <w:rFonts w:hint="eastAsia" w:ascii="宋体" w:hAnsi="宋体" w:eastAsia="宋体" w:cs="宋体"/>
          <w:b/>
          <w:bCs/>
          <w:spacing w:val="2"/>
          <w:sz w:val="21"/>
          <w:szCs w:val="21"/>
          <w:highlight w:val="none"/>
          <w:lang w:val="en-US" w:eastAsia="zh-CN"/>
        </w:rPr>
      </w:pPr>
      <w:r>
        <w:rPr>
          <w:rFonts w:hint="eastAsia" w:ascii="宋体" w:hAnsi="宋体" w:eastAsia="宋体" w:cs="宋体"/>
          <w:b/>
          <w:bCs/>
          <w:spacing w:val="2"/>
          <w:sz w:val="21"/>
          <w:szCs w:val="21"/>
          <w:highlight w:val="none"/>
          <w:lang w:val="en-US" w:eastAsia="zh-CN"/>
        </w:rPr>
        <w:t>三、供货要求</w:t>
      </w:r>
    </w:p>
    <w:p w14:paraId="44528FD8">
      <w:pPr>
        <w:keepLines w:val="0"/>
        <w:widowControl/>
        <w:numPr>
          <w:ilvl w:val="0"/>
          <w:numId w:val="0"/>
        </w:numPr>
        <w:kinsoku/>
        <w:wordWrap/>
        <w:overflowPunct/>
        <w:topLinePunct w:val="0"/>
        <w:autoSpaceDE/>
        <w:autoSpaceDN/>
        <w:bidi w:val="0"/>
        <w:adjustRightInd/>
        <w:snapToGrid/>
        <w:spacing w:line="360" w:lineRule="auto"/>
        <w:ind w:firstLine="428" w:firstLineChars="200"/>
        <w:jc w:val="left"/>
        <w:textAlignment w:val="auto"/>
        <w:rPr>
          <w:rFonts w:hint="eastAsia" w:ascii="宋体" w:hAnsi="宋体" w:eastAsia="宋体" w:cs="宋体"/>
          <w:spacing w:val="2"/>
          <w:sz w:val="21"/>
          <w:szCs w:val="21"/>
          <w:highlight w:val="none"/>
          <w:lang w:val="en-US" w:eastAsia="zh-CN"/>
        </w:rPr>
      </w:pPr>
      <w:r>
        <w:rPr>
          <w:rFonts w:hint="eastAsia" w:ascii="宋体" w:hAnsi="宋体" w:eastAsia="宋体" w:cs="宋体"/>
          <w:b w:val="0"/>
          <w:bCs w:val="0"/>
          <w:spacing w:val="2"/>
          <w:sz w:val="21"/>
          <w:szCs w:val="21"/>
          <w:highlight w:val="none"/>
          <w:lang w:val="en-US" w:eastAsia="zh-CN"/>
        </w:rPr>
        <w:t>1.供货界限</w:t>
      </w:r>
      <w:r>
        <w:rPr>
          <w:rFonts w:hint="eastAsia" w:ascii="宋体" w:hAnsi="宋体" w:eastAsia="宋体" w:cs="宋体"/>
          <w:spacing w:val="2"/>
          <w:sz w:val="21"/>
          <w:szCs w:val="21"/>
          <w:highlight w:val="none"/>
          <w:lang w:val="en-US" w:eastAsia="zh-CN"/>
        </w:rPr>
        <w:t>：采购人提供电动叉车、电动登高车在污泥项目的存放场地，供货单位自行负责为完成货物运输、存储、安装及调试等工作而需要的其他条件及费用。</w:t>
      </w:r>
    </w:p>
    <w:p w14:paraId="4A92FC57">
      <w:pPr>
        <w:pStyle w:val="20"/>
        <w:keepLines w:val="0"/>
        <w:wordWrap/>
        <w:overflowPunct/>
        <w:topLinePunct w:val="0"/>
        <w:bidi w:val="0"/>
        <w:spacing w:after="0" w:line="360" w:lineRule="auto"/>
        <w:ind w:firstLine="428" w:firstLineChars="200"/>
        <w:rPr>
          <w:rFonts w:hint="eastAsia" w:ascii="宋体" w:hAnsi="宋体" w:eastAsia="宋体" w:cs="宋体"/>
          <w:sz w:val="21"/>
          <w:szCs w:val="21"/>
          <w:highlight w:val="none"/>
          <w:lang w:val="en-US" w:eastAsia="zh-CN"/>
        </w:rPr>
      </w:pPr>
      <w:r>
        <w:rPr>
          <w:rFonts w:hint="eastAsia" w:ascii="宋体" w:hAnsi="宋体" w:eastAsia="宋体" w:cs="宋体"/>
          <w:spacing w:val="2"/>
          <w:sz w:val="21"/>
          <w:szCs w:val="21"/>
          <w:highlight w:val="none"/>
          <w:lang w:val="en-US" w:eastAsia="zh-CN"/>
        </w:rPr>
        <w:t>2.供货地点：以采购人通知为准。</w:t>
      </w:r>
      <w:r>
        <w:rPr>
          <w:rFonts w:hint="eastAsia" w:ascii="宋体" w:hAnsi="宋体" w:eastAsia="宋体" w:cs="宋体"/>
          <w:snapToGrid w:val="0"/>
          <w:color w:val="000000"/>
          <w:spacing w:val="2"/>
          <w:kern w:val="0"/>
          <w:sz w:val="21"/>
          <w:szCs w:val="21"/>
          <w:highlight w:val="none"/>
          <w:lang w:val="en-US" w:eastAsia="zh-CN" w:bidi="ar-SA"/>
        </w:rPr>
        <w:t>供货单位</w:t>
      </w:r>
      <w:r>
        <w:rPr>
          <w:rFonts w:hint="eastAsia" w:ascii="宋体" w:hAnsi="宋体" w:eastAsia="宋体" w:cs="宋体"/>
          <w:sz w:val="21"/>
          <w:szCs w:val="21"/>
          <w:highlight w:val="none"/>
        </w:rPr>
        <w:t>负责</w:t>
      </w:r>
      <w:r>
        <w:rPr>
          <w:rFonts w:hint="eastAsia" w:ascii="宋体" w:hAnsi="宋体" w:eastAsia="宋体" w:cs="宋体"/>
          <w:sz w:val="21"/>
          <w:szCs w:val="21"/>
          <w:highlight w:val="none"/>
          <w:lang w:val="en-US" w:eastAsia="zh-CN"/>
        </w:rPr>
        <w:t>货物</w:t>
      </w:r>
      <w:r>
        <w:rPr>
          <w:rFonts w:hint="eastAsia" w:ascii="宋体" w:hAnsi="宋体" w:eastAsia="宋体" w:cs="宋体"/>
          <w:sz w:val="21"/>
          <w:szCs w:val="21"/>
          <w:highlight w:val="none"/>
        </w:rPr>
        <w:t>运输及承担运输费用</w:t>
      </w:r>
      <w:r>
        <w:rPr>
          <w:rFonts w:hint="eastAsia" w:ascii="宋体" w:hAnsi="宋体" w:eastAsia="宋体" w:cs="宋体"/>
          <w:sz w:val="21"/>
          <w:szCs w:val="21"/>
          <w:highlight w:val="none"/>
          <w:lang w:eastAsia="zh-CN"/>
        </w:rPr>
        <w:t>。</w:t>
      </w:r>
    </w:p>
    <w:p w14:paraId="26264FE4">
      <w:pPr>
        <w:pStyle w:val="8"/>
        <w:spacing w:after="0" w:line="360" w:lineRule="auto"/>
        <w:ind w:firstLine="420"/>
        <w:rPr>
          <w:rFonts w:hint="eastAsia" w:ascii="宋体" w:hAnsi="宋体" w:eastAsia="宋体" w:cs="宋体"/>
          <w:color w:val="000000"/>
          <w:sz w:val="21"/>
          <w:szCs w:val="21"/>
          <w:highlight w:val="none"/>
          <w:lang w:eastAsia="zh-CN"/>
        </w:rPr>
      </w:pPr>
      <w:r>
        <w:rPr>
          <w:rFonts w:hint="eastAsia" w:ascii="宋体" w:hAnsi="宋体" w:eastAsia="宋体" w:cs="宋体"/>
          <w:b w:val="0"/>
          <w:bCs w:val="0"/>
          <w:spacing w:val="2"/>
          <w:sz w:val="21"/>
          <w:szCs w:val="21"/>
          <w:highlight w:val="none"/>
          <w:lang w:val="en-US" w:eastAsia="zh-CN"/>
        </w:rPr>
        <w:t>3.供货内容：</w:t>
      </w:r>
      <w:r>
        <w:rPr>
          <w:rFonts w:hint="eastAsia" w:ascii="宋体" w:hAnsi="宋体" w:eastAsia="宋体" w:cs="宋体"/>
          <w:snapToGrid w:val="0"/>
          <w:color w:val="000000"/>
          <w:spacing w:val="2"/>
          <w:kern w:val="0"/>
          <w:sz w:val="21"/>
          <w:szCs w:val="21"/>
          <w:highlight w:val="none"/>
          <w:lang w:val="en-US" w:eastAsia="zh-CN" w:bidi="ar-SA"/>
        </w:rPr>
        <w:t>①</w:t>
      </w:r>
      <w:r>
        <w:rPr>
          <w:rFonts w:hint="eastAsia" w:ascii="宋体" w:hAnsi="宋体" w:eastAsia="宋体" w:cs="宋体"/>
          <w:spacing w:val="2"/>
          <w:sz w:val="21"/>
          <w:szCs w:val="21"/>
          <w:highlight w:val="none"/>
          <w:lang w:val="en-US" w:eastAsia="zh-CN"/>
        </w:rPr>
        <w:t>提供符合采购文件及合同要求的电动叉车及登高车；</w:t>
      </w:r>
      <w:r>
        <w:rPr>
          <w:rFonts w:hint="eastAsia" w:ascii="宋体" w:hAnsi="宋体" w:eastAsia="宋体" w:cs="宋体"/>
          <w:b w:val="0"/>
          <w:bCs w:val="0"/>
          <w:spacing w:val="2"/>
          <w:sz w:val="21"/>
          <w:szCs w:val="21"/>
          <w:highlight w:val="none"/>
          <w:lang w:val="en-US" w:eastAsia="zh-CN"/>
        </w:rPr>
        <w:t>②</w:t>
      </w:r>
      <w:r>
        <w:rPr>
          <w:rFonts w:hint="eastAsia" w:ascii="宋体" w:hAnsi="宋体" w:eastAsia="宋体" w:cs="宋体"/>
          <w:spacing w:val="2"/>
          <w:sz w:val="21"/>
          <w:szCs w:val="21"/>
          <w:highlight w:val="none"/>
          <w:lang w:val="en-US" w:eastAsia="zh-CN"/>
        </w:rPr>
        <w:t>提供技术文件及资料，包括不限于设备保养手册、使用说明书及其他必要文件，详见本用户需求书“四 资料提交”</w:t>
      </w:r>
      <w:r>
        <w:rPr>
          <w:rFonts w:hint="eastAsia" w:ascii="宋体" w:hAnsi="宋体" w:eastAsia="宋体" w:cs="宋体"/>
          <w:color w:val="000000"/>
          <w:sz w:val="21"/>
          <w:szCs w:val="21"/>
          <w:highlight w:val="none"/>
          <w:lang w:eastAsia="zh-CN"/>
        </w:rPr>
        <w:t>。</w:t>
      </w:r>
    </w:p>
    <w:p w14:paraId="0B479D4E">
      <w:pPr>
        <w:pStyle w:val="8"/>
        <w:spacing w:after="0" w:line="360" w:lineRule="auto"/>
        <w:ind w:firstLine="420"/>
        <w:rPr>
          <w:rFonts w:hint="eastAsia" w:ascii="宋体" w:hAnsi="宋体" w:eastAsia="宋体" w:cs="宋体"/>
          <w:sz w:val="21"/>
          <w:szCs w:val="21"/>
          <w:highlight w:val="none"/>
        </w:rPr>
      </w:pPr>
      <w:r>
        <w:rPr>
          <w:rFonts w:hint="eastAsia" w:ascii="宋体" w:hAnsi="宋体" w:eastAsia="宋体" w:cs="宋体"/>
          <w:snapToGrid w:val="0"/>
          <w:color w:val="000000"/>
          <w:spacing w:val="2"/>
          <w:kern w:val="0"/>
          <w:sz w:val="21"/>
          <w:szCs w:val="21"/>
          <w:highlight w:val="none"/>
          <w:lang w:val="en-US" w:eastAsia="zh-CN" w:bidi="ar-SA"/>
        </w:rPr>
        <w:t>供货单位</w:t>
      </w:r>
      <w:r>
        <w:rPr>
          <w:rFonts w:hint="eastAsia" w:ascii="宋体" w:hAnsi="宋体" w:eastAsia="宋体" w:cs="宋体"/>
          <w:sz w:val="21"/>
          <w:szCs w:val="21"/>
          <w:highlight w:val="none"/>
        </w:rPr>
        <w:t>的货物应当按照</w:t>
      </w:r>
      <w:r>
        <w:rPr>
          <w:rFonts w:hint="eastAsia" w:ascii="宋体" w:hAnsi="宋体" w:eastAsia="宋体" w:cs="宋体"/>
          <w:sz w:val="21"/>
          <w:szCs w:val="21"/>
          <w:highlight w:val="none"/>
          <w:lang w:val="en-US" w:eastAsia="zh-CN"/>
        </w:rPr>
        <w:t>采购人</w:t>
      </w:r>
      <w:r>
        <w:rPr>
          <w:rFonts w:hint="eastAsia" w:ascii="宋体" w:hAnsi="宋体" w:eastAsia="宋体" w:cs="宋体"/>
          <w:sz w:val="21"/>
          <w:szCs w:val="21"/>
          <w:highlight w:val="none"/>
        </w:rPr>
        <w:t>要求送到指定的地点，由于</w:t>
      </w:r>
      <w:r>
        <w:rPr>
          <w:rFonts w:hint="eastAsia" w:ascii="宋体" w:hAnsi="宋体" w:eastAsia="宋体" w:cs="宋体"/>
          <w:snapToGrid w:val="0"/>
          <w:color w:val="000000"/>
          <w:spacing w:val="2"/>
          <w:kern w:val="0"/>
          <w:sz w:val="21"/>
          <w:szCs w:val="21"/>
          <w:highlight w:val="none"/>
          <w:lang w:val="en-US" w:eastAsia="zh-CN" w:bidi="ar-SA"/>
        </w:rPr>
        <w:t>供货单位</w:t>
      </w:r>
      <w:r>
        <w:rPr>
          <w:rFonts w:hint="eastAsia" w:ascii="宋体" w:hAnsi="宋体" w:eastAsia="宋体" w:cs="宋体"/>
          <w:sz w:val="21"/>
          <w:szCs w:val="21"/>
          <w:highlight w:val="none"/>
        </w:rPr>
        <w:t>使用第三方送货服务导致货物未能经过双方共同验收、未送到指定地点的，</w:t>
      </w:r>
      <w:r>
        <w:rPr>
          <w:rFonts w:hint="eastAsia" w:ascii="宋体" w:hAnsi="宋体" w:eastAsia="宋体" w:cs="宋体"/>
          <w:sz w:val="21"/>
          <w:szCs w:val="21"/>
          <w:highlight w:val="none"/>
          <w:lang w:val="en-US" w:eastAsia="zh-CN"/>
        </w:rPr>
        <w:t>采购人</w:t>
      </w:r>
      <w:r>
        <w:rPr>
          <w:rFonts w:hint="eastAsia" w:ascii="宋体" w:hAnsi="宋体" w:eastAsia="宋体" w:cs="宋体"/>
          <w:sz w:val="21"/>
          <w:szCs w:val="21"/>
          <w:highlight w:val="none"/>
        </w:rPr>
        <w:t>有权拒绝收货。</w:t>
      </w:r>
    </w:p>
    <w:p w14:paraId="770E7EE6">
      <w:pPr>
        <w:pStyle w:val="8"/>
        <w:spacing w:line="360" w:lineRule="auto"/>
        <w:ind w:firstLine="420"/>
        <w:rPr>
          <w:rFonts w:hint="eastAsia" w:ascii="宋体" w:hAnsi="宋体" w:eastAsia="宋体" w:cs="宋体"/>
          <w:spacing w:val="2"/>
          <w:sz w:val="21"/>
          <w:szCs w:val="21"/>
          <w:highlight w:val="none"/>
          <w:lang w:val="en-US" w:eastAsia="zh-CN"/>
        </w:rPr>
      </w:pPr>
      <w:r>
        <w:rPr>
          <w:rFonts w:hint="eastAsia" w:ascii="宋体" w:hAnsi="宋体" w:eastAsia="宋体" w:cs="宋体"/>
          <w:sz w:val="21"/>
          <w:szCs w:val="21"/>
          <w:highlight w:val="none"/>
        </w:rPr>
        <w:t>未经</w:t>
      </w:r>
      <w:r>
        <w:rPr>
          <w:rFonts w:hint="eastAsia" w:ascii="宋体" w:hAnsi="宋体" w:eastAsia="宋体" w:cs="宋体"/>
          <w:sz w:val="21"/>
          <w:szCs w:val="21"/>
          <w:highlight w:val="none"/>
          <w:lang w:val="en-US" w:eastAsia="zh-CN"/>
        </w:rPr>
        <w:t>采购人</w:t>
      </w:r>
      <w:r>
        <w:rPr>
          <w:rFonts w:hint="eastAsia" w:ascii="宋体" w:hAnsi="宋体" w:eastAsia="宋体" w:cs="宋体"/>
          <w:sz w:val="21"/>
          <w:szCs w:val="21"/>
          <w:highlight w:val="none"/>
        </w:rPr>
        <w:t>同意，</w:t>
      </w:r>
      <w:r>
        <w:rPr>
          <w:rFonts w:hint="eastAsia" w:ascii="宋体" w:hAnsi="宋体" w:eastAsia="宋体" w:cs="宋体"/>
          <w:snapToGrid w:val="0"/>
          <w:color w:val="000000"/>
          <w:spacing w:val="2"/>
          <w:kern w:val="0"/>
          <w:sz w:val="21"/>
          <w:szCs w:val="21"/>
          <w:highlight w:val="none"/>
          <w:lang w:val="en-US" w:eastAsia="zh-CN" w:bidi="ar-SA"/>
        </w:rPr>
        <w:t>供货单位</w:t>
      </w:r>
      <w:r>
        <w:rPr>
          <w:rFonts w:hint="eastAsia" w:ascii="宋体" w:hAnsi="宋体" w:eastAsia="宋体" w:cs="宋体"/>
          <w:sz w:val="21"/>
          <w:szCs w:val="21"/>
          <w:highlight w:val="none"/>
        </w:rPr>
        <w:t>或</w:t>
      </w:r>
      <w:r>
        <w:rPr>
          <w:rFonts w:hint="eastAsia" w:ascii="宋体" w:hAnsi="宋体" w:eastAsia="宋体" w:cs="宋体"/>
          <w:snapToGrid w:val="0"/>
          <w:color w:val="000000"/>
          <w:spacing w:val="2"/>
          <w:kern w:val="0"/>
          <w:sz w:val="21"/>
          <w:szCs w:val="21"/>
          <w:highlight w:val="none"/>
          <w:lang w:val="en-US" w:eastAsia="zh-CN" w:bidi="ar-SA"/>
        </w:rPr>
        <w:t>供货单位</w:t>
      </w:r>
      <w:r>
        <w:rPr>
          <w:rFonts w:hint="eastAsia" w:ascii="宋体" w:hAnsi="宋体" w:eastAsia="宋体" w:cs="宋体"/>
          <w:sz w:val="21"/>
          <w:szCs w:val="21"/>
          <w:highlight w:val="none"/>
        </w:rPr>
        <w:t>委托的第三方送货服务仅将货物放置在门口/门卫室，而没有送货至</w:t>
      </w:r>
      <w:r>
        <w:rPr>
          <w:rFonts w:hint="eastAsia" w:ascii="宋体" w:hAnsi="宋体" w:eastAsia="宋体" w:cs="宋体"/>
          <w:sz w:val="21"/>
          <w:szCs w:val="21"/>
          <w:highlight w:val="none"/>
          <w:lang w:val="en-US" w:eastAsia="zh-CN"/>
        </w:rPr>
        <w:t>采购人</w:t>
      </w:r>
      <w:r>
        <w:rPr>
          <w:rFonts w:hint="eastAsia" w:ascii="宋体" w:hAnsi="宋体" w:eastAsia="宋体" w:cs="宋体"/>
          <w:sz w:val="21"/>
          <w:szCs w:val="21"/>
          <w:highlight w:val="none"/>
        </w:rPr>
        <w:t>指定的地点的，视为</w:t>
      </w:r>
      <w:r>
        <w:rPr>
          <w:rFonts w:hint="eastAsia" w:ascii="宋体" w:hAnsi="宋体" w:eastAsia="宋体" w:cs="宋体"/>
          <w:snapToGrid w:val="0"/>
          <w:color w:val="000000"/>
          <w:spacing w:val="2"/>
          <w:kern w:val="0"/>
          <w:sz w:val="21"/>
          <w:szCs w:val="21"/>
          <w:highlight w:val="none"/>
          <w:lang w:val="en-US" w:eastAsia="zh-CN" w:bidi="ar-SA"/>
        </w:rPr>
        <w:t>供货单位</w:t>
      </w:r>
      <w:r>
        <w:rPr>
          <w:rFonts w:hint="eastAsia" w:ascii="宋体" w:hAnsi="宋体" w:eastAsia="宋体" w:cs="宋体"/>
          <w:sz w:val="21"/>
          <w:szCs w:val="21"/>
          <w:highlight w:val="none"/>
        </w:rPr>
        <w:t>未履行送货义务，</w:t>
      </w:r>
      <w:r>
        <w:rPr>
          <w:rFonts w:hint="eastAsia" w:ascii="宋体" w:hAnsi="宋体" w:eastAsia="宋体" w:cs="宋体"/>
          <w:sz w:val="21"/>
          <w:szCs w:val="21"/>
          <w:highlight w:val="none"/>
          <w:lang w:val="en-US" w:eastAsia="zh-CN"/>
        </w:rPr>
        <w:t>采购人</w:t>
      </w:r>
      <w:r>
        <w:rPr>
          <w:rFonts w:hint="eastAsia" w:ascii="宋体" w:hAnsi="宋体" w:eastAsia="宋体" w:cs="宋体"/>
          <w:sz w:val="21"/>
          <w:szCs w:val="21"/>
          <w:highlight w:val="none"/>
        </w:rPr>
        <w:t>有权拒绝接受货物且不予支付货款。上述情况下</w:t>
      </w:r>
      <w:r>
        <w:rPr>
          <w:rFonts w:hint="eastAsia" w:ascii="宋体" w:hAnsi="宋体" w:eastAsia="宋体" w:cs="宋体"/>
          <w:sz w:val="21"/>
          <w:szCs w:val="21"/>
          <w:highlight w:val="none"/>
          <w:lang w:val="en-US" w:eastAsia="zh-CN"/>
        </w:rPr>
        <w:t>采购人</w:t>
      </w:r>
      <w:r>
        <w:rPr>
          <w:rFonts w:hint="eastAsia" w:ascii="宋体" w:hAnsi="宋体" w:eastAsia="宋体" w:cs="宋体"/>
          <w:sz w:val="21"/>
          <w:szCs w:val="21"/>
          <w:highlight w:val="none"/>
        </w:rPr>
        <w:t>不负保管责任，货物未按照</w:t>
      </w:r>
      <w:r>
        <w:rPr>
          <w:rFonts w:hint="eastAsia" w:ascii="宋体" w:hAnsi="宋体" w:eastAsia="宋体" w:cs="宋体"/>
          <w:sz w:val="21"/>
          <w:szCs w:val="21"/>
          <w:highlight w:val="none"/>
          <w:lang w:val="en-US" w:eastAsia="zh-CN"/>
        </w:rPr>
        <w:t>采购人</w:t>
      </w:r>
      <w:r>
        <w:rPr>
          <w:rFonts w:hint="eastAsia" w:ascii="宋体" w:hAnsi="宋体" w:eastAsia="宋体" w:cs="宋体"/>
          <w:sz w:val="21"/>
          <w:szCs w:val="21"/>
          <w:highlight w:val="none"/>
        </w:rPr>
        <w:t>要求放置而造成的损毁、灭失风险概由</w:t>
      </w:r>
      <w:r>
        <w:rPr>
          <w:rFonts w:hint="eastAsia" w:ascii="宋体" w:hAnsi="宋体" w:eastAsia="宋体" w:cs="宋体"/>
          <w:snapToGrid w:val="0"/>
          <w:color w:val="000000"/>
          <w:spacing w:val="2"/>
          <w:kern w:val="0"/>
          <w:sz w:val="21"/>
          <w:szCs w:val="21"/>
          <w:highlight w:val="none"/>
          <w:lang w:val="en-US" w:eastAsia="zh-CN" w:bidi="ar-SA"/>
        </w:rPr>
        <w:t>供货单位</w:t>
      </w:r>
      <w:r>
        <w:rPr>
          <w:rFonts w:hint="eastAsia" w:ascii="宋体" w:hAnsi="宋体" w:eastAsia="宋体" w:cs="宋体"/>
          <w:sz w:val="21"/>
          <w:szCs w:val="21"/>
          <w:highlight w:val="none"/>
        </w:rPr>
        <w:t>承担。</w:t>
      </w:r>
    </w:p>
    <w:p w14:paraId="67E26000">
      <w:pPr>
        <w:keepLines w:val="0"/>
        <w:wordWrap/>
        <w:overflowPunct/>
        <w:topLinePunct w:val="0"/>
        <w:bidi w:val="0"/>
        <w:spacing w:line="360" w:lineRule="auto"/>
        <w:ind w:firstLine="422" w:firstLineChars="200"/>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三、技术要求</w:t>
      </w:r>
    </w:p>
    <w:p w14:paraId="2726EFB7">
      <w:pPr>
        <w:keepLines w:val="0"/>
        <w:wordWrap/>
        <w:overflowPunct/>
        <w:topLinePunct w:val="0"/>
        <w:bidi w:val="0"/>
        <w:spacing w:line="360" w:lineRule="auto"/>
        <w:ind w:firstLine="422" w:firstLineChars="200"/>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1.电动叉车技术要求</w:t>
      </w:r>
    </w:p>
    <w:tbl>
      <w:tblPr>
        <w:tblStyle w:val="22"/>
        <w:tblW w:w="4750" w:type="pct"/>
        <w:tblInd w:w="0" w:type="dxa"/>
        <w:tblLayout w:type="fixed"/>
        <w:tblCellMar>
          <w:top w:w="0" w:type="dxa"/>
          <w:left w:w="0" w:type="dxa"/>
          <w:bottom w:w="0" w:type="dxa"/>
          <w:right w:w="0" w:type="dxa"/>
        </w:tblCellMar>
      </w:tblPr>
      <w:tblGrid>
        <w:gridCol w:w="555"/>
        <w:gridCol w:w="2451"/>
        <w:gridCol w:w="4901"/>
      </w:tblGrid>
      <w:tr w14:paraId="76CAA621">
        <w:tblPrEx>
          <w:tblCellMar>
            <w:top w:w="0" w:type="dxa"/>
            <w:left w:w="0" w:type="dxa"/>
            <w:bottom w:w="0" w:type="dxa"/>
            <w:right w:w="0" w:type="dxa"/>
          </w:tblCellMar>
        </w:tblPrEx>
        <w:trPr>
          <w:trHeight w:val="397"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A0FCB0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kern w:val="0"/>
                <w:sz w:val="21"/>
                <w:szCs w:val="21"/>
                <w:highlight w:val="none"/>
                <w:lang w:eastAsia="en-US"/>
              </w:rPr>
            </w:pPr>
            <w:r>
              <w:rPr>
                <w:rFonts w:hint="eastAsia" w:ascii="宋体" w:hAnsi="宋体" w:eastAsia="宋体" w:cs="宋体"/>
                <w:b/>
                <w:kern w:val="0"/>
                <w:sz w:val="21"/>
                <w:szCs w:val="21"/>
                <w:highlight w:val="none"/>
                <w:lang w:eastAsia="en-US" w:bidi="ar"/>
              </w:rPr>
              <w:t>序号</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AEBB5E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kern w:val="0"/>
                <w:sz w:val="21"/>
                <w:szCs w:val="21"/>
                <w:highlight w:val="none"/>
                <w:lang w:eastAsia="en-US"/>
              </w:rPr>
            </w:pPr>
            <w:r>
              <w:rPr>
                <w:rFonts w:hint="eastAsia" w:ascii="宋体" w:hAnsi="宋体" w:eastAsia="宋体" w:cs="宋体"/>
                <w:b/>
                <w:kern w:val="0"/>
                <w:sz w:val="21"/>
                <w:szCs w:val="21"/>
                <w:highlight w:val="none"/>
                <w:lang w:eastAsia="en-US" w:bidi="ar"/>
              </w:rPr>
              <w:t>名称</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FAE8FA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kern w:val="0"/>
                <w:sz w:val="21"/>
                <w:szCs w:val="21"/>
                <w:highlight w:val="none"/>
                <w:lang w:eastAsia="en-US"/>
              </w:rPr>
            </w:pPr>
            <w:r>
              <w:rPr>
                <w:rFonts w:hint="eastAsia" w:ascii="宋体" w:hAnsi="宋体" w:eastAsia="宋体" w:cs="宋体"/>
                <w:b/>
                <w:kern w:val="0"/>
                <w:sz w:val="21"/>
                <w:szCs w:val="21"/>
                <w:highlight w:val="none"/>
                <w:lang w:eastAsia="en-US" w:bidi="ar"/>
              </w:rPr>
              <w:t>配置与参数要求</w:t>
            </w:r>
          </w:p>
        </w:tc>
      </w:tr>
      <w:tr w14:paraId="66D68DF7">
        <w:tblPrEx>
          <w:tblCellMar>
            <w:top w:w="0" w:type="dxa"/>
            <w:left w:w="0" w:type="dxa"/>
            <w:bottom w:w="0" w:type="dxa"/>
            <w:right w:w="0" w:type="dxa"/>
          </w:tblCellMar>
        </w:tblPrEx>
        <w:trPr>
          <w:trHeight w:val="277"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754285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bidi="ar"/>
              </w:rPr>
              <w:t>1</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29D52A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lang w:eastAsia="en-US" w:bidi="ar"/>
              </w:rPr>
            </w:pPr>
            <w:r>
              <w:rPr>
                <w:rFonts w:hint="eastAsia" w:ascii="宋体" w:hAnsi="宋体" w:eastAsia="宋体" w:cs="宋体"/>
                <w:kern w:val="0"/>
                <w:sz w:val="21"/>
                <w:szCs w:val="21"/>
                <w:highlight w:val="none"/>
                <w:lang w:eastAsia="en-US" w:bidi="ar"/>
              </w:rPr>
              <w:t>数量</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87976F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lang w:eastAsia="en-US" w:bidi="ar"/>
              </w:rPr>
            </w:pPr>
            <w:r>
              <w:rPr>
                <w:rFonts w:hint="eastAsia" w:ascii="宋体" w:hAnsi="宋体" w:eastAsia="宋体" w:cs="宋体"/>
                <w:kern w:val="0"/>
                <w:sz w:val="21"/>
                <w:szCs w:val="21"/>
                <w:highlight w:val="none"/>
                <w:lang w:val="en-US" w:eastAsia="zh-CN" w:bidi="ar"/>
              </w:rPr>
              <w:t>2</w:t>
            </w:r>
            <w:r>
              <w:rPr>
                <w:rFonts w:hint="eastAsia" w:ascii="宋体" w:hAnsi="宋体" w:eastAsia="宋体" w:cs="宋体"/>
                <w:kern w:val="0"/>
                <w:sz w:val="21"/>
                <w:szCs w:val="21"/>
                <w:highlight w:val="none"/>
                <w:lang w:eastAsia="en-US" w:bidi="ar"/>
              </w:rPr>
              <w:t>台</w:t>
            </w:r>
          </w:p>
        </w:tc>
      </w:tr>
      <w:tr w14:paraId="7DF4EE1F">
        <w:tblPrEx>
          <w:tblCellMar>
            <w:top w:w="0" w:type="dxa"/>
            <w:left w:w="0" w:type="dxa"/>
            <w:bottom w:w="0" w:type="dxa"/>
            <w:right w:w="0" w:type="dxa"/>
          </w:tblCellMar>
        </w:tblPrEx>
        <w:trPr>
          <w:trHeight w:val="399"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01136A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bidi="ar"/>
              </w:rPr>
              <w:t>2</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F69F95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lang w:eastAsia="en-US" w:bidi="ar"/>
              </w:rPr>
            </w:pPr>
            <w:r>
              <w:rPr>
                <w:rFonts w:hint="eastAsia" w:ascii="宋体" w:hAnsi="宋体" w:eastAsia="宋体" w:cs="宋体"/>
                <w:kern w:val="0"/>
                <w:sz w:val="21"/>
                <w:szCs w:val="21"/>
                <w:highlight w:val="none"/>
                <w:lang w:eastAsia="en-US" w:bidi="ar"/>
              </w:rPr>
              <w:t>动力形式</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AD29C7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b w:val="0"/>
                <w:bCs/>
                <w:strike w:val="0"/>
                <w:kern w:val="0"/>
                <w:sz w:val="21"/>
                <w:szCs w:val="21"/>
                <w:highlight w:val="none"/>
              </w:rPr>
              <w:t>锂电池</w:t>
            </w:r>
            <w:r>
              <w:rPr>
                <w:rFonts w:hint="eastAsia" w:ascii="宋体" w:hAnsi="宋体" w:eastAsia="宋体" w:cs="宋体"/>
                <w:b w:val="0"/>
                <w:bCs/>
                <w:strike w:val="0"/>
                <w:kern w:val="0"/>
                <w:sz w:val="21"/>
                <w:szCs w:val="21"/>
                <w:highlight w:val="none"/>
                <w:lang w:eastAsia="zh-CN"/>
              </w:rPr>
              <w:t>，</w:t>
            </w:r>
            <w:r>
              <w:rPr>
                <w:rFonts w:hint="eastAsia" w:ascii="宋体" w:hAnsi="宋体" w:eastAsia="宋体" w:cs="宋体"/>
                <w:b w:val="0"/>
                <w:bCs/>
                <w:strike w:val="0"/>
                <w:kern w:val="0"/>
                <w:sz w:val="21"/>
                <w:szCs w:val="21"/>
                <w:highlight w:val="none"/>
                <w:lang w:val="en-US" w:eastAsia="zh-CN"/>
              </w:rPr>
              <w:t>配宁德时代或</w:t>
            </w:r>
            <w:r>
              <w:rPr>
                <w:rFonts w:hint="eastAsia" w:ascii="宋体" w:hAnsi="宋体" w:eastAsia="宋体" w:cs="宋体"/>
                <w:strike w:val="0"/>
                <w:sz w:val="21"/>
                <w:szCs w:val="21"/>
                <w:highlight w:val="none"/>
              </w:rPr>
              <w:t>比亚迪</w:t>
            </w:r>
            <w:r>
              <w:rPr>
                <w:rFonts w:hint="eastAsia" w:ascii="宋体" w:hAnsi="宋体" w:eastAsia="宋体" w:cs="宋体"/>
                <w:strike w:val="0"/>
                <w:sz w:val="21"/>
                <w:szCs w:val="21"/>
                <w:highlight w:val="none"/>
                <w:lang w:val="en-US" w:eastAsia="zh-CN"/>
              </w:rPr>
              <w:t>或</w:t>
            </w:r>
            <w:r>
              <w:rPr>
                <w:rFonts w:hint="eastAsia" w:ascii="宋体" w:hAnsi="宋体" w:eastAsia="宋体" w:cs="宋体"/>
                <w:strike w:val="0"/>
                <w:sz w:val="21"/>
                <w:szCs w:val="21"/>
                <w:highlight w:val="none"/>
                <w:lang w:eastAsia="zh-CN"/>
              </w:rPr>
              <w:t>亿纬锂能</w:t>
            </w:r>
            <w:r>
              <w:rPr>
                <w:rFonts w:hint="eastAsia" w:ascii="宋体" w:hAnsi="宋体" w:eastAsia="宋体" w:cs="宋体"/>
                <w:strike w:val="0"/>
                <w:sz w:val="21"/>
                <w:szCs w:val="21"/>
                <w:highlight w:val="none"/>
                <w:lang w:val="en-US" w:eastAsia="zh-CN"/>
              </w:rPr>
              <w:t>等</w:t>
            </w:r>
            <w:r>
              <w:rPr>
                <w:rFonts w:hint="eastAsia" w:ascii="宋体" w:hAnsi="宋体" w:eastAsia="宋体" w:cs="宋体"/>
                <w:b w:val="0"/>
                <w:bCs/>
                <w:strike w:val="0"/>
                <w:kern w:val="0"/>
                <w:sz w:val="21"/>
                <w:szCs w:val="21"/>
                <w:highlight w:val="none"/>
                <w:lang w:val="en-US" w:eastAsia="zh-CN"/>
              </w:rPr>
              <w:t>电芯</w:t>
            </w:r>
          </w:p>
        </w:tc>
      </w:tr>
      <w:tr w14:paraId="35634F55">
        <w:tblPrEx>
          <w:tblCellMar>
            <w:top w:w="0" w:type="dxa"/>
            <w:left w:w="0" w:type="dxa"/>
            <w:bottom w:w="0" w:type="dxa"/>
            <w:right w:w="0" w:type="dxa"/>
          </w:tblCellMar>
        </w:tblPrEx>
        <w:trPr>
          <w:trHeight w:val="399"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8601E9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bidi="ar"/>
              </w:rPr>
              <w:t>3</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A83308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bidi="ar"/>
              </w:rPr>
              <w:t>额定承载能力</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5EA379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35</w:t>
            </w:r>
            <w:r>
              <w:rPr>
                <w:rFonts w:hint="eastAsia" w:ascii="宋体" w:hAnsi="宋体" w:eastAsia="宋体" w:cs="宋体"/>
                <w:kern w:val="0"/>
                <w:sz w:val="21"/>
                <w:szCs w:val="21"/>
                <w:highlight w:val="none"/>
              </w:rPr>
              <w:t>00KG</w:t>
            </w:r>
          </w:p>
        </w:tc>
      </w:tr>
      <w:tr w14:paraId="3BBF965F">
        <w:tblPrEx>
          <w:tblCellMar>
            <w:top w:w="0" w:type="dxa"/>
            <w:left w:w="0" w:type="dxa"/>
            <w:bottom w:w="0" w:type="dxa"/>
            <w:right w:w="0" w:type="dxa"/>
          </w:tblCellMar>
        </w:tblPrEx>
        <w:trPr>
          <w:trHeight w:val="447"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DE741A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bidi="ar"/>
              </w:rPr>
              <w:t>4</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BCD777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bidi="ar"/>
              </w:rPr>
              <w:t>载荷中心距</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46D9A2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bidi="ar"/>
              </w:rPr>
              <w:t>500mm</w:t>
            </w:r>
          </w:p>
        </w:tc>
      </w:tr>
      <w:tr w14:paraId="7DACE52C">
        <w:tblPrEx>
          <w:tblCellMar>
            <w:top w:w="0" w:type="dxa"/>
            <w:left w:w="0" w:type="dxa"/>
            <w:bottom w:w="0" w:type="dxa"/>
            <w:right w:w="0" w:type="dxa"/>
          </w:tblCellMar>
        </w:tblPrEx>
        <w:trPr>
          <w:trHeight w:val="399"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FF889F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bidi="ar"/>
              </w:rPr>
              <w:t>5</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CD0845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bidi="ar"/>
              </w:rPr>
              <w:t>轮胎</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671FAB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前后轮胎采用</w:t>
            </w:r>
            <w:r>
              <w:rPr>
                <w:rFonts w:hint="eastAsia" w:ascii="宋体" w:hAnsi="宋体" w:eastAsia="宋体" w:cs="宋体"/>
                <w:kern w:val="0"/>
                <w:sz w:val="21"/>
                <w:szCs w:val="21"/>
                <w:highlight w:val="none"/>
                <w:lang w:bidi="ar"/>
              </w:rPr>
              <w:t>实心轮胎</w:t>
            </w:r>
          </w:p>
        </w:tc>
      </w:tr>
      <w:tr w14:paraId="249C1A5A">
        <w:tblPrEx>
          <w:tblCellMar>
            <w:top w:w="0" w:type="dxa"/>
            <w:left w:w="0" w:type="dxa"/>
            <w:bottom w:w="0" w:type="dxa"/>
            <w:right w:w="0" w:type="dxa"/>
          </w:tblCellMar>
        </w:tblPrEx>
        <w:trPr>
          <w:trHeight w:val="399"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CE0B1E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315105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最大起升高度</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A204FA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rPr>
              <w:t>000mm</w:t>
            </w:r>
          </w:p>
        </w:tc>
      </w:tr>
      <w:tr w14:paraId="7B55DC69">
        <w:tblPrEx>
          <w:tblCellMar>
            <w:top w:w="0" w:type="dxa"/>
            <w:left w:w="0" w:type="dxa"/>
            <w:bottom w:w="0" w:type="dxa"/>
            <w:right w:w="0" w:type="dxa"/>
          </w:tblCellMar>
        </w:tblPrEx>
        <w:trPr>
          <w:trHeight w:val="399"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3ABBC0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E58F70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lang w:eastAsia="en-US" w:bidi="ar"/>
              </w:rPr>
            </w:pPr>
            <w:r>
              <w:rPr>
                <w:rFonts w:hint="eastAsia" w:ascii="宋体" w:hAnsi="宋体" w:eastAsia="宋体" w:cs="宋体"/>
                <w:kern w:val="0"/>
                <w:sz w:val="21"/>
                <w:szCs w:val="21"/>
                <w:highlight w:val="none"/>
                <w:lang w:eastAsia="en-US" w:bidi="ar"/>
              </w:rPr>
              <w:t>门架缩回时高度</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60A11B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lang w:bidi="ar"/>
              </w:rPr>
              <w:t>21</w:t>
            </w:r>
            <w:r>
              <w:rPr>
                <w:rFonts w:hint="eastAsia" w:ascii="宋体" w:hAnsi="宋体" w:eastAsia="宋体" w:cs="宋体"/>
                <w:kern w:val="0"/>
                <w:sz w:val="21"/>
                <w:szCs w:val="21"/>
                <w:highlight w:val="none"/>
                <w:lang w:val="en-US" w:eastAsia="zh-CN" w:bidi="ar"/>
              </w:rPr>
              <w:t>2</w:t>
            </w:r>
            <w:r>
              <w:rPr>
                <w:rFonts w:hint="eastAsia" w:ascii="宋体" w:hAnsi="宋体" w:eastAsia="宋体" w:cs="宋体"/>
                <w:kern w:val="0"/>
                <w:sz w:val="21"/>
                <w:szCs w:val="21"/>
                <w:highlight w:val="none"/>
                <w:lang w:bidi="ar"/>
              </w:rPr>
              <w:t>0mm</w:t>
            </w:r>
          </w:p>
        </w:tc>
      </w:tr>
      <w:tr w14:paraId="29C2D395">
        <w:tblPrEx>
          <w:tblCellMar>
            <w:top w:w="0" w:type="dxa"/>
            <w:left w:w="0" w:type="dxa"/>
            <w:bottom w:w="0" w:type="dxa"/>
            <w:right w:w="0" w:type="dxa"/>
          </w:tblCellMar>
        </w:tblPrEx>
        <w:trPr>
          <w:trHeight w:val="399"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7F5A70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8</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614726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lang w:eastAsia="en-US" w:bidi="ar"/>
              </w:rPr>
            </w:pPr>
            <w:r>
              <w:rPr>
                <w:rFonts w:hint="eastAsia" w:ascii="宋体" w:hAnsi="宋体" w:eastAsia="宋体" w:cs="宋体"/>
                <w:kern w:val="0"/>
                <w:sz w:val="21"/>
                <w:szCs w:val="21"/>
                <w:highlight w:val="none"/>
                <w:lang w:eastAsia="en-US" w:bidi="ar"/>
              </w:rPr>
              <w:t>护顶架高度</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975DD9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lang w:eastAsia="en-US" w:bidi="ar"/>
              </w:rPr>
              <w:t>2</w:t>
            </w:r>
            <w:r>
              <w:rPr>
                <w:rFonts w:hint="eastAsia" w:ascii="宋体" w:hAnsi="宋体" w:eastAsia="宋体" w:cs="宋体"/>
                <w:kern w:val="0"/>
                <w:sz w:val="21"/>
                <w:szCs w:val="21"/>
                <w:highlight w:val="none"/>
                <w:lang w:bidi="ar"/>
              </w:rPr>
              <w:t>1</w:t>
            </w:r>
            <w:r>
              <w:rPr>
                <w:rFonts w:hint="eastAsia" w:ascii="宋体" w:hAnsi="宋体" w:eastAsia="宋体" w:cs="宋体"/>
                <w:kern w:val="0"/>
                <w:sz w:val="21"/>
                <w:szCs w:val="21"/>
                <w:highlight w:val="none"/>
                <w:lang w:val="en-US" w:eastAsia="zh-CN" w:bidi="ar"/>
              </w:rPr>
              <w:t>8</w:t>
            </w:r>
            <w:r>
              <w:rPr>
                <w:rFonts w:hint="eastAsia" w:ascii="宋体" w:hAnsi="宋体" w:eastAsia="宋体" w:cs="宋体"/>
                <w:kern w:val="0"/>
                <w:sz w:val="21"/>
                <w:szCs w:val="21"/>
                <w:highlight w:val="none"/>
                <w:lang w:bidi="ar"/>
              </w:rPr>
              <w:t>0mm</w:t>
            </w:r>
          </w:p>
        </w:tc>
      </w:tr>
      <w:tr w14:paraId="4A765482">
        <w:tblPrEx>
          <w:tblCellMar>
            <w:top w:w="0" w:type="dxa"/>
            <w:left w:w="0" w:type="dxa"/>
            <w:bottom w:w="0" w:type="dxa"/>
            <w:right w:w="0" w:type="dxa"/>
          </w:tblCellMar>
        </w:tblPrEx>
        <w:trPr>
          <w:trHeight w:val="399"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BC6F0D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9</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F81E55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门架类型</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5495CB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lang w:eastAsia="en-US"/>
              </w:rPr>
              <w:t>节门架</w:t>
            </w:r>
          </w:p>
        </w:tc>
      </w:tr>
      <w:tr w14:paraId="659D97A9">
        <w:tblPrEx>
          <w:tblCellMar>
            <w:top w:w="0" w:type="dxa"/>
            <w:left w:w="0" w:type="dxa"/>
            <w:bottom w:w="0" w:type="dxa"/>
            <w:right w:w="0" w:type="dxa"/>
          </w:tblCellMar>
        </w:tblPrEx>
        <w:trPr>
          <w:trHeight w:val="399"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894E76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napToGrid w:val="0"/>
                <w:color w:val="000000"/>
                <w:kern w:val="0"/>
                <w:sz w:val="21"/>
                <w:szCs w:val="21"/>
                <w:highlight w:val="none"/>
                <w:lang w:val="en-US" w:eastAsia="en-US" w:bidi="ar-SA"/>
              </w:rPr>
            </w:pPr>
            <w:r>
              <w:rPr>
                <w:rFonts w:hint="eastAsia" w:ascii="宋体" w:hAnsi="宋体" w:eastAsia="宋体" w:cs="宋体"/>
                <w:kern w:val="0"/>
                <w:sz w:val="21"/>
                <w:szCs w:val="21"/>
                <w:highlight w:val="none"/>
                <w:lang w:eastAsia="en-US" w:bidi="ar"/>
              </w:rPr>
              <w:t>1</w:t>
            </w:r>
            <w:r>
              <w:rPr>
                <w:rFonts w:hint="eastAsia" w:ascii="宋体" w:hAnsi="宋体" w:eastAsia="宋体" w:cs="宋体"/>
                <w:kern w:val="0"/>
                <w:sz w:val="21"/>
                <w:szCs w:val="21"/>
                <w:highlight w:val="none"/>
                <w:lang w:bidi="ar"/>
              </w:rPr>
              <w:t>0</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37D3A2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货叉尺寸</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62C895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lang w:val="en-US" w:eastAsia="zh-CN" w:bidi="ar"/>
              </w:rPr>
              <w:t>50</w:t>
            </w:r>
            <w:r>
              <w:rPr>
                <w:rFonts w:hint="eastAsia" w:ascii="宋体" w:hAnsi="宋体" w:eastAsia="宋体" w:cs="宋体"/>
                <w:kern w:val="0"/>
                <w:sz w:val="21"/>
                <w:szCs w:val="21"/>
                <w:highlight w:val="none"/>
                <w:lang w:eastAsia="en-US" w:bidi="ar"/>
              </w:rPr>
              <w:t>*1</w:t>
            </w:r>
            <w:r>
              <w:rPr>
                <w:rFonts w:hint="eastAsia" w:ascii="宋体" w:hAnsi="宋体" w:eastAsia="宋体" w:cs="宋体"/>
                <w:kern w:val="0"/>
                <w:sz w:val="21"/>
                <w:szCs w:val="21"/>
                <w:highlight w:val="none"/>
                <w:lang w:val="en-US" w:eastAsia="zh-CN" w:bidi="ar"/>
              </w:rPr>
              <w:t>25</w:t>
            </w:r>
            <w:r>
              <w:rPr>
                <w:rFonts w:hint="eastAsia" w:ascii="宋体" w:hAnsi="宋体" w:eastAsia="宋体" w:cs="宋体"/>
                <w:kern w:val="0"/>
                <w:sz w:val="21"/>
                <w:szCs w:val="21"/>
                <w:highlight w:val="none"/>
                <w:lang w:eastAsia="en-US" w:bidi="ar"/>
              </w:rPr>
              <w:t>*1220</w:t>
            </w:r>
            <w:r>
              <w:rPr>
                <w:rFonts w:hint="eastAsia" w:ascii="宋体" w:hAnsi="宋体" w:eastAsia="宋体" w:cs="宋体"/>
                <w:kern w:val="0"/>
                <w:sz w:val="21"/>
                <w:szCs w:val="21"/>
                <w:highlight w:val="none"/>
                <w:lang w:bidi="ar"/>
              </w:rPr>
              <w:t>mm</w:t>
            </w:r>
          </w:p>
        </w:tc>
      </w:tr>
      <w:tr w14:paraId="2F543F1D">
        <w:tblPrEx>
          <w:tblCellMar>
            <w:top w:w="0" w:type="dxa"/>
            <w:left w:w="0" w:type="dxa"/>
            <w:bottom w:w="0" w:type="dxa"/>
            <w:right w:w="0" w:type="dxa"/>
          </w:tblCellMar>
        </w:tblPrEx>
        <w:trPr>
          <w:trHeight w:val="399"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9D00C0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napToGrid w:val="0"/>
                <w:color w:val="000000"/>
                <w:kern w:val="0"/>
                <w:sz w:val="21"/>
                <w:szCs w:val="21"/>
                <w:highlight w:val="none"/>
                <w:lang w:val="en-US" w:eastAsia="en-US" w:bidi="ar"/>
              </w:rPr>
            </w:pPr>
            <w:r>
              <w:rPr>
                <w:rFonts w:hint="eastAsia" w:ascii="宋体" w:hAnsi="宋体" w:eastAsia="宋体" w:cs="宋体"/>
                <w:kern w:val="0"/>
                <w:sz w:val="21"/>
                <w:szCs w:val="21"/>
                <w:highlight w:val="none"/>
                <w:lang w:bidi="ar"/>
              </w:rPr>
              <w:t>11</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D6B50D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电瓶电压/标称容量K5</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90A686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lang w:eastAsia="en-US"/>
              </w:rPr>
              <w:t>80V/≥</w:t>
            </w:r>
            <w:r>
              <w:rPr>
                <w:rFonts w:hint="eastAsia" w:ascii="宋体" w:hAnsi="宋体" w:eastAsia="宋体" w:cs="宋体"/>
                <w:kern w:val="0"/>
                <w:sz w:val="21"/>
                <w:szCs w:val="21"/>
                <w:highlight w:val="none"/>
                <w:lang w:val="en-US" w:eastAsia="zh-CN"/>
              </w:rPr>
              <w:t>404</w:t>
            </w:r>
            <w:r>
              <w:rPr>
                <w:rFonts w:hint="eastAsia" w:ascii="宋体" w:hAnsi="宋体" w:eastAsia="宋体" w:cs="宋体"/>
                <w:kern w:val="0"/>
                <w:sz w:val="21"/>
                <w:szCs w:val="21"/>
                <w:highlight w:val="none"/>
                <w:lang w:eastAsia="en-US"/>
              </w:rPr>
              <w:t>AH</w:t>
            </w:r>
          </w:p>
        </w:tc>
      </w:tr>
      <w:tr w14:paraId="68AAD167">
        <w:tblPrEx>
          <w:tblCellMar>
            <w:top w:w="0" w:type="dxa"/>
            <w:left w:w="0" w:type="dxa"/>
            <w:bottom w:w="0" w:type="dxa"/>
            <w:right w:w="0" w:type="dxa"/>
          </w:tblCellMar>
        </w:tblPrEx>
        <w:trPr>
          <w:trHeight w:val="399"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E06138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napToGrid w:val="0"/>
                <w:color w:val="000000"/>
                <w:kern w:val="0"/>
                <w:sz w:val="21"/>
                <w:szCs w:val="21"/>
                <w:highlight w:val="none"/>
                <w:lang w:val="en-US" w:eastAsia="en-US" w:bidi="ar"/>
              </w:rPr>
            </w:pPr>
            <w:r>
              <w:rPr>
                <w:rFonts w:hint="eastAsia" w:ascii="宋体" w:hAnsi="宋体" w:eastAsia="宋体" w:cs="宋体"/>
                <w:kern w:val="0"/>
                <w:sz w:val="21"/>
                <w:szCs w:val="21"/>
                <w:highlight w:val="none"/>
                <w:lang w:eastAsia="en-US" w:bidi="ar"/>
              </w:rPr>
              <w:t>1</w:t>
            </w:r>
            <w:r>
              <w:rPr>
                <w:rFonts w:hint="eastAsia" w:ascii="宋体" w:hAnsi="宋体" w:eastAsia="宋体" w:cs="宋体"/>
                <w:kern w:val="0"/>
                <w:sz w:val="21"/>
                <w:szCs w:val="21"/>
                <w:highlight w:val="none"/>
                <w:lang w:bidi="ar"/>
              </w:rPr>
              <w:t>2</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A26F8C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kern w:val="0"/>
                <w:sz w:val="21"/>
                <w:szCs w:val="21"/>
                <w:highlight w:val="none"/>
                <w:lang w:eastAsia="en-US" w:bidi="ar"/>
              </w:rPr>
              <w:t>爬坡</w:t>
            </w:r>
            <w:r>
              <w:rPr>
                <w:rFonts w:hint="eastAsia" w:ascii="宋体" w:hAnsi="宋体" w:eastAsia="宋体" w:cs="宋体"/>
                <w:kern w:val="0"/>
                <w:sz w:val="21"/>
                <w:szCs w:val="21"/>
                <w:highlight w:val="none"/>
                <w:lang w:bidi="ar"/>
              </w:rPr>
              <w:t>度（空载/满载）</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422DDF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kern w:val="0"/>
                <w:sz w:val="21"/>
                <w:szCs w:val="21"/>
                <w:highlight w:val="none"/>
                <w:lang w:val="en-US" w:eastAsia="zh-CN"/>
              </w:rPr>
              <w:t>≥</w:t>
            </w:r>
            <w:r>
              <w:rPr>
                <w:rFonts w:hint="eastAsia" w:ascii="宋体" w:hAnsi="宋体" w:eastAsia="宋体" w:cs="宋体"/>
                <w:sz w:val="21"/>
                <w:szCs w:val="21"/>
                <w:highlight w:val="none"/>
                <w:lang w:bidi="ar"/>
              </w:rPr>
              <w:t>（23%-2</w:t>
            </w:r>
            <w:r>
              <w:rPr>
                <w:rFonts w:hint="eastAsia" w:ascii="宋体" w:hAnsi="宋体" w:eastAsia="宋体" w:cs="宋体"/>
                <w:sz w:val="21"/>
                <w:szCs w:val="21"/>
                <w:highlight w:val="none"/>
                <w:lang w:val="en-US" w:eastAsia="zh-CN" w:bidi="ar"/>
              </w:rPr>
              <w:t>8</w:t>
            </w:r>
            <w:r>
              <w:rPr>
                <w:rFonts w:hint="eastAsia" w:ascii="宋体" w:hAnsi="宋体" w:eastAsia="宋体" w:cs="宋体"/>
                <w:sz w:val="21"/>
                <w:szCs w:val="21"/>
                <w:highlight w:val="none"/>
                <w:lang w:bidi="ar"/>
              </w:rPr>
              <w:t>%/</w:t>
            </w:r>
            <w:r>
              <w:rPr>
                <w:rFonts w:hint="eastAsia" w:ascii="宋体" w:hAnsi="宋体" w:eastAsia="宋体" w:cs="宋体"/>
                <w:sz w:val="21"/>
                <w:szCs w:val="21"/>
                <w:highlight w:val="none"/>
                <w:lang w:val="en-US" w:eastAsia="zh-CN" w:bidi="ar"/>
              </w:rPr>
              <w:t>20</w:t>
            </w:r>
            <w:r>
              <w:rPr>
                <w:rFonts w:hint="eastAsia" w:ascii="宋体" w:hAnsi="宋体" w:eastAsia="宋体" w:cs="宋体"/>
                <w:sz w:val="21"/>
                <w:szCs w:val="21"/>
                <w:highlight w:val="none"/>
                <w:lang w:bidi="ar"/>
              </w:rPr>
              <w:t>-</w:t>
            </w:r>
            <w:r>
              <w:rPr>
                <w:rFonts w:hint="eastAsia" w:ascii="宋体" w:hAnsi="宋体" w:eastAsia="宋体" w:cs="宋体"/>
                <w:sz w:val="21"/>
                <w:szCs w:val="21"/>
                <w:highlight w:val="none"/>
                <w:lang w:val="en-US" w:eastAsia="zh-CN" w:bidi="ar"/>
              </w:rPr>
              <w:t>22</w:t>
            </w:r>
            <w:r>
              <w:rPr>
                <w:rFonts w:hint="eastAsia" w:ascii="宋体" w:hAnsi="宋体" w:eastAsia="宋体" w:cs="宋体"/>
                <w:sz w:val="21"/>
                <w:szCs w:val="21"/>
                <w:highlight w:val="none"/>
                <w:lang w:bidi="ar"/>
              </w:rPr>
              <w:t>%）</w:t>
            </w:r>
          </w:p>
        </w:tc>
      </w:tr>
      <w:tr w14:paraId="5C838B13">
        <w:tblPrEx>
          <w:tblCellMar>
            <w:top w:w="0" w:type="dxa"/>
            <w:left w:w="0" w:type="dxa"/>
            <w:bottom w:w="0" w:type="dxa"/>
            <w:right w:w="0" w:type="dxa"/>
          </w:tblCellMar>
        </w:tblPrEx>
        <w:trPr>
          <w:trHeight w:val="399"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C3059D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napToGrid w:val="0"/>
                <w:color w:val="000000"/>
                <w:kern w:val="0"/>
                <w:sz w:val="21"/>
                <w:szCs w:val="21"/>
                <w:highlight w:val="none"/>
                <w:lang w:val="en-US" w:eastAsia="en-US" w:bidi="ar"/>
              </w:rPr>
            </w:pPr>
            <w:r>
              <w:rPr>
                <w:rFonts w:hint="eastAsia" w:ascii="宋体" w:hAnsi="宋体" w:eastAsia="宋体" w:cs="宋体"/>
                <w:sz w:val="21"/>
                <w:szCs w:val="21"/>
                <w:highlight w:val="none"/>
                <w:lang w:bidi="ar"/>
              </w:rPr>
              <w:t>13</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5F3B63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kern w:val="0"/>
                <w:sz w:val="21"/>
                <w:szCs w:val="21"/>
                <w:highlight w:val="none"/>
                <w:lang w:bidi="ar"/>
              </w:rPr>
              <w:t>最大牵引力（满载）</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1A25AD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w:t>
            </w:r>
            <w:r>
              <w:rPr>
                <w:rFonts w:hint="eastAsia" w:ascii="宋体" w:hAnsi="宋体" w:eastAsia="宋体" w:cs="宋体"/>
                <w:sz w:val="21"/>
                <w:szCs w:val="21"/>
                <w:highlight w:val="none"/>
                <w:lang w:val="en-US" w:eastAsia="zh-CN" w:bidi="ar"/>
              </w:rPr>
              <w:t>23</w:t>
            </w:r>
            <w:r>
              <w:rPr>
                <w:rFonts w:hint="eastAsia" w:ascii="宋体" w:hAnsi="宋体" w:eastAsia="宋体" w:cs="宋体"/>
                <w:sz w:val="21"/>
                <w:szCs w:val="21"/>
                <w:highlight w:val="none"/>
                <w:lang w:bidi="ar"/>
              </w:rPr>
              <w:t>500N</w:t>
            </w:r>
          </w:p>
        </w:tc>
      </w:tr>
      <w:tr w14:paraId="2C1F1C34">
        <w:tblPrEx>
          <w:tblCellMar>
            <w:top w:w="0" w:type="dxa"/>
            <w:left w:w="0" w:type="dxa"/>
            <w:bottom w:w="0" w:type="dxa"/>
            <w:right w:w="0" w:type="dxa"/>
          </w:tblCellMar>
        </w:tblPrEx>
        <w:trPr>
          <w:trHeight w:val="28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D7B2EB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napToGrid w:val="0"/>
                <w:color w:val="000000"/>
                <w:kern w:val="0"/>
                <w:sz w:val="21"/>
                <w:szCs w:val="21"/>
                <w:highlight w:val="none"/>
                <w:lang w:val="en-US" w:eastAsia="en-US" w:bidi="ar"/>
              </w:rPr>
            </w:pPr>
            <w:r>
              <w:rPr>
                <w:rFonts w:hint="eastAsia" w:ascii="宋体" w:hAnsi="宋体" w:eastAsia="宋体" w:cs="宋体"/>
                <w:sz w:val="21"/>
                <w:szCs w:val="21"/>
                <w:highlight w:val="none"/>
                <w:lang w:bidi="ar"/>
              </w:rPr>
              <w:t>14</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9BD1CD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kern w:val="0"/>
                <w:sz w:val="21"/>
                <w:szCs w:val="21"/>
                <w:highlight w:val="none"/>
                <w:lang w:bidi="ar"/>
              </w:rPr>
              <w:t>提升速度（空载/满载）</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709556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w:t>
            </w:r>
            <w:r>
              <w:rPr>
                <w:rFonts w:hint="eastAsia" w:ascii="宋体" w:hAnsi="宋体" w:eastAsia="宋体" w:cs="宋体"/>
                <w:sz w:val="21"/>
                <w:szCs w:val="21"/>
                <w:highlight w:val="none"/>
                <w:lang w:val="en-US" w:eastAsia="zh-CN" w:bidi="ar"/>
              </w:rPr>
              <w:t>540</w:t>
            </w:r>
            <w:r>
              <w:rPr>
                <w:rFonts w:hint="eastAsia" w:ascii="宋体" w:hAnsi="宋体" w:eastAsia="宋体" w:cs="宋体"/>
                <w:sz w:val="21"/>
                <w:szCs w:val="21"/>
                <w:highlight w:val="none"/>
                <w:lang w:bidi="ar"/>
              </w:rPr>
              <w:t>/≥</w:t>
            </w:r>
            <w:r>
              <w:rPr>
                <w:rFonts w:hint="eastAsia" w:ascii="宋体" w:hAnsi="宋体" w:eastAsia="宋体" w:cs="宋体"/>
                <w:sz w:val="21"/>
                <w:szCs w:val="21"/>
                <w:highlight w:val="none"/>
                <w:lang w:val="en-US" w:eastAsia="zh-CN" w:bidi="ar"/>
              </w:rPr>
              <w:t>44</w:t>
            </w:r>
            <w:r>
              <w:rPr>
                <w:rFonts w:hint="eastAsia" w:ascii="宋体" w:hAnsi="宋体" w:eastAsia="宋体" w:cs="宋体"/>
                <w:sz w:val="21"/>
                <w:szCs w:val="21"/>
                <w:highlight w:val="none"/>
                <w:lang w:bidi="ar"/>
              </w:rPr>
              <w:t>0）（mm/s）</w:t>
            </w:r>
          </w:p>
        </w:tc>
      </w:tr>
      <w:tr w14:paraId="7BF1DF24">
        <w:tblPrEx>
          <w:tblCellMar>
            <w:top w:w="0" w:type="dxa"/>
            <w:left w:w="0" w:type="dxa"/>
            <w:bottom w:w="0" w:type="dxa"/>
            <w:right w:w="0" w:type="dxa"/>
          </w:tblCellMar>
        </w:tblPrEx>
        <w:trPr>
          <w:trHeight w:val="28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089B60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napToGrid w:val="0"/>
                <w:color w:val="000000"/>
                <w:kern w:val="0"/>
                <w:sz w:val="21"/>
                <w:szCs w:val="21"/>
                <w:highlight w:val="none"/>
                <w:lang w:val="en-US" w:eastAsia="en-US" w:bidi="ar"/>
              </w:rPr>
            </w:pPr>
            <w:r>
              <w:rPr>
                <w:rFonts w:hint="eastAsia" w:ascii="宋体" w:hAnsi="宋体" w:eastAsia="宋体" w:cs="宋体"/>
                <w:sz w:val="21"/>
                <w:szCs w:val="21"/>
                <w:highlight w:val="none"/>
                <w:lang w:bidi="ar"/>
              </w:rPr>
              <w:t>15</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E1A15A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kern w:val="0"/>
                <w:sz w:val="21"/>
                <w:szCs w:val="21"/>
                <w:highlight w:val="none"/>
                <w:lang w:bidi="ar"/>
              </w:rPr>
              <w:t>门架离地间隙（空载）</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9BD3D9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≤12</w:t>
            </w:r>
            <w:r>
              <w:rPr>
                <w:rFonts w:hint="eastAsia" w:ascii="宋体" w:hAnsi="宋体" w:eastAsia="宋体" w:cs="宋体"/>
                <w:sz w:val="21"/>
                <w:szCs w:val="21"/>
                <w:highlight w:val="none"/>
                <w:lang w:val="en-US" w:eastAsia="zh-CN" w:bidi="ar"/>
              </w:rPr>
              <w:t>5</w:t>
            </w:r>
            <w:r>
              <w:rPr>
                <w:rFonts w:hint="eastAsia" w:ascii="宋体" w:hAnsi="宋体" w:eastAsia="宋体" w:cs="宋体"/>
                <w:sz w:val="21"/>
                <w:szCs w:val="21"/>
                <w:highlight w:val="none"/>
                <w:lang w:bidi="ar"/>
              </w:rPr>
              <w:t>mm</w:t>
            </w:r>
          </w:p>
        </w:tc>
      </w:tr>
      <w:tr w14:paraId="21FC60A4">
        <w:tblPrEx>
          <w:tblCellMar>
            <w:top w:w="0" w:type="dxa"/>
            <w:left w:w="0" w:type="dxa"/>
            <w:bottom w:w="0" w:type="dxa"/>
            <w:right w:w="0" w:type="dxa"/>
          </w:tblCellMar>
        </w:tblPrEx>
        <w:trPr>
          <w:trHeight w:val="28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90A54E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napToGrid w:val="0"/>
                <w:color w:val="000000"/>
                <w:kern w:val="0"/>
                <w:sz w:val="21"/>
                <w:szCs w:val="21"/>
                <w:highlight w:val="none"/>
                <w:lang w:val="en-US" w:eastAsia="en-US" w:bidi="ar"/>
              </w:rPr>
            </w:pPr>
            <w:r>
              <w:rPr>
                <w:rFonts w:hint="eastAsia" w:ascii="宋体" w:hAnsi="宋体" w:eastAsia="宋体" w:cs="宋体"/>
                <w:sz w:val="21"/>
                <w:szCs w:val="21"/>
                <w:highlight w:val="none"/>
                <w:lang w:bidi="ar"/>
              </w:rPr>
              <w:t>16</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C66E55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kern w:val="0"/>
                <w:sz w:val="21"/>
                <w:szCs w:val="21"/>
                <w:highlight w:val="none"/>
                <w:lang w:eastAsia="en-US" w:bidi="ar"/>
              </w:rPr>
              <w:t>转弯半径</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27873B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w:t>
            </w:r>
            <w:r>
              <w:rPr>
                <w:rFonts w:hint="eastAsia" w:ascii="宋体" w:hAnsi="宋体" w:eastAsia="宋体" w:cs="宋体"/>
                <w:sz w:val="21"/>
                <w:szCs w:val="21"/>
                <w:highlight w:val="none"/>
                <w:lang w:val="en-US" w:eastAsia="zh-CN" w:bidi="ar"/>
              </w:rPr>
              <w:t>2215</w:t>
            </w:r>
            <w:r>
              <w:rPr>
                <w:rFonts w:hint="eastAsia" w:ascii="宋体" w:hAnsi="宋体" w:eastAsia="宋体" w:cs="宋体"/>
                <w:sz w:val="21"/>
                <w:szCs w:val="21"/>
                <w:highlight w:val="none"/>
                <w:lang w:bidi="ar"/>
              </w:rPr>
              <w:t>mm</w:t>
            </w:r>
          </w:p>
        </w:tc>
      </w:tr>
      <w:tr w14:paraId="165EAEF8">
        <w:tblPrEx>
          <w:tblCellMar>
            <w:top w:w="0" w:type="dxa"/>
            <w:left w:w="0" w:type="dxa"/>
            <w:bottom w:w="0" w:type="dxa"/>
            <w:right w:w="0" w:type="dxa"/>
          </w:tblCellMar>
        </w:tblPrEx>
        <w:trPr>
          <w:trHeight w:val="28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A1444A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napToGrid w:val="0"/>
                <w:color w:val="000000"/>
                <w:kern w:val="0"/>
                <w:sz w:val="21"/>
                <w:szCs w:val="21"/>
                <w:highlight w:val="none"/>
                <w:lang w:val="en-US" w:eastAsia="en-US" w:bidi="ar"/>
              </w:rPr>
            </w:pPr>
            <w:r>
              <w:rPr>
                <w:rFonts w:hint="eastAsia" w:ascii="宋体" w:hAnsi="宋体" w:eastAsia="宋体" w:cs="宋体"/>
                <w:sz w:val="21"/>
                <w:szCs w:val="21"/>
                <w:highlight w:val="none"/>
                <w:lang w:bidi="ar"/>
              </w:rPr>
              <w:t>17</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69A82A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val="en-US" w:eastAsia="zh-CN" w:bidi="ar"/>
              </w:rPr>
            </w:pPr>
            <w:r>
              <w:rPr>
                <w:rFonts w:hint="eastAsia" w:ascii="宋体" w:hAnsi="宋体" w:eastAsia="宋体" w:cs="宋体"/>
                <w:kern w:val="0"/>
                <w:sz w:val="21"/>
                <w:szCs w:val="21"/>
                <w:highlight w:val="none"/>
                <w:lang w:val="en-US" w:eastAsia="zh-CN" w:bidi="ar"/>
              </w:rPr>
              <w:t>驱动电机功率</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093EFA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val="en-US" w:bidi="ar"/>
              </w:rPr>
            </w:pPr>
            <w:r>
              <w:rPr>
                <w:rFonts w:hint="eastAsia" w:ascii="宋体" w:hAnsi="宋体" w:eastAsia="宋体" w:cs="宋体"/>
                <w:sz w:val="21"/>
                <w:szCs w:val="21"/>
                <w:highlight w:val="none"/>
                <w:lang w:bidi="ar"/>
              </w:rPr>
              <w:t>≤</w:t>
            </w:r>
            <w:r>
              <w:rPr>
                <w:rFonts w:hint="eastAsia" w:ascii="宋体" w:hAnsi="宋体" w:eastAsia="宋体" w:cs="宋体"/>
                <w:sz w:val="21"/>
                <w:szCs w:val="21"/>
                <w:highlight w:val="none"/>
                <w:lang w:val="en-US" w:eastAsia="zh-CN" w:bidi="ar"/>
              </w:rPr>
              <w:t>17KW</w:t>
            </w:r>
          </w:p>
        </w:tc>
      </w:tr>
      <w:tr w14:paraId="5BD4842E">
        <w:tblPrEx>
          <w:tblCellMar>
            <w:top w:w="0" w:type="dxa"/>
            <w:left w:w="0" w:type="dxa"/>
            <w:bottom w:w="0" w:type="dxa"/>
            <w:right w:w="0" w:type="dxa"/>
          </w:tblCellMar>
        </w:tblPrEx>
        <w:trPr>
          <w:trHeight w:val="9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96B21E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napToGrid w:val="0"/>
                <w:color w:val="000000"/>
                <w:kern w:val="0"/>
                <w:sz w:val="21"/>
                <w:szCs w:val="21"/>
                <w:highlight w:val="none"/>
                <w:lang w:val="en-US" w:eastAsia="en-US" w:bidi="ar"/>
              </w:rPr>
            </w:pPr>
            <w:r>
              <w:rPr>
                <w:rFonts w:hint="eastAsia" w:ascii="宋体" w:hAnsi="宋体" w:eastAsia="宋体" w:cs="宋体"/>
                <w:sz w:val="21"/>
                <w:szCs w:val="21"/>
                <w:highlight w:val="none"/>
                <w:lang w:bidi="ar"/>
              </w:rPr>
              <w:t>18</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DFFA10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kern w:val="0"/>
                <w:sz w:val="21"/>
                <w:szCs w:val="21"/>
                <w:highlight w:val="none"/>
                <w:lang w:bidi="ar"/>
              </w:rPr>
              <w:t>行走速度（满载）</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2D0B5A0">
            <w:pPr>
              <w:widowControl/>
              <w:autoSpaceDE w:val="0"/>
              <w:autoSpaceDN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≥1</w:t>
            </w:r>
            <w:r>
              <w:rPr>
                <w:rFonts w:hint="eastAsia" w:ascii="宋体" w:hAnsi="宋体" w:eastAsia="宋体" w:cs="宋体"/>
                <w:sz w:val="21"/>
                <w:szCs w:val="21"/>
                <w:highlight w:val="none"/>
                <w:lang w:val="en-US" w:eastAsia="zh-CN" w:bidi="ar"/>
              </w:rPr>
              <w:t>9</w:t>
            </w:r>
            <w:r>
              <w:rPr>
                <w:rFonts w:hint="eastAsia" w:ascii="宋体" w:hAnsi="宋体" w:eastAsia="宋体" w:cs="宋体"/>
                <w:sz w:val="21"/>
                <w:szCs w:val="21"/>
                <w:highlight w:val="none"/>
                <w:lang w:bidi="ar"/>
              </w:rPr>
              <w:t>KM/H</w:t>
            </w:r>
          </w:p>
        </w:tc>
      </w:tr>
      <w:tr w14:paraId="1674F1B3">
        <w:tblPrEx>
          <w:tblCellMar>
            <w:top w:w="0" w:type="dxa"/>
            <w:left w:w="0" w:type="dxa"/>
            <w:bottom w:w="0" w:type="dxa"/>
            <w:right w:w="0" w:type="dxa"/>
          </w:tblCellMar>
        </w:tblPrEx>
        <w:trPr>
          <w:trHeight w:val="28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2DFB66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napToGrid w:val="0"/>
                <w:color w:val="000000"/>
                <w:kern w:val="0"/>
                <w:sz w:val="21"/>
                <w:szCs w:val="21"/>
                <w:highlight w:val="none"/>
                <w:lang w:val="en-US" w:eastAsia="en-US" w:bidi="ar"/>
              </w:rPr>
            </w:pPr>
            <w:r>
              <w:rPr>
                <w:rFonts w:hint="eastAsia" w:ascii="宋体" w:hAnsi="宋体" w:eastAsia="宋体" w:cs="宋体"/>
                <w:sz w:val="21"/>
                <w:szCs w:val="21"/>
                <w:highlight w:val="none"/>
                <w:lang w:bidi="ar"/>
              </w:rPr>
              <w:t>19</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B64364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eastAsia="en-US"/>
              </w:rPr>
              <w:t>驱动控制类型</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E83EF0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eastAsia="en-US"/>
              </w:rPr>
              <w:t>全交流AC</w:t>
            </w:r>
          </w:p>
        </w:tc>
      </w:tr>
      <w:tr w14:paraId="60E50F55">
        <w:tblPrEx>
          <w:tblCellMar>
            <w:top w:w="0" w:type="dxa"/>
            <w:left w:w="0" w:type="dxa"/>
            <w:bottom w:w="0" w:type="dxa"/>
            <w:right w:w="0" w:type="dxa"/>
          </w:tblCellMar>
        </w:tblPrEx>
        <w:trPr>
          <w:trHeight w:val="28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F692EE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napToGrid w:val="0"/>
                <w:color w:val="000000"/>
                <w:kern w:val="0"/>
                <w:sz w:val="21"/>
                <w:szCs w:val="21"/>
                <w:highlight w:val="none"/>
                <w:lang w:val="en-US" w:eastAsia="en-US" w:bidi="ar"/>
              </w:rPr>
            </w:pPr>
            <w:r>
              <w:rPr>
                <w:rFonts w:hint="eastAsia" w:ascii="宋体" w:hAnsi="宋体" w:eastAsia="宋体" w:cs="宋体"/>
                <w:sz w:val="21"/>
                <w:szCs w:val="21"/>
                <w:highlight w:val="none"/>
                <w:lang w:bidi="ar"/>
              </w:rPr>
              <w:t>20</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13A1E3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eastAsia="zh-CN"/>
              </w:rPr>
            </w:pPr>
            <w:r>
              <w:rPr>
                <w:rFonts w:hint="eastAsia" w:ascii="宋体" w:hAnsi="宋体" w:eastAsia="宋体" w:cs="宋体"/>
                <w:kern w:val="0"/>
                <w:sz w:val="21"/>
                <w:szCs w:val="21"/>
                <w:highlight w:val="none"/>
                <w:lang w:val="en-US" w:eastAsia="zh-CN" w:bidi="ar"/>
              </w:rPr>
              <w:t>全车长度（不带货叉）</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DA57E2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kern w:val="0"/>
                <w:sz w:val="21"/>
                <w:szCs w:val="21"/>
                <w:highlight w:val="none"/>
                <w:lang w:eastAsia="en-US" w:bidi="ar"/>
              </w:rPr>
              <w:t>≤</w:t>
            </w:r>
            <w:r>
              <w:rPr>
                <w:rFonts w:hint="eastAsia" w:ascii="宋体" w:hAnsi="宋体" w:eastAsia="宋体" w:cs="宋体"/>
                <w:kern w:val="0"/>
                <w:sz w:val="21"/>
                <w:szCs w:val="21"/>
                <w:highlight w:val="none"/>
                <w:lang w:val="en-US" w:eastAsia="zh-CN" w:bidi="ar"/>
              </w:rPr>
              <w:t>2774</w:t>
            </w:r>
          </w:p>
        </w:tc>
      </w:tr>
      <w:tr w14:paraId="3DCDE68D">
        <w:tblPrEx>
          <w:tblCellMar>
            <w:top w:w="0" w:type="dxa"/>
            <w:left w:w="0" w:type="dxa"/>
            <w:bottom w:w="0" w:type="dxa"/>
            <w:right w:w="0" w:type="dxa"/>
          </w:tblCellMar>
        </w:tblPrEx>
        <w:trPr>
          <w:trHeight w:val="28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33E6A9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kern w:val="0"/>
                <w:sz w:val="21"/>
                <w:szCs w:val="21"/>
                <w:highlight w:val="none"/>
              </w:rPr>
              <w:t>21</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C8ADFA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val="en-US" w:eastAsia="zh-CN" w:bidi="ar"/>
              </w:rPr>
            </w:pPr>
            <w:r>
              <w:rPr>
                <w:rFonts w:hint="eastAsia" w:ascii="宋体" w:hAnsi="宋体" w:eastAsia="宋体" w:cs="宋体"/>
                <w:sz w:val="21"/>
                <w:szCs w:val="21"/>
                <w:highlight w:val="none"/>
                <w:lang w:val="en-US" w:eastAsia="zh-CN" w:bidi="ar"/>
              </w:rPr>
              <w:t>配1个USB接口（5V/1A）</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6B3764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kern w:val="0"/>
                <w:sz w:val="21"/>
                <w:szCs w:val="21"/>
                <w:highlight w:val="none"/>
                <w:lang w:eastAsia="en-US" w:bidi="ar"/>
              </w:rPr>
              <w:t>需要</w:t>
            </w:r>
          </w:p>
        </w:tc>
      </w:tr>
      <w:tr w14:paraId="2AF20A13">
        <w:tblPrEx>
          <w:tblCellMar>
            <w:top w:w="0" w:type="dxa"/>
            <w:left w:w="0" w:type="dxa"/>
            <w:bottom w:w="0" w:type="dxa"/>
            <w:right w:w="0" w:type="dxa"/>
          </w:tblCellMar>
        </w:tblPrEx>
        <w:trPr>
          <w:trHeight w:val="28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F1277C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napToGrid w:val="0"/>
                <w:color w:val="000000"/>
                <w:kern w:val="0"/>
                <w:sz w:val="21"/>
                <w:szCs w:val="21"/>
                <w:highlight w:val="none"/>
                <w:lang w:val="en-US" w:eastAsia="zh-CN" w:bidi="ar"/>
              </w:rPr>
            </w:pPr>
            <w:r>
              <w:rPr>
                <w:rFonts w:hint="eastAsia" w:ascii="宋体" w:hAnsi="宋体" w:eastAsia="宋体" w:cs="宋体"/>
                <w:kern w:val="0"/>
                <w:sz w:val="21"/>
                <w:szCs w:val="21"/>
                <w:highlight w:val="none"/>
                <w:lang w:eastAsia="en-US" w:bidi="ar"/>
              </w:rPr>
              <w:t>2</w:t>
            </w:r>
            <w:r>
              <w:rPr>
                <w:rFonts w:hint="eastAsia" w:ascii="宋体" w:hAnsi="宋体" w:eastAsia="宋体" w:cs="宋体"/>
                <w:kern w:val="0"/>
                <w:sz w:val="21"/>
                <w:szCs w:val="21"/>
                <w:highlight w:val="none"/>
                <w:lang w:val="en-US" w:eastAsia="zh-CN" w:bidi="ar"/>
              </w:rPr>
              <w:t>2</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288FA5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kern w:val="0"/>
                <w:sz w:val="21"/>
                <w:szCs w:val="21"/>
                <w:highlight w:val="none"/>
                <w:lang w:val="en-US" w:eastAsia="zh-CN" w:bidi="ar"/>
              </w:rPr>
              <w:t>LED闪烁式</w:t>
            </w:r>
            <w:r>
              <w:rPr>
                <w:rFonts w:hint="eastAsia" w:ascii="宋体" w:hAnsi="宋体" w:eastAsia="宋体" w:cs="宋体"/>
                <w:kern w:val="0"/>
                <w:sz w:val="21"/>
                <w:szCs w:val="21"/>
                <w:highlight w:val="none"/>
                <w:lang w:eastAsia="en-US" w:bidi="ar"/>
              </w:rPr>
              <w:t>报警灯</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BF96DB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val="en-US" w:eastAsia="zh-CN" w:bidi="ar"/>
              </w:rPr>
            </w:pPr>
            <w:r>
              <w:rPr>
                <w:rFonts w:hint="eastAsia" w:ascii="宋体" w:hAnsi="宋体" w:eastAsia="宋体" w:cs="宋体"/>
                <w:kern w:val="0"/>
                <w:sz w:val="21"/>
                <w:szCs w:val="21"/>
                <w:highlight w:val="none"/>
                <w:lang w:eastAsia="en-US" w:bidi="ar"/>
              </w:rPr>
              <w:t>需要</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val="en-US" w:eastAsia="zh-CN" w:bidi="ar"/>
              </w:rPr>
              <w:t>安装危险区域警示装置，将三边地面警示灯、AI环境感知与声光报警结合，降低叉车伤人风险</w:t>
            </w:r>
          </w:p>
        </w:tc>
      </w:tr>
      <w:tr w14:paraId="7EE8A2AE">
        <w:tblPrEx>
          <w:tblCellMar>
            <w:top w:w="0" w:type="dxa"/>
            <w:left w:w="0" w:type="dxa"/>
            <w:bottom w:w="0" w:type="dxa"/>
            <w:right w:w="0" w:type="dxa"/>
          </w:tblCellMar>
        </w:tblPrEx>
        <w:trPr>
          <w:trHeight w:val="28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2794E9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napToGrid w:val="0"/>
                <w:color w:val="000000"/>
                <w:kern w:val="0"/>
                <w:sz w:val="21"/>
                <w:szCs w:val="21"/>
                <w:highlight w:val="none"/>
                <w:lang w:val="en-US" w:eastAsia="zh-CN" w:bidi="ar"/>
              </w:rPr>
            </w:pPr>
            <w:r>
              <w:rPr>
                <w:rFonts w:hint="eastAsia" w:ascii="宋体" w:hAnsi="宋体" w:eastAsia="宋体" w:cs="宋体"/>
                <w:kern w:val="0"/>
                <w:sz w:val="21"/>
                <w:szCs w:val="21"/>
                <w:highlight w:val="none"/>
                <w:lang w:eastAsia="en-US" w:bidi="ar"/>
              </w:rPr>
              <w:t>2</w:t>
            </w:r>
            <w:r>
              <w:rPr>
                <w:rFonts w:hint="eastAsia" w:ascii="宋体" w:hAnsi="宋体" w:eastAsia="宋体" w:cs="宋体"/>
                <w:kern w:val="0"/>
                <w:sz w:val="21"/>
                <w:szCs w:val="21"/>
                <w:highlight w:val="none"/>
                <w:lang w:val="en-US" w:eastAsia="zh-CN" w:bidi="ar"/>
              </w:rPr>
              <w:t>3</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2C9194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val="en-US" w:eastAsia="zh-CN" w:bidi="ar"/>
              </w:rPr>
            </w:pPr>
            <w:r>
              <w:rPr>
                <w:rFonts w:hint="eastAsia" w:ascii="宋体" w:hAnsi="宋体" w:eastAsia="宋体" w:cs="宋体"/>
                <w:kern w:val="0"/>
                <w:sz w:val="21"/>
                <w:szCs w:val="21"/>
                <w:highlight w:val="none"/>
                <w:lang w:val="en-US" w:eastAsia="zh-CN" w:bidi="ar"/>
              </w:rPr>
              <w:t>倒车扶手带喇叭开关</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7DC710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kern w:val="0"/>
                <w:sz w:val="21"/>
                <w:szCs w:val="21"/>
                <w:highlight w:val="none"/>
                <w:lang w:eastAsia="en-US" w:bidi="ar"/>
              </w:rPr>
              <w:t>需要</w:t>
            </w:r>
          </w:p>
        </w:tc>
      </w:tr>
      <w:tr w14:paraId="4F4BC930">
        <w:tblPrEx>
          <w:tblCellMar>
            <w:top w:w="0" w:type="dxa"/>
            <w:left w:w="0" w:type="dxa"/>
            <w:bottom w:w="0" w:type="dxa"/>
            <w:right w:w="0" w:type="dxa"/>
          </w:tblCellMar>
        </w:tblPrEx>
        <w:trPr>
          <w:trHeight w:val="28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DB5F38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napToGrid w:val="0"/>
                <w:color w:val="000000"/>
                <w:kern w:val="0"/>
                <w:sz w:val="21"/>
                <w:szCs w:val="21"/>
                <w:highlight w:val="none"/>
                <w:lang w:val="en-US" w:eastAsia="zh-CN" w:bidi="ar"/>
              </w:rPr>
            </w:pPr>
            <w:r>
              <w:rPr>
                <w:rFonts w:hint="eastAsia" w:ascii="宋体" w:hAnsi="宋体" w:eastAsia="宋体" w:cs="宋体"/>
                <w:kern w:val="0"/>
                <w:sz w:val="21"/>
                <w:szCs w:val="21"/>
                <w:highlight w:val="none"/>
                <w:lang w:eastAsia="en-US" w:bidi="ar"/>
              </w:rPr>
              <w:t>2</w:t>
            </w:r>
            <w:r>
              <w:rPr>
                <w:rFonts w:hint="eastAsia" w:ascii="宋体" w:hAnsi="宋体" w:eastAsia="宋体" w:cs="宋体"/>
                <w:kern w:val="0"/>
                <w:sz w:val="21"/>
                <w:szCs w:val="21"/>
                <w:highlight w:val="none"/>
                <w:lang w:val="en-US" w:eastAsia="zh-CN" w:bidi="ar"/>
              </w:rPr>
              <w:t>4</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84D82A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kern w:val="0"/>
                <w:sz w:val="21"/>
                <w:szCs w:val="21"/>
                <w:highlight w:val="none"/>
                <w:lang w:eastAsia="en-US" w:bidi="ar"/>
              </w:rPr>
              <w:t>座椅安全带</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09A020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kern w:val="0"/>
                <w:sz w:val="21"/>
                <w:szCs w:val="21"/>
                <w:highlight w:val="none"/>
                <w:lang w:eastAsia="en-US" w:bidi="ar"/>
              </w:rPr>
              <w:t>需要</w:t>
            </w:r>
          </w:p>
        </w:tc>
      </w:tr>
      <w:tr w14:paraId="433A80F3">
        <w:tblPrEx>
          <w:tblCellMar>
            <w:top w:w="0" w:type="dxa"/>
            <w:left w:w="0" w:type="dxa"/>
            <w:bottom w:w="0" w:type="dxa"/>
            <w:right w:w="0" w:type="dxa"/>
          </w:tblCellMar>
        </w:tblPrEx>
        <w:trPr>
          <w:trHeight w:val="28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97214B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napToGrid w:val="0"/>
                <w:color w:val="000000"/>
                <w:kern w:val="0"/>
                <w:sz w:val="21"/>
                <w:szCs w:val="21"/>
                <w:highlight w:val="none"/>
                <w:lang w:val="en-US" w:eastAsia="zh-CN" w:bidi="ar"/>
              </w:rPr>
            </w:pPr>
            <w:r>
              <w:rPr>
                <w:rFonts w:hint="eastAsia" w:ascii="宋体" w:hAnsi="宋体" w:eastAsia="宋体" w:cs="宋体"/>
                <w:kern w:val="0"/>
                <w:sz w:val="21"/>
                <w:szCs w:val="21"/>
                <w:highlight w:val="none"/>
                <w:lang w:eastAsia="en-US" w:bidi="ar"/>
              </w:rPr>
              <w:t>2</w:t>
            </w:r>
            <w:r>
              <w:rPr>
                <w:rFonts w:hint="eastAsia" w:ascii="宋体" w:hAnsi="宋体" w:eastAsia="宋体" w:cs="宋体"/>
                <w:kern w:val="0"/>
                <w:sz w:val="21"/>
                <w:szCs w:val="21"/>
                <w:highlight w:val="none"/>
                <w:lang w:val="en-US" w:eastAsia="zh-CN" w:bidi="ar"/>
              </w:rPr>
              <w:t>5</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890DDD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val="en-US" w:eastAsia="zh-CN" w:bidi="ar"/>
              </w:rPr>
            </w:pPr>
            <w:r>
              <w:rPr>
                <w:rFonts w:hint="eastAsia" w:ascii="宋体" w:hAnsi="宋体" w:eastAsia="宋体" w:cs="宋体"/>
                <w:kern w:val="0"/>
                <w:sz w:val="21"/>
                <w:szCs w:val="21"/>
                <w:highlight w:val="none"/>
                <w:lang w:val="en-US" w:eastAsia="zh-CN" w:bidi="ar"/>
              </w:rPr>
              <w:t>倒车镜</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89B272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kern w:val="0"/>
                <w:sz w:val="21"/>
                <w:szCs w:val="21"/>
                <w:highlight w:val="none"/>
                <w:lang w:eastAsia="en-US" w:bidi="ar"/>
              </w:rPr>
              <w:t>需要</w:t>
            </w:r>
          </w:p>
        </w:tc>
      </w:tr>
      <w:tr w14:paraId="426E46B1">
        <w:tblPrEx>
          <w:tblCellMar>
            <w:top w:w="0" w:type="dxa"/>
            <w:left w:w="0" w:type="dxa"/>
            <w:bottom w:w="0" w:type="dxa"/>
            <w:right w:w="0" w:type="dxa"/>
          </w:tblCellMar>
        </w:tblPrEx>
        <w:trPr>
          <w:trHeight w:val="28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671CC6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napToGrid w:val="0"/>
                <w:color w:val="000000"/>
                <w:kern w:val="0"/>
                <w:sz w:val="21"/>
                <w:szCs w:val="21"/>
                <w:highlight w:val="none"/>
                <w:lang w:val="en-US" w:eastAsia="zh-CN" w:bidi="ar"/>
              </w:rPr>
            </w:pPr>
            <w:r>
              <w:rPr>
                <w:rFonts w:hint="eastAsia" w:ascii="宋体" w:hAnsi="宋体" w:eastAsia="宋体" w:cs="宋体"/>
                <w:kern w:val="0"/>
                <w:sz w:val="21"/>
                <w:szCs w:val="21"/>
                <w:highlight w:val="none"/>
                <w:lang w:eastAsia="en-US" w:bidi="ar"/>
              </w:rPr>
              <w:t>2</w:t>
            </w:r>
            <w:r>
              <w:rPr>
                <w:rFonts w:hint="eastAsia" w:ascii="宋体" w:hAnsi="宋体" w:eastAsia="宋体" w:cs="宋体"/>
                <w:kern w:val="0"/>
                <w:sz w:val="21"/>
                <w:szCs w:val="21"/>
                <w:highlight w:val="none"/>
                <w:lang w:val="en-US" w:eastAsia="zh-CN" w:bidi="ar"/>
              </w:rPr>
              <w:t>6</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6BC963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kern w:val="0"/>
                <w:sz w:val="21"/>
                <w:szCs w:val="21"/>
                <w:highlight w:val="none"/>
                <w:lang w:eastAsia="en-US" w:bidi="ar"/>
              </w:rPr>
              <w:t>驾驶员在位感应功能</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BDB984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kern w:val="0"/>
                <w:sz w:val="21"/>
                <w:szCs w:val="21"/>
                <w:highlight w:val="none"/>
                <w:lang w:eastAsia="en-US" w:bidi="ar"/>
              </w:rPr>
              <w:t>需要</w:t>
            </w:r>
          </w:p>
        </w:tc>
      </w:tr>
      <w:tr w14:paraId="55968055">
        <w:tblPrEx>
          <w:tblCellMar>
            <w:top w:w="0" w:type="dxa"/>
            <w:left w:w="0" w:type="dxa"/>
            <w:bottom w:w="0" w:type="dxa"/>
            <w:right w:w="0" w:type="dxa"/>
          </w:tblCellMar>
        </w:tblPrEx>
        <w:trPr>
          <w:trHeight w:val="28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B9ADF2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napToGrid w:val="0"/>
                <w:color w:val="000000"/>
                <w:kern w:val="0"/>
                <w:sz w:val="21"/>
                <w:szCs w:val="21"/>
                <w:highlight w:val="none"/>
                <w:lang w:val="en-US" w:eastAsia="zh-CN" w:bidi="ar"/>
              </w:rPr>
            </w:pPr>
            <w:r>
              <w:rPr>
                <w:rFonts w:hint="eastAsia" w:ascii="宋体" w:hAnsi="宋体" w:eastAsia="宋体" w:cs="宋体"/>
                <w:sz w:val="21"/>
                <w:szCs w:val="21"/>
                <w:highlight w:val="none"/>
                <w:lang w:bidi="ar"/>
              </w:rPr>
              <w:t>2</w:t>
            </w:r>
            <w:r>
              <w:rPr>
                <w:rFonts w:hint="eastAsia" w:ascii="宋体" w:hAnsi="宋体" w:eastAsia="宋体" w:cs="宋体"/>
                <w:sz w:val="21"/>
                <w:szCs w:val="21"/>
                <w:highlight w:val="none"/>
                <w:lang w:val="en-US" w:eastAsia="zh-CN" w:bidi="ar"/>
              </w:rPr>
              <w:t>7</w:t>
            </w:r>
          </w:p>
        </w:tc>
        <w:tc>
          <w:tcPr>
            <w:tcW w:w="155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F6F8F6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kern w:val="0"/>
                <w:sz w:val="21"/>
                <w:szCs w:val="21"/>
                <w:highlight w:val="none"/>
                <w:lang w:eastAsia="en-US" w:bidi="ar"/>
              </w:rPr>
              <w:t>护顶架</w:t>
            </w:r>
          </w:p>
        </w:tc>
        <w:tc>
          <w:tcPr>
            <w:tcW w:w="30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5DCE05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kern w:val="0"/>
                <w:sz w:val="21"/>
                <w:szCs w:val="21"/>
                <w:highlight w:val="none"/>
                <w:lang w:eastAsia="en-US" w:bidi="ar"/>
              </w:rPr>
              <w:t>标准</w:t>
            </w:r>
            <w:r>
              <w:rPr>
                <w:rFonts w:hint="eastAsia" w:ascii="宋体" w:hAnsi="宋体" w:eastAsia="宋体" w:cs="宋体"/>
                <w:kern w:val="0"/>
                <w:sz w:val="21"/>
                <w:szCs w:val="21"/>
                <w:highlight w:val="none"/>
                <w:lang w:eastAsia="zh-CN" w:bidi="ar"/>
              </w:rPr>
              <w:t>护顶架</w:t>
            </w:r>
          </w:p>
        </w:tc>
      </w:tr>
    </w:tbl>
    <w:p w14:paraId="060AB24D">
      <w:pPr>
        <w:keepNext/>
        <w:keepLines w:val="0"/>
        <w:numPr>
          <w:ilvl w:val="0"/>
          <w:numId w:val="0"/>
        </w:numP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b/>
          <w:bCs/>
          <w:color w:val="000000"/>
          <w:sz w:val="21"/>
          <w:szCs w:val="21"/>
          <w:highlight w:val="none"/>
          <w:lang w:val="en-US" w:eastAsia="zh-CN"/>
        </w:rPr>
        <w:t>2.电动登高车技术要求</w:t>
      </w:r>
    </w:p>
    <w:tbl>
      <w:tblPr>
        <w:tblStyle w:val="22"/>
        <w:tblW w:w="7955" w:type="dxa"/>
        <w:tblInd w:w="0" w:type="dxa"/>
        <w:tblLayout w:type="fixed"/>
        <w:tblCellMar>
          <w:top w:w="0" w:type="dxa"/>
          <w:left w:w="0" w:type="dxa"/>
          <w:bottom w:w="0" w:type="dxa"/>
          <w:right w:w="0" w:type="dxa"/>
        </w:tblCellMar>
      </w:tblPr>
      <w:tblGrid>
        <w:gridCol w:w="653"/>
        <w:gridCol w:w="2521"/>
        <w:gridCol w:w="4781"/>
      </w:tblGrid>
      <w:tr w14:paraId="71D75A64">
        <w:tblPrEx>
          <w:tblCellMar>
            <w:top w:w="0" w:type="dxa"/>
            <w:left w:w="0" w:type="dxa"/>
            <w:bottom w:w="0" w:type="dxa"/>
            <w:right w:w="0" w:type="dxa"/>
          </w:tblCellMar>
        </w:tblPrEx>
        <w:trPr>
          <w:trHeight w:val="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366D428">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kern w:val="0"/>
                <w:sz w:val="21"/>
                <w:szCs w:val="21"/>
                <w:highlight w:val="none"/>
                <w:lang w:eastAsia="en-US" w:bidi="ar"/>
              </w:rPr>
            </w:pPr>
            <w:r>
              <w:rPr>
                <w:rFonts w:hint="eastAsia" w:ascii="宋体" w:hAnsi="宋体" w:eastAsia="宋体" w:cs="宋体"/>
                <w:b/>
                <w:kern w:val="0"/>
                <w:sz w:val="21"/>
                <w:szCs w:val="21"/>
                <w:highlight w:val="none"/>
                <w:lang w:eastAsia="en-US" w:bidi="ar"/>
              </w:rPr>
              <w:t>序号</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2DDA376">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kern w:val="0"/>
                <w:sz w:val="21"/>
                <w:szCs w:val="21"/>
                <w:highlight w:val="none"/>
                <w:lang w:eastAsia="en-US"/>
              </w:rPr>
            </w:pPr>
            <w:r>
              <w:rPr>
                <w:rFonts w:hint="eastAsia" w:ascii="宋体" w:hAnsi="宋体" w:eastAsia="宋体" w:cs="宋体"/>
                <w:b/>
                <w:kern w:val="0"/>
                <w:sz w:val="21"/>
                <w:szCs w:val="21"/>
                <w:highlight w:val="none"/>
                <w:lang w:eastAsia="en-US" w:bidi="ar"/>
              </w:rPr>
              <w:t>名称</w:t>
            </w:r>
          </w:p>
        </w:tc>
        <w:tc>
          <w:tcPr>
            <w:tcW w:w="4781" w:type="dxa"/>
            <w:tcBorders>
              <w:top w:val="single" w:color="000000" w:sz="4" w:space="0"/>
              <w:left w:val="single" w:color="000000" w:sz="4" w:space="0"/>
              <w:bottom w:val="single" w:color="000000" w:sz="4" w:space="0"/>
              <w:right w:val="single" w:color="auto" w:sz="4" w:space="0"/>
            </w:tcBorders>
            <w:shd w:val="clear" w:color="auto" w:fill="auto"/>
            <w:noWrap/>
            <w:tcMar>
              <w:top w:w="10" w:type="dxa"/>
              <w:left w:w="10" w:type="dxa"/>
              <w:right w:w="10" w:type="dxa"/>
            </w:tcMar>
            <w:vAlign w:val="center"/>
          </w:tcPr>
          <w:p w14:paraId="74CB909D">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b/>
                <w:kern w:val="0"/>
                <w:sz w:val="21"/>
                <w:szCs w:val="21"/>
                <w:highlight w:val="none"/>
                <w:lang w:eastAsia="en-US"/>
              </w:rPr>
            </w:pPr>
            <w:r>
              <w:rPr>
                <w:rFonts w:hint="eastAsia" w:ascii="宋体" w:hAnsi="宋体" w:eastAsia="宋体" w:cs="宋体"/>
                <w:b/>
                <w:kern w:val="0"/>
                <w:sz w:val="21"/>
                <w:szCs w:val="21"/>
                <w:highlight w:val="none"/>
                <w:lang w:eastAsia="en-US" w:bidi="ar"/>
              </w:rPr>
              <w:t>配置与参数要求</w:t>
            </w:r>
          </w:p>
        </w:tc>
      </w:tr>
      <w:tr w14:paraId="7C670725">
        <w:tblPrEx>
          <w:tblCellMar>
            <w:top w:w="0" w:type="dxa"/>
            <w:left w:w="0" w:type="dxa"/>
            <w:bottom w:w="0" w:type="dxa"/>
            <w:right w:w="0" w:type="dxa"/>
          </w:tblCellMar>
        </w:tblPrEx>
        <w:trPr>
          <w:trHeight w:val="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1300201">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1</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B8D38CC">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数量</w:t>
            </w:r>
          </w:p>
        </w:tc>
        <w:tc>
          <w:tcPr>
            <w:tcW w:w="4781" w:type="dxa"/>
            <w:tcBorders>
              <w:top w:val="single" w:color="000000" w:sz="4" w:space="0"/>
              <w:left w:val="single" w:color="000000" w:sz="4" w:space="0"/>
              <w:bottom w:val="single" w:color="000000" w:sz="4" w:space="0"/>
              <w:right w:val="single" w:color="auto" w:sz="4" w:space="0"/>
            </w:tcBorders>
            <w:shd w:val="clear" w:color="auto" w:fill="auto"/>
            <w:noWrap/>
            <w:tcMar>
              <w:top w:w="10" w:type="dxa"/>
              <w:left w:w="10" w:type="dxa"/>
              <w:right w:w="10" w:type="dxa"/>
            </w:tcMar>
            <w:vAlign w:val="center"/>
          </w:tcPr>
          <w:p w14:paraId="4B0B0E58">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1台</w:t>
            </w:r>
          </w:p>
        </w:tc>
      </w:tr>
      <w:tr w14:paraId="5C12D99B">
        <w:tblPrEx>
          <w:tblCellMar>
            <w:top w:w="0" w:type="dxa"/>
            <w:left w:w="0" w:type="dxa"/>
            <w:bottom w:w="0" w:type="dxa"/>
            <w:right w:w="0" w:type="dxa"/>
          </w:tblCellMar>
        </w:tblPrEx>
        <w:trPr>
          <w:trHeight w:val="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62C63B7">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2</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9464A15">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动力形式</w:t>
            </w:r>
          </w:p>
        </w:tc>
        <w:tc>
          <w:tcPr>
            <w:tcW w:w="4781" w:type="dxa"/>
            <w:tcBorders>
              <w:top w:val="single" w:color="000000" w:sz="4" w:space="0"/>
              <w:left w:val="single" w:color="000000" w:sz="4" w:space="0"/>
              <w:bottom w:val="single" w:color="000000" w:sz="4" w:space="0"/>
              <w:right w:val="single" w:color="auto" w:sz="4" w:space="0"/>
            </w:tcBorders>
            <w:shd w:val="clear" w:color="auto" w:fill="auto"/>
            <w:noWrap/>
            <w:tcMar>
              <w:top w:w="10" w:type="dxa"/>
              <w:left w:w="10" w:type="dxa"/>
              <w:right w:w="10" w:type="dxa"/>
            </w:tcMar>
            <w:vAlign w:val="center"/>
          </w:tcPr>
          <w:p w14:paraId="1A438F29">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铅酸</w:t>
            </w:r>
            <w:r>
              <w:rPr>
                <w:rFonts w:hint="eastAsia" w:ascii="宋体" w:hAnsi="宋体" w:eastAsia="宋体" w:cs="宋体"/>
                <w:kern w:val="0"/>
                <w:sz w:val="21"/>
                <w:szCs w:val="21"/>
                <w:highlight w:val="none"/>
                <w:lang w:val="en-US" w:eastAsia="zh-CN"/>
              </w:rPr>
              <w:t>免维护</w:t>
            </w:r>
            <w:r>
              <w:rPr>
                <w:rFonts w:hint="eastAsia" w:ascii="宋体" w:hAnsi="宋体" w:eastAsia="宋体" w:cs="宋体"/>
                <w:kern w:val="0"/>
                <w:sz w:val="21"/>
                <w:szCs w:val="21"/>
                <w:highlight w:val="none"/>
                <w:lang w:eastAsia="en-US"/>
              </w:rPr>
              <w:t>电池组</w:t>
            </w:r>
          </w:p>
        </w:tc>
      </w:tr>
      <w:tr w14:paraId="5EA20831">
        <w:tblPrEx>
          <w:tblCellMar>
            <w:top w:w="0" w:type="dxa"/>
            <w:left w:w="0" w:type="dxa"/>
            <w:bottom w:w="0" w:type="dxa"/>
            <w:right w:w="0" w:type="dxa"/>
          </w:tblCellMar>
        </w:tblPrEx>
        <w:trPr>
          <w:trHeight w:val="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473B0AB">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3</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A80615C">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平台承载能力</w:t>
            </w:r>
          </w:p>
        </w:tc>
        <w:tc>
          <w:tcPr>
            <w:tcW w:w="4781" w:type="dxa"/>
            <w:tcBorders>
              <w:top w:val="single" w:color="000000" w:sz="4" w:space="0"/>
              <w:left w:val="single" w:color="000000" w:sz="4" w:space="0"/>
              <w:bottom w:val="single" w:color="000000" w:sz="4" w:space="0"/>
              <w:right w:val="single" w:color="auto" w:sz="4" w:space="0"/>
            </w:tcBorders>
            <w:shd w:val="clear" w:color="auto" w:fill="auto"/>
            <w:noWrap/>
            <w:tcMar>
              <w:top w:w="10" w:type="dxa"/>
              <w:left w:w="10" w:type="dxa"/>
              <w:right w:w="10" w:type="dxa"/>
            </w:tcMar>
            <w:vAlign w:val="center"/>
          </w:tcPr>
          <w:p w14:paraId="2956C81C">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lang w:val="en-US" w:eastAsia="zh-CN" w:bidi="ar"/>
              </w:rPr>
              <w:t>320KG</w:t>
            </w:r>
          </w:p>
        </w:tc>
      </w:tr>
      <w:tr w14:paraId="1CC64284">
        <w:tblPrEx>
          <w:tblCellMar>
            <w:top w:w="0" w:type="dxa"/>
            <w:left w:w="0" w:type="dxa"/>
            <w:bottom w:w="0" w:type="dxa"/>
            <w:right w:w="0" w:type="dxa"/>
          </w:tblCellMar>
        </w:tblPrEx>
        <w:trPr>
          <w:trHeight w:val="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372DC32">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4</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09C95D0">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延伸平台安装工作载荷</w:t>
            </w:r>
          </w:p>
        </w:tc>
        <w:tc>
          <w:tcPr>
            <w:tcW w:w="4781" w:type="dxa"/>
            <w:tcBorders>
              <w:top w:val="single" w:color="000000" w:sz="4" w:space="0"/>
              <w:left w:val="single" w:color="000000" w:sz="4" w:space="0"/>
              <w:bottom w:val="single" w:color="000000" w:sz="4" w:space="0"/>
              <w:right w:val="single" w:color="auto" w:sz="4" w:space="0"/>
            </w:tcBorders>
            <w:shd w:val="clear" w:color="auto" w:fill="auto"/>
            <w:noWrap/>
            <w:tcMar>
              <w:top w:w="10" w:type="dxa"/>
              <w:left w:w="10" w:type="dxa"/>
              <w:right w:w="10" w:type="dxa"/>
            </w:tcMar>
            <w:vAlign w:val="center"/>
          </w:tcPr>
          <w:p w14:paraId="4D27C703">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≥113KG</w:t>
            </w:r>
          </w:p>
        </w:tc>
      </w:tr>
      <w:tr w14:paraId="2579C8CC">
        <w:tblPrEx>
          <w:tblCellMar>
            <w:top w:w="0" w:type="dxa"/>
            <w:left w:w="0" w:type="dxa"/>
            <w:bottom w:w="0" w:type="dxa"/>
            <w:right w:w="0" w:type="dxa"/>
          </w:tblCellMar>
        </w:tblPrEx>
        <w:trPr>
          <w:trHeight w:val="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F51E9E9">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5</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C751B66">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最大</w:t>
            </w:r>
            <w:r>
              <w:rPr>
                <w:rFonts w:hint="eastAsia" w:ascii="宋体" w:hAnsi="宋体" w:eastAsia="宋体" w:cs="宋体"/>
                <w:kern w:val="0"/>
                <w:sz w:val="21"/>
                <w:szCs w:val="21"/>
                <w:highlight w:val="none"/>
                <w:lang w:val="en-US" w:eastAsia="zh-CN"/>
              </w:rPr>
              <w:t>婆工作</w:t>
            </w:r>
            <w:r>
              <w:rPr>
                <w:rFonts w:hint="eastAsia" w:ascii="宋体" w:hAnsi="宋体" w:eastAsia="宋体" w:cs="宋体"/>
                <w:kern w:val="0"/>
                <w:sz w:val="21"/>
                <w:szCs w:val="21"/>
                <w:highlight w:val="none"/>
              </w:rPr>
              <w:t>高度</w:t>
            </w:r>
          </w:p>
        </w:tc>
        <w:tc>
          <w:tcPr>
            <w:tcW w:w="4781" w:type="dxa"/>
            <w:tcBorders>
              <w:top w:val="single" w:color="000000" w:sz="4" w:space="0"/>
              <w:left w:val="single" w:color="000000" w:sz="4" w:space="0"/>
              <w:bottom w:val="single" w:color="000000" w:sz="4" w:space="0"/>
              <w:right w:val="single" w:color="auto" w:sz="4" w:space="0"/>
            </w:tcBorders>
            <w:shd w:val="clear" w:color="auto" w:fill="auto"/>
            <w:noWrap/>
            <w:tcMar>
              <w:top w:w="10" w:type="dxa"/>
              <w:left w:w="10" w:type="dxa"/>
              <w:right w:w="10" w:type="dxa"/>
            </w:tcMar>
            <w:vAlign w:val="center"/>
          </w:tcPr>
          <w:p w14:paraId="24BB64F4">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rPr>
              <w:t>≥12m</w:t>
            </w:r>
          </w:p>
        </w:tc>
      </w:tr>
      <w:tr w14:paraId="2C558BF9">
        <w:tblPrEx>
          <w:tblCellMar>
            <w:top w:w="0" w:type="dxa"/>
            <w:left w:w="0" w:type="dxa"/>
            <w:bottom w:w="0" w:type="dxa"/>
            <w:right w:w="0" w:type="dxa"/>
          </w:tblCellMar>
        </w:tblPrEx>
        <w:trPr>
          <w:trHeight w:val="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F705680">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6</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46EB5C2">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最大平台高度</w:t>
            </w:r>
          </w:p>
        </w:tc>
        <w:tc>
          <w:tcPr>
            <w:tcW w:w="4781" w:type="dxa"/>
            <w:tcBorders>
              <w:top w:val="single" w:color="000000" w:sz="4" w:space="0"/>
              <w:left w:val="single" w:color="000000" w:sz="4" w:space="0"/>
              <w:bottom w:val="single" w:color="000000" w:sz="4" w:space="0"/>
              <w:right w:val="single" w:color="auto" w:sz="4" w:space="0"/>
            </w:tcBorders>
            <w:shd w:val="clear" w:color="auto" w:fill="auto"/>
            <w:noWrap/>
            <w:tcMar>
              <w:top w:w="10" w:type="dxa"/>
              <w:left w:w="10" w:type="dxa"/>
              <w:right w:w="10" w:type="dxa"/>
            </w:tcMar>
            <w:vAlign w:val="center"/>
          </w:tcPr>
          <w:p w14:paraId="7DE892CD">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lang w:val="en-US" w:eastAsia="zh-CN" w:bidi="ar"/>
              </w:rPr>
              <w:t>10m</w:t>
            </w:r>
          </w:p>
        </w:tc>
      </w:tr>
      <w:tr w14:paraId="1E002550">
        <w:tblPrEx>
          <w:tblCellMar>
            <w:top w:w="0" w:type="dxa"/>
            <w:left w:w="0" w:type="dxa"/>
            <w:bottom w:w="0" w:type="dxa"/>
            <w:right w:w="0" w:type="dxa"/>
          </w:tblCellMar>
        </w:tblPrEx>
        <w:trPr>
          <w:trHeight w:val="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27D5EFD">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eastAsia="zh-CN" w:bidi="ar"/>
              </w:rPr>
            </w:pPr>
            <w:r>
              <w:rPr>
                <w:rFonts w:hint="eastAsia" w:ascii="宋体" w:hAnsi="宋体" w:eastAsia="宋体" w:cs="宋体"/>
                <w:kern w:val="0"/>
                <w:sz w:val="21"/>
                <w:szCs w:val="21"/>
                <w:highlight w:val="none"/>
                <w:lang w:val="en-US" w:eastAsia="zh-CN" w:bidi="ar"/>
              </w:rPr>
              <w:t>7</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D86A708">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sz w:val="21"/>
                <w:szCs w:val="21"/>
                <w:highlight w:val="none"/>
                <w:lang w:val="en-US" w:eastAsia="zh-CN" w:bidi="ar"/>
              </w:rPr>
            </w:pPr>
            <w:r>
              <w:rPr>
                <w:rFonts w:hint="eastAsia" w:ascii="宋体" w:hAnsi="宋体" w:eastAsia="宋体" w:cs="宋体"/>
                <w:kern w:val="0"/>
                <w:sz w:val="21"/>
                <w:szCs w:val="21"/>
                <w:highlight w:val="none"/>
                <w:lang w:val="en-US" w:eastAsia="zh-CN" w:bidi="ar"/>
              </w:rPr>
              <w:t>平台延伸尺寸</w:t>
            </w:r>
          </w:p>
        </w:tc>
        <w:tc>
          <w:tcPr>
            <w:tcW w:w="4781" w:type="dxa"/>
            <w:tcBorders>
              <w:top w:val="single" w:color="000000" w:sz="4" w:space="0"/>
              <w:left w:val="single" w:color="000000" w:sz="4" w:space="0"/>
              <w:bottom w:val="single" w:color="000000" w:sz="4" w:space="0"/>
              <w:right w:val="single" w:color="auto" w:sz="4" w:space="0"/>
            </w:tcBorders>
            <w:shd w:val="clear" w:color="auto" w:fill="auto"/>
            <w:noWrap/>
            <w:tcMar>
              <w:top w:w="10" w:type="dxa"/>
              <w:left w:w="10" w:type="dxa"/>
              <w:right w:w="10" w:type="dxa"/>
            </w:tcMar>
            <w:vAlign w:val="center"/>
          </w:tcPr>
          <w:p w14:paraId="03F1910D">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rPr>
              <w:t>≥</w:t>
            </w:r>
            <w:r>
              <w:rPr>
                <w:rFonts w:hint="eastAsia" w:ascii="宋体" w:hAnsi="宋体" w:eastAsia="宋体" w:cs="宋体"/>
                <w:sz w:val="21"/>
                <w:szCs w:val="21"/>
                <w:highlight w:val="none"/>
                <w:lang w:val="en-US" w:eastAsia="zh-CN" w:bidi="ar"/>
              </w:rPr>
              <w:t>900mm</w:t>
            </w:r>
          </w:p>
        </w:tc>
      </w:tr>
      <w:tr w14:paraId="0C9C91D4">
        <w:tblPrEx>
          <w:tblCellMar>
            <w:top w:w="0" w:type="dxa"/>
            <w:left w:w="0" w:type="dxa"/>
            <w:bottom w:w="0" w:type="dxa"/>
            <w:right w:w="0" w:type="dxa"/>
          </w:tblCellMar>
        </w:tblPrEx>
        <w:trPr>
          <w:trHeight w:val="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3BB0533">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eastAsia="zh-CN" w:bidi="ar"/>
              </w:rPr>
            </w:pPr>
            <w:r>
              <w:rPr>
                <w:rFonts w:hint="eastAsia" w:ascii="宋体" w:hAnsi="宋体" w:eastAsia="宋体" w:cs="宋体"/>
                <w:kern w:val="0"/>
                <w:sz w:val="21"/>
                <w:szCs w:val="21"/>
                <w:highlight w:val="none"/>
                <w:lang w:val="en-US" w:eastAsia="zh-CN" w:bidi="ar"/>
              </w:rPr>
              <w:t>8</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AEB9127">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sz w:val="21"/>
                <w:szCs w:val="21"/>
                <w:highlight w:val="none"/>
                <w:lang w:val="en-US" w:eastAsia="zh-CN" w:bidi="ar"/>
              </w:rPr>
            </w:pPr>
            <w:r>
              <w:rPr>
                <w:rFonts w:hint="eastAsia" w:ascii="宋体" w:hAnsi="宋体" w:eastAsia="宋体" w:cs="宋体"/>
                <w:kern w:val="0"/>
                <w:sz w:val="21"/>
                <w:szCs w:val="21"/>
                <w:highlight w:val="none"/>
                <w:lang w:val="en-US" w:eastAsia="zh-CN" w:bidi="ar"/>
              </w:rPr>
              <w:t>起升电机（永磁）</w:t>
            </w:r>
          </w:p>
        </w:tc>
        <w:tc>
          <w:tcPr>
            <w:tcW w:w="4781" w:type="dxa"/>
            <w:tcBorders>
              <w:top w:val="single" w:color="000000" w:sz="4" w:space="0"/>
              <w:left w:val="single" w:color="000000" w:sz="4" w:space="0"/>
              <w:bottom w:val="single" w:color="000000" w:sz="4" w:space="0"/>
              <w:right w:val="single" w:color="auto" w:sz="4" w:space="0"/>
            </w:tcBorders>
            <w:shd w:val="clear" w:color="auto" w:fill="auto"/>
            <w:noWrap/>
            <w:tcMar>
              <w:top w:w="10" w:type="dxa"/>
              <w:left w:w="10" w:type="dxa"/>
              <w:right w:w="10" w:type="dxa"/>
            </w:tcMar>
            <w:vAlign w:val="center"/>
          </w:tcPr>
          <w:p w14:paraId="0359B0FC">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rPr>
              <w:t>≥</w:t>
            </w:r>
            <w:r>
              <w:rPr>
                <w:rFonts w:hint="eastAsia" w:ascii="宋体" w:hAnsi="宋体" w:eastAsia="宋体" w:cs="宋体"/>
                <w:sz w:val="21"/>
                <w:szCs w:val="21"/>
                <w:highlight w:val="none"/>
                <w:lang w:val="en-US" w:eastAsia="zh-CN" w:bidi="ar"/>
              </w:rPr>
              <w:t>24V/3.5KW</w:t>
            </w:r>
          </w:p>
        </w:tc>
      </w:tr>
      <w:tr w14:paraId="7A86AC34">
        <w:tblPrEx>
          <w:tblCellMar>
            <w:top w:w="0" w:type="dxa"/>
            <w:left w:w="0" w:type="dxa"/>
            <w:bottom w:w="0" w:type="dxa"/>
            <w:right w:w="0" w:type="dxa"/>
          </w:tblCellMar>
        </w:tblPrEx>
        <w:trPr>
          <w:trHeight w:val="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61DD075">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eastAsia="zh-CN" w:bidi="ar"/>
              </w:rPr>
            </w:pPr>
            <w:r>
              <w:rPr>
                <w:rFonts w:hint="eastAsia" w:ascii="宋体" w:hAnsi="宋体" w:eastAsia="宋体" w:cs="宋体"/>
                <w:kern w:val="0"/>
                <w:sz w:val="21"/>
                <w:szCs w:val="21"/>
                <w:highlight w:val="none"/>
                <w:lang w:val="en-US" w:eastAsia="zh-CN" w:bidi="ar"/>
              </w:rPr>
              <w:t>9</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6DC4C14">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sz w:val="21"/>
                <w:szCs w:val="21"/>
                <w:highlight w:val="none"/>
                <w:lang w:val="en-US" w:eastAsia="zh-CN" w:bidi="ar"/>
              </w:rPr>
            </w:pPr>
            <w:r>
              <w:rPr>
                <w:rFonts w:hint="eastAsia" w:ascii="宋体" w:hAnsi="宋体" w:eastAsia="宋体" w:cs="宋体"/>
                <w:kern w:val="0"/>
                <w:sz w:val="21"/>
                <w:szCs w:val="21"/>
                <w:highlight w:val="none"/>
                <w:lang w:val="en-US" w:eastAsia="zh-CN" w:bidi="ar"/>
              </w:rPr>
              <w:t>机器运行速度（起升）</w:t>
            </w:r>
          </w:p>
        </w:tc>
        <w:tc>
          <w:tcPr>
            <w:tcW w:w="4781" w:type="dxa"/>
            <w:tcBorders>
              <w:top w:val="single" w:color="000000" w:sz="4" w:space="0"/>
              <w:left w:val="single" w:color="000000" w:sz="4" w:space="0"/>
              <w:bottom w:val="single" w:color="000000" w:sz="4" w:space="0"/>
              <w:right w:val="single" w:color="auto" w:sz="4" w:space="0"/>
            </w:tcBorders>
            <w:shd w:val="clear" w:color="auto" w:fill="auto"/>
            <w:noWrap/>
            <w:tcMar>
              <w:top w:w="10" w:type="dxa"/>
              <w:left w:w="10" w:type="dxa"/>
              <w:right w:w="10" w:type="dxa"/>
            </w:tcMar>
            <w:vAlign w:val="center"/>
          </w:tcPr>
          <w:p w14:paraId="2583138C">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rPr>
              <w:t>≥</w:t>
            </w:r>
            <w:r>
              <w:rPr>
                <w:rFonts w:hint="eastAsia" w:ascii="宋体" w:hAnsi="宋体" w:eastAsia="宋体" w:cs="宋体"/>
                <w:sz w:val="21"/>
                <w:szCs w:val="21"/>
                <w:highlight w:val="none"/>
                <w:lang w:val="en-US" w:eastAsia="zh-CN" w:bidi="ar"/>
              </w:rPr>
              <w:t>0.8Km/h</w:t>
            </w:r>
          </w:p>
        </w:tc>
      </w:tr>
      <w:tr w14:paraId="53C2BEF8">
        <w:tblPrEx>
          <w:tblCellMar>
            <w:top w:w="0" w:type="dxa"/>
            <w:left w:w="0" w:type="dxa"/>
            <w:bottom w:w="0" w:type="dxa"/>
            <w:right w:w="0" w:type="dxa"/>
          </w:tblCellMar>
        </w:tblPrEx>
        <w:trPr>
          <w:trHeight w:val="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5C2CE69">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eastAsia="zh-CN" w:bidi="ar"/>
              </w:rPr>
            </w:pPr>
            <w:r>
              <w:rPr>
                <w:rFonts w:hint="eastAsia" w:ascii="宋体" w:hAnsi="宋体" w:eastAsia="宋体" w:cs="宋体"/>
                <w:kern w:val="0"/>
                <w:sz w:val="21"/>
                <w:szCs w:val="21"/>
                <w:highlight w:val="none"/>
                <w:lang w:bidi="ar"/>
              </w:rPr>
              <w:t>1</w:t>
            </w:r>
            <w:r>
              <w:rPr>
                <w:rFonts w:hint="eastAsia" w:ascii="宋体" w:hAnsi="宋体" w:eastAsia="宋体" w:cs="宋体"/>
                <w:kern w:val="0"/>
                <w:sz w:val="21"/>
                <w:szCs w:val="21"/>
                <w:highlight w:val="none"/>
                <w:lang w:val="en-US" w:eastAsia="zh-CN" w:bidi="ar"/>
              </w:rPr>
              <w:t>0</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36AD954">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sz w:val="21"/>
                <w:szCs w:val="21"/>
                <w:highlight w:val="none"/>
                <w:lang w:bidi="ar"/>
              </w:rPr>
            </w:pPr>
            <w:r>
              <w:rPr>
                <w:rFonts w:hint="eastAsia" w:ascii="宋体" w:hAnsi="宋体" w:eastAsia="宋体" w:cs="宋体"/>
                <w:kern w:val="0"/>
                <w:sz w:val="21"/>
                <w:szCs w:val="21"/>
                <w:highlight w:val="none"/>
                <w:lang w:val="en-US" w:eastAsia="zh-CN" w:bidi="ar"/>
              </w:rPr>
              <w:t>机器行驶速度</w:t>
            </w:r>
          </w:p>
        </w:tc>
        <w:tc>
          <w:tcPr>
            <w:tcW w:w="4781" w:type="dxa"/>
            <w:tcBorders>
              <w:top w:val="single" w:color="000000" w:sz="4" w:space="0"/>
              <w:left w:val="single" w:color="000000" w:sz="4" w:space="0"/>
              <w:bottom w:val="single" w:color="000000" w:sz="4" w:space="0"/>
              <w:right w:val="single" w:color="auto" w:sz="4" w:space="0"/>
            </w:tcBorders>
            <w:shd w:val="clear" w:color="auto" w:fill="auto"/>
            <w:noWrap/>
            <w:tcMar>
              <w:top w:w="10" w:type="dxa"/>
              <w:left w:w="10" w:type="dxa"/>
              <w:right w:w="10" w:type="dxa"/>
            </w:tcMar>
            <w:vAlign w:val="center"/>
          </w:tcPr>
          <w:p w14:paraId="0A10FCC7">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eastAsia="en-US" w:bidi="ar"/>
              </w:rPr>
            </w:pPr>
            <w:r>
              <w:rPr>
                <w:rFonts w:hint="eastAsia" w:ascii="宋体" w:hAnsi="宋体" w:eastAsia="宋体" w:cs="宋体"/>
                <w:kern w:val="0"/>
                <w:sz w:val="21"/>
                <w:szCs w:val="21"/>
                <w:highlight w:val="none"/>
                <w:lang w:val="en-US" w:eastAsia="zh-CN"/>
              </w:rPr>
              <w:t>≥</w:t>
            </w:r>
            <w:r>
              <w:rPr>
                <w:rFonts w:hint="eastAsia" w:ascii="宋体" w:hAnsi="宋体" w:eastAsia="宋体" w:cs="宋体"/>
                <w:sz w:val="21"/>
                <w:szCs w:val="21"/>
                <w:highlight w:val="none"/>
                <w:lang w:val="en-US" w:eastAsia="zh-CN" w:bidi="ar"/>
              </w:rPr>
              <w:t>3Km/h</w:t>
            </w:r>
          </w:p>
        </w:tc>
      </w:tr>
      <w:tr w14:paraId="6C302DF9">
        <w:tblPrEx>
          <w:tblCellMar>
            <w:top w:w="0" w:type="dxa"/>
            <w:left w:w="0" w:type="dxa"/>
            <w:bottom w:w="0" w:type="dxa"/>
            <w:right w:w="0" w:type="dxa"/>
          </w:tblCellMar>
        </w:tblPrEx>
        <w:trPr>
          <w:trHeight w:val="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7D8EA6B">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eastAsia="zh-CN" w:bidi="ar"/>
              </w:rPr>
            </w:pPr>
            <w:r>
              <w:rPr>
                <w:rFonts w:hint="eastAsia" w:ascii="宋体" w:hAnsi="宋体" w:eastAsia="宋体" w:cs="宋体"/>
                <w:kern w:val="0"/>
                <w:sz w:val="21"/>
                <w:szCs w:val="21"/>
                <w:highlight w:val="none"/>
                <w:lang w:bidi="ar"/>
              </w:rPr>
              <w:t>1</w:t>
            </w:r>
            <w:r>
              <w:rPr>
                <w:rFonts w:hint="eastAsia" w:ascii="宋体" w:hAnsi="宋体" w:eastAsia="宋体" w:cs="宋体"/>
                <w:kern w:val="0"/>
                <w:sz w:val="21"/>
                <w:szCs w:val="21"/>
                <w:highlight w:val="none"/>
                <w:lang w:val="en-US" w:eastAsia="zh-CN" w:bidi="ar"/>
              </w:rPr>
              <w:t>1</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7D2EBA7">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sz w:val="21"/>
                <w:szCs w:val="21"/>
                <w:highlight w:val="none"/>
                <w:lang w:val="en-US" w:eastAsia="zh-CN" w:bidi="ar"/>
              </w:rPr>
            </w:pPr>
            <w:r>
              <w:rPr>
                <w:rFonts w:hint="eastAsia" w:ascii="宋体" w:hAnsi="宋体" w:eastAsia="宋体" w:cs="宋体"/>
                <w:kern w:val="0"/>
                <w:sz w:val="21"/>
                <w:szCs w:val="21"/>
                <w:highlight w:val="none"/>
                <w:lang w:val="en-US" w:eastAsia="zh-CN" w:bidi="ar"/>
              </w:rPr>
              <w:t>最小转弯半径</w:t>
            </w:r>
          </w:p>
        </w:tc>
        <w:tc>
          <w:tcPr>
            <w:tcW w:w="4781" w:type="dxa"/>
            <w:tcBorders>
              <w:top w:val="single" w:color="000000" w:sz="4" w:space="0"/>
              <w:left w:val="single" w:color="000000" w:sz="4" w:space="0"/>
              <w:bottom w:val="single" w:color="000000" w:sz="4" w:space="0"/>
              <w:right w:val="single" w:color="auto" w:sz="4" w:space="0"/>
            </w:tcBorders>
            <w:shd w:val="clear" w:color="auto" w:fill="auto"/>
            <w:noWrap/>
            <w:tcMar>
              <w:top w:w="10" w:type="dxa"/>
              <w:left w:w="10" w:type="dxa"/>
              <w:right w:w="10" w:type="dxa"/>
            </w:tcMar>
            <w:vAlign w:val="center"/>
          </w:tcPr>
          <w:p w14:paraId="005DFE1B">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eastAsia="en-US" w:bidi="ar"/>
              </w:rPr>
            </w:pPr>
            <w:r>
              <w:rPr>
                <w:rFonts w:hint="eastAsia" w:ascii="宋体" w:hAnsi="宋体" w:eastAsia="宋体" w:cs="宋体"/>
                <w:sz w:val="21"/>
                <w:szCs w:val="21"/>
                <w:highlight w:val="none"/>
                <w:lang w:bidi="ar"/>
              </w:rPr>
              <w:t>≤2</w:t>
            </w:r>
            <w:r>
              <w:rPr>
                <w:rFonts w:hint="eastAsia" w:ascii="宋体" w:hAnsi="宋体" w:eastAsia="宋体" w:cs="宋体"/>
                <w:sz w:val="21"/>
                <w:szCs w:val="21"/>
                <w:highlight w:val="none"/>
                <w:lang w:val="en-US" w:eastAsia="zh-CN" w:bidi="ar"/>
              </w:rPr>
              <w:t>2</w:t>
            </w:r>
            <w:r>
              <w:rPr>
                <w:rFonts w:hint="eastAsia" w:ascii="宋体" w:hAnsi="宋体" w:eastAsia="宋体" w:cs="宋体"/>
                <w:sz w:val="21"/>
                <w:szCs w:val="21"/>
                <w:highlight w:val="none"/>
                <w:lang w:bidi="ar"/>
              </w:rPr>
              <w:t>00mm</w:t>
            </w:r>
          </w:p>
        </w:tc>
      </w:tr>
      <w:tr w14:paraId="7BE73358">
        <w:tblPrEx>
          <w:tblCellMar>
            <w:top w:w="0" w:type="dxa"/>
            <w:left w:w="0" w:type="dxa"/>
            <w:bottom w:w="0" w:type="dxa"/>
            <w:right w:w="0" w:type="dxa"/>
          </w:tblCellMar>
        </w:tblPrEx>
        <w:trPr>
          <w:trHeight w:val="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A984CB5">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eastAsia="zh-CN" w:bidi="ar"/>
              </w:rPr>
            </w:pPr>
            <w:r>
              <w:rPr>
                <w:rFonts w:hint="eastAsia" w:ascii="宋体" w:hAnsi="宋体" w:eastAsia="宋体" w:cs="宋体"/>
                <w:kern w:val="0"/>
                <w:sz w:val="21"/>
                <w:szCs w:val="21"/>
                <w:highlight w:val="none"/>
                <w:lang w:bidi="ar"/>
              </w:rPr>
              <w:t>1</w:t>
            </w:r>
            <w:r>
              <w:rPr>
                <w:rFonts w:hint="eastAsia" w:ascii="宋体" w:hAnsi="宋体" w:eastAsia="宋体" w:cs="宋体"/>
                <w:kern w:val="0"/>
                <w:sz w:val="21"/>
                <w:szCs w:val="21"/>
                <w:highlight w:val="none"/>
                <w:lang w:val="en-US" w:eastAsia="zh-CN" w:bidi="ar"/>
              </w:rPr>
              <w:t>2</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F3B7EC2">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sz w:val="21"/>
                <w:szCs w:val="21"/>
                <w:highlight w:val="none"/>
                <w:lang w:val="en-US" w:eastAsia="zh-CN" w:bidi="ar"/>
              </w:rPr>
            </w:pPr>
            <w:r>
              <w:rPr>
                <w:rFonts w:hint="eastAsia" w:ascii="宋体" w:hAnsi="宋体" w:eastAsia="宋体" w:cs="宋体"/>
                <w:kern w:val="0"/>
                <w:sz w:val="21"/>
                <w:szCs w:val="21"/>
                <w:highlight w:val="none"/>
                <w:lang w:val="en-US" w:eastAsia="zh-CN" w:bidi="ar"/>
              </w:rPr>
              <w:t>蓄电池电压/容量</w:t>
            </w:r>
          </w:p>
        </w:tc>
        <w:tc>
          <w:tcPr>
            <w:tcW w:w="4781" w:type="dxa"/>
            <w:tcBorders>
              <w:top w:val="single" w:color="000000" w:sz="4" w:space="0"/>
              <w:left w:val="single" w:color="000000" w:sz="4" w:space="0"/>
              <w:bottom w:val="single" w:color="000000" w:sz="4" w:space="0"/>
              <w:right w:val="single" w:color="auto" w:sz="4" w:space="0"/>
            </w:tcBorders>
            <w:shd w:val="clear" w:color="auto" w:fill="auto"/>
            <w:noWrap/>
            <w:tcMar>
              <w:top w:w="10" w:type="dxa"/>
              <w:left w:w="10" w:type="dxa"/>
              <w:right w:w="10" w:type="dxa"/>
            </w:tcMar>
            <w:vAlign w:val="center"/>
          </w:tcPr>
          <w:p w14:paraId="27C93AC1">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rPr>
              <w:t>≥</w:t>
            </w:r>
            <w:r>
              <w:rPr>
                <w:rFonts w:hint="eastAsia" w:ascii="宋体" w:hAnsi="宋体" w:eastAsia="宋体" w:cs="宋体"/>
                <w:sz w:val="21"/>
                <w:szCs w:val="21"/>
                <w:highlight w:val="none"/>
                <w:lang w:val="en-US" w:eastAsia="zh-CN" w:bidi="ar"/>
              </w:rPr>
              <w:t>4*6VV/240AH</w:t>
            </w:r>
          </w:p>
        </w:tc>
      </w:tr>
      <w:tr w14:paraId="27FDB724">
        <w:tblPrEx>
          <w:tblCellMar>
            <w:top w:w="0" w:type="dxa"/>
            <w:left w:w="0" w:type="dxa"/>
            <w:bottom w:w="0" w:type="dxa"/>
            <w:right w:w="0" w:type="dxa"/>
          </w:tblCellMar>
        </w:tblPrEx>
        <w:trPr>
          <w:trHeight w:val="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8CCAB46">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eastAsia="zh-CN" w:bidi="ar"/>
              </w:rPr>
            </w:pPr>
            <w:r>
              <w:rPr>
                <w:rFonts w:hint="eastAsia" w:ascii="宋体" w:hAnsi="宋体" w:eastAsia="宋体" w:cs="宋体"/>
                <w:kern w:val="0"/>
                <w:sz w:val="21"/>
                <w:szCs w:val="21"/>
                <w:highlight w:val="none"/>
                <w:lang w:bidi="ar"/>
              </w:rPr>
              <w:t>1</w:t>
            </w:r>
            <w:r>
              <w:rPr>
                <w:rFonts w:hint="eastAsia" w:ascii="宋体" w:hAnsi="宋体" w:eastAsia="宋体" w:cs="宋体"/>
                <w:kern w:val="0"/>
                <w:sz w:val="21"/>
                <w:szCs w:val="21"/>
                <w:highlight w:val="none"/>
                <w:lang w:val="en-US" w:eastAsia="zh-CN" w:bidi="ar"/>
              </w:rPr>
              <w:t>3</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E6F24F6">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sz w:val="21"/>
                <w:szCs w:val="21"/>
                <w:highlight w:val="none"/>
                <w:lang w:eastAsia="zh-CN" w:bidi="ar"/>
              </w:rPr>
            </w:pPr>
            <w:r>
              <w:rPr>
                <w:rFonts w:hint="eastAsia" w:ascii="宋体" w:hAnsi="宋体" w:eastAsia="宋体" w:cs="宋体"/>
                <w:kern w:val="0"/>
                <w:sz w:val="21"/>
                <w:szCs w:val="21"/>
                <w:highlight w:val="none"/>
                <w:lang w:val="en-US" w:eastAsia="zh-CN" w:bidi="ar"/>
              </w:rPr>
              <w:t>充电机</w:t>
            </w:r>
          </w:p>
        </w:tc>
        <w:tc>
          <w:tcPr>
            <w:tcW w:w="4781" w:type="dxa"/>
            <w:tcBorders>
              <w:top w:val="single" w:color="000000" w:sz="4" w:space="0"/>
              <w:left w:val="single" w:color="000000" w:sz="4" w:space="0"/>
              <w:bottom w:val="single" w:color="000000" w:sz="4" w:space="0"/>
              <w:right w:val="single" w:color="auto" w:sz="4" w:space="0"/>
            </w:tcBorders>
            <w:shd w:val="clear" w:color="auto" w:fill="auto"/>
            <w:noWrap/>
            <w:tcMar>
              <w:top w:w="10" w:type="dxa"/>
              <w:left w:w="10" w:type="dxa"/>
              <w:right w:w="10" w:type="dxa"/>
            </w:tcMar>
            <w:vAlign w:val="center"/>
          </w:tcPr>
          <w:p w14:paraId="2AFD6A60">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lang w:val="en-US" w:eastAsia="zh-CN" w:bidi="ar"/>
              </w:rPr>
              <w:t>24V/36A</w:t>
            </w:r>
          </w:p>
        </w:tc>
      </w:tr>
      <w:tr w14:paraId="76E6F990">
        <w:tblPrEx>
          <w:tblCellMar>
            <w:top w:w="0" w:type="dxa"/>
            <w:left w:w="0" w:type="dxa"/>
            <w:bottom w:w="0" w:type="dxa"/>
            <w:right w:w="0" w:type="dxa"/>
          </w:tblCellMar>
        </w:tblPrEx>
        <w:trPr>
          <w:trHeight w:val="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0C32D80">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bidi="ar"/>
              </w:rPr>
              <w:t>1</w:t>
            </w:r>
            <w:r>
              <w:rPr>
                <w:rFonts w:hint="eastAsia" w:ascii="宋体" w:hAnsi="宋体" w:eastAsia="宋体" w:cs="宋体"/>
                <w:kern w:val="0"/>
                <w:sz w:val="21"/>
                <w:szCs w:val="21"/>
                <w:highlight w:val="none"/>
                <w:lang w:val="en-US" w:eastAsia="zh-CN" w:bidi="ar"/>
              </w:rPr>
              <w:t>4</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3A58811">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最大爬坡能力</w:t>
            </w:r>
          </w:p>
        </w:tc>
        <w:tc>
          <w:tcPr>
            <w:tcW w:w="4781" w:type="dxa"/>
            <w:tcBorders>
              <w:top w:val="single" w:color="000000" w:sz="4" w:space="0"/>
              <w:left w:val="single" w:color="000000" w:sz="4" w:space="0"/>
              <w:bottom w:val="single" w:color="000000" w:sz="4" w:space="0"/>
              <w:right w:val="single" w:color="auto" w:sz="4" w:space="0"/>
            </w:tcBorders>
            <w:shd w:val="clear" w:color="auto" w:fill="auto"/>
            <w:noWrap/>
            <w:tcMar>
              <w:top w:w="10" w:type="dxa"/>
              <w:left w:w="10" w:type="dxa"/>
              <w:right w:w="10" w:type="dxa"/>
            </w:tcMar>
            <w:vAlign w:val="center"/>
          </w:tcPr>
          <w:p w14:paraId="541F95F7">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lang w:val="en-US" w:eastAsia="zh-CN" w:bidi="ar"/>
              </w:rPr>
              <w:t>25%</w:t>
            </w:r>
          </w:p>
        </w:tc>
      </w:tr>
      <w:tr w14:paraId="4633D3B0">
        <w:tblPrEx>
          <w:tblCellMar>
            <w:top w:w="0" w:type="dxa"/>
            <w:left w:w="0" w:type="dxa"/>
            <w:bottom w:w="0" w:type="dxa"/>
            <w:right w:w="0" w:type="dxa"/>
          </w:tblCellMar>
        </w:tblPrEx>
        <w:trPr>
          <w:trHeight w:val="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7EF0626">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eastAsia="zh-CN" w:bidi="ar"/>
              </w:rPr>
            </w:pPr>
            <w:r>
              <w:rPr>
                <w:rFonts w:hint="eastAsia" w:ascii="宋体" w:hAnsi="宋体" w:eastAsia="宋体" w:cs="宋体"/>
                <w:kern w:val="0"/>
                <w:sz w:val="21"/>
                <w:szCs w:val="21"/>
                <w:highlight w:val="none"/>
                <w:lang w:bidi="ar"/>
              </w:rPr>
              <w:t>1</w:t>
            </w:r>
            <w:r>
              <w:rPr>
                <w:rFonts w:hint="eastAsia" w:ascii="宋体" w:hAnsi="宋体" w:eastAsia="宋体" w:cs="宋体"/>
                <w:kern w:val="0"/>
                <w:sz w:val="21"/>
                <w:szCs w:val="21"/>
                <w:highlight w:val="none"/>
                <w:lang w:val="en-US" w:eastAsia="zh-CN" w:bidi="ar"/>
              </w:rPr>
              <w:t>5</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876A955">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eastAsia="en-US" w:bidi="ar"/>
              </w:rPr>
            </w:pPr>
            <w:r>
              <w:rPr>
                <w:rFonts w:hint="eastAsia" w:ascii="宋体" w:hAnsi="宋体" w:eastAsia="宋体" w:cs="宋体"/>
                <w:kern w:val="0"/>
                <w:sz w:val="21"/>
                <w:szCs w:val="21"/>
                <w:highlight w:val="none"/>
                <w:lang w:eastAsia="en-US" w:bidi="ar"/>
              </w:rPr>
              <w:t>轮胎</w:t>
            </w:r>
          </w:p>
        </w:tc>
        <w:tc>
          <w:tcPr>
            <w:tcW w:w="4781" w:type="dxa"/>
            <w:tcBorders>
              <w:top w:val="single" w:color="000000" w:sz="4" w:space="0"/>
              <w:left w:val="single" w:color="000000" w:sz="4" w:space="0"/>
              <w:bottom w:val="single" w:color="000000" w:sz="4" w:space="0"/>
              <w:right w:val="single" w:color="auto" w:sz="4" w:space="0"/>
            </w:tcBorders>
            <w:shd w:val="clear" w:color="auto" w:fill="auto"/>
            <w:noWrap/>
            <w:tcMar>
              <w:top w:w="10" w:type="dxa"/>
              <w:left w:w="10" w:type="dxa"/>
              <w:right w:w="10" w:type="dxa"/>
            </w:tcMar>
            <w:vAlign w:val="center"/>
          </w:tcPr>
          <w:p w14:paraId="470D81C9">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eastAsia="en-US" w:bidi="ar"/>
              </w:rPr>
            </w:pPr>
            <w:r>
              <w:rPr>
                <w:rFonts w:hint="eastAsia" w:ascii="宋体" w:hAnsi="宋体" w:eastAsia="宋体" w:cs="宋体"/>
                <w:kern w:val="0"/>
                <w:sz w:val="21"/>
                <w:szCs w:val="21"/>
                <w:highlight w:val="none"/>
                <w:lang w:eastAsia="en-US" w:bidi="ar"/>
              </w:rPr>
              <w:t>前后轮实心胎</w:t>
            </w:r>
          </w:p>
        </w:tc>
      </w:tr>
      <w:tr w14:paraId="050F0319">
        <w:tblPrEx>
          <w:tblCellMar>
            <w:top w:w="0" w:type="dxa"/>
            <w:left w:w="0" w:type="dxa"/>
            <w:bottom w:w="0" w:type="dxa"/>
            <w:right w:w="0" w:type="dxa"/>
          </w:tblCellMar>
        </w:tblPrEx>
        <w:trPr>
          <w:trHeight w:val="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E5AD1A4">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eastAsia="zh-CN" w:bidi="ar"/>
              </w:rPr>
            </w:pPr>
            <w:r>
              <w:rPr>
                <w:rFonts w:hint="eastAsia" w:ascii="宋体" w:hAnsi="宋体" w:eastAsia="宋体" w:cs="宋体"/>
                <w:kern w:val="0"/>
                <w:sz w:val="21"/>
                <w:szCs w:val="21"/>
                <w:highlight w:val="none"/>
                <w:lang w:bidi="ar"/>
              </w:rPr>
              <w:t>1</w:t>
            </w:r>
            <w:r>
              <w:rPr>
                <w:rFonts w:hint="eastAsia" w:ascii="宋体" w:hAnsi="宋体" w:eastAsia="宋体" w:cs="宋体"/>
                <w:kern w:val="0"/>
                <w:sz w:val="21"/>
                <w:szCs w:val="21"/>
                <w:highlight w:val="none"/>
                <w:lang w:val="en-US" w:eastAsia="zh-CN" w:bidi="ar"/>
              </w:rPr>
              <w:t>6</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7F9C3A3">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工作最大允许角度</w:t>
            </w:r>
          </w:p>
        </w:tc>
        <w:tc>
          <w:tcPr>
            <w:tcW w:w="4781" w:type="dxa"/>
            <w:tcBorders>
              <w:top w:val="single" w:color="000000" w:sz="4" w:space="0"/>
              <w:left w:val="single" w:color="000000" w:sz="4" w:space="0"/>
              <w:bottom w:val="single" w:color="000000" w:sz="4" w:space="0"/>
              <w:right w:val="single" w:color="auto" w:sz="4" w:space="0"/>
            </w:tcBorders>
            <w:shd w:val="clear" w:color="auto" w:fill="auto"/>
            <w:noWrap/>
            <w:tcMar>
              <w:top w:w="10" w:type="dxa"/>
              <w:left w:w="10" w:type="dxa"/>
              <w:right w:w="10" w:type="dxa"/>
            </w:tcMar>
            <w:vAlign w:val="center"/>
          </w:tcPr>
          <w:p w14:paraId="75D3985F">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1.5°/3°</w:t>
            </w:r>
          </w:p>
        </w:tc>
      </w:tr>
      <w:tr w14:paraId="6BCD8021">
        <w:tblPrEx>
          <w:tblCellMar>
            <w:top w:w="0" w:type="dxa"/>
            <w:left w:w="0" w:type="dxa"/>
            <w:bottom w:w="0" w:type="dxa"/>
            <w:right w:w="0" w:type="dxa"/>
          </w:tblCellMar>
        </w:tblPrEx>
        <w:trPr>
          <w:trHeight w:val="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BD4230D">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17</w:t>
            </w:r>
          </w:p>
        </w:tc>
        <w:tc>
          <w:tcPr>
            <w:tcW w:w="252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833EECF">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其他</w:t>
            </w:r>
          </w:p>
        </w:tc>
        <w:tc>
          <w:tcPr>
            <w:tcW w:w="4781" w:type="dxa"/>
            <w:tcBorders>
              <w:top w:val="single" w:color="000000" w:sz="4" w:space="0"/>
              <w:left w:val="single" w:color="000000" w:sz="4" w:space="0"/>
              <w:bottom w:val="single" w:color="000000" w:sz="4" w:space="0"/>
              <w:right w:val="single" w:color="auto" w:sz="4" w:space="0"/>
            </w:tcBorders>
            <w:shd w:val="clear" w:color="auto" w:fill="auto"/>
            <w:noWrap/>
            <w:tcMar>
              <w:top w:w="10" w:type="dxa"/>
              <w:left w:w="10" w:type="dxa"/>
              <w:right w:w="10" w:type="dxa"/>
            </w:tcMar>
            <w:vAlign w:val="center"/>
          </w:tcPr>
          <w:p w14:paraId="5EF053E9">
            <w:pPr>
              <w:keepNext/>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自动刹车系统、紧急下降系统、倾斜保护系统、油缸防爆系统、故障诊断系统、充电保护系统、自动坑洞保护等等安全配置要求。</w:t>
            </w:r>
          </w:p>
        </w:tc>
      </w:tr>
    </w:tbl>
    <w:p w14:paraId="6C747424">
      <w:pPr>
        <w:pStyle w:val="20"/>
        <w:keepLines w:val="0"/>
        <w:wordWrap/>
        <w:overflowPunct/>
        <w:topLinePunct w:val="0"/>
        <w:bidi w:val="0"/>
        <w:spacing w:after="0" w:line="360" w:lineRule="auto"/>
        <w:ind w:firstLine="430" w:firstLineChars="200"/>
        <w:rPr>
          <w:rFonts w:hint="eastAsia" w:ascii="宋体" w:hAnsi="宋体" w:eastAsia="宋体" w:cs="宋体"/>
          <w:b/>
          <w:bCs/>
          <w:spacing w:val="2"/>
          <w:sz w:val="21"/>
          <w:szCs w:val="21"/>
          <w:highlight w:val="none"/>
          <w:lang w:val="en-US" w:eastAsia="zh-CN"/>
        </w:rPr>
      </w:pPr>
      <w:r>
        <w:rPr>
          <w:rFonts w:hint="eastAsia" w:ascii="宋体" w:hAnsi="宋体" w:eastAsia="宋体" w:cs="宋体"/>
          <w:b/>
          <w:bCs/>
          <w:spacing w:val="2"/>
          <w:sz w:val="21"/>
          <w:szCs w:val="21"/>
          <w:highlight w:val="none"/>
          <w:lang w:val="en-US" w:eastAsia="zh-CN"/>
        </w:rPr>
        <w:t>3.电动叉车登记</w:t>
      </w:r>
    </w:p>
    <w:p w14:paraId="50F3A49F">
      <w:pPr>
        <w:pStyle w:val="16"/>
        <w:keepLines w:val="0"/>
        <w:wordWrap/>
        <w:overflowPunct/>
        <w:topLinePunct w:val="0"/>
        <w:bidi w:val="0"/>
        <w:spacing w:line="360" w:lineRule="auto"/>
        <w:ind w:left="0" w:leftChars="0"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pacing w:val="0"/>
          <w:sz w:val="21"/>
          <w:szCs w:val="21"/>
          <w:highlight w:val="none"/>
          <w:lang w:val="en-US" w:eastAsia="zh-CN"/>
        </w:rPr>
        <w:t>供货单位</w:t>
      </w:r>
      <w:r>
        <w:rPr>
          <w:rFonts w:hint="eastAsia" w:ascii="宋体" w:hAnsi="宋体" w:eastAsia="宋体" w:cs="宋体"/>
          <w:b w:val="0"/>
          <w:bCs w:val="0"/>
          <w:spacing w:val="0"/>
          <w:sz w:val="21"/>
          <w:szCs w:val="21"/>
          <w:highlight w:val="none"/>
          <w:lang w:val="en-US" w:eastAsia="en-US"/>
        </w:rPr>
        <w:t>在完成叉车供货</w:t>
      </w:r>
      <w:r>
        <w:rPr>
          <w:rFonts w:hint="eastAsia" w:ascii="宋体" w:hAnsi="宋体" w:eastAsia="宋体" w:cs="宋体"/>
          <w:b w:val="0"/>
          <w:bCs w:val="0"/>
          <w:spacing w:val="0"/>
          <w:sz w:val="21"/>
          <w:szCs w:val="21"/>
          <w:highlight w:val="none"/>
          <w:lang w:val="en-US" w:eastAsia="zh-CN"/>
        </w:rPr>
        <w:t>、</w:t>
      </w:r>
      <w:r>
        <w:rPr>
          <w:rFonts w:hint="eastAsia" w:ascii="宋体" w:hAnsi="宋体" w:eastAsia="宋体" w:cs="宋体"/>
          <w:b w:val="0"/>
          <w:bCs w:val="0"/>
          <w:spacing w:val="0"/>
          <w:sz w:val="21"/>
          <w:szCs w:val="21"/>
          <w:highlight w:val="none"/>
          <w:lang w:val="en-US" w:eastAsia="en-US"/>
        </w:rPr>
        <w:t>调试后，由</w:t>
      </w:r>
      <w:r>
        <w:rPr>
          <w:rFonts w:hint="eastAsia" w:ascii="宋体" w:hAnsi="宋体" w:eastAsia="宋体" w:cs="宋体"/>
          <w:b w:val="0"/>
          <w:bCs w:val="0"/>
          <w:spacing w:val="0"/>
          <w:sz w:val="21"/>
          <w:szCs w:val="21"/>
          <w:highlight w:val="none"/>
          <w:lang w:val="en-US" w:eastAsia="zh-CN"/>
        </w:rPr>
        <w:t>供货单位</w:t>
      </w:r>
      <w:r>
        <w:rPr>
          <w:rFonts w:hint="eastAsia" w:ascii="宋体" w:hAnsi="宋体" w:eastAsia="宋体" w:cs="宋体"/>
          <w:b w:val="0"/>
          <w:bCs w:val="0"/>
          <w:spacing w:val="0"/>
          <w:sz w:val="21"/>
          <w:szCs w:val="21"/>
          <w:highlight w:val="none"/>
          <w:lang w:val="en-US" w:eastAsia="en-US"/>
        </w:rPr>
        <w:t>向</w:t>
      </w:r>
      <w:r>
        <w:rPr>
          <w:rFonts w:hint="eastAsia" w:ascii="宋体" w:hAnsi="宋体" w:eastAsia="宋体" w:cs="宋体"/>
          <w:b w:val="0"/>
          <w:bCs w:val="0"/>
          <w:spacing w:val="0"/>
          <w:sz w:val="21"/>
          <w:szCs w:val="21"/>
          <w:highlight w:val="none"/>
          <w:lang w:val="en-US" w:eastAsia="zh-CN"/>
        </w:rPr>
        <w:t>采购人</w:t>
      </w:r>
      <w:r>
        <w:rPr>
          <w:rFonts w:hint="eastAsia" w:ascii="宋体" w:hAnsi="宋体" w:eastAsia="宋体" w:cs="宋体"/>
          <w:b w:val="0"/>
          <w:bCs w:val="0"/>
          <w:spacing w:val="0"/>
          <w:sz w:val="21"/>
          <w:szCs w:val="21"/>
          <w:highlight w:val="none"/>
          <w:lang w:val="en-US" w:eastAsia="en-US"/>
        </w:rPr>
        <w:t>所在地的相关主管部门提出对设备进行检测的申请，完成对设备进行检测并取得设备使用登记证及上牌，相关手续及其费用含在合同价内。</w:t>
      </w:r>
    </w:p>
    <w:p w14:paraId="643D2825">
      <w:pPr>
        <w:pStyle w:val="17"/>
        <w:keepLines w:val="0"/>
        <w:numPr>
          <w:ilvl w:val="0"/>
          <w:numId w:val="0"/>
        </w:numPr>
        <w:wordWrap/>
        <w:overflowPunct/>
        <w:topLinePunct w:val="0"/>
        <w:bidi w:val="0"/>
        <w:spacing w:line="360" w:lineRule="auto"/>
        <w:ind w:firstLine="422" w:firstLineChars="2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四</w:t>
      </w:r>
      <w:r>
        <w:rPr>
          <w:rFonts w:hint="eastAsia" w:ascii="宋体" w:hAnsi="宋体" w:eastAsia="宋体" w:cs="宋体"/>
          <w:b/>
          <w:bCs/>
          <w:spacing w:val="2"/>
          <w:sz w:val="21"/>
          <w:szCs w:val="21"/>
          <w:highlight w:val="none"/>
          <w:lang w:val="en-US" w:eastAsia="zh-CN"/>
        </w:rPr>
        <w:t>、</w:t>
      </w:r>
      <w:r>
        <w:rPr>
          <w:rFonts w:hint="eastAsia" w:ascii="宋体" w:hAnsi="宋体" w:eastAsia="宋体" w:cs="宋体"/>
          <w:b/>
          <w:bCs/>
          <w:sz w:val="21"/>
          <w:szCs w:val="21"/>
          <w:highlight w:val="none"/>
          <w:lang w:val="en-US" w:eastAsia="zh-CN"/>
        </w:rPr>
        <w:t>资料提交</w:t>
      </w:r>
    </w:p>
    <w:p w14:paraId="6FA3834D">
      <w:pPr>
        <w:keepLines w:val="0"/>
        <w:wordWrap/>
        <w:overflowPunct/>
        <w:topLinePunct w:val="0"/>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供货单位</w:t>
      </w:r>
      <w:r>
        <w:rPr>
          <w:rFonts w:hint="eastAsia" w:ascii="宋体" w:hAnsi="宋体" w:eastAsia="宋体" w:cs="宋体"/>
          <w:sz w:val="21"/>
          <w:szCs w:val="21"/>
          <w:highlight w:val="none"/>
          <w:lang w:val="en-US" w:eastAsia="zh-CN"/>
        </w:rPr>
        <w:t>在设备到货时</w:t>
      </w:r>
      <w:r>
        <w:rPr>
          <w:rFonts w:hint="eastAsia" w:ascii="宋体" w:hAnsi="宋体" w:eastAsia="宋体" w:cs="宋体"/>
          <w:sz w:val="21"/>
          <w:szCs w:val="21"/>
          <w:highlight w:val="none"/>
        </w:rPr>
        <w:t>应向采购人提供但不限于如下技术文件和资料：</w:t>
      </w:r>
    </w:p>
    <w:p w14:paraId="0A0CE24E">
      <w:pPr>
        <w:keepLines w:val="0"/>
        <w:wordWrap/>
        <w:overflowPunct/>
        <w:topLinePunct w:val="0"/>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产品安装、操作和维修保养手册；</w:t>
      </w:r>
    </w:p>
    <w:p w14:paraId="0A9B3143">
      <w:pPr>
        <w:keepLines w:val="0"/>
        <w:wordWrap/>
        <w:overflowPunct/>
        <w:topLinePunct w:val="0"/>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（2）产品使用说明书；</w:t>
      </w:r>
    </w:p>
    <w:p w14:paraId="6E702C86">
      <w:pPr>
        <w:keepLines w:val="0"/>
        <w:wordWrap/>
        <w:overflowPunct/>
        <w:topLinePunct w:val="0"/>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（3）产品出厂检验合格证；</w:t>
      </w:r>
    </w:p>
    <w:p w14:paraId="78E4D379">
      <w:pPr>
        <w:keepLines w:val="0"/>
        <w:wordWrap/>
        <w:overflowPunct/>
        <w:topLinePunct w:val="0"/>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（4）产品到货清单；</w:t>
      </w:r>
    </w:p>
    <w:p w14:paraId="7089B9B0">
      <w:pPr>
        <w:keepLines w:val="0"/>
        <w:wordWrap/>
        <w:overflowPunct/>
        <w:topLinePunct w:val="0"/>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（5）产品保修证明；</w:t>
      </w:r>
    </w:p>
    <w:p w14:paraId="565B84A4">
      <w:pPr>
        <w:keepLines w:val="0"/>
        <w:numPr>
          <w:ilvl w:val="0"/>
          <w:numId w:val="0"/>
        </w:numPr>
        <w:wordWrap/>
        <w:overflowPunct/>
        <w:topLinePunct w:val="0"/>
        <w:bidi w:val="0"/>
        <w:spacing w:line="360" w:lineRule="auto"/>
        <w:ind w:firstLine="430" w:firstLineChars="200"/>
        <w:outlineLvl w:val="9"/>
        <w:rPr>
          <w:rFonts w:hint="eastAsia" w:ascii="宋体" w:hAnsi="宋体" w:eastAsia="宋体" w:cs="宋体"/>
          <w:b/>
          <w:bCs/>
          <w:snapToGrid w:val="0"/>
          <w:color w:val="000000"/>
          <w:sz w:val="21"/>
          <w:szCs w:val="21"/>
          <w:highlight w:val="none"/>
          <w:lang w:val="en-US" w:eastAsia="zh-CN" w:bidi="ar-SA"/>
        </w:rPr>
      </w:pPr>
      <w:r>
        <w:rPr>
          <w:rFonts w:hint="eastAsia" w:ascii="宋体" w:hAnsi="宋体" w:eastAsia="宋体" w:cs="宋体"/>
          <w:b/>
          <w:bCs/>
          <w:snapToGrid w:val="0"/>
          <w:color w:val="000000"/>
          <w:spacing w:val="2"/>
          <w:sz w:val="21"/>
          <w:szCs w:val="21"/>
          <w:highlight w:val="none"/>
          <w:lang w:val="en-US" w:eastAsia="zh-CN" w:bidi="ar-SA"/>
        </w:rPr>
        <w:t>五、</w:t>
      </w:r>
      <w:r>
        <w:rPr>
          <w:rFonts w:hint="eastAsia" w:ascii="宋体" w:hAnsi="宋体" w:eastAsia="宋体" w:cs="宋体"/>
          <w:b/>
          <w:bCs/>
          <w:snapToGrid w:val="0"/>
          <w:color w:val="000000"/>
          <w:sz w:val="21"/>
          <w:szCs w:val="21"/>
          <w:highlight w:val="none"/>
          <w:lang w:val="en-US" w:eastAsia="zh-CN" w:bidi="ar-SA"/>
        </w:rPr>
        <w:t>货物验收</w:t>
      </w:r>
    </w:p>
    <w:p w14:paraId="34593CEC">
      <w:pPr>
        <w:keepLines w:val="0"/>
        <w:wordWrap/>
        <w:overflowPunct/>
        <w:topLinePunct w:val="0"/>
        <w:bidi w:val="0"/>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1.验收标准为货到之后的最终验收，具体为货物到达交货地点后，采购人（含采购人委托的第三方）、供货单位代表共同验货。采购人按照本合同及用户需求书、国家相关法律法规以及规范的要求等相关的规定，对货物的品种、品牌、产地、型号规格、数量、外观质量、资料进行清点和全面的检验，并作详细的记录。 </w:t>
      </w:r>
    </w:p>
    <w:p w14:paraId="0FCE1B18">
      <w:pPr>
        <w:keepLines w:val="0"/>
        <w:wordWrap/>
        <w:overflowPunct/>
        <w:topLinePunct w:val="0"/>
        <w:bidi w:val="0"/>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如发现货物的品种、品牌、产地、型号规格、数量、外观质量、资料与合同不符，或货物短缺、质次、损坏等问题，应作详细记录，采购人可拒绝收货，或由供货单位在采购人规定的时间内立即、无条件为采购人调换或补齐，但交货时间不予顺延，调换或补齐后的货物，采购人有权按照本条有关验收的规定进行验收，由此产生的制造、修理和运费及保险费等费用均应由供货单位或其他责任方负担，与采购人无关。</w:t>
      </w:r>
    </w:p>
    <w:p w14:paraId="1D2D0EF2">
      <w:pPr>
        <w:keepLines w:val="0"/>
        <w:wordWrap/>
        <w:overflowPunct/>
        <w:topLinePunct w:val="0"/>
        <w:bidi w:val="0"/>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3.清点和检验合格后，采购人出具相关签收手续并由采购人、供货单位双方书面确认验收结果。</w:t>
      </w:r>
    </w:p>
    <w:p w14:paraId="3CFE5D50">
      <w:pPr>
        <w:keepLines w:val="0"/>
        <w:wordWrap/>
        <w:overflowPunct/>
        <w:topLinePunct w:val="0"/>
        <w:bidi w:val="0"/>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4.采购人根据本条规定对货物所做出的验收，仅作为起算付款及质保期之用，不为双方对于货物质量的最终认定。货物经验收合格后，供货单位仍应在质保期内对产品质量承担保证责任。</w:t>
      </w:r>
    </w:p>
    <w:p w14:paraId="47E1F490">
      <w:pPr>
        <w:keepLines w:val="0"/>
        <w:wordWrap/>
        <w:overflowPunct/>
        <w:topLinePunct w:val="0"/>
        <w:bidi w:val="0"/>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5.货物在全部经验收合格前，其损耗、毁损、灭失等风险及责任由供货单位承担，如因发生前述情形，导致供货单位所供应的货物不能通过采购人验收的，供货单位应按采购人要求予以更换或退货。</w:t>
      </w:r>
    </w:p>
    <w:p w14:paraId="5E9CE424">
      <w:pPr>
        <w:keepLines w:val="0"/>
        <w:wordWrap/>
        <w:overflowPunct/>
        <w:topLinePunct w:val="0"/>
        <w:bidi w:val="0"/>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6.验收过程中，如对检验记录不能取得一致意见时，一方可委托货物交付地的权威的第三方检验机构联合进行检验。检验结果具有约束力，检验费用由责任方负担。</w:t>
      </w:r>
    </w:p>
    <w:p w14:paraId="172A4956">
      <w:pPr>
        <w:keepLines w:val="0"/>
        <w:widowControl/>
        <w:numPr>
          <w:ilvl w:val="0"/>
          <w:numId w:val="0"/>
        </w:numPr>
        <w:kinsoku/>
        <w:wordWrap/>
        <w:overflowPunct/>
        <w:topLinePunct w:val="0"/>
        <w:autoSpaceDE/>
        <w:autoSpaceDN/>
        <w:bidi w:val="0"/>
        <w:adjustRightInd/>
        <w:snapToGrid/>
        <w:spacing w:line="360" w:lineRule="auto"/>
        <w:ind w:firstLine="430" w:firstLineChars="200"/>
        <w:jc w:val="left"/>
        <w:textAlignment w:val="auto"/>
        <w:rPr>
          <w:rFonts w:hint="eastAsia" w:ascii="宋体" w:hAnsi="宋体" w:eastAsia="宋体" w:cs="宋体"/>
          <w:b/>
          <w:bCs/>
          <w:spacing w:val="2"/>
          <w:sz w:val="21"/>
          <w:szCs w:val="21"/>
          <w:highlight w:val="none"/>
          <w:lang w:val="en-US" w:eastAsia="zh-CN"/>
        </w:rPr>
      </w:pPr>
      <w:r>
        <w:rPr>
          <w:rFonts w:hint="eastAsia" w:ascii="宋体" w:hAnsi="宋体" w:eastAsia="宋体" w:cs="宋体"/>
          <w:b/>
          <w:bCs/>
          <w:spacing w:val="2"/>
          <w:sz w:val="21"/>
          <w:szCs w:val="21"/>
          <w:highlight w:val="none"/>
          <w:lang w:val="en-US" w:eastAsia="zh-CN"/>
        </w:rPr>
        <w:t>六</w:t>
      </w:r>
      <w:r>
        <w:rPr>
          <w:rFonts w:hint="eastAsia" w:ascii="宋体" w:hAnsi="宋体" w:eastAsia="宋体" w:cs="宋体"/>
          <w:color w:val="000000"/>
          <w:sz w:val="21"/>
          <w:szCs w:val="21"/>
          <w:highlight w:val="none"/>
          <w:lang w:val="en-US" w:eastAsia="zh-CN"/>
        </w:rPr>
        <w:t>、</w:t>
      </w:r>
      <w:r>
        <w:rPr>
          <w:rFonts w:hint="eastAsia" w:ascii="宋体" w:hAnsi="宋体" w:eastAsia="宋体" w:cs="宋体"/>
          <w:b/>
          <w:bCs/>
          <w:spacing w:val="2"/>
          <w:sz w:val="21"/>
          <w:szCs w:val="21"/>
          <w:highlight w:val="none"/>
          <w:lang w:val="en-US" w:eastAsia="zh-CN"/>
        </w:rPr>
        <w:t>质保要求</w:t>
      </w:r>
    </w:p>
    <w:p w14:paraId="47F379FC">
      <w:pPr>
        <w:keepLines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sz w:val="21"/>
          <w:szCs w:val="21"/>
          <w:highlight w:val="none"/>
          <w:lang w:val="en-US" w:eastAsia="zh-CN"/>
        </w:rPr>
        <w:t>1.全部货物最终验收合格后，供货单位向采购人免费提供登高车及电动叉车设备本体1年上门保修服务、1年以上设备配套软件免费升级服务（免费升级服务适用于软件产品），免费保修期为1年，同时</w:t>
      </w:r>
      <w:r>
        <w:rPr>
          <w:rFonts w:hint="eastAsia" w:ascii="宋体" w:hAnsi="宋体" w:eastAsia="宋体" w:cs="宋体"/>
          <w:color w:val="000000"/>
          <w:kern w:val="0"/>
          <w:sz w:val="21"/>
          <w:szCs w:val="21"/>
          <w:highlight w:val="none"/>
          <w:lang w:val="en-US" w:eastAsia="zh-CN" w:bidi="ar-SA"/>
        </w:rPr>
        <w:t>锂电池质保期为6年或者运行1.2万小时；保质期内免费提供（人为损坏除外）不限次数上门服务。</w:t>
      </w:r>
    </w:p>
    <w:p w14:paraId="240BD3EE">
      <w:pPr>
        <w:keepLines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2.供货单位在收到采购人服务通知单4小时内完成问题判断，并在24小时内妥善解决。维修时间不计入质保期内。</w:t>
      </w:r>
    </w:p>
    <w:p w14:paraId="68911946">
      <w:pPr>
        <w:keepLines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货物质保期内发生的全部服务费用（含更换零部件、达到本合同相关要求的更换货物或退货）由供货单位承担，包括但不限于由供货单位承担完成货物质量保证期内所有工作而产生的维修费、运费、装卸费、购置费、测试费、人工费、交通费等各项费用（包括进口关税和增值税等）。</w:t>
      </w:r>
    </w:p>
    <w:p w14:paraId="633CE8EA">
      <w:pPr>
        <w:keepLines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4.供货单位未按上述要求提供售后服务的，采购人有权自行要求其他第三方提供相关服务，因此产生的费用以及因供货单位未按约提供售后服务导致的采购人损失全部由供货单位承担。</w:t>
      </w:r>
    </w:p>
    <w:p w14:paraId="6B11D83F">
      <w:pPr>
        <w:keepLines w:val="0"/>
        <w:widowControl/>
        <w:numPr>
          <w:ilvl w:val="0"/>
          <w:numId w:val="0"/>
        </w:numPr>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color w:val="000000"/>
          <w:sz w:val="21"/>
          <w:szCs w:val="21"/>
          <w:highlight w:val="none"/>
          <w:lang w:val="en-US" w:eastAsia="zh-CN"/>
        </w:rPr>
        <w:t>七、</w:t>
      </w:r>
      <w:r>
        <w:rPr>
          <w:rFonts w:hint="eastAsia" w:ascii="宋体" w:hAnsi="宋体" w:eastAsia="宋体" w:cs="宋体"/>
          <w:b/>
          <w:bCs/>
          <w:sz w:val="21"/>
          <w:szCs w:val="21"/>
          <w:highlight w:val="none"/>
          <w:lang w:val="en-US" w:eastAsia="zh-CN"/>
        </w:rPr>
        <w:t>合同支付方式</w:t>
      </w:r>
    </w:p>
    <w:p w14:paraId="786F29DB">
      <w:pPr>
        <w:keepLines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预付款：合同签订后供货单位提交符合采购人要求的请款资料及请款金额对应的增值税专用发票后，采购人在收到前述材料并确认无误后30个工作日内向供货单位支付至合同价的20%及对应增值税税额作为预付款。在后续项目请款时，按实际结算价对已支付的预付金额进行抵扣。</w:t>
      </w:r>
    </w:p>
    <w:p w14:paraId="5B5F88A5">
      <w:pPr>
        <w:pStyle w:val="8"/>
        <w:keepLines w:val="0"/>
        <w:wordWrap/>
        <w:overflowPunct/>
        <w:topLinePunct w:val="0"/>
        <w:bidi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color w:val="000000"/>
          <w:sz w:val="21"/>
          <w:szCs w:val="21"/>
          <w:highlight w:val="none"/>
          <w:lang w:val="en-US" w:eastAsia="zh-CN"/>
        </w:rPr>
        <w:t>验收款：供货单位在完成所有设备供货、且在配合完成电动叉车的特种设备送检及上牌、并经采购人全部验收合后，供货单位提交符合采购人要求的请款资料及请款金额对应的增值税专用发票后，采购人在收到前述材料并确认无误后30个工作日内向供货单位</w:t>
      </w:r>
      <w:r>
        <w:rPr>
          <w:rFonts w:hint="eastAsia" w:ascii="宋体" w:hAnsi="宋体" w:eastAsia="宋体" w:cs="宋体"/>
          <w:sz w:val="21"/>
          <w:szCs w:val="21"/>
          <w:highlight w:val="none"/>
          <w:lang w:val="en-US" w:eastAsia="zh-CN"/>
        </w:rPr>
        <w:t>支付</w:t>
      </w:r>
      <w:r>
        <w:rPr>
          <w:rFonts w:hint="eastAsia" w:ascii="宋体" w:hAnsi="宋体" w:eastAsia="宋体" w:cs="宋体"/>
          <w:color w:val="000000"/>
          <w:sz w:val="21"/>
          <w:szCs w:val="21"/>
          <w:highlight w:val="none"/>
          <w:lang w:val="en-US" w:eastAsia="zh-CN"/>
        </w:rPr>
        <w:t>至合同价的100%及对应增值税税额</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包含已支付的预付款</w:t>
      </w:r>
      <w:r>
        <w:rPr>
          <w:rFonts w:hint="eastAsia" w:ascii="宋体" w:hAnsi="宋体" w:eastAsia="宋体" w:cs="宋体"/>
          <w:sz w:val="21"/>
          <w:szCs w:val="21"/>
          <w:highlight w:val="none"/>
          <w:lang w:eastAsia="zh-CN"/>
        </w:rPr>
        <w:t>）</w:t>
      </w:r>
      <w:r>
        <w:rPr>
          <w:rFonts w:hint="eastAsia" w:ascii="宋体" w:hAnsi="宋体" w:eastAsia="宋体" w:cs="宋体"/>
          <w:color w:val="000000"/>
          <w:sz w:val="21"/>
          <w:szCs w:val="21"/>
          <w:highlight w:val="none"/>
          <w:lang w:val="en-US" w:eastAsia="zh-CN"/>
        </w:rPr>
        <w:t>。</w:t>
      </w:r>
    </w:p>
    <w:p w14:paraId="2862EDF2">
      <w:pPr>
        <w:spacing w:line="360" w:lineRule="auto"/>
        <w:rPr>
          <w:rFonts w:ascii="Times New Roman"/>
          <w:szCs w:val="21"/>
        </w:rPr>
      </w:pPr>
    </w:p>
    <w:bookmarkEnd w:id="6"/>
    <w:bookmarkEnd w:id="7"/>
    <w:bookmarkEnd w:id="8"/>
    <w:p w14:paraId="6BDA0F88">
      <w:pPr>
        <w:rPr>
          <w:rFonts w:hint="eastAsia" w:hAnsi="宋体" w:cs="宋体"/>
          <w:szCs w:val="32"/>
        </w:rPr>
      </w:pPr>
      <w:bookmarkStart w:id="9" w:name="_Toc27990830"/>
      <w:bookmarkStart w:id="10" w:name="_Toc29476692"/>
    </w:p>
    <w:p w14:paraId="1A76E1FB">
      <w:pPr>
        <w:rPr>
          <w:rFonts w:hint="eastAsia" w:hAnsi="宋体" w:cs="宋体"/>
          <w:szCs w:val="32"/>
        </w:rPr>
      </w:pPr>
      <w:r>
        <w:rPr>
          <w:rFonts w:hint="eastAsia" w:hAnsi="宋体" w:cs="宋体"/>
          <w:szCs w:val="32"/>
        </w:rPr>
        <w:br w:type="page"/>
      </w:r>
    </w:p>
    <w:p w14:paraId="17C457CD">
      <w:pPr>
        <w:pStyle w:val="3"/>
        <w:spacing w:before="0" w:after="0"/>
        <w:jc w:val="center"/>
        <w:rPr>
          <w:rFonts w:hAnsi="宋体" w:cs="宋体"/>
          <w:szCs w:val="32"/>
        </w:rPr>
      </w:pPr>
      <w:r>
        <w:rPr>
          <w:rFonts w:hint="eastAsia" w:hAnsi="宋体" w:cs="宋体"/>
          <w:szCs w:val="32"/>
        </w:rPr>
        <w:t>第三章 合同条款</w:t>
      </w:r>
      <w:bookmarkEnd w:id="9"/>
      <w:bookmarkEnd w:id="10"/>
    </w:p>
    <w:p w14:paraId="7AE906E8">
      <w:pPr>
        <w:spacing w:line="360" w:lineRule="auto"/>
        <w:jc w:val="center"/>
        <w:rPr>
          <w:rFonts w:ascii="Times New Roman" w:hAnsi="Times New Roman" w:eastAsia="宋体"/>
          <w:b/>
          <w:color w:val="auto"/>
          <w:highlight w:val="none"/>
        </w:rPr>
      </w:pPr>
      <w:r>
        <w:rPr>
          <w:rFonts w:hint="eastAsia" w:ascii="Times New Roman"/>
          <w:sz w:val="28"/>
          <w:szCs w:val="28"/>
        </w:rPr>
        <w:t xml:space="preserve"> </w:t>
      </w:r>
      <w:r>
        <w:rPr>
          <w:rFonts w:ascii="Times New Roman"/>
          <w:sz w:val="28"/>
          <w:szCs w:val="28"/>
        </w:rPr>
        <w:t xml:space="preserve"> </w:t>
      </w:r>
      <w:r>
        <w:rPr>
          <w:rFonts w:hint="eastAsia"/>
          <w:color w:val="000000" w:themeColor="text1"/>
          <w:lang w:val="en-US" w:eastAsia="zh-CN"/>
          <w14:textFill>
            <w14:solidFill>
              <w14:schemeClr w14:val="tx1"/>
            </w14:solidFill>
          </w14:textFill>
        </w:rPr>
        <w:t xml:space="preserve">                                       </w:t>
      </w:r>
    </w:p>
    <w:p w14:paraId="3FAF0DE2">
      <w:pPr>
        <w:topLinePunct w:val="0"/>
        <w:bidi w:val="0"/>
        <w:spacing w:line="360" w:lineRule="auto"/>
        <w:jc w:val="center"/>
        <w:rPr>
          <w:rFonts w:ascii="Times New Roman" w:hAnsi="Times New Roman" w:eastAsia="宋体"/>
          <w:b/>
          <w:color w:val="auto"/>
          <w:highlight w:val="none"/>
        </w:rPr>
      </w:pPr>
    </w:p>
    <w:p w14:paraId="052E6E83">
      <w:pPr>
        <w:wordWrap w:val="0"/>
        <w:topLinePunct w:val="0"/>
        <w:bidi w:val="0"/>
        <w:spacing w:line="360" w:lineRule="auto"/>
        <w:jc w:val="right"/>
        <w:rPr>
          <w:rFonts w:ascii="Times New Roman" w:hAnsi="Times New Roman" w:eastAsia="宋体"/>
          <w:b/>
          <w:bCs/>
          <w:color w:val="auto"/>
          <w:highlight w:val="none"/>
        </w:rPr>
      </w:pPr>
      <w:r>
        <w:rPr>
          <w:rFonts w:hint="eastAsia" w:ascii="Times New Roman" w:hAnsi="Times New Roman" w:eastAsia="宋体"/>
          <w:color w:val="auto"/>
          <w:sz w:val="28"/>
          <w:szCs w:val="28"/>
          <w:highlight w:val="none"/>
        </w:rPr>
        <w:t xml:space="preserve"> </w:t>
      </w:r>
      <w:r>
        <w:rPr>
          <w:rFonts w:ascii="Times New Roman" w:hAnsi="Times New Roman" w:eastAsia="宋体"/>
          <w:color w:val="auto"/>
          <w:sz w:val="28"/>
          <w:szCs w:val="28"/>
          <w:highlight w:val="none"/>
        </w:rPr>
        <w:t xml:space="preserve"> </w:t>
      </w:r>
      <w:r>
        <w:rPr>
          <w:rFonts w:ascii="Times New Roman" w:hAnsi="Times New Roman" w:eastAsia="宋体"/>
          <w:b/>
          <w:bCs/>
          <w:color w:val="auto"/>
          <w:highlight w:val="none"/>
        </w:rPr>
        <w:t>合同编号：</w:t>
      </w:r>
    </w:p>
    <w:p w14:paraId="6CF7DEAA">
      <w:pPr>
        <w:topLinePunct w:val="0"/>
        <w:bidi w:val="0"/>
        <w:spacing w:line="360" w:lineRule="auto"/>
        <w:ind w:left="-1" w:leftChars="-100" w:hanging="239" w:hangingChars="54"/>
        <w:jc w:val="center"/>
        <w:rPr>
          <w:rFonts w:ascii="Times New Roman" w:hAnsi="Times New Roman" w:eastAsia="宋体"/>
          <w:b/>
          <w:bCs/>
          <w:color w:val="auto"/>
          <w:sz w:val="44"/>
          <w:szCs w:val="44"/>
          <w:highlight w:val="none"/>
        </w:rPr>
      </w:pPr>
    </w:p>
    <w:p w14:paraId="696539FF">
      <w:pPr>
        <w:topLinePunct w:val="0"/>
        <w:bidi w:val="0"/>
        <w:spacing w:line="360" w:lineRule="auto"/>
        <w:jc w:val="center"/>
        <w:outlineLvl w:val="0"/>
        <w:rPr>
          <w:rFonts w:hint="eastAsia" w:ascii="Times New Roman"/>
          <w:b/>
          <w:bCs/>
          <w:color w:val="auto"/>
          <w:sz w:val="48"/>
          <w:szCs w:val="48"/>
          <w:highlight w:val="none"/>
          <w:lang w:eastAsia="zh-CN"/>
        </w:rPr>
      </w:pPr>
      <w:r>
        <w:rPr>
          <w:rFonts w:hint="eastAsia"/>
          <w:b/>
          <w:bCs/>
          <w:color w:val="auto"/>
          <w:sz w:val="48"/>
          <w:szCs w:val="48"/>
          <w:highlight w:val="none"/>
          <w:lang w:eastAsia="zh-CN"/>
        </w:rPr>
        <w:t>东莞市污泥集中处理处置项目电动叉车及登高车采购项目（重新采购）</w:t>
      </w:r>
    </w:p>
    <w:p w14:paraId="7E6F4A55">
      <w:pPr>
        <w:topLinePunct w:val="0"/>
        <w:bidi w:val="0"/>
        <w:spacing w:line="360" w:lineRule="auto"/>
        <w:jc w:val="center"/>
        <w:outlineLvl w:val="0"/>
        <w:rPr>
          <w:rFonts w:hint="eastAsia" w:ascii="Times New Roman"/>
          <w:b/>
          <w:bCs/>
          <w:color w:val="auto"/>
          <w:sz w:val="48"/>
          <w:szCs w:val="48"/>
          <w:highlight w:val="none"/>
          <w:lang w:eastAsia="zh-CN"/>
        </w:rPr>
      </w:pPr>
    </w:p>
    <w:p w14:paraId="7AA73621">
      <w:pPr>
        <w:topLinePunct w:val="0"/>
        <w:bidi w:val="0"/>
        <w:spacing w:line="360" w:lineRule="auto"/>
        <w:jc w:val="center"/>
        <w:outlineLvl w:val="0"/>
        <w:rPr>
          <w:rFonts w:hint="eastAsia" w:ascii="Times New Roman"/>
          <w:b/>
          <w:bCs/>
          <w:color w:val="auto"/>
          <w:sz w:val="48"/>
          <w:szCs w:val="48"/>
          <w:highlight w:val="none"/>
          <w:lang w:eastAsia="zh-CN"/>
        </w:rPr>
      </w:pPr>
    </w:p>
    <w:p w14:paraId="283F6FFC">
      <w:pPr>
        <w:topLinePunct w:val="0"/>
        <w:bidi w:val="0"/>
        <w:spacing w:line="360" w:lineRule="auto"/>
        <w:jc w:val="center"/>
        <w:outlineLvl w:val="0"/>
        <w:rPr>
          <w:rFonts w:hint="eastAsia" w:ascii="Times New Roman"/>
          <w:b/>
          <w:bCs/>
          <w:color w:val="auto"/>
          <w:sz w:val="48"/>
          <w:szCs w:val="48"/>
          <w:highlight w:val="none"/>
          <w:lang w:val="en-US" w:eastAsia="zh-CN"/>
        </w:rPr>
      </w:pPr>
    </w:p>
    <w:p w14:paraId="373F035D">
      <w:pPr>
        <w:topLinePunct w:val="0"/>
        <w:bidi w:val="0"/>
        <w:spacing w:line="360" w:lineRule="auto"/>
        <w:jc w:val="center"/>
        <w:outlineLvl w:val="0"/>
        <w:rPr>
          <w:rFonts w:hint="eastAsia" w:ascii="Times New Roman"/>
          <w:b/>
          <w:bCs/>
          <w:color w:val="auto"/>
          <w:sz w:val="48"/>
          <w:szCs w:val="48"/>
          <w:highlight w:val="none"/>
          <w:lang w:val="en-US" w:eastAsia="zh-CN"/>
        </w:rPr>
      </w:pPr>
    </w:p>
    <w:p w14:paraId="68249A85">
      <w:pPr>
        <w:topLinePunct w:val="0"/>
        <w:bidi w:val="0"/>
        <w:spacing w:line="360" w:lineRule="auto"/>
        <w:jc w:val="center"/>
        <w:outlineLvl w:val="0"/>
        <w:rPr>
          <w:rFonts w:hint="eastAsia" w:ascii="Times New Roman" w:hAnsi="Times New Roman" w:eastAsia="宋体"/>
          <w:b/>
          <w:bCs/>
          <w:color w:val="auto"/>
          <w:sz w:val="48"/>
          <w:szCs w:val="48"/>
          <w:highlight w:val="none"/>
          <w:lang w:val="en-US" w:eastAsia="zh-CN"/>
        </w:rPr>
      </w:pPr>
      <w:r>
        <w:rPr>
          <w:rFonts w:hint="eastAsia" w:ascii="Times New Roman"/>
          <w:b/>
          <w:bCs/>
          <w:color w:val="auto"/>
          <w:sz w:val="48"/>
          <w:szCs w:val="48"/>
          <w:highlight w:val="none"/>
          <w:lang w:val="en-US" w:eastAsia="zh-CN"/>
        </w:rPr>
        <w:t>采购合同</w:t>
      </w:r>
    </w:p>
    <w:p w14:paraId="61B6039E">
      <w:pPr>
        <w:topLinePunct w:val="0"/>
        <w:bidi w:val="0"/>
        <w:spacing w:line="360" w:lineRule="auto"/>
        <w:jc w:val="center"/>
        <w:outlineLvl w:val="0"/>
        <w:rPr>
          <w:rFonts w:hint="eastAsia" w:ascii="Times New Roman" w:hAnsi="Times New Roman" w:eastAsia="宋体"/>
          <w:b/>
          <w:bCs/>
          <w:color w:val="auto"/>
          <w:sz w:val="48"/>
          <w:szCs w:val="48"/>
          <w:highlight w:val="none"/>
        </w:rPr>
      </w:pPr>
    </w:p>
    <w:p w14:paraId="538BE1F9">
      <w:pPr>
        <w:topLinePunct w:val="0"/>
        <w:bidi w:val="0"/>
        <w:spacing w:line="360" w:lineRule="auto"/>
        <w:rPr>
          <w:rFonts w:ascii="Times New Roman" w:hAnsi="Times New Roman" w:eastAsia="宋体"/>
          <w:color w:val="auto"/>
          <w:highlight w:val="none"/>
        </w:rPr>
      </w:pPr>
    </w:p>
    <w:p w14:paraId="619437AB">
      <w:pPr>
        <w:topLinePunct w:val="0"/>
        <w:bidi w:val="0"/>
        <w:spacing w:line="360" w:lineRule="auto"/>
        <w:jc w:val="center"/>
        <w:rPr>
          <w:rFonts w:ascii="Times New Roman" w:hAnsi="Times New Roman" w:eastAsia="宋体"/>
          <w:color w:val="auto"/>
          <w:highlight w:val="none"/>
        </w:rPr>
      </w:pPr>
    </w:p>
    <w:p w14:paraId="3E95EAE0">
      <w:pPr>
        <w:topLinePunct w:val="0"/>
        <w:bidi w:val="0"/>
        <w:spacing w:line="360" w:lineRule="auto"/>
        <w:jc w:val="center"/>
        <w:rPr>
          <w:rFonts w:ascii="Times New Roman" w:hAnsi="Times New Roman" w:eastAsia="宋体"/>
          <w:color w:val="auto"/>
          <w:highlight w:val="none"/>
        </w:rPr>
      </w:pPr>
    </w:p>
    <w:p w14:paraId="6C496D1F">
      <w:pPr>
        <w:pStyle w:val="59"/>
        <w:topLinePunct w:val="0"/>
        <w:bidi w:val="0"/>
        <w:spacing w:line="360" w:lineRule="auto"/>
        <w:rPr>
          <w:rFonts w:ascii="Times New Roman" w:hAnsi="Times New Roman" w:eastAsia="宋体"/>
          <w:color w:val="auto"/>
          <w:highlight w:val="none"/>
        </w:rPr>
      </w:pPr>
    </w:p>
    <w:p w14:paraId="11279310">
      <w:pPr>
        <w:pStyle w:val="59"/>
        <w:topLinePunct w:val="0"/>
        <w:bidi w:val="0"/>
        <w:spacing w:line="360" w:lineRule="auto"/>
        <w:rPr>
          <w:rFonts w:ascii="Times New Roman" w:hAnsi="Times New Roman" w:eastAsia="宋体"/>
          <w:color w:val="auto"/>
          <w:highlight w:val="none"/>
        </w:rPr>
      </w:pPr>
    </w:p>
    <w:p w14:paraId="429D5962">
      <w:pPr>
        <w:pStyle w:val="59"/>
        <w:topLinePunct w:val="0"/>
        <w:bidi w:val="0"/>
        <w:spacing w:line="360" w:lineRule="auto"/>
        <w:rPr>
          <w:rFonts w:ascii="Times New Roman" w:hAnsi="Times New Roman" w:eastAsia="宋体"/>
          <w:color w:val="auto"/>
          <w:highlight w:val="none"/>
        </w:rPr>
      </w:pPr>
    </w:p>
    <w:p w14:paraId="4506211E">
      <w:pPr>
        <w:topLinePunct w:val="0"/>
        <w:bidi w:val="0"/>
        <w:spacing w:line="360" w:lineRule="auto"/>
        <w:rPr>
          <w:rFonts w:ascii="Times New Roman" w:hAnsi="Times New Roman" w:eastAsia="宋体"/>
          <w:color w:val="auto"/>
          <w:highlight w:val="none"/>
        </w:rPr>
      </w:pPr>
    </w:p>
    <w:p w14:paraId="36CC5B28">
      <w:pPr>
        <w:topLinePunct w:val="0"/>
        <w:bidi w:val="0"/>
        <w:spacing w:line="360" w:lineRule="auto"/>
        <w:rPr>
          <w:rFonts w:ascii="Times New Roman" w:hAnsi="Times New Roman" w:eastAsia="宋体"/>
          <w:color w:val="auto"/>
          <w:highlight w:val="none"/>
        </w:rPr>
      </w:pPr>
    </w:p>
    <w:p w14:paraId="58CDA2B6">
      <w:pPr>
        <w:topLinePunct w:val="0"/>
        <w:bidi w:val="0"/>
        <w:spacing w:line="360" w:lineRule="auto"/>
        <w:ind w:firstLine="1800" w:firstLineChars="600"/>
        <w:rPr>
          <w:rFonts w:ascii="Times New Roman" w:hAnsi="Times New Roman" w:eastAsia="宋体"/>
          <w:color w:val="auto"/>
          <w:sz w:val="30"/>
          <w:szCs w:val="30"/>
          <w:highlight w:val="none"/>
        </w:rPr>
      </w:pPr>
    </w:p>
    <w:p w14:paraId="08DEE676">
      <w:pPr>
        <w:topLinePunct w:val="0"/>
        <w:bidi w:val="0"/>
        <w:spacing w:line="360" w:lineRule="auto"/>
        <w:ind w:firstLine="1800" w:firstLineChars="600"/>
        <w:rPr>
          <w:rFonts w:ascii="Times New Roman" w:hAnsi="Times New Roman" w:eastAsia="宋体"/>
          <w:color w:val="auto"/>
          <w:sz w:val="30"/>
          <w:szCs w:val="30"/>
          <w:highlight w:val="none"/>
          <w:u w:val="single"/>
        </w:rPr>
      </w:pPr>
      <w:r>
        <w:rPr>
          <w:rFonts w:ascii="Times New Roman" w:hAnsi="Times New Roman" w:eastAsia="宋体"/>
          <w:color w:val="auto"/>
          <w:sz w:val="30"/>
          <w:szCs w:val="30"/>
          <w:highlight w:val="none"/>
        </w:rPr>
        <w:t>甲方：</w:t>
      </w:r>
      <w:r>
        <w:rPr>
          <w:rFonts w:hint="eastAsia" w:ascii="Times New Roman" w:hAnsi="Times New Roman" w:eastAsia="宋体"/>
          <w:color w:val="auto"/>
          <w:sz w:val="30"/>
          <w:szCs w:val="30"/>
          <w:highlight w:val="none"/>
          <w:u w:val="single"/>
        </w:rPr>
        <w:t>东莞市尚源环能科技</w:t>
      </w:r>
      <w:r>
        <w:rPr>
          <w:rFonts w:ascii="Times New Roman" w:hAnsi="Times New Roman" w:eastAsia="宋体"/>
          <w:color w:val="auto"/>
          <w:sz w:val="30"/>
          <w:szCs w:val="30"/>
          <w:highlight w:val="none"/>
          <w:u w:val="single"/>
        </w:rPr>
        <w:t>有限公司</w:t>
      </w:r>
    </w:p>
    <w:p w14:paraId="2606A7D4">
      <w:pPr>
        <w:topLinePunct w:val="0"/>
        <w:bidi w:val="0"/>
        <w:spacing w:line="360" w:lineRule="auto"/>
        <w:ind w:firstLine="1800" w:firstLineChars="600"/>
        <w:rPr>
          <w:rFonts w:ascii="Times New Roman" w:hAnsi="Times New Roman" w:eastAsia="宋体"/>
          <w:color w:val="auto"/>
          <w:sz w:val="30"/>
          <w:szCs w:val="30"/>
          <w:highlight w:val="none"/>
          <w:u w:val="single"/>
        </w:rPr>
      </w:pPr>
      <w:r>
        <w:rPr>
          <w:rFonts w:ascii="Times New Roman" w:hAnsi="Times New Roman" w:eastAsia="宋体"/>
          <w:color w:val="auto"/>
          <w:sz w:val="30"/>
          <w:szCs w:val="30"/>
          <w:highlight w:val="none"/>
        </w:rPr>
        <w:t>乙方：</w:t>
      </w:r>
      <w:r>
        <w:rPr>
          <w:rFonts w:ascii="Times New Roman" w:hAnsi="Times New Roman" w:eastAsia="宋体"/>
          <w:color w:val="auto"/>
          <w:sz w:val="30"/>
          <w:szCs w:val="30"/>
          <w:highlight w:val="none"/>
          <w:u w:val="single"/>
        </w:rPr>
        <w:t xml:space="preserve"> </w:t>
      </w:r>
      <w:r>
        <w:rPr>
          <w:rFonts w:hint="eastAsia" w:ascii="Times New Roman"/>
          <w:color w:val="auto"/>
          <w:sz w:val="30"/>
          <w:szCs w:val="30"/>
          <w:highlight w:val="none"/>
          <w:u w:val="single"/>
          <w:lang w:val="en-US" w:eastAsia="zh-CN"/>
        </w:rPr>
        <w:t xml:space="preserve">                        </w:t>
      </w:r>
      <w:r>
        <w:rPr>
          <w:rFonts w:ascii="Times New Roman" w:hAnsi="Times New Roman" w:eastAsia="宋体"/>
          <w:color w:val="auto"/>
          <w:sz w:val="30"/>
          <w:szCs w:val="30"/>
          <w:highlight w:val="none"/>
          <w:u w:val="single"/>
        </w:rPr>
        <w:t xml:space="preserve"> </w:t>
      </w:r>
    </w:p>
    <w:p w14:paraId="3E6AA03E">
      <w:pPr>
        <w:topLinePunct w:val="0"/>
        <w:bidi w:val="0"/>
        <w:spacing w:line="360" w:lineRule="auto"/>
        <w:ind w:firstLine="1800" w:firstLineChars="600"/>
        <w:rPr>
          <w:rFonts w:ascii="Times New Roman" w:hAnsi="Times New Roman" w:eastAsia="宋体"/>
          <w:color w:val="auto"/>
          <w:sz w:val="30"/>
          <w:szCs w:val="30"/>
          <w:highlight w:val="none"/>
        </w:rPr>
      </w:pPr>
    </w:p>
    <w:p w14:paraId="11AB5D5A">
      <w:pPr>
        <w:widowControl/>
        <w:topLinePunct w:val="0"/>
        <w:bidi w:val="0"/>
        <w:spacing w:line="360" w:lineRule="auto"/>
        <w:rPr>
          <w:rFonts w:ascii="宋体" w:hAnsi="宋体" w:cs="宋体"/>
          <w:sz w:val="28"/>
          <w:szCs w:val="28"/>
          <w:highlight w:val="none"/>
        </w:rPr>
        <w:sectPr>
          <w:headerReference r:id="rId6" w:type="first"/>
          <w:headerReference r:id="rId5" w:type="default"/>
          <w:footerReference r:id="rId7" w:type="default"/>
          <w:footerReference r:id="rId8" w:type="even"/>
          <w:pgSz w:w="11906" w:h="16838"/>
          <w:pgMar w:top="1440" w:right="1983" w:bottom="1440" w:left="1620" w:header="851" w:footer="992" w:gutter="0"/>
          <w:pgNumType w:fmt="decimal"/>
          <w:cols w:space="720" w:num="1"/>
          <w:titlePg/>
          <w:docGrid w:type="lines" w:linePitch="312" w:charSpace="0"/>
        </w:sectPr>
      </w:pPr>
    </w:p>
    <w:p w14:paraId="7A14498F">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rPr>
        <w:t>甲方：</w:t>
      </w:r>
      <w:r>
        <w:rPr>
          <w:rFonts w:hint="eastAsia" w:ascii="宋体" w:hAnsi="宋体" w:eastAsia="宋体" w:cs="宋体"/>
          <w:b/>
          <w:color w:val="auto"/>
          <w:sz w:val="21"/>
          <w:szCs w:val="21"/>
          <w:highlight w:val="none"/>
          <w:u w:val="single"/>
        </w:rPr>
        <w:t>东莞市尚源环能科技有限公司</w:t>
      </w:r>
    </w:p>
    <w:p w14:paraId="0E7E9F90">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广东省东莞市沙田镇立沙中路</w:t>
      </w:r>
    </w:p>
    <w:p w14:paraId="1D037D94">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rPr>
        <w:t>乙方：</w:t>
      </w:r>
      <w:r>
        <w:rPr>
          <w:rFonts w:hint="eastAsia" w:ascii="宋体" w:hAnsi="宋体" w:eastAsia="宋体" w:cs="宋体"/>
          <w:b/>
          <w:color w:val="auto"/>
          <w:sz w:val="21"/>
          <w:szCs w:val="21"/>
          <w:highlight w:val="none"/>
          <w:u w:val="single"/>
          <w:lang w:val="en-US" w:eastAsia="zh-CN"/>
        </w:rPr>
        <w:t xml:space="preserve">                          </w:t>
      </w:r>
    </w:p>
    <w:p w14:paraId="47AE42F6">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lang w:val="en-US" w:eastAsia="zh-CN"/>
        </w:rPr>
        <w:t xml:space="preserve">                          </w:t>
      </w:r>
    </w:p>
    <w:p w14:paraId="2B689AA3">
      <w:pPr>
        <w:keepNext w:val="0"/>
        <w:keepLines w:val="0"/>
        <w:pageBreakBefore w:val="0"/>
        <w:kinsoku/>
        <w:wordWrap/>
        <w:overflowPunct/>
        <w:topLinePunct w:val="0"/>
        <w:bidi w:val="0"/>
        <w:adjustRightInd w:val="0"/>
        <w:spacing w:line="360" w:lineRule="auto"/>
        <w:ind w:firstLine="420" w:firstLineChars="200"/>
        <w:textAlignment w:val="auto"/>
        <w:rPr>
          <w:rFonts w:hint="eastAsia" w:ascii="宋体" w:hAnsi="宋体" w:eastAsia="宋体" w:cs="宋体"/>
          <w:color w:val="000000"/>
          <w:sz w:val="21"/>
          <w:szCs w:val="21"/>
          <w:highlight w:val="none"/>
        </w:rPr>
      </w:pPr>
    </w:p>
    <w:p w14:paraId="799A7F98">
      <w:pPr>
        <w:pStyle w:val="59"/>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bookmarkStart w:id="11" w:name="_Toc36187984"/>
      <w:bookmarkStart w:id="12" w:name="_Toc523567019"/>
      <w:bookmarkStart w:id="13" w:name="_Toc36971352"/>
      <w:bookmarkStart w:id="14" w:name="_Toc39071084"/>
      <w:r>
        <w:rPr>
          <w:rFonts w:hint="eastAsia" w:ascii="宋体" w:hAnsi="宋体" w:eastAsia="宋体" w:cs="宋体"/>
          <w:color w:val="auto"/>
          <w:sz w:val="21"/>
          <w:szCs w:val="21"/>
          <w:highlight w:val="none"/>
        </w:rPr>
        <w:t>经甲方采购，现确定甲方向乙方采购</w:t>
      </w:r>
      <w:r>
        <w:rPr>
          <w:rFonts w:hint="eastAsia" w:ascii="宋体" w:hAnsi="宋体" w:eastAsia="宋体" w:cs="宋体"/>
          <w:color w:val="auto"/>
          <w:sz w:val="21"/>
          <w:szCs w:val="21"/>
          <w:highlight w:val="none"/>
          <w:u w:val="single"/>
          <w:lang w:val="en-US" w:eastAsia="zh-CN"/>
        </w:rPr>
        <w:t>两辆</w:t>
      </w:r>
      <w:r>
        <w:rPr>
          <w:rFonts w:hint="eastAsia" w:ascii="宋体" w:hAnsi="宋体" w:eastAsia="宋体" w:cs="宋体"/>
          <w:color w:val="auto"/>
          <w:sz w:val="21"/>
          <w:szCs w:val="21"/>
          <w:highlight w:val="none"/>
          <w:u w:val="single"/>
          <w:lang w:val="en-US"/>
        </w:rPr>
        <w:t>电动叉车</w:t>
      </w:r>
      <w:r>
        <w:rPr>
          <w:rFonts w:hint="eastAsia" w:ascii="宋体" w:hAnsi="宋体" w:eastAsia="宋体" w:cs="宋体"/>
          <w:color w:val="auto"/>
          <w:sz w:val="21"/>
          <w:szCs w:val="21"/>
          <w:highlight w:val="none"/>
          <w:u w:val="single"/>
          <w:lang w:val="en-US" w:eastAsia="zh-CN"/>
        </w:rPr>
        <w:t>和一辆电动</w:t>
      </w:r>
      <w:r>
        <w:rPr>
          <w:rFonts w:hint="eastAsia" w:ascii="宋体" w:hAnsi="宋体" w:eastAsia="宋体" w:cs="宋体"/>
          <w:color w:val="auto"/>
          <w:sz w:val="21"/>
          <w:szCs w:val="21"/>
          <w:highlight w:val="none"/>
          <w:u w:val="single"/>
          <w:lang w:val="en-US"/>
        </w:rPr>
        <w:t>登高车</w:t>
      </w:r>
      <w:r>
        <w:rPr>
          <w:rFonts w:hint="eastAsia" w:ascii="宋体" w:hAnsi="宋体" w:eastAsia="宋体" w:cs="宋体"/>
          <w:color w:val="auto"/>
          <w:sz w:val="21"/>
          <w:szCs w:val="21"/>
          <w:highlight w:val="none"/>
        </w:rPr>
        <w:t>。根据《中华人民共和国</w:t>
      </w:r>
      <w:r>
        <w:rPr>
          <w:rFonts w:hint="eastAsia" w:ascii="宋体" w:hAnsi="宋体" w:eastAsia="宋体" w:cs="宋体"/>
          <w:color w:val="auto"/>
          <w:sz w:val="21"/>
          <w:szCs w:val="21"/>
          <w:highlight w:val="none"/>
          <w:lang w:val="en-US"/>
        </w:rPr>
        <w:t>民法典</w:t>
      </w:r>
      <w:r>
        <w:rPr>
          <w:rFonts w:hint="eastAsia" w:ascii="宋体" w:hAnsi="宋体" w:eastAsia="宋体" w:cs="宋体"/>
          <w:color w:val="auto"/>
          <w:sz w:val="21"/>
          <w:szCs w:val="21"/>
          <w:highlight w:val="none"/>
        </w:rPr>
        <w:t>》等法律、法规的规定，经双方平等协商，双方就</w:t>
      </w:r>
      <w:r>
        <w:rPr>
          <w:rFonts w:hint="eastAsia" w:ascii="宋体" w:hAnsi="宋体" w:eastAsia="宋体" w:cs="宋体"/>
          <w:color w:val="auto"/>
          <w:sz w:val="21"/>
          <w:szCs w:val="21"/>
          <w:highlight w:val="none"/>
          <w:lang w:val="en-US"/>
        </w:rPr>
        <w:t>前述</w:t>
      </w:r>
      <w:r>
        <w:rPr>
          <w:rFonts w:hint="eastAsia" w:ascii="宋体" w:hAnsi="宋体" w:eastAsia="宋体" w:cs="宋体"/>
          <w:color w:val="auto"/>
          <w:sz w:val="21"/>
          <w:szCs w:val="21"/>
          <w:highlight w:val="none"/>
          <w:lang w:val="en-US" w:eastAsia="zh-CN"/>
        </w:rPr>
        <w:t>车辆</w:t>
      </w: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lang w:eastAsia="zh-CN"/>
        </w:rPr>
        <w:t>下简</w:t>
      </w:r>
      <w:r>
        <w:rPr>
          <w:rFonts w:hint="eastAsia" w:ascii="宋体" w:hAnsi="宋体" w:eastAsia="宋体" w:cs="宋体"/>
          <w:color w:val="auto"/>
          <w:sz w:val="21"/>
          <w:szCs w:val="21"/>
          <w:highlight w:val="none"/>
        </w:rPr>
        <w:t>称“货物”）采购事宜，签订本合同。</w:t>
      </w:r>
    </w:p>
    <w:p w14:paraId="463504AC">
      <w:pPr>
        <w:keepNext w:val="0"/>
        <w:keepLines w:val="0"/>
        <w:pageBreakBefore w:val="0"/>
        <w:kinsoku/>
        <w:wordWrap/>
        <w:overflowPunct/>
        <w:topLinePunct w:val="0"/>
        <w:bidi w:val="0"/>
        <w:snapToGrid w:val="0"/>
        <w:spacing w:line="360" w:lineRule="auto"/>
        <w:ind w:firstLine="476" w:firstLineChars="226"/>
        <w:textAlignment w:val="auto"/>
        <w:rPr>
          <w:rFonts w:hint="eastAsia" w:ascii="宋体" w:hAnsi="宋体" w:eastAsia="宋体" w:cs="宋体"/>
          <w:b/>
          <w:sz w:val="21"/>
          <w:szCs w:val="21"/>
          <w:highlight w:val="none"/>
        </w:rPr>
      </w:pPr>
    </w:p>
    <w:p w14:paraId="50682665">
      <w:pPr>
        <w:keepNext w:val="0"/>
        <w:keepLines w:val="0"/>
        <w:pageBreakBefore w:val="0"/>
        <w:numPr>
          <w:ilvl w:val="-1"/>
          <w:numId w:val="0"/>
        </w:numPr>
        <w:kinsoku/>
        <w:wordWrap/>
        <w:overflowPunct/>
        <w:topLinePunct w:val="0"/>
        <w:bidi w:val="0"/>
        <w:adjustRightInd w:val="0"/>
        <w:spacing w:line="360" w:lineRule="auto"/>
        <w:ind w:left="480" w:leftChars="200" w:firstLine="0" w:firstLineChars="0"/>
        <w:textAlignment w:val="auto"/>
        <w:outlineLvl w:val="0"/>
        <w:rPr>
          <w:rFonts w:hint="eastAsia" w:ascii="宋体" w:hAnsi="宋体" w:eastAsia="宋体" w:cs="宋体"/>
          <w:b/>
          <w:bCs w:val="0"/>
          <w:sz w:val="21"/>
          <w:szCs w:val="21"/>
          <w:highlight w:val="none"/>
          <w:shd w:val="clear" w:color="auto" w:fill="FFFFFF"/>
        </w:rPr>
      </w:pPr>
      <w:r>
        <w:rPr>
          <w:rFonts w:hint="eastAsia" w:ascii="宋体" w:hAnsi="宋体" w:eastAsia="宋体" w:cs="宋体"/>
          <w:b/>
          <w:bCs w:val="0"/>
          <w:sz w:val="21"/>
          <w:szCs w:val="21"/>
          <w:highlight w:val="none"/>
          <w:shd w:val="clear"/>
          <w:lang w:val="en-US" w:eastAsia="zh-CN"/>
        </w:rPr>
        <w:t xml:space="preserve">第一条 </w:t>
      </w:r>
      <w:r>
        <w:rPr>
          <w:rFonts w:hint="eastAsia" w:ascii="宋体" w:hAnsi="宋体" w:eastAsia="宋体" w:cs="宋体"/>
          <w:b/>
          <w:bCs w:val="0"/>
          <w:sz w:val="21"/>
          <w:szCs w:val="21"/>
          <w:highlight w:val="none"/>
          <w:shd w:val="clear" w:color="auto" w:fill="FFFFFF"/>
        </w:rPr>
        <w:t>合同采购清单</w:t>
      </w:r>
    </w:p>
    <w:tbl>
      <w:tblPr>
        <w:tblStyle w:val="22"/>
        <w:tblW w:w="8363" w:type="dxa"/>
        <w:tblInd w:w="7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97"/>
        <w:gridCol w:w="2595"/>
        <w:gridCol w:w="2875"/>
      </w:tblGrid>
      <w:tr w14:paraId="27D1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96" w:type="dxa"/>
            <w:vAlign w:val="center"/>
          </w:tcPr>
          <w:p w14:paraId="2EAB0670">
            <w:pPr>
              <w:keepNext w:val="0"/>
              <w:keepLines w:val="0"/>
              <w:pageBreakBefore w:val="0"/>
              <w:widowControl/>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2097" w:type="dxa"/>
            <w:vAlign w:val="center"/>
          </w:tcPr>
          <w:p w14:paraId="4ADECAAB">
            <w:pPr>
              <w:keepNext w:val="0"/>
              <w:keepLines w:val="0"/>
              <w:pageBreakBefore w:val="0"/>
              <w:widowControl/>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名称</w:t>
            </w:r>
          </w:p>
        </w:tc>
        <w:tc>
          <w:tcPr>
            <w:tcW w:w="2595" w:type="dxa"/>
            <w:vAlign w:val="center"/>
          </w:tcPr>
          <w:p w14:paraId="115970DF">
            <w:pPr>
              <w:keepNext w:val="0"/>
              <w:keepLines w:val="0"/>
              <w:pageBreakBefore w:val="0"/>
              <w:widowControl/>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品牌</w:t>
            </w:r>
          </w:p>
        </w:tc>
        <w:tc>
          <w:tcPr>
            <w:tcW w:w="2875" w:type="dxa"/>
            <w:vAlign w:val="center"/>
          </w:tcPr>
          <w:p w14:paraId="5A75BD3A">
            <w:pPr>
              <w:keepNext w:val="0"/>
              <w:keepLines w:val="0"/>
              <w:pageBreakBefore w:val="0"/>
              <w:widowControl/>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r>
      <w:tr w14:paraId="34ABE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96" w:type="dxa"/>
            <w:vAlign w:val="center"/>
          </w:tcPr>
          <w:p w14:paraId="38C00898">
            <w:pPr>
              <w:keepNext w:val="0"/>
              <w:keepLines w:val="0"/>
              <w:pageBreakBefore w:val="0"/>
              <w:widowControl/>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097" w:type="dxa"/>
            <w:vAlign w:val="center"/>
          </w:tcPr>
          <w:p w14:paraId="35A7968A">
            <w:pPr>
              <w:keepNext w:val="0"/>
              <w:keepLines w:val="0"/>
              <w:pageBreakBefore w:val="0"/>
              <w:widowControl/>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8"/>
                <w:sz w:val="21"/>
                <w:szCs w:val="21"/>
                <w:highlight w:val="none"/>
              </w:rPr>
              <w:t>电动叉车</w:t>
            </w:r>
          </w:p>
        </w:tc>
        <w:tc>
          <w:tcPr>
            <w:tcW w:w="2595" w:type="dxa"/>
            <w:vAlign w:val="center"/>
          </w:tcPr>
          <w:p w14:paraId="607FC454">
            <w:pPr>
              <w:keepNext w:val="0"/>
              <w:keepLines w:val="0"/>
              <w:pageBreakBefore w:val="0"/>
              <w:widowControl/>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1"/>
                <w:szCs w:val="21"/>
                <w:highlight w:val="none"/>
              </w:rPr>
            </w:pPr>
          </w:p>
        </w:tc>
        <w:tc>
          <w:tcPr>
            <w:tcW w:w="2875" w:type="dxa"/>
            <w:vAlign w:val="center"/>
          </w:tcPr>
          <w:p w14:paraId="07FBD8C1">
            <w:pPr>
              <w:keepNext w:val="0"/>
              <w:keepLines w:val="0"/>
              <w:pageBreakBefore w:val="0"/>
              <w:widowControl/>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辆</w:t>
            </w:r>
          </w:p>
        </w:tc>
      </w:tr>
      <w:tr w14:paraId="5124A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96" w:type="dxa"/>
            <w:vAlign w:val="center"/>
          </w:tcPr>
          <w:p w14:paraId="149B14A2">
            <w:pPr>
              <w:keepNext w:val="0"/>
              <w:keepLines w:val="0"/>
              <w:pageBreakBefore w:val="0"/>
              <w:widowControl/>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2097" w:type="dxa"/>
            <w:vAlign w:val="center"/>
          </w:tcPr>
          <w:p w14:paraId="00D767DD">
            <w:pPr>
              <w:keepNext w:val="0"/>
              <w:keepLines w:val="0"/>
              <w:pageBreakBefore w:val="0"/>
              <w:widowControl/>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电动登高车</w:t>
            </w:r>
          </w:p>
        </w:tc>
        <w:tc>
          <w:tcPr>
            <w:tcW w:w="2595" w:type="dxa"/>
            <w:vAlign w:val="center"/>
          </w:tcPr>
          <w:p w14:paraId="3ABFC53C">
            <w:pPr>
              <w:keepNext w:val="0"/>
              <w:keepLines w:val="0"/>
              <w:pageBreakBefore w:val="0"/>
              <w:widowControl/>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1"/>
                <w:szCs w:val="21"/>
                <w:highlight w:val="none"/>
              </w:rPr>
            </w:pPr>
          </w:p>
        </w:tc>
        <w:tc>
          <w:tcPr>
            <w:tcW w:w="2875" w:type="dxa"/>
            <w:vAlign w:val="center"/>
          </w:tcPr>
          <w:p w14:paraId="054A6150">
            <w:pPr>
              <w:keepNext w:val="0"/>
              <w:keepLines w:val="0"/>
              <w:pageBreakBefore w:val="0"/>
              <w:widowControl/>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辆</w:t>
            </w:r>
          </w:p>
        </w:tc>
      </w:tr>
    </w:tbl>
    <w:p w14:paraId="3271C649">
      <w:pPr>
        <w:pStyle w:val="8"/>
        <w:keepNext w:val="0"/>
        <w:keepLines w:val="0"/>
        <w:pageBreakBefore w:val="0"/>
        <w:numPr>
          <w:ilvl w:val="0"/>
          <w:numId w:val="0"/>
        </w:numPr>
        <w:kinsoku/>
        <w:wordWrap/>
        <w:overflowPunct/>
        <w:topLinePunct w:val="0"/>
        <w:bidi w:val="0"/>
        <w:spacing w:after="0" w:line="360" w:lineRule="auto"/>
        <w:ind w:left="420" w:lef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本合同采购货物</w:t>
      </w:r>
      <w:r>
        <w:rPr>
          <w:rFonts w:hint="eastAsia" w:ascii="宋体" w:hAnsi="宋体" w:eastAsia="宋体" w:cs="宋体"/>
          <w:sz w:val="21"/>
          <w:szCs w:val="21"/>
          <w:highlight w:val="none"/>
          <w:lang w:val="en-US" w:eastAsia="zh-CN"/>
        </w:rPr>
        <w:t>技术参数要求</w:t>
      </w:r>
      <w:r>
        <w:rPr>
          <w:rFonts w:hint="eastAsia" w:ascii="宋体" w:hAnsi="宋体" w:eastAsia="宋体" w:cs="宋体"/>
          <w:sz w:val="21"/>
          <w:szCs w:val="21"/>
          <w:highlight w:val="none"/>
        </w:rPr>
        <w:t>详见附件一《用户需求书》。</w:t>
      </w:r>
    </w:p>
    <w:p w14:paraId="5D8FF274">
      <w:pPr>
        <w:keepNext w:val="0"/>
        <w:keepLines w:val="0"/>
        <w:pageBreakBefore w:val="0"/>
        <w:kinsoku/>
        <w:wordWrap/>
        <w:overflowPunct/>
        <w:topLinePunct w:val="0"/>
        <w:bidi w:val="0"/>
        <w:spacing w:line="360" w:lineRule="auto"/>
        <w:ind w:firstLine="424" w:firstLineChars="202"/>
        <w:textAlignment w:val="auto"/>
        <w:rPr>
          <w:rFonts w:hint="eastAsia" w:ascii="宋体" w:hAnsi="宋体" w:eastAsia="宋体" w:cs="宋体"/>
          <w:sz w:val="21"/>
          <w:szCs w:val="21"/>
          <w:highlight w:val="none"/>
          <w:lang w:val="zh-CN"/>
        </w:rPr>
      </w:pPr>
    </w:p>
    <w:p w14:paraId="5964FBCE">
      <w:pPr>
        <w:keepNext w:val="0"/>
        <w:keepLines w:val="0"/>
        <w:pageBreakBefore w:val="0"/>
        <w:kinsoku/>
        <w:wordWrap/>
        <w:overflowPunct/>
        <w:topLinePunct w:val="0"/>
        <w:bidi w:val="0"/>
        <w:adjustRightInd w:val="0"/>
        <w:spacing w:line="360" w:lineRule="auto"/>
        <w:ind w:firstLine="422" w:firstLineChars="200"/>
        <w:textAlignment w:val="auto"/>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第</w:t>
      </w:r>
      <w:r>
        <w:rPr>
          <w:rFonts w:hint="eastAsia" w:ascii="宋体" w:hAnsi="宋体" w:eastAsia="宋体" w:cs="宋体"/>
          <w:b/>
          <w:sz w:val="21"/>
          <w:szCs w:val="21"/>
          <w:highlight w:val="none"/>
          <w:lang w:val="en-US" w:eastAsia="zh-CN"/>
        </w:rPr>
        <w:t>二</w:t>
      </w:r>
      <w:r>
        <w:rPr>
          <w:rFonts w:hint="eastAsia" w:ascii="宋体" w:hAnsi="宋体" w:eastAsia="宋体" w:cs="宋体"/>
          <w:b/>
          <w:sz w:val="21"/>
          <w:szCs w:val="21"/>
          <w:highlight w:val="none"/>
        </w:rPr>
        <w:t>条 合同价款及支付方式</w:t>
      </w:r>
    </w:p>
    <w:p w14:paraId="41C50F36">
      <w:pPr>
        <w:keepNext w:val="0"/>
        <w:keepLines w:val="0"/>
        <w:pageBreakBefore w:val="0"/>
        <w:kinsoku/>
        <w:wordWrap/>
        <w:overflowPunct/>
        <w:topLinePunct w:val="0"/>
        <w:bidi w:val="0"/>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本合同</w:t>
      </w:r>
      <w:r>
        <w:rPr>
          <w:rFonts w:hint="eastAsia" w:ascii="宋体"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rPr>
        <w:t>综合单价如下：</w:t>
      </w:r>
    </w:p>
    <w:p w14:paraId="11F54E02">
      <w:pPr>
        <w:keepNext w:val="0"/>
        <w:keepLines w:val="0"/>
        <w:pageBreakBefore w:val="0"/>
        <w:kinsoku/>
        <w:wordWrap/>
        <w:overflowPunct/>
        <w:topLinePunct w:val="0"/>
        <w:bidi w:val="0"/>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（1）电动叉车综合单价（即销售额，不含乙方销项税额）为¥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元/辆（大写人民币每辆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B5C774E">
      <w:pPr>
        <w:keepNext w:val="0"/>
        <w:keepLines w:val="0"/>
        <w:pageBreakBefore w:val="0"/>
        <w:kinsoku/>
        <w:wordWrap/>
        <w:overflowPunct/>
        <w:topLinePunct w:val="0"/>
        <w:bidi w:val="0"/>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（2）电动登高车综合单价（即销售额，不含乙方销项税额）为¥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元/辆（大写人民币每辆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6B8BB36">
      <w:pPr>
        <w:keepNext w:val="0"/>
        <w:keepLines w:val="0"/>
        <w:pageBreakBefore w:val="0"/>
        <w:kinsoku/>
        <w:wordWrap/>
        <w:overflowPunct/>
        <w:topLinePunct w:val="0"/>
        <w:bidi w:val="0"/>
        <w:spacing w:line="360" w:lineRule="auto"/>
        <w:ind w:firstLine="424" w:firstLineChars="202"/>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在本合同履行过程中，</w:t>
      </w:r>
      <w:r>
        <w:rPr>
          <w:rFonts w:hint="eastAsia" w:ascii="宋体" w:hAnsi="宋体" w:eastAsia="宋体" w:cs="宋体"/>
          <w:sz w:val="21"/>
          <w:szCs w:val="21"/>
          <w:highlight w:val="none"/>
          <w:lang w:val="en-US" w:eastAsia="zh-CN"/>
        </w:rPr>
        <w:t>各货物</w:t>
      </w:r>
      <w:r>
        <w:rPr>
          <w:rFonts w:hint="eastAsia" w:ascii="宋体" w:hAnsi="宋体" w:eastAsia="宋体" w:cs="宋体"/>
          <w:color w:val="auto"/>
          <w:sz w:val="21"/>
          <w:szCs w:val="21"/>
          <w:highlight w:val="none"/>
        </w:rPr>
        <w:t>综合单价（即销售额，不含乙方销项税额）固定不变</w:t>
      </w:r>
      <w:r>
        <w:rPr>
          <w:rFonts w:hint="eastAsia" w:ascii="宋体" w:hAnsi="宋体" w:eastAsia="宋体" w:cs="宋体"/>
          <w:color w:val="auto"/>
          <w:sz w:val="21"/>
          <w:szCs w:val="21"/>
          <w:highlight w:val="none"/>
          <w:lang w:eastAsia="zh-CN"/>
        </w:rPr>
        <w:t>，不因</w:t>
      </w:r>
      <w:r>
        <w:rPr>
          <w:rFonts w:hint="eastAsia" w:ascii="宋体" w:hAnsi="宋体" w:eastAsia="宋体" w:cs="宋体"/>
          <w:sz w:val="21"/>
          <w:szCs w:val="21"/>
          <w:highlight w:val="none"/>
          <w:lang w:val="zh-CN"/>
        </w:rPr>
        <w:t>材料、劳务成本、运输成本、安装成本、货物的行业标准或国家标准的变动或其他任何理由予以变更。</w:t>
      </w:r>
      <w:r>
        <w:rPr>
          <w:rFonts w:hint="eastAsia" w:ascii="宋体" w:hAnsi="宋体" w:eastAsia="宋体" w:cs="宋体"/>
          <w:sz w:val="21"/>
          <w:szCs w:val="21"/>
          <w:highlight w:val="none"/>
        </w:rPr>
        <w:t>未经甲方书面确认，乙方无权增加任何费用。</w:t>
      </w:r>
    </w:p>
    <w:p w14:paraId="5271C2C1">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前述综合单价包括乙方完成本合同约定全部内容可能产生的全部直接及间接费用，包括但不限于：合同范围内所有货物</w:t>
      </w:r>
      <w:r>
        <w:rPr>
          <w:rFonts w:hint="eastAsia" w:ascii="宋体" w:hAnsi="宋体" w:eastAsia="宋体" w:cs="宋体"/>
          <w:sz w:val="21"/>
          <w:szCs w:val="21"/>
          <w:highlight w:val="none"/>
          <w:lang w:val="en-US" w:eastAsia="zh-CN"/>
        </w:rPr>
        <w:t>及其</w:t>
      </w:r>
      <w:r>
        <w:rPr>
          <w:rFonts w:hint="eastAsia" w:ascii="宋体" w:hAnsi="宋体" w:eastAsia="宋体" w:cs="宋体"/>
          <w:sz w:val="21"/>
          <w:szCs w:val="21"/>
          <w:highlight w:val="none"/>
        </w:rPr>
        <w:t>零配件、备品备件、原材料</w:t>
      </w:r>
      <w:r>
        <w:rPr>
          <w:rFonts w:hint="eastAsia" w:ascii="宋体" w:hAnsi="宋体" w:eastAsia="宋体" w:cs="宋体"/>
          <w:sz w:val="21"/>
          <w:szCs w:val="21"/>
          <w:highlight w:val="none"/>
          <w:lang w:eastAsia="zh-CN"/>
        </w:rPr>
        <w:t>的</w:t>
      </w:r>
      <w:r>
        <w:rPr>
          <w:rFonts w:hint="eastAsia" w:ascii="宋体" w:hAnsi="宋体" w:eastAsia="宋体" w:cs="宋体"/>
          <w:sz w:val="21"/>
          <w:szCs w:val="21"/>
          <w:highlight w:val="none"/>
        </w:rPr>
        <w:t>生产制造、检验、</w:t>
      </w:r>
      <w:r>
        <w:rPr>
          <w:rFonts w:hint="eastAsia" w:ascii="宋体" w:hAnsi="宋体" w:eastAsia="宋体" w:cs="宋体"/>
          <w:sz w:val="21"/>
          <w:szCs w:val="21"/>
          <w:highlight w:val="none"/>
          <w:lang w:val="en-US" w:eastAsia="zh-CN"/>
        </w:rPr>
        <w:t>检测、</w:t>
      </w:r>
      <w:r>
        <w:rPr>
          <w:rFonts w:hint="eastAsia" w:ascii="宋体" w:hAnsi="宋体" w:eastAsia="宋体" w:cs="宋体"/>
          <w:sz w:val="21"/>
          <w:szCs w:val="21"/>
          <w:highlight w:val="none"/>
        </w:rPr>
        <w:t>包装、关税、</w:t>
      </w:r>
      <w:r>
        <w:rPr>
          <w:rFonts w:hint="eastAsia" w:ascii="宋体" w:hAnsi="宋体" w:eastAsia="宋体" w:cs="宋体"/>
          <w:sz w:val="21"/>
          <w:szCs w:val="21"/>
          <w:highlight w:val="none"/>
          <w:lang w:val="en-US" w:eastAsia="zh-CN"/>
        </w:rPr>
        <w:t>运输</w:t>
      </w:r>
      <w:r>
        <w:rPr>
          <w:rFonts w:hint="eastAsia" w:ascii="宋体" w:hAnsi="宋体" w:eastAsia="宋体" w:cs="宋体"/>
          <w:sz w:val="21"/>
          <w:szCs w:val="21"/>
          <w:highlight w:val="none"/>
        </w:rPr>
        <w:t>保险、管理、运输（包括退货运输费）、</w:t>
      </w:r>
      <w:r>
        <w:rPr>
          <w:rFonts w:hint="eastAsia" w:ascii="宋体" w:hAnsi="宋体" w:eastAsia="宋体" w:cs="宋体"/>
          <w:sz w:val="21"/>
          <w:szCs w:val="21"/>
          <w:highlight w:val="none"/>
          <w:lang w:val="en-US" w:eastAsia="zh-CN"/>
        </w:rPr>
        <w:t>储存、</w:t>
      </w:r>
      <w:r>
        <w:rPr>
          <w:rFonts w:hint="eastAsia" w:ascii="宋体" w:hAnsi="宋体" w:eastAsia="宋体" w:cs="宋体"/>
          <w:sz w:val="21"/>
          <w:szCs w:val="21"/>
          <w:highlight w:val="none"/>
        </w:rPr>
        <w:t>装卸费、人工费、安装调试、人员培训、技术服务</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包括技术资料的提供）</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上牌服务、合同货物及其工艺所有制造方、使用方应支付的对专有技术、商标权、专利权和版权、设计或其他知识产权而需要向其他方支付的版税、日常技术指导，免费的质保服务，免费对具有质量问题的货物进行处理或更换、合理利润、乙方销项税额以外的税费等。</w:t>
      </w:r>
    </w:p>
    <w:p w14:paraId="727EB988">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2.依法计得并根据本合同约定确定的销项税额由甲方承担。根据《中华人民共和国增值税法实施条例》（国务院令第826号）及当前税务部门的相关规定，本合同项目的增值税税率为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%，各</w:t>
      </w:r>
      <w:r>
        <w:rPr>
          <w:rFonts w:hint="eastAsia" w:ascii="宋体" w:hAnsi="宋体" w:eastAsia="宋体" w:cs="宋体"/>
          <w:sz w:val="21"/>
          <w:szCs w:val="21"/>
          <w:highlight w:val="none"/>
          <w:lang w:val="en-US" w:eastAsia="zh-CN"/>
        </w:rPr>
        <w:t>货物</w:t>
      </w:r>
      <w:r>
        <w:rPr>
          <w:rFonts w:hint="eastAsia" w:ascii="宋体" w:hAnsi="宋体" w:eastAsia="宋体" w:cs="宋体"/>
          <w:sz w:val="21"/>
          <w:szCs w:val="21"/>
          <w:highlight w:val="none"/>
        </w:rPr>
        <w:t>对应的销项税额如下：</w:t>
      </w:r>
    </w:p>
    <w:p w14:paraId="6E9A3C7A">
      <w:pPr>
        <w:keepNext w:val="0"/>
        <w:keepLines w:val="0"/>
        <w:pageBreakBefore w:val="0"/>
        <w:kinsoku/>
        <w:wordWrap/>
        <w:overflowPunct/>
        <w:topLinePunct w:val="0"/>
        <w:bidi w:val="0"/>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（1）电动叉车对应的销项税额¥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val="en-US" w:eastAsia="zh-CN"/>
        </w:rPr>
        <w:t>辆</w:t>
      </w:r>
      <w:r>
        <w:rPr>
          <w:rFonts w:hint="eastAsia" w:ascii="宋体" w:hAnsi="宋体" w:eastAsia="宋体" w:cs="宋体"/>
          <w:color w:val="auto"/>
          <w:sz w:val="21"/>
          <w:szCs w:val="21"/>
          <w:highlight w:val="none"/>
        </w:rPr>
        <w:t>（大写人民币每</w:t>
      </w:r>
      <w:r>
        <w:rPr>
          <w:rFonts w:hint="eastAsia" w:ascii="宋体" w:hAnsi="宋体" w:eastAsia="宋体" w:cs="宋体"/>
          <w:color w:val="auto"/>
          <w:sz w:val="21"/>
          <w:szCs w:val="21"/>
          <w:highlight w:val="none"/>
          <w:lang w:val="en-US" w:eastAsia="zh-CN"/>
        </w:rPr>
        <w:t>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91EF22B">
      <w:pPr>
        <w:keepNext w:val="0"/>
        <w:keepLines w:val="0"/>
        <w:pageBreakBefore w:val="0"/>
        <w:kinsoku/>
        <w:wordWrap/>
        <w:overflowPunct/>
        <w:topLinePunct w:val="0"/>
        <w:bidi w:val="0"/>
        <w:spacing w:line="360" w:lineRule="auto"/>
        <w:ind w:lef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（2）电动登高车对应的销项税额¥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val="en-US" w:eastAsia="zh-CN"/>
        </w:rPr>
        <w:t>辆</w:t>
      </w:r>
      <w:r>
        <w:rPr>
          <w:rFonts w:hint="eastAsia" w:ascii="宋体" w:hAnsi="宋体" w:eastAsia="宋体" w:cs="宋体"/>
          <w:color w:val="auto"/>
          <w:sz w:val="21"/>
          <w:szCs w:val="21"/>
          <w:highlight w:val="none"/>
        </w:rPr>
        <w:t>（大写人民币每</w:t>
      </w:r>
      <w:r>
        <w:rPr>
          <w:rFonts w:hint="eastAsia" w:ascii="宋体" w:hAnsi="宋体" w:eastAsia="宋体" w:cs="宋体"/>
          <w:color w:val="auto"/>
          <w:sz w:val="21"/>
          <w:szCs w:val="21"/>
          <w:highlight w:val="none"/>
          <w:lang w:val="en-US" w:eastAsia="zh-CN"/>
        </w:rPr>
        <w:t>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p w14:paraId="62004088">
      <w:pPr>
        <w:keepNext w:val="0"/>
        <w:keepLines w:val="0"/>
        <w:pageBreakBefore w:val="0"/>
        <w:kinsoku/>
        <w:wordWrap/>
        <w:overflowPunct/>
        <w:topLinePunct w:val="0"/>
        <w:bidi w:val="0"/>
        <w:spacing w:line="360" w:lineRule="auto"/>
        <w:ind w:left="-2" w:leftChars="-1" w:firstLine="424" w:firstLineChars="202"/>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本合同履行过程中，税收政策变动导致增值税税率调整，依法应调整销项税额的，依法调整；但因乙方未按合同约定供货、未根据合同约定提供合法、完整的请款资料、货物验收不合格导致的返工或退货、货物验收合格前的非正常损耗等原因导致销项税额增加的，相应损失由乙方承担。</w:t>
      </w:r>
    </w:p>
    <w:p w14:paraId="3FA35107">
      <w:pPr>
        <w:keepNext w:val="0"/>
        <w:keepLines w:val="0"/>
        <w:pageBreakBefore w:val="0"/>
        <w:kinsoku/>
        <w:wordWrap/>
        <w:overflowPunct/>
        <w:topLinePunct w:val="0"/>
        <w:bidi w:val="0"/>
        <w:spacing w:line="360" w:lineRule="auto"/>
        <w:ind w:left="-2" w:leftChars="-1" w:firstLine="424" w:firstLineChars="202"/>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因乙方未按法定税率计算税额或未根据本合同约定出具对应税额的增值税专用发票等乙方原因导致甲方多支付税额的，乙方必须退还甲方，给甲方造成损失的，乙方须向甲方赔偿相应损失。</w:t>
      </w:r>
    </w:p>
    <w:p w14:paraId="01CCA13D">
      <w:pPr>
        <w:keepNext w:val="0"/>
        <w:keepLines w:val="0"/>
        <w:pageBreakBefore w:val="0"/>
        <w:kinsoku/>
        <w:wordWrap/>
        <w:overflowPunct/>
        <w:topLinePunct w:val="0"/>
        <w:bidi w:val="0"/>
        <w:spacing w:line="360" w:lineRule="auto"/>
        <w:ind w:left="-2" w:leftChars="-1" w:firstLine="424" w:firstLineChars="202"/>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3.各</w:t>
      </w:r>
      <w:r>
        <w:rPr>
          <w:rFonts w:hint="eastAsia" w:ascii="宋体" w:hAnsi="宋体" w:eastAsia="宋体" w:cs="宋体"/>
          <w:sz w:val="21"/>
          <w:szCs w:val="21"/>
          <w:highlight w:val="none"/>
          <w:lang w:val="en-US" w:eastAsia="zh-CN"/>
        </w:rPr>
        <w:t>货物</w:t>
      </w:r>
      <w:r>
        <w:rPr>
          <w:rFonts w:hint="eastAsia" w:ascii="宋体" w:hAnsi="宋体" w:eastAsia="宋体" w:cs="宋体"/>
          <w:sz w:val="21"/>
          <w:szCs w:val="21"/>
          <w:highlight w:val="none"/>
        </w:rPr>
        <w:t>合同综合单价价税合计如下：</w:t>
      </w:r>
    </w:p>
    <w:p w14:paraId="5E948CE4">
      <w:pPr>
        <w:keepNext w:val="0"/>
        <w:keepLines w:val="0"/>
        <w:pageBreakBefore w:val="0"/>
        <w:kinsoku/>
        <w:wordWrap/>
        <w:overflowPunct/>
        <w:topLinePunct w:val="0"/>
        <w:bidi w:val="0"/>
        <w:spacing w:line="360" w:lineRule="auto"/>
        <w:ind w:left="-2" w:leftChars="-1" w:firstLine="424" w:firstLineChars="202"/>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color w:val="auto"/>
          <w:sz w:val="21"/>
          <w:szCs w:val="21"/>
          <w:highlight w:val="none"/>
        </w:rPr>
        <w:t>电动叉车</w:t>
      </w:r>
      <w:r>
        <w:rPr>
          <w:rFonts w:hint="eastAsia" w:ascii="宋体" w:hAnsi="宋体" w:eastAsia="宋体" w:cs="宋体"/>
          <w:sz w:val="21"/>
          <w:szCs w:val="21"/>
          <w:highlight w:val="none"/>
        </w:rPr>
        <w:t>合同综合单价价税合计¥</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元/</w:t>
      </w:r>
      <w:r>
        <w:rPr>
          <w:rFonts w:hint="eastAsia" w:ascii="宋体" w:hAnsi="宋体" w:eastAsia="宋体" w:cs="宋体"/>
          <w:color w:val="auto"/>
          <w:sz w:val="21"/>
          <w:szCs w:val="21"/>
          <w:highlight w:val="none"/>
          <w:lang w:val="en-US" w:eastAsia="zh-CN"/>
        </w:rPr>
        <w:t>辆</w:t>
      </w:r>
      <w:r>
        <w:rPr>
          <w:rFonts w:hint="eastAsia" w:ascii="宋体" w:hAnsi="宋体" w:eastAsia="宋体" w:cs="宋体"/>
          <w:sz w:val="21"/>
          <w:szCs w:val="21"/>
          <w:highlight w:val="none"/>
        </w:rPr>
        <w:t>（大写人民币每</w:t>
      </w:r>
      <w:r>
        <w:rPr>
          <w:rFonts w:hint="eastAsia" w:ascii="宋体" w:hAnsi="宋体" w:eastAsia="宋体" w:cs="宋体"/>
          <w:color w:val="auto"/>
          <w:sz w:val="21"/>
          <w:szCs w:val="21"/>
          <w:highlight w:val="none"/>
          <w:lang w:val="en-US" w:eastAsia="zh-CN"/>
        </w:rPr>
        <w:t>辆</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3C0533AF">
      <w:pPr>
        <w:keepNext w:val="0"/>
        <w:keepLines w:val="0"/>
        <w:pageBreakBefore w:val="0"/>
        <w:kinsoku/>
        <w:wordWrap/>
        <w:overflowPunct/>
        <w:topLinePunct w:val="0"/>
        <w:bidi w:val="0"/>
        <w:spacing w:line="360" w:lineRule="auto"/>
        <w:ind w:left="-2" w:leftChars="-1" w:firstLine="424" w:firstLineChars="202"/>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color w:val="auto"/>
          <w:sz w:val="21"/>
          <w:szCs w:val="21"/>
          <w:highlight w:val="none"/>
        </w:rPr>
        <w:t>电动登高车</w:t>
      </w:r>
      <w:r>
        <w:rPr>
          <w:rFonts w:hint="eastAsia" w:ascii="宋体" w:hAnsi="宋体" w:eastAsia="宋体" w:cs="宋体"/>
          <w:sz w:val="21"/>
          <w:szCs w:val="21"/>
          <w:highlight w:val="none"/>
        </w:rPr>
        <w:t>合同综合单价价税合计¥</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元/</w:t>
      </w:r>
      <w:r>
        <w:rPr>
          <w:rFonts w:hint="eastAsia" w:ascii="宋体" w:hAnsi="宋体" w:eastAsia="宋体" w:cs="宋体"/>
          <w:color w:val="auto"/>
          <w:sz w:val="21"/>
          <w:szCs w:val="21"/>
          <w:highlight w:val="none"/>
          <w:lang w:val="en-US" w:eastAsia="zh-CN"/>
        </w:rPr>
        <w:t>辆</w:t>
      </w:r>
      <w:r>
        <w:rPr>
          <w:rFonts w:hint="eastAsia" w:ascii="宋体" w:hAnsi="宋体" w:eastAsia="宋体" w:cs="宋体"/>
          <w:sz w:val="21"/>
          <w:szCs w:val="21"/>
          <w:highlight w:val="none"/>
        </w:rPr>
        <w:t>（大写人民币每</w:t>
      </w:r>
      <w:r>
        <w:rPr>
          <w:rFonts w:hint="eastAsia" w:ascii="宋体" w:hAnsi="宋体" w:eastAsia="宋体" w:cs="宋体"/>
          <w:color w:val="auto"/>
          <w:sz w:val="21"/>
          <w:szCs w:val="21"/>
          <w:highlight w:val="none"/>
          <w:lang w:val="en-US" w:eastAsia="zh-CN"/>
        </w:rPr>
        <w:t>辆</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4D4864FF">
      <w:pPr>
        <w:keepNext w:val="0"/>
        <w:keepLines w:val="0"/>
        <w:pageBreakBefore w:val="0"/>
        <w:kinsoku/>
        <w:wordWrap/>
        <w:overflowPunct/>
        <w:topLinePunct w:val="0"/>
        <w:bidi w:val="0"/>
        <w:spacing w:line="360" w:lineRule="auto"/>
        <w:ind w:left="-2" w:leftChars="-1" w:firstLine="424" w:firstLineChars="202"/>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合同履行期间根据本条第2项规定调整销项税额的，结算合同价税合计对应调整。</w:t>
      </w:r>
    </w:p>
    <w:p w14:paraId="1111357F">
      <w:pPr>
        <w:keepNext w:val="0"/>
        <w:keepLines w:val="0"/>
        <w:pageBreakBefore w:val="0"/>
        <w:kinsoku/>
        <w:wordWrap/>
        <w:overflowPunct/>
        <w:topLinePunct w:val="0"/>
        <w:bidi w:val="0"/>
        <w:spacing w:line="360" w:lineRule="auto"/>
        <w:ind w:left="-2" w:leftChars="-1" w:firstLine="424" w:firstLineChars="202"/>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4.采购合同下采购数量对应的合同价为¥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元（大写人民币</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，不含增值税）；采购数量对应的合同价税合计为¥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元（大写人民币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510E9184">
      <w:pPr>
        <w:pStyle w:val="59"/>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rPr>
        <w:t>货物结算</w:t>
      </w:r>
    </w:p>
    <w:p w14:paraId="624B9F56">
      <w:pPr>
        <w:keepNext w:val="0"/>
        <w:keepLines w:val="0"/>
        <w:pageBreakBefore w:val="0"/>
        <w:kinsoku/>
        <w:wordWrap/>
        <w:overflowPunct/>
        <w:topLinePunct w:val="0"/>
        <w:bidi w:val="0"/>
        <w:spacing w:line="360" w:lineRule="auto"/>
        <w:ind w:left="-2" w:leftChars="-1" w:firstLine="424" w:firstLineChars="202"/>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双方一致同意，甲方通过以下方式以人民币支付合同款项给乙方：</w:t>
      </w:r>
    </w:p>
    <w:p w14:paraId="4F8AB427">
      <w:pPr>
        <w:keepNext w:val="0"/>
        <w:keepLines w:val="0"/>
        <w:pageBreakBefore w:val="0"/>
        <w:kinsoku/>
        <w:wordWrap/>
        <w:overflowPunct/>
        <w:topLinePunct w:val="0"/>
        <w:bidi w:val="0"/>
        <w:spacing w:line="360" w:lineRule="auto"/>
        <w:ind w:left="-2" w:leftChars="-1" w:firstLine="424" w:firstLineChars="202"/>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（1）合同的履约过程中，乙方根据本项目合同书约定需向甲方支付违约金、赔偿金、或其他应付费用等款项的，乙方应在收到甲方书面通知后【</w:t>
      </w: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rPr>
        <w:t>】个工作日内，向甲方支付经双方确认的违约金、赔偿金或其他应付费用。乙方必须向甲方支付完相关款项后，甲方才根据合同书约定向乙方支付合同价和税额，且不视为甲方违约，乙方不得以此为由拒绝或迟延履行合同义务。若乙方对需支付的款项金额有异议，应在收到甲方通知后【</w:t>
      </w: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rPr>
        <w:t>】个工作日内与甲方协商，协商不成的可按本合同约定的争议解决方式处理，若乙方未在前述期限内书面向甲方提出异议并提供充分证据予以证明的，视为乙方认可无异议。若因乙方未能</w:t>
      </w:r>
      <w:r>
        <w:rPr>
          <w:rFonts w:hint="eastAsia" w:ascii="宋体" w:hAnsi="宋体" w:eastAsia="宋体" w:cs="宋体"/>
          <w:sz w:val="21"/>
          <w:szCs w:val="21"/>
          <w:highlight w:val="none"/>
          <w:lang w:val="en-US" w:eastAsia="zh-CN"/>
        </w:rPr>
        <w:t>按时足额</w:t>
      </w:r>
      <w:r>
        <w:rPr>
          <w:rFonts w:hint="eastAsia" w:ascii="宋体" w:hAnsi="宋体" w:eastAsia="宋体" w:cs="宋体"/>
          <w:sz w:val="21"/>
          <w:szCs w:val="21"/>
          <w:highlight w:val="none"/>
        </w:rPr>
        <w:t>支付前述费用，甲方有权直接从未付合同款项中直接扣除前述费用，不视为甲方违约，乙方不得以此为由拒绝或迟延履行合同义务，且乙方必须按照扣除前述费用前的合同价（销售额）开具增值税专用发票，保证增值税税额符合法律规定。</w:t>
      </w:r>
    </w:p>
    <w:p w14:paraId="160C76FA">
      <w:pPr>
        <w:keepNext w:val="0"/>
        <w:keepLines w:val="0"/>
        <w:pageBreakBefore w:val="0"/>
        <w:kinsoku/>
        <w:wordWrap/>
        <w:overflowPunct/>
        <w:topLinePunct w:val="0"/>
        <w:bidi w:val="0"/>
        <w:spacing w:line="360" w:lineRule="auto"/>
        <w:ind w:left="-2" w:leftChars="-1" w:firstLine="424" w:firstLineChars="202"/>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（2）支付方式：支付方式为银行转账。</w:t>
      </w:r>
    </w:p>
    <w:p w14:paraId="4A838BB3">
      <w:pPr>
        <w:keepNext w:val="0"/>
        <w:keepLines w:val="0"/>
        <w:pageBreakBefore w:val="0"/>
        <w:kinsoku/>
        <w:wordWrap/>
        <w:overflowPunct/>
        <w:topLinePunct w:val="0"/>
        <w:bidi w:val="0"/>
        <w:spacing w:line="360" w:lineRule="auto"/>
        <w:ind w:left="-2" w:leftChars="-1" w:firstLine="424" w:firstLineChars="202"/>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乙方迟延提供请款报告、发票或提供的请款报告、发票不符合要求的，甲方的付款时间可相应顺延，且甲方不因此承担任何责任，乙方不得以此为由拒绝或迟延履行合同义务。因支付产生的相关银行手续费用，根据有关银行规定执行。由于乙方提供的发票不符合税法规定，给甲方造成的损失由乙方承担全部的赔偿责任。</w:t>
      </w:r>
    </w:p>
    <w:p w14:paraId="050E57E9">
      <w:pPr>
        <w:keepNext w:val="0"/>
        <w:keepLines w:val="0"/>
        <w:pageBreakBefore w:val="0"/>
        <w:kinsoku/>
        <w:wordWrap/>
        <w:overflowPunct/>
        <w:topLinePunct w:val="0"/>
        <w:bidi w:val="0"/>
        <w:spacing w:line="360" w:lineRule="auto"/>
        <w:ind w:left="-2" w:leftChars="-1" w:firstLine="424" w:firstLineChars="202"/>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预付款：</w:t>
      </w:r>
      <w:r>
        <w:rPr>
          <w:rFonts w:hint="eastAsia" w:ascii="宋体" w:hAnsi="宋体" w:eastAsia="宋体" w:cs="宋体"/>
          <w:sz w:val="21"/>
          <w:szCs w:val="21"/>
          <w:highlight w:val="none"/>
        </w:rPr>
        <w:t>预付款为合同价的30%及对应增值税税额，</w:t>
      </w:r>
      <w:r>
        <w:rPr>
          <w:rFonts w:hint="eastAsia" w:ascii="宋体" w:hAnsi="宋体" w:eastAsia="宋体" w:cs="宋体"/>
          <w:sz w:val="21"/>
          <w:szCs w:val="21"/>
          <w:highlight w:val="none"/>
          <w:lang w:val="en-US" w:eastAsia="zh-CN"/>
        </w:rPr>
        <w:t>合同完成签订且乙方提交符合甲方要求的请款资料</w:t>
      </w:r>
      <w:r>
        <w:rPr>
          <w:rFonts w:hint="eastAsia" w:ascii="宋体" w:hAnsi="宋体" w:eastAsia="宋体" w:cs="宋体"/>
          <w:sz w:val="21"/>
          <w:szCs w:val="21"/>
          <w:highlight w:val="none"/>
        </w:rPr>
        <w:t>及</w:t>
      </w:r>
      <w:r>
        <w:rPr>
          <w:rFonts w:hint="eastAsia" w:ascii="宋体" w:hAnsi="宋体" w:eastAsia="宋体" w:cs="宋体"/>
          <w:sz w:val="21"/>
          <w:szCs w:val="21"/>
          <w:highlight w:val="none"/>
          <w:lang w:val="en-US" w:eastAsia="zh-CN"/>
        </w:rPr>
        <w:t>与</w:t>
      </w:r>
      <w:r>
        <w:rPr>
          <w:rFonts w:hint="eastAsia" w:ascii="宋体" w:hAnsi="宋体" w:eastAsia="宋体" w:cs="宋体"/>
          <w:sz w:val="21"/>
          <w:szCs w:val="21"/>
          <w:highlight w:val="none"/>
        </w:rPr>
        <w:t>合同价30%的金额等额、合法、有效的增值税专用发票</w:t>
      </w:r>
      <w:r>
        <w:rPr>
          <w:rFonts w:hint="eastAsia" w:ascii="宋体" w:hAnsi="宋体" w:eastAsia="宋体" w:cs="宋体"/>
          <w:sz w:val="21"/>
          <w:szCs w:val="21"/>
          <w:highlight w:val="none"/>
          <w:lang w:val="en-US" w:eastAsia="zh-CN"/>
        </w:rPr>
        <w:t>后</w:t>
      </w:r>
      <w:r>
        <w:rPr>
          <w:rFonts w:hint="eastAsia" w:ascii="宋体" w:hAnsi="宋体" w:eastAsia="宋体" w:cs="宋体"/>
          <w:sz w:val="21"/>
          <w:szCs w:val="21"/>
          <w:highlight w:val="none"/>
        </w:rPr>
        <w:t>，甲方在收到前述材料并确认无误后20个工作日内向乙方支付剩余应支付的预付款。在后续项目请款时，按实际结算价对预付金额进行抵扣。</w:t>
      </w:r>
    </w:p>
    <w:p w14:paraId="7BD133ED">
      <w:pPr>
        <w:keepNext w:val="0"/>
        <w:keepLines w:val="0"/>
        <w:pageBreakBefore w:val="0"/>
        <w:kinsoku/>
        <w:wordWrap/>
        <w:overflowPunct/>
        <w:topLinePunct w:val="0"/>
        <w:bidi w:val="0"/>
        <w:spacing w:line="360" w:lineRule="auto"/>
        <w:ind w:left="-2" w:leftChars="-1" w:firstLine="424" w:firstLineChars="202"/>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（5）验收款：</w:t>
      </w:r>
      <w:r>
        <w:rPr>
          <w:rFonts w:hint="eastAsia" w:ascii="宋体" w:hAnsi="宋体" w:eastAsia="宋体" w:cs="宋体"/>
          <w:sz w:val="21"/>
          <w:szCs w:val="21"/>
          <w:lang w:val="en-US" w:eastAsia="zh-CN"/>
        </w:rPr>
        <w:t>剩余合同价的70%及对应增值税税额为验收款，</w:t>
      </w:r>
      <w:r>
        <w:rPr>
          <w:rFonts w:hint="eastAsia" w:ascii="宋体" w:hAnsi="宋体" w:eastAsia="宋体" w:cs="宋体"/>
          <w:sz w:val="21"/>
          <w:szCs w:val="21"/>
          <w:highlight w:val="none"/>
          <w:lang w:val="en-US" w:eastAsia="zh-CN"/>
        </w:rPr>
        <w:t>乙方在完成所有设备供货并经甲方全部最终验收合格后，乙方提交符合甲方要求的请款资料</w:t>
      </w:r>
      <w:r>
        <w:rPr>
          <w:rFonts w:hint="eastAsia" w:ascii="宋体" w:hAnsi="宋体" w:eastAsia="宋体" w:cs="宋体"/>
          <w:sz w:val="21"/>
          <w:szCs w:val="21"/>
          <w:highlight w:val="none"/>
        </w:rPr>
        <w:t>及</w:t>
      </w:r>
      <w:r>
        <w:rPr>
          <w:rFonts w:hint="eastAsia" w:ascii="宋体" w:hAnsi="宋体" w:eastAsia="宋体" w:cs="宋体"/>
          <w:sz w:val="21"/>
          <w:szCs w:val="21"/>
          <w:highlight w:val="none"/>
          <w:lang w:val="en-US" w:eastAsia="zh-CN"/>
        </w:rPr>
        <w:t>与</w:t>
      </w:r>
      <w:r>
        <w:rPr>
          <w:rFonts w:hint="eastAsia" w:ascii="宋体" w:hAnsi="宋体" w:eastAsia="宋体" w:cs="宋体"/>
          <w:sz w:val="21"/>
          <w:szCs w:val="21"/>
          <w:highlight w:val="none"/>
        </w:rPr>
        <w:t>合同价</w:t>
      </w:r>
      <w:r>
        <w:rPr>
          <w:rFonts w:hint="eastAsia" w:ascii="宋体" w:hAnsi="宋体" w:eastAsia="宋体" w:cs="宋体"/>
          <w:sz w:val="21"/>
          <w:szCs w:val="21"/>
          <w:highlight w:val="none"/>
          <w:lang w:val="en-US" w:eastAsia="zh-CN"/>
        </w:rPr>
        <w:t>70</w:t>
      </w:r>
      <w:r>
        <w:rPr>
          <w:rFonts w:hint="eastAsia" w:ascii="宋体" w:hAnsi="宋体" w:eastAsia="宋体" w:cs="宋体"/>
          <w:sz w:val="21"/>
          <w:szCs w:val="21"/>
          <w:highlight w:val="none"/>
        </w:rPr>
        <w:t>%的金额等额、合法、有效的增值税专用发票</w:t>
      </w:r>
      <w:r>
        <w:rPr>
          <w:rFonts w:hint="eastAsia" w:ascii="宋体" w:hAnsi="宋体" w:eastAsia="宋体" w:cs="宋体"/>
          <w:sz w:val="21"/>
          <w:szCs w:val="21"/>
          <w:highlight w:val="none"/>
          <w:lang w:val="en-US" w:eastAsia="zh-CN"/>
        </w:rPr>
        <w:t>后，</w:t>
      </w:r>
      <w:r>
        <w:rPr>
          <w:rFonts w:hint="eastAsia" w:ascii="宋体" w:hAnsi="宋体" w:eastAsia="宋体" w:cs="宋体"/>
          <w:sz w:val="21"/>
          <w:szCs w:val="21"/>
          <w:lang w:val="en-US" w:eastAsia="zh-CN"/>
        </w:rPr>
        <w:t>甲方在收到前述材料并确认无误后30个工作日内向乙方支付剩余应支付的验收款</w:t>
      </w:r>
      <w:r>
        <w:rPr>
          <w:rFonts w:hint="eastAsia" w:ascii="宋体" w:hAnsi="宋体" w:eastAsia="宋体" w:cs="宋体"/>
          <w:sz w:val="21"/>
          <w:szCs w:val="21"/>
          <w:highlight w:val="none"/>
          <w:lang w:val="en-US" w:eastAsia="zh-CN"/>
        </w:rPr>
        <w:t>。</w:t>
      </w:r>
    </w:p>
    <w:p w14:paraId="716972DC">
      <w:pPr>
        <w:keepNext w:val="0"/>
        <w:keepLines w:val="0"/>
        <w:pageBreakBefore w:val="0"/>
        <w:kinsoku/>
        <w:wordWrap/>
        <w:overflowPunct/>
        <w:topLinePunct w:val="0"/>
        <w:bidi w:val="0"/>
        <w:spacing w:line="360" w:lineRule="auto"/>
        <w:ind w:left="-2" w:leftChars="-1" w:firstLine="424" w:firstLineChars="202"/>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乙方收款账户信息</w:t>
      </w:r>
    </w:p>
    <w:tbl>
      <w:tblPr>
        <w:tblStyle w:val="22"/>
        <w:tblW w:w="8545" w:type="dxa"/>
        <w:tblInd w:w="363" w:type="dxa"/>
        <w:tblLayout w:type="fixed"/>
        <w:tblCellMar>
          <w:top w:w="0" w:type="dxa"/>
          <w:left w:w="0" w:type="dxa"/>
          <w:bottom w:w="0" w:type="dxa"/>
          <w:right w:w="0" w:type="dxa"/>
        </w:tblCellMar>
      </w:tblPr>
      <w:tblGrid>
        <w:gridCol w:w="2110"/>
        <w:gridCol w:w="6435"/>
      </w:tblGrid>
      <w:tr w14:paraId="4ECA9B6B">
        <w:tblPrEx>
          <w:tblCellMar>
            <w:top w:w="0" w:type="dxa"/>
            <w:left w:w="0" w:type="dxa"/>
            <w:bottom w:w="0" w:type="dxa"/>
            <w:right w:w="0" w:type="dxa"/>
          </w:tblCellMar>
        </w:tblPrEx>
        <w:trPr>
          <w:trHeight w:val="311" w:hRule="atLeast"/>
        </w:trPr>
        <w:tc>
          <w:tcPr>
            <w:tcW w:w="21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25B58A2">
            <w:pPr>
              <w:keepNext w:val="0"/>
              <w:keepLines w:val="0"/>
              <w:pageBreakBefore w:val="0"/>
              <w:kinsoku/>
              <w:wordWrap/>
              <w:overflowPunct/>
              <w:topLinePunct w:val="0"/>
              <w:bidi w:val="0"/>
              <w:spacing w:line="360" w:lineRule="auto"/>
              <w:ind w:left="420" w:hanging="420" w:hanging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账号户名</w:t>
            </w:r>
          </w:p>
        </w:tc>
        <w:tc>
          <w:tcPr>
            <w:tcW w:w="643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70F7BCD">
            <w:pPr>
              <w:keepNext w:val="0"/>
              <w:keepLines w:val="0"/>
              <w:pageBreakBefore w:val="0"/>
              <w:kinsoku/>
              <w:wordWrap/>
              <w:overflowPunct/>
              <w:topLinePunct w:val="0"/>
              <w:bidi w:val="0"/>
              <w:spacing w:line="360" w:lineRule="auto"/>
              <w:ind w:left="420" w:hanging="420" w:hangingChars="200"/>
              <w:textAlignment w:val="auto"/>
              <w:rPr>
                <w:rFonts w:hint="eastAsia" w:ascii="宋体" w:hAnsi="宋体" w:eastAsia="宋体" w:cs="宋体"/>
                <w:sz w:val="21"/>
                <w:szCs w:val="21"/>
                <w:highlight w:val="none"/>
              </w:rPr>
            </w:pPr>
          </w:p>
        </w:tc>
      </w:tr>
      <w:tr w14:paraId="341783AD">
        <w:tblPrEx>
          <w:tblCellMar>
            <w:top w:w="0" w:type="dxa"/>
            <w:left w:w="0" w:type="dxa"/>
            <w:bottom w:w="0" w:type="dxa"/>
            <w:right w:w="0" w:type="dxa"/>
          </w:tblCellMar>
        </w:tblPrEx>
        <w:trPr>
          <w:trHeight w:val="314" w:hRule="atLeast"/>
        </w:trPr>
        <w:tc>
          <w:tcPr>
            <w:tcW w:w="211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C308A4A">
            <w:pPr>
              <w:keepNext w:val="0"/>
              <w:keepLines w:val="0"/>
              <w:pageBreakBefore w:val="0"/>
              <w:kinsoku/>
              <w:wordWrap/>
              <w:overflowPunct/>
              <w:topLinePunct w:val="0"/>
              <w:bidi w:val="0"/>
              <w:spacing w:line="360" w:lineRule="auto"/>
              <w:ind w:left="420" w:hanging="420" w:hanging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开户银行名称</w:t>
            </w:r>
          </w:p>
        </w:tc>
        <w:tc>
          <w:tcPr>
            <w:tcW w:w="6435" w:type="dxa"/>
            <w:tcBorders>
              <w:top w:val="nil"/>
              <w:left w:val="nil"/>
              <w:bottom w:val="single" w:color="auto" w:sz="8" w:space="0"/>
              <w:right w:val="single" w:color="auto" w:sz="8" w:space="0"/>
            </w:tcBorders>
            <w:tcMar>
              <w:top w:w="0" w:type="dxa"/>
              <w:left w:w="108" w:type="dxa"/>
              <w:bottom w:w="0" w:type="dxa"/>
              <w:right w:w="108" w:type="dxa"/>
            </w:tcMar>
            <w:vAlign w:val="center"/>
          </w:tcPr>
          <w:p w14:paraId="6572EDB3">
            <w:pPr>
              <w:keepNext w:val="0"/>
              <w:keepLines w:val="0"/>
              <w:pageBreakBefore w:val="0"/>
              <w:kinsoku/>
              <w:wordWrap/>
              <w:overflowPunct/>
              <w:topLinePunct w:val="0"/>
              <w:bidi w:val="0"/>
              <w:spacing w:line="360" w:lineRule="auto"/>
              <w:ind w:left="420" w:hanging="420" w:hangingChars="200"/>
              <w:textAlignment w:val="auto"/>
              <w:rPr>
                <w:rFonts w:hint="eastAsia" w:ascii="宋体" w:hAnsi="宋体" w:eastAsia="宋体" w:cs="宋体"/>
                <w:sz w:val="21"/>
                <w:szCs w:val="21"/>
                <w:highlight w:val="none"/>
              </w:rPr>
            </w:pPr>
          </w:p>
        </w:tc>
      </w:tr>
      <w:tr w14:paraId="1A6DC9AB">
        <w:tblPrEx>
          <w:tblCellMar>
            <w:top w:w="0" w:type="dxa"/>
            <w:left w:w="0" w:type="dxa"/>
            <w:bottom w:w="0" w:type="dxa"/>
            <w:right w:w="0" w:type="dxa"/>
          </w:tblCellMar>
        </w:tblPrEx>
        <w:trPr>
          <w:trHeight w:val="256" w:hRule="atLeast"/>
        </w:trPr>
        <w:tc>
          <w:tcPr>
            <w:tcW w:w="211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E3720CA">
            <w:pPr>
              <w:keepNext w:val="0"/>
              <w:keepLines w:val="0"/>
              <w:pageBreakBefore w:val="0"/>
              <w:kinsoku/>
              <w:wordWrap/>
              <w:overflowPunct/>
              <w:topLinePunct w:val="0"/>
              <w:bidi w:val="0"/>
              <w:spacing w:line="360" w:lineRule="auto"/>
              <w:ind w:left="420" w:hanging="420" w:hanging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银行账号</w:t>
            </w:r>
          </w:p>
        </w:tc>
        <w:tc>
          <w:tcPr>
            <w:tcW w:w="6435" w:type="dxa"/>
            <w:tcBorders>
              <w:top w:val="nil"/>
              <w:left w:val="nil"/>
              <w:bottom w:val="single" w:color="auto" w:sz="8" w:space="0"/>
              <w:right w:val="single" w:color="auto" w:sz="8" w:space="0"/>
            </w:tcBorders>
            <w:tcMar>
              <w:top w:w="0" w:type="dxa"/>
              <w:left w:w="108" w:type="dxa"/>
              <w:bottom w:w="0" w:type="dxa"/>
              <w:right w:w="108" w:type="dxa"/>
            </w:tcMar>
            <w:vAlign w:val="center"/>
          </w:tcPr>
          <w:p w14:paraId="7A1E11F3">
            <w:pPr>
              <w:keepNext w:val="0"/>
              <w:keepLines w:val="0"/>
              <w:pageBreakBefore w:val="0"/>
              <w:kinsoku/>
              <w:wordWrap/>
              <w:overflowPunct/>
              <w:topLinePunct w:val="0"/>
              <w:bidi w:val="0"/>
              <w:spacing w:line="360" w:lineRule="auto"/>
              <w:ind w:left="420" w:hanging="420" w:hangingChars="200"/>
              <w:textAlignment w:val="auto"/>
              <w:rPr>
                <w:rFonts w:hint="eastAsia" w:ascii="宋体" w:hAnsi="宋体" w:eastAsia="宋体" w:cs="宋体"/>
                <w:sz w:val="21"/>
                <w:szCs w:val="21"/>
                <w:highlight w:val="none"/>
              </w:rPr>
            </w:pPr>
          </w:p>
        </w:tc>
      </w:tr>
    </w:tbl>
    <w:p w14:paraId="653AB5E4">
      <w:pPr>
        <w:keepNext w:val="0"/>
        <w:keepLines w:val="0"/>
        <w:pageBreakBefore w:val="0"/>
        <w:kinsoku/>
        <w:wordWrap/>
        <w:overflowPunct/>
        <w:topLinePunct w:val="0"/>
        <w:bidi w:val="0"/>
        <w:adjustRightInd w:val="0"/>
        <w:spacing w:line="360" w:lineRule="auto"/>
        <w:ind w:firstLine="422" w:firstLineChars="200"/>
        <w:textAlignment w:val="auto"/>
        <w:outlineLvl w:val="0"/>
        <w:rPr>
          <w:rFonts w:hint="eastAsia" w:ascii="宋体" w:hAnsi="宋体" w:eastAsia="宋体" w:cs="宋体"/>
          <w:b/>
          <w:sz w:val="21"/>
          <w:szCs w:val="21"/>
          <w:highlight w:val="none"/>
        </w:rPr>
      </w:pPr>
    </w:p>
    <w:p w14:paraId="34C95337">
      <w:pPr>
        <w:keepNext w:val="0"/>
        <w:keepLines w:val="0"/>
        <w:pageBreakBefore w:val="0"/>
        <w:kinsoku/>
        <w:wordWrap/>
        <w:overflowPunct/>
        <w:topLinePunct w:val="0"/>
        <w:bidi w:val="0"/>
        <w:adjustRightInd w:val="0"/>
        <w:spacing w:line="360" w:lineRule="auto"/>
        <w:ind w:firstLine="422" w:firstLineChars="200"/>
        <w:textAlignment w:val="auto"/>
        <w:outlineLvl w:val="0"/>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rPr>
        <w:t>第</w:t>
      </w:r>
      <w:r>
        <w:rPr>
          <w:rFonts w:hint="eastAsia" w:ascii="宋体" w:hAnsi="宋体" w:eastAsia="宋体" w:cs="宋体"/>
          <w:b/>
          <w:sz w:val="21"/>
          <w:szCs w:val="21"/>
          <w:highlight w:val="none"/>
          <w:lang w:val="en-US" w:eastAsia="zh-CN"/>
        </w:rPr>
        <w:t>三</w:t>
      </w:r>
      <w:r>
        <w:rPr>
          <w:rFonts w:hint="eastAsia" w:ascii="宋体" w:hAnsi="宋体" w:eastAsia="宋体" w:cs="宋体"/>
          <w:b/>
          <w:sz w:val="21"/>
          <w:szCs w:val="21"/>
          <w:highlight w:val="none"/>
        </w:rPr>
        <w:t>条 交付时间及</w:t>
      </w:r>
      <w:r>
        <w:rPr>
          <w:rFonts w:hint="eastAsia" w:ascii="宋体" w:hAnsi="宋体" w:eastAsia="宋体" w:cs="宋体"/>
          <w:b/>
          <w:sz w:val="21"/>
          <w:szCs w:val="21"/>
          <w:highlight w:val="none"/>
          <w:lang w:val="en-US" w:eastAsia="zh-CN"/>
        </w:rPr>
        <w:t>供货要求</w:t>
      </w:r>
    </w:p>
    <w:p w14:paraId="1B72596A">
      <w:pPr>
        <w:pStyle w:val="8"/>
        <w:keepNext w:val="0"/>
        <w:keepLines w:val="0"/>
        <w:pageBreakBefore w:val="0"/>
        <w:kinsoku/>
        <w:wordWrap/>
        <w:overflowPunct/>
        <w:topLinePunct w:val="0"/>
        <w:bidi w:val="0"/>
        <w:spacing w:after="0" w:line="360" w:lineRule="auto"/>
        <w:ind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乙方需</w:t>
      </w:r>
      <w:r>
        <w:rPr>
          <w:rFonts w:hint="eastAsia" w:ascii="宋体" w:hAnsi="宋体" w:eastAsia="宋体" w:cs="宋体"/>
          <w:sz w:val="21"/>
          <w:szCs w:val="21"/>
          <w:highlight w:val="none"/>
        </w:rPr>
        <w:t>在签订合同后20</w:t>
      </w:r>
      <w:r>
        <w:rPr>
          <w:rFonts w:hint="eastAsia" w:ascii="宋体" w:hAnsi="宋体" w:eastAsia="宋体" w:cs="宋体"/>
          <w:sz w:val="21"/>
          <w:szCs w:val="21"/>
          <w:highlight w:val="none"/>
          <w:lang w:val="en-US" w:eastAsia="zh-CN"/>
        </w:rPr>
        <w:t>日</w:t>
      </w:r>
      <w:r>
        <w:rPr>
          <w:rFonts w:hint="eastAsia" w:ascii="宋体" w:hAnsi="宋体" w:eastAsia="宋体" w:cs="宋体"/>
          <w:sz w:val="21"/>
          <w:szCs w:val="21"/>
          <w:highlight w:val="none"/>
        </w:rPr>
        <w:t>内具备发货条件；</w:t>
      </w:r>
    </w:p>
    <w:p w14:paraId="4ED8F874">
      <w:pPr>
        <w:pStyle w:val="8"/>
        <w:keepNext w:val="0"/>
        <w:keepLines w:val="0"/>
        <w:pageBreakBefore w:val="0"/>
        <w:kinsoku/>
        <w:wordWrap/>
        <w:overflowPunct/>
        <w:topLinePunct w:val="0"/>
        <w:bidi w:val="0"/>
        <w:spacing w:after="0" w:line="360" w:lineRule="auto"/>
        <w:ind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乙方应在甲方</w:t>
      </w:r>
      <w:r>
        <w:rPr>
          <w:rFonts w:hint="eastAsia" w:ascii="宋体" w:hAnsi="宋体" w:eastAsia="宋体" w:cs="宋体"/>
          <w:sz w:val="21"/>
          <w:szCs w:val="21"/>
          <w:highlight w:val="none"/>
        </w:rPr>
        <w:t>发出发货通知单之日起3</w:t>
      </w:r>
      <w:r>
        <w:rPr>
          <w:rFonts w:hint="eastAsia" w:ascii="宋体" w:hAnsi="宋体" w:eastAsia="宋体" w:cs="宋体"/>
          <w:sz w:val="21"/>
          <w:szCs w:val="21"/>
          <w:highlight w:val="none"/>
          <w:lang w:val="en-US" w:eastAsia="zh-CN"/>
        </w:rPr>
        <w:t>日</w:t>
      </w:r>
      <w:r>
        <w:rPr>
          <w:rFonts w:hint="eastAsia" w:ascii="宋体" w:hAnsi="宋体" w:eastAsia="宋体" w:cs="宋体"/>
          <w:sz w:val="21"/>
          <w:szCs w:val="21"/>
          <w:highlight w:val="none"/>
        </w:rPr>
        <w:t>内完成</w:t>
      </w:r>
      <w:r>
        <w:rPr>
          <w:rFonts w:hint="eastAsia" w:ascii="宋体" w:hAnsi="宋体" w:eastAsia="宋体" w:cs="宋体"/>
          <w:sz w:val="21"/>
          <w:szCs w:val="21"/>
          <w:highlight w:val="none"/>
          <w:lang w:val="en-US" w:eastAsia="zh-CN"/>
        </w:rPr>
        <w:t>全部</w:t>
      </w:r>
      <w:r>
        <w:rPr>
          <w:rFonts w:hint="eastAsia" w:ascii="宋体" w:hAnsi="宋体" w:eastAsia="宋体" w:cs="宋体"/>
          <w:sz w:val="21"/>
          <w:szCs w:val="21"/>
          <w:highlight w:val="none"/>
        </w:rPr>
        <w:t>电动叉车及电动登高车的供货；</w:t>
      </w:r>
    </w:p>
    <w:p w14:paraId="311CE798">
      <w:pPr>
        <w:pStyle w:val="8"/>
        <w:keepNext w:val="0"/>
        <w:keepLines w:val="0"/>
        <w:pageBreakBefore w:val="0"/>
        <w:kinsoku/>
        <w:wordWrap/>
        <w:overflowPunct/>
        <w:topLinePunct w:val="0"/>
        <w:bidi w:val="0"/>
        <w:spacing w:after="0" w:line="360" w:lineRule="auto"/>
        <w:ind w:firstLine="42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highlight w:val="none"/>
        </w:rPr>
        <w:t>发出发货通知单之日起30</w:t>
      </w:r>
      <w:r>
        <w:rPr>
          <w:rFonts w:hint="eastAsia" w:ascii="宋体" w:hAnsi="宋体" w:eastAsia="宋体" w:cs="宋体"/>
          <w:sz w:val="21"/>
          <w:szCs w:val="21"/>
          <w:highlight w:val="none"/>
          <w:lang w:val="en-US" w:eastAsia="zh-CN"/>
        </w:rPr>
        <w:t>日</w:t>
      </w:r>
      <w:r>
        <w:rPr>
          <w:rFonts w:hint="eastAsia" w:ascii="宋体" w:hAnsi="宋体" w:eastAsia="宋体" w:cs="宋体"/>
          <w:sz w:val="21"/>
          <w:szCs w:val="21"/>
          <w:highlight w:val="none"/>
        </w:rPr>
        <w:t>内</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乙方</w:t>
      </w:r>
      <w:r>
        <w:rPr>
          <w:rFonts w:hint="eastAsia" w:ascii="宋体" w:hAnsi="宋体" w:eastAsia="宋体" w:cs="宋体"/>
          <w:sz w:val="21"/>
          <w:szCs w:val="21"/>
          <w:highlight w:val="none"/>
        </w:rPr>
        <w:t>完成所有货物的供货及调试</w:t>
      </w:r>
      <w:r>
        <w:rPr>
          <w:rFonts w:hint="eastAsia" w:ascii="宋体" w:hAnsi="宋体" w:eastAsia="宋体" w:cs="宋体"/>
          <w:sz w:val="21"/>
          <w:szCs w:val="21"/>
          <w:highlight w:val="none"/>
          <w:lang w:eastAsia="zh-CN"/>
        </w:rPr>
        <w:t>。</w:t>
      </w:r>
    </w:p>
    <w:p w14:paraId="37A5F71A">
      <w:pPr>
        <w:pStyle w:val="8"/>
        <w:keepNext w:val="0"/>
        <w:keepLines w:val="0"/>
        <w:pageBreakBefore w:val="0"/>
        <w:kinsoku/>
        <w:wordWrap/>
        <w:overflowPunct/>
        <w:topLinePunct w:val="0"/>
        <w:bidi w:val="0"/>
        <w:spacing w:after="0" w:line="360" w:lineRule="auto"/>
        <w:ind w:firstLine="42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4.乙方需在</w:t>
      </w:r>
      <w:r>
        <w:rPr>
          <w:rFonts w:hint="eastAsia" w:ascii="宋体" w:hAnsi="宋体" w:eastAsia="宋体" w:cs="宋体"/>
          <w:sz w:val="21"/>
          <w:szCs w:val="21"/>
          <w:highlight w:val="none"/>
        </w:rPr>
        <w:t>全部电动叉车及电动登高车</w:t>
      </w:r>
      <w:r>
        <w:rPr>
          <w:rFonts w:hint="eastAsia" w:ascii="宋体" w:hAnsi="宋体" w:eastAsia="宋体" w:cs="宋体"/>
          <w:sz w:val="21"/>
          <w:szCs w:val="21"/>
          <w:highlight w:val="none"/>
          <w:lang w:val="en-US" w:eastAsia="zh-CN"/>
        </w:rPr>
        <w:t>到货后30日内完成</w:t>
      </w:r>
      <w:r>
        <w:rPr>
          <w:rFonts w:hint="eastAsia" w:ascii="宋体" w:hAnsi="宋体" w:eastAsia="宋体" w:cs="宋体"/>
          <w:sz w:val="21"/>
          <w:szCs w:val="21"/>
          <w:highlight w:val="none"/>
        </w:rPr>
        <w:t>特种设备使用登记及上牌工作，并完成</w:t>
      </w:r>
      <w:r>
        <w:rPr>
          <w:rFonts w:hint="eastAsia" w:ascii="宋体" w:hAnsi="宋体" w:eastAsia="宋体" w:cs="宋体"/>
          <w:sz w:val="21"/>
          <w:szCs w:val="21"/>
          <w:highlight w:val="none"/>
          <w:lang w:eastAsia="zh-CN"/>
        </w:rPr>
        <w:t>最终</w:t>
      </w:r>
      <w:r>
        <w:rPr>
          <w:rFonts w:hint="eastAsia" w:ascii="宋体" w:hAnsi="宋体" w:eastAsia="宋体" w:cs="宋体"/>
          <w:sz w:val="21"/>
          <w:szCs w:val="21"/>
          <w:highlight w:val="none"/>
        </w:rPr>
        <w:t>验收等相关手续的办理。</w:t>
      </w:r>
    </w:p>
    <w:p w14:paraId="35157100">
      <w:pPr>
        <w:pStyle w:val="8"/>
        <w:keepNext w:val="0"/>
        <w:keepLines w:val="0"/>
        <w:pageBreakBefore w:val="0"/>
        <w:kinsoku/>
        <w:wordWrap/>
        <w:overflowPunct/>
        <w:topLinePunct w:val="0"/>
        <w:bidi w:val="0"/>
        <w:spacing w:after="0" w:line="360" w:lineRule="auto"/>
        <w:ind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.供货界限：</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提供电动叉车、电动登高车在污泥项目的存放场地，</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自行负责为完成货物运输、存储、安装及调试等工作而需要的其他条件及费用。</w:t>
      </w:r>
    </w:p>
    <w:p w14:paraId="438DACCC">
      <w:pPr>
        <w:pStyle w:val="8"/>
        <w:keepNext w:val="0"/>
        <w:keepLines w:val="0"/>
        <w:pageBreakBefore w:val="0"/>
        <w:kinsoku/>
        <w:wordWrap/>
        <w:overflowPunct/>
        <w:topLinePunct w:val="0"/>
        <w:bidi w:val="0"/>
        <w:spacing w:after="0" w:line="360" w:lineRule="auto"/>
        <w:ind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.供货地点：以</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通知为准。乙方负责</w:t>
      </w:r>
      <w:r>
        <w:rPr>
          <w:rFonts w:hint="eastAsia" w:ascii="宋体" w:hAnsi="宋体" w:eastAsia="宋体" w:cs="宋体"/>
          <w:sz w:val="21"/>
          <w:szCs w:val="21"/>
          <w:highlight w:val="none"/>
          <w:lang w:val="en-US" w:eastAsia="zh-CN"/>
        </w:rPr>
        <w:t>货物</w:t>
      </w:r>
      <w:r>
        <w:rPr>
          <w:rFonts w:hint="eastAsia" w:ascii="宋体" w:hAnsi="宋体" w:eastAsia="宋体" w:cs="宋体"/>
          <w:sz w:val="21"/>
          <w:szCs w:val="21"/>
          <w:highlight w:val="none"/>
        </w:rPr>
        <w:t>运输及承担运输费用。</w:t>
      </w:r>
    </w:p>
    <w:p w14:paraId="4484FF31">
      <w:pPr>
        <w:pStyle w:val="8"/>
        <w:keepNext w:val="0"/>
        <w:keepLines w:val="0"/>
        <w:pageBreakBefore w:val="0"/>
        <w:kinsoku/>
        <w:wordWrap/>
        <w:overflowPunct/>
        <w:topLinePunct w:val="0"/>
        <w:bidi w:val="0"/>
        <w:spacing w:after="0" w:line="360" w:lineRule="auto"/>
        <w:ind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乙方的货物应当按照甲方要求送到指定的地点，由于乙方使用第三方送货服务导致货物未能经过双方共同验收、未送到指定地点的，甲方有权拒绝收货。</w:t>
      </w:r>
    </w:p>
    <w:p w14:paraId="53B661D8">
      <w:pPr>
        <w:pStyle w:val="8"/>
        <w:keepNext w:val="0"/>
        <w:keepLines w:val="0"/>
        <w:pageBreakBefore w:val="0"/>
        <w:kinsoku/>
        <w:wordWrap/>
        <w:overflowPunct/>
        <w:topLinePunct w:val="0"/>
        <w:bidi w:val="0"/>
        <w:spacing w:after="0" w:line="360" w:lineRule="auto"/>
        <w:ind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未经甲方同意，乙方或乙方委托的第三方送货服务仅将货物放置在门口/门卫室，而没有送货至甲方指定的地点的，视为乙方未履行送货义务，甲方有权拒绝接受货物且不予支付货款。上述情况下甲方不负保管责任，货物未按照甲方要求放置而造成的损毁、灭失风险概由乙方承担。</w:t>
      </w:r>
    </w:p>
    <w:p w14:paraId="43B1717E">
      <w:pPr>
        <w:pStyle w:val="8"/>
        <w:keepNext w:val="0"/>
        <w:keepLines w:val="0"/>
        <w:pageBreakBefore w:val="0"/>
        <w:kinsoku/>
        <w:wordWrap/>
        <w:overflowPunct/>
        <w:topLinePunct w:val="0"/>
        <w:bidi w:val="0"/>
        <w:spacing w:after="0" w:line="360" w:lineRule="auto"/>
        <w:ind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.供货内容：①提供符合</w: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rPr>
        <w:t>文件及合同要求的电动叉车及登高车；②提供技术文件及资料，包括</w:t>
      </w:r>
      <w:r>
        <w:rPr>
          <w:rFonts w:hint="eastAsia" w:ascii="宋体" w:hAnsi="宋体" w:eastAsia="宋体" w:cs="宋体"/>
          <w:sz w:val="21"/>
          <w:szCs w:val="21"/>
          <w:highlight w:val="none"/>
          <w:lang w:val="en-US" w:eastAsia="zh-CN"/>
        </w:rPr>
        <w:t>但</w:t>
      </w:r>
      <w:r>
        <w:rPr>
          <w:rFonts w:hint="eastAsia" w:ascii="宋体" w:hAnsi="宋体" w:eastAsia="宋体" w:cs="宋体"/>
          <w:sz w:val="21"/>
          <w:szCs w:val="21"/>
          <w:highlight w:val="none"/>
        </w:rPr>
        <w:t>不限于设备保养手册、使用说明书及其他必要文件，详见</w:t>
      </w:r>
      <w:r>
        <w:rPr>
          <w:rFonts w:hint="eastAsia" w:ascii="宋体" w:hAnsi="宋体" w:eastAsia="宋体" w:cs="宋体"/>
          <w:sz w:val="21"/>
          <w:szCs w:val="21"/>
          <w:highlight w:val="none"/>
          <w:lang w:val="en-US" w:eastAsia="zh-CN"/>
        </w:rPr>
        <w:t>附件用户</w:t>
      </w:r>
      <w:r>
        <w:rPr>
          <w:rFonts w:hint="eastAsia" w:ascii="宋体" w:hAnsi="宋体" w:eastAsia="宋体" w:cs="宋体"/>
          <w:sz w:val="21"/>
          <w:szCs w:val="21"/>
          <w:highlight w:val="none"/>
        </w:rPr>
        <w:t>需求书“</w:t>
      </w:r>
      <w:r>
        <w:rPr>
          <w:rFonts w:hint="eastAsia" w:ascii="宋体" w:hAnsi="宋体" w:eastAsia="宋体" w:cs="宋体"/>
          <w:sz w:val="21"/>
          <w:szCs w:val="21"/>
          <w:highlight w:val="none"/>
          <w:lang w:val="en-US" w:eastAsia="zh-CN"/>
        </w:rPr>
        <w:t>四</w:t>
      </w:r>
      <w:r>
        <w:rPr>
          <w:rFonts w:hint="eastAsia" w:ascii="宋体" w:hAnsi="宋体" w:eastAsia="宋体" w:cs="宋体"/>
          <w:sz w:val="21"/>
          <w:szCs w:val="21"/>
          <w:highlight w:val="none"/>
        </w:rPr>
        <w:t xml:space="preserve"> 资料提交”。</w:t>
      </w:r>
    </w:p>
    <w:p w14:paraId="0010B6A6">
      <w:pPr>
        <w:pStyle w:val="8"/>
        <w:keepNext w:val="0"/>
        <w:keepLines w:val="0"/>
        <w:pageBreakBefore w:val="0"/>
        <w:kinsoku/>
        <w:wordWrap/>
        <w:overflowPunct/>
        <w:topLinePunct w:val="0"/>
        <w:bidi w:val="0"/>
        <w:spacing w:after="0" w:line="360" w:lineRule="auto"/>
        <w:ind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根据本条规定对货物所做出的验收，仅作为起算付款及质保期之用，不视为双方对于货物质量的最终认可，</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仍应在质保期内对产品质量承担保证责任，不能免除乙方其后因产品实际情况与要求不符而导致</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要求退货、换货的责任承担。</w:t>
      </w:r>
    </w:p>
    <w:p w14:paraId="4F57C6A6">
      <w:pPr>
        <w:pStyle w:val="8"/>
        <w:keepNext w:val="0"/>
        <w:keepLines w:val="0"/>
        <w:pageBreakBefore w:val="0"/>
        <w:kinsoku/>
        <w:wordWrap/>
        <w:overflowPunct/>
        <w:topLinePunct w:val="0"/>
        <w:bidi w:val="0"/>
        <w:spacing w:after="0" w:line="360" w:lineRule="auto"/>
        <w:ind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11</w:t>
      </w:r>
      <w:r>
        <w:rPr>
          <w:rFonts w:hint="eastAsia" w:ascii="宋体" w:hAnsi="宋体" w:eastAsia="宋体" w:cs="宋体"/>
          <w:sz w:val="21"/>
          <w:szCs w:val="21"/>
          <w:highlight w:val="none"/>
        </w:rPr>
        <w:t>.货物在经最终验收合格前，其损耗、毁损、灭失等风险及责任由</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承担，如因发生前述情形，导致</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所提供的货物不能通过</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验收的，</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应按</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要求无条件予以退换货，费用由</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承担，给</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造成损失的</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须承担全部的赔偿责任，且交货时间不予顺延。</w:t>
      </w:r>
    </w:p>
    <w:p w14:paraId="7BD9C595">
      <w:pPr>
        <w:keepNext w:val="0"/>
        <w:keepLines w:val="0"/>
        <w:pageBreakBefore w:val="0"/>
        <w:kinsoku/>
        <w:wordWrap/>
        <w:overflowPunct/>
        <w:topLinePunct w:val="0"/>
        <w:bidi w:val="0"/>
        <w:adjustRightInd w:val="0"/>
        <w:spacing w:line="360" w:lineRule="auto"/>
        <w:ind w:firstLine="422" w:firstLineChars="200"/>
        <w:textAlignment w:val="auto"/>
        <w:outlineLvl w:val="0"/>
        <w:rPr>
          <w:rFonts w:hint="eastAsia" w:ascii="宋体" w:hAnsi="宋体" w:eastAsia="宋体" w:cs="宋体"/>
          <w:b/>
          <w:sz w:val="21"/>
          <w:szCs w:val="21"/>
          <w:highlight w:val="none"/>
        </w:rPr>
      </w:pPr>
    </w:p>
    <w:p w14:paraId="5420F963">
      <w:pPr>
        <w:keepNext w:val="0"/>
        <w:keepLines w:val="0"/>
        <w:pageBreakBefore w:val="0"/>
        <w:kinsoku/>
        <w:wordWrap/>
        <w:overflowPunct/>
        <w:topLinePunct w:val="0"/>
        <w:bidi w:val="0"/>
        <w:adjustRightInd w:val="0"/>
        <w:spacing w:line="360" w:lineRule="auto"/>
        <w:ind w:firstLine="422" w:firstLineChars="200"/>
        <w:textAlignment w:val="auto"/>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第</w:t>
      </w:r>
      <w:r>
        <w:rPr>
          <w:rFonts w:hint="eastAsia" w:ascii="宋体" w:hAnsi="宋体" w:eastAsia="宋体" w:cs="宋体"/>
          <w:b/>
          <w:sz w:val="21"/>
          <w:szCs w:val="21"/>
          <w:highlight w:val="none"/>
          <w:lang w:val="en-US" w:eastAsia="zh-CN"/>
        </w:rPr>
        <w:t>四</w:t>
      </w:r>
      <w:r>
        <w:rPr>
          <w:rFonts w:hint="eastAsia" w:ascii="宋体" w:hAnsi="宋体" w:eastAsia="宋体" w:cs="宋体"/>
          <w:b/>
          <w:sz w:val="21"/>
          <w:szCs w:val="21"/>
          <w:highlight w:val="none"/>
        </w:rPr>
        <w:t>条 质量要求</w:t>
      </w:r>
    </w:p>
    <w:p w14:paraId="65343A04">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乙方应保证货物必须是原厂生产的、全新的、未使用过的产品(含零部件、配件、随机工具等)，随机配备的所有配件必须为原厂原配，表面无划伤、无碰撞的痕迹，并符合国家相关法律法规要求。</w:t>
      </w:r>
    </w:p>
    <w:p w14:paraId="7391C43A">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乙方所供货物应具备该类产品的功能要求，无瑕疵和缺陷，质量为合格产品，同时有明确的生产厂商或制造厂商。</w:t>
      </w:r>
    </w:p>
    <w:p w14:paraId="38C4021A">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所有货物须满足相关国家、行业现行有效的质量标准。</w:t>
      </w:r>
    </w:p>
    <w:p w14:paraId="52A60A49">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b/>
          <w:sz w:val="21"/>
          <w:szCs w:val="21"/>
          <w:highlight w:val="none"/>
        </w:rPr>
      </w:pP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所有货物的规格、型号参数必须</w:t>
      </w:r>
      <w:r>
        <w:rPr>
          <w:rFonts w:hint="eastAsia" w:ascii="宋体" w:hAnsi="宋体" w:eastAsia="宋体" w:cs="宋体"/>
          <w:color w:val="000000"/>
          <w:sz w:val="21"/>
          <w:szCs w:val="21"/>
          <w:highlight w:val="none"/>
          <w:lang w:val="en-US" w:eastAsia="zh-CN"/>
        </w:rPr>
        <w:t>满足</w:t>
      </w:r>
      <w:r>
        <w:rPr>
          <w:rFonts w:hint="eastAsia" w:ascii="宋体" w:hAnsi="宋体" w:eastAsia="宋体" w:cs="宋体"/>
          <w:color w:val="000000"/>
          <w:sz w:val="21"/>
          <w:szCs w:val="21"/>
          <w:highlight w:val="none"/>
        </w:rPr>
        <w:t>附件一《</w:t>
      </w:r>
      <w:r>
        <w:rPr>
          <w:rFonts w:hint="eastAsia" w:ascii="宋体" w:hAnsi="宋体" w:eastAsia="宋体" w:cs="宋体"/>
          <w:color w:val="000000"/>
          <w:sz w:val="21"/>
          <w:szCs w:val="21"/>
          <w:highlight w:val="none"/>
          <w:lang w:val="en-US" w:eastAsia="zh-CN"/>
        </w:rPr>
        <w:t>用户需求书</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第三条对应技术要求</w:t>
      </w:r>
      <w:r>
        <w:rPr>
          <w:rFonts w:hint="eastAsia" w:ascii="宋体" w:hAnsi="宋体" w:eastAsia="宋体" w:cs="宋体"/>
          <w:color w:val="000000"/>
          <w:sz w:val="21"/>
          <w:szCs w:val="21"/>
          <w:highlight w:val="none"/>
        </w:rPr>
        <w:t>。</w:t>
      </w:r>
    </w:p>
    <w:p w14:paraId="4356CF03">
      <w:pPr>
        <w:keepNext w:val="0"/>
        <w:keepLines w:val="0"/>
        <w:pageBreakBefore w:val="0"/>
        <w:kinsoku/>
        <w:wordWrap/>
        <w:overflowPunct/>
        <w:topLinePunct w:val="0"/>
        <w:bidi w:val="0"/>
        <w:adjustRightInd w:val="0"/>
        <w:spacing w:line="360" w:lineRule="auto"/>
        <w:ind w:firstLine="422" w:firstLineChars="200"/>
        <w:textAlignment w:val="auto"/>
        <w:outlineLvl w:val="0"/>
        <w:rPr>
          <w:rFonts w:hint="eastAsia" w:ascii="宋体" w:hAnsi="宋体" w:eastAsia="宋体" w:cs="宋体"/>
          <w:b/>
          <w:sz w:val="21"/>
          <w:szCs w:val="21"/>
          <w:highlight w:val="none"/>
        </w:rPr>
      </w:pPr>
    </w:p>
    <w:p w14:paraId="011EF547">
      <w:pPr>
        <w:keepNext w:val="0"/>
        <w:keepLines w:val="0"/>
        <w:pageBreakBefore w:val="0"/>
        <w:kinsoku/>
        <w:wordWrap/>
        <w:overflowPunct/>
        <w:topLinePunct w:val="0"/>
        <w:bidi w:val="0"/>
        <w:adjustRightInd w:val="0"/>
        <w:spacing w:line="360" w:lineRule="auto"/>
        <w:ind w:firstLine="422" w:firstLineChars="200"/>
        <w:textAlignment w:val="auto"/>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第</w:t>
      </w:r>
      <w:r>
        <w:rPr>
          <w:rFonts w:hint="eastAsia" w:ascii="宋体" w:hAnsi="宋体" w:eastAsia="宋体" w:cs="宋体"/>
          <w:b/>
          <w:sz w:val="21"/>
          <w:szCs w:val="21"/>
          <w:highlight w:val="none"/>
          <w:lang w:val="en-US" w:eastAsia="zh-CN"/>
        </w:rPr>
        <w:t>五</w:t>
      </w:r>
      <w:r>
        <w:rPr>
          <w:rFonts w:hint="eastAsia" w:ascii="宋体" w:hAnsi="宋体" w:eastAsia="宋体" w:cs="宋体"/>
          <w:b/>
          <w:sz w:val="21"/>
          <w:szCs w:val="21"/>
          <w:highlight w:val="none"/>
        </w:rPr>
        <w:t>条 验收标准及方法</w:t>
      </w:r>
    </w:p>
    <w:p w14:paraId="1F991593">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1.验收标准为货到之后的最终验收，具体为货物到达交货地点后，甲方（含甲方委托的第三方）、乙方代表共同验货。甲方按照本合同及用户需求书、国家相关法律法规以及规范的要求等相关的规定，对货物的品种、品牌、产地、型号规格、数量、外观质量、资料进行清点和全面的检验，并作详细的记录。 </w:t>
      </w:r>
    </w:p>
    <w:p w14:paraId="6D0D7E8F">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如发现货物的品种、品牌、产地、型号规格、数量、外观质量、资料与合同不符，或货物短缺、质次、损坏等问题，应作详细记录，甲方可拒绝收货，或由乙方在甲方要求的时间内立即、无条件为甲方调换或补齐，但交货时间不予顺延，调换或补齐后的货物，甲方有权按照本条有关验收的规定进行验收，由此产生的制造、修理和运费及保险费等费用均应由乙方或其他责任方负担，与甲方无关。</w:t>
      </w:r>
    </w:p>
    <w:p w14:paraId="2FFF0BE4">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3.清点和检验合格后，甲方出具相关签收手续并由甲乙双方书面确认验收结果。</w:t>
      </w:r>
    </w:p>
    <w:p w14:paraId="12D59600">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4.甲方根据本条规定对货物所做出的验收，仅作为起算付款及质保期之用，不为双方对于货物质量的最终认定。货物经最终验收合格后，乙方仍应在质保期内对产品质量承担保证责任。</w:t>
      </w:r>
    </w:p>
    <w:p w14:paraId="178B38FC">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5.货物在全部经最终验收合格前，其损耗、毁损、灭失等风险及责任由乙方承担，如因发生前述情形，导致乙方所供应的货物不能通过甲方最终验收的，乙方应按甲方要求予以更换或退货。</w:t>
      </w:r>
    </w:p>
    <w:p w14:paraId="46602E1B">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6.验收过程中，如对检验记录不能取得一致意见时，一方可委托货物交付地的权威的第三方检验机构联合进行检验。检验结果具有约束力，检验费用由责任方负担。</w:t>
      </w:r>
    </w:p>
    <w:p w14:paraId="481252C0">
      <w:pPr>
        <w:keepNext w:val="0"/>
        <w:keepLines w:val="0"/>
        <w:pageBreakBefore w:val="0"/>
        <w:kinsoku/>
        <w:wordWrap/>
        <w:overflowPunct/>
        <w:topLinePunct w:val="0"/>
        <w:bidi w:val="0"/>
        <w:adjustRightInd w:val="0"/>
        <w:spacing w:line="360" w:lineRule="auto"/>
        <w:ind w:firstLine="422" w:firstLineChars="200"/>
        <w:textAlignment w:val="auto"/>
        <w:outlineLvl w:val="0"/>
        <w:rPr>
          <w:rFonts w:hint="eastAsia" w:ascii="宋体" w:hAnsi="宋体" w:eastAsia="宋体" w:cs="宋体"/>
          <w:b/>
          <w:sz w:val="21"/>
          <w:szCs w:val="21"/>
          <w:highlight w:val="none"/>
        </w:rPr>
      </w:pPr>
    </w:p>
    <w:p w14:paraId="26FA02C0">
      <w:pPr>
        <w:keepNext w:val="0"/>
        <w:keepLines w:val="0"/>
        <w:pageBreakBefore w:val="0"/>
        <w:kinsoku/>
        <w:wordWrap/>
        <w:overflowPunct/>
        <w:topLinePunct w:val="0"/>
        <w:bidi w:val="0"/>
        <w:adjustRightInd w:val="0"/>
        <w:spacing w:line="360" w:lineRule="auto"/>
        <w:ind w:firstLine="422" w:firstLineChars="200"/>
        <w:textAlignment w:val="auto"/>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第</w:t>
      </w:r>
      <w:r>
        <w:rPr>
          <w:rFonts w:hint="eastAsia" w:ascii="宋体" w:hAnsi="宋体" w:eastAsia="宋体" w:cs="宋体"/>
          <w:b/>
          <w:sz w:val="21"/>
          <w:szCs w:val="21"/>
          <w:highlight w:val="none"/>
          <w:lang w:val="en-US" w:eastAsia="zh-CN"/>
        </w:rPr>
        <w:t>六</w:t>
      </w:r>
      <w:r>
        <w:rPr>
          <w:rFonts w:hint="eastAsia" w:ascii="宋体" w:hAnsi="宋体" w:eastAsia="宋体" w:cs="宋体"/>
          <w:b/>
          <w:sz w:val="21"/>
          <w:szCs w:val="21"/>
          <w:highlight w:val="none"/>
        </w:rPr>
        <w:t>条 质保期及售后服务要求</w:t>
      </w:r>
    </w:p>
    <w:p w14:paraId="429E191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sz w:val="21"/>
          <w:szCs w:val="21"/>
          <w:highlight w:val="none"/>
          <w:lang w:val="en-US" w:eastAsia="zh-CN"/>
        </w:rPr>
        <w:t>1.全部货物最终验收合格后，乙方向甲方免费提供登高车及电动叉车设备本体1年上门保修服务、1年以上设备配套软件免费升级服务（免费升级服务适用于软件产品），免费保修期为1年，同时</w:t>
      </w:r>
      <w:r>
        <w:rPr>
          <w:rFonts w:hint="eastAsia" w:ascii="宋体" w:hAnsi="宋体" w:eastAsia="宋体" w:cs="宋体"/>
          <w:color w:val="000000"/>
          <w:kern w:val="0"/>
          <w:sz w:val="21"/>
          <w:szCs w:val="21"/>
          <w:highlight w:val="none"/>
          <w:lang w:val="en-US" w:eastAsia="zh-CN" w:bidi="ar-SA"/>
        </w:rPr>
        <w:t>锂电池质保期为6年或者运行1.2万小时；保质期内免费提供（人为损坏除外）不限次数上门服务。</w:t>
      </w:r>
    </w:p>
    <w:p w14:paraId="3406774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乙方在收到甲方服务通知单4小时内完成问题判断，并在24小时内妥善解决。维修时间不计入质保期内。若乙方未能在前述期限内解决问题的，乙方应在甲方要求的时间内更换符合要求的货物，费用由乙方自行承担，</w:t>
      </w:r>
      <w:r>
        <w:rPr>
          <w:rFonts w:hint="eastAsia" w:ascii="宋体" w:hAnsi="宋体" w:eastAsia="宋体" w:cs="宋体"/>
          <w:color w:val="000000"/>
          <w:kern w:val="0"/>
          <w:sz w:val="21"/>
          <w:szCs w:val="21"/>
          <w:highlight w:val="none"/>
          <w:lang w:val="en-US" w:eastAsia="zh-CN" w:bidi="ar-SA"/>
        </w:rPr>
        <w:t>更换货物的质保期从完成更换并经甲方最终验收合格之日起重新起算。</w:t>
      </w:r>
    </w:p>
    <w:p w14:paraId="22CB8FD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货物质保期内发生的全部服务费用（含维修、更换零部件、达到本合同相关要求的更换货物或退货）由乙方承担，包括但不限于由乙方承担完成货物质量保证期内所有工作而产生的维修费、运费、装卸费、购置费、测试费、人工费、交通费等各项费用（包括进口关税和增值税等）。</w:t>
      </w:r>
    </w:p>
    <w:p w14:paraId="5F63EDB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4.乙方未按上述要求提供售后服务的，甲方有权自行要求其他第三方提供相关服务，因此产生的费用以及因乙方未按约提供售后服务导致的甲方损失全部由乙方承担。</w:t>
      </w:r>
    </w:p>
    <w:p w14:paraId="19171924">
      <w:pPr>
        <w:keepNext w:val="0"/>
        <w:keepLines w:val="0"/>
        <w:pageBreakBefore w:val="0"/>
        <w:kinsoku/>
        <w:wordWrap/>
        <w:overflowPunct/>
        <w:topLinePunct w:val="0"/>
        <w:bidi w:val="0"/>
        <w:adjustRightInd/>
        <w:spacing w:line="360" w:lineRule="auto"/>
        <w:ind w:firstLine="420" w:firstLineChars="0"/>
        <w:textAlignment w:val="auto"/>
        <w:outlineLvl w:val="9"/>
        <w:rPr>
          <w:rFonts w:hint="eastAsia" w:ascii="宋体" w:hAnsi="宋体" w:eastAsia="宋体" w:cs="宋体"/>
          <w:b/>
          <w:sz w:val="21"/>
          <w:szCs w:val="21"/>
          <w:highlight w:val="none"/>
        </w:rPr>
      </w:pPr>
    </w:p>
    <w:p w14:paraId="35DAF94E">
      <w:pPr>
        <w:keepNext w:val="0"/>
        <w:keepLines w:val="0"/>
        <w:pageBreakBefore w:val="0"/>
        <w:kinsoku/>
        <w:wordWrap/>
        <w:overflowPunct/>
        <w:topLinePunct w:val="0"/>
        <w:bidi w:val="0"/>
        <w:adjustRightInd/>
        <w:spacing w:line="360" w:lineRule="auto"/>
        <w:ind w:firstLine="420" w:firstLineChars="0"/>
        <w:textAlignment w:val="auto"/>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第</w:t>
      </w:r>
      <w:r>
        <w:rPr>
          <w:rFonts w:hint="eastAsia" w:ascii="宋体" w:hAnsi="宋体" w:eastAsia="宋体" w:cs="宋体"/>
          <w:b/>
          <w:sz w:val="21"/>
          <w:szCs w:val="21"/>
          <w:highlight w:val="none"/>
          <w:lang w:val="en-US" w:eastAsia="zh-CN"/>
        </w:rPr>
        <w:t>七</w:t>
      </w:r>
      <w:r>
        <w:rPr>
          <w:rFonts w:hint="eastAsia" w:ascii="宋体" w:hAnsi="宋体" w:eastAsia="宋体" w:cs="宋体"/>
          <w:b/>
          <w:sz w:val="21"/>
          <w:szCs w:val="21"/>
          <w:highlight w:val="none"/>
        </w:rPr>
        <w:t>条 违约责任</w:t>
      </w:r>
    </w:p>
    <w:p w14:paraId="4351727D">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乙方未在约定的</w:t>
      </w:r>
      <w:r>
        <w:rPr>
          <w:rFonts w:hint="eastAsia" w:ascii="宋体" w:hAnsi="宋体" w:eastAsia="宋体" w:cs="宋体"/>
          <w:color w:val="000000"/>
          <w:sz w:val="21"/>
          <w:szCs w:val="21"/>
          <w:highlight w:val="none"/>
          <w:lang w:val="en-US" w:eastAsia="zh-CN"/>
        </w:rPr>
        <w:t>供货</w:t>
      </w:r>
      <w:r>
        <w:rPr>
          <w:rFonts w:hint="eastAsia" w:ascii="宋体" w:hAnsi="宋体" w:eastAsia="宋体" w:cs="宋体"/>
          <w:color w:val="000000"/>
          <w:sz w:val="21"/>
          <w:szCs w:val="21"/>
          <w:highlight w:val="none"/>
        </w:rPr>
        <w:t>时间内送货至甲方指定交货地点</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完成调试、登记、上牌并经最终验收合格</w:t>
      </w:r>
      <w:r>
        <w:rPr>
          <w:rFonts w:hint="eastAsia" w:ascii="宋体" w:hAnsi="宋体" w:eastAsia="宋体" w:cs="宋体"/>
          <w:color w:val="000000"/>
          <w:sz w:val="21"/>
          <w:szCs w:val="21"/>
          <w:highlight w:val="none"/>
        </w:rPr>
        <w:t>的，或未在的时间内履行更换、</w:t>
      </w:r>
      <w:r>
        <w:rPr>
          <w:rFonts w:hint="eastAsia" w:ascii="宋体" w:hAnsi="宋体" w:eastAsia="宋体" w:cs="宋体"/>
          <w:color w:val="000000"/>
          <w:sz w:val="21"/>
          <w:szCs w:val="21"/>
          <w:highlight w:val="none"/>
          <w:lang w:val="en-US" w:eastAsia="zh-CN"/>
        </w:rPr>
        <w:t>补齐、</w:t>
      </w:r>
      <w:r>
        <w:rPr>
          <w:rFonts w:hint="eastAsia" w:ascii="宋体" w:hAnsi="宋体" w:eastAsia="宋体" w:cs="宋体"/>
          <w:color w:val="000000"/>
          <w:sz w:val="21"/>
          <w:szCs w:val="21"/>
          <w:highlight w:val="none"/>
        </w:rPr>
        <w:t>退换、维修义务的，每逾期</w:t>
      </w:r>
      <w:r>
        <w:rPr>
          <w:rFonts w:hint="eastAsia" w:ascii="宋体" w:hAnsi="宋体" w:eastAsia="宋体" w:cs="宋体"/>
          <w:color w:val="000000"/>
          <w:sz w:val="21"/>
          <w:szCs w:val="21"/>
          <w:highlight w:val="none"/>
          <w:u w:val="single"/>
          <w:lang w:val="en-US" w:eastAsia="zh-CN"/>
        </w:rPr>
        <w:t>1</w:t>
      </w:r>
      <w:r>
        <w:rPr>
          <w:rFonts w:hint="eastAsia" w:ascii="宋体" w:hAnsi="宋体" w:eastAsia="宋体" w:cs="宋体"/>
          <w:color w:val="000000"/>
          <w:sz w:val="21"/>
          <w:szCs w:val="21"/>
          <w:highlight w:val="none"/>
        </w:rPr>
        <w:t>日，应向甲方支付合同价</w:t>
      </w:r>
      <w:r>
        <w:rPr>
          <w:rFonts w:hint="eastAsia" w:ascii="宋体" w:hAnsi="宋体" w:eastAsia="宋体" w:cs="宋体"/>
          <w:color w:val="000000"/>
          <w:sz w:val="21"/>
          <w:szCs w:val="21"/>
          <w:highlight w:val="none"/>
          <w:u w:val="single"/>
        </w:rPr>
        <w:t xml:space="preserve"> 1%</w:t>
      </w:r>
      <w:r>
        <w:rPr>
          <w:rFonts w:hint="eastAsia" w:ascii="宋体" w:hAnsi="宋体" w:eastAsia="宋体" w:cs="宋体"/>
          <w:color w:val="000000"/>
          <w:sz w:val="21"/>
          <w:szCs w:val="21"/>
          <w:highlight w:val="none"/>
        </w:rPr>
        <w:t>的违约金</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逾期违约金累计总额最高不超过</w:t>
      </w:r>
      <w:r>
        <w:rPr>
          <w:rFonts w:hint="eastAsia" w:ascii="宋体" w:hAnsi="宋体" w:eastAsia="宋体" w:cs="宋体"/>
          <w:color w:val="000000"/>
          <w:sz w:val="21"/>
          <w:szCs w:val="21"/>
          <w:highlight w:val="none"/>
          <w:lang w:val="en-US" w:eastAsia="zh-CN"/>
        </w:rPr>
        <w:t>合同价</w:t>
      </w:r>
      <w:r>
        <w:rPr>
          <w:rFonts w:hint="eastAsia" w:ascii="宋体" w:hAnsi="宋体" w:eastAsia="宋体" w:cs="宋体"/>
          <w:color w:val="000000"/>
          <w:sz w:val="21"/>
          <w:szCs w:val="21"/>
          <w:highlight w:val="none"/>
        </w:rPr>
        <w:t>的</w:t>
      </w:r>
      <w:r>
        <w:rPr>
          <w:rFonts w:hint="eastAsia" w:ascii="宋体" w:hAnsi="宋体" w:eastAsia="宋体" w:cs="宋体"/>
          <w:color w:val="000000"/>
          <w:sz w:val="21"/>
          <w:szCs w:val="21"/>
          <w:highlight w:val="none"/>
          <w:u w:val="single"/>
          <w:lang w:val="en-US" w:eastAsia="zh-CN"/>
        </w:rPr>
        <w:t>20</w:t>
      </w:r>
      <w:r>
        <w:rPr>
          <w:rFonts w:hint="eastAsia" w:ascii="宋体" w:hAnsi="宋体" w:eastAsia="宋体" w:cs="宋体"/>
          <w:color w:val="000000"/>
          <w:sz w:val="21"/>
          <w:szCs w:val="21"/>
          <w:highlight w:val="none"/>
        </w:rPr>
        <w:t>%。乙方逾期超过</w:t>
      </w:r>
      <w:r>
        <w:rPr>
          <w:rFonts w:hint="eastAsia" w:ascii="宋体" w:hAnsi="宋体" w:eastAsia="宋体" w:cs="宋体"/>
          <w:color w:val="000000"/>
          <w:sz w:val="21"/>
          <w:szCs w:val="21"/>
          <w:highlight w:val="none"/>
          <w:u w:val="single"/>
        </w:rPr>
        <w:t>3</w:t>
      </w:r>
      <w:r>
        <w:rPr>
          <w:rFonts w:hint="eastAsia" w:ascii="宋体" w:hAnsi="宋体" w:eastAsia="宋体" w:cs="宋体"/>
          <w:color w:val="000000"/>
          <w:sz w:val="21"/>
          <w:szCs w:val="21"/>
          <w:highlight w:val="none"/>
        </w:rPr>
        <w:t>日的，甲方可单方解除本合同，乙方除前述逾期违约金外，还应额外按</w:t>
      </w:r>
      <w:r>
        <w:rPr>
          <w:rFonts w:hint="eastAsia" w:ascii="宋体" w:hAnsi="宋体" w:eastAsia="宋体" w:cs="宋体"/>
          <w:color w:val="000000"/>
          <w:sz w:val="21"/>
          <w:szCs w:val="21"/>
          <w:highlight w:val="none"/>
          <w:lang w:eastAsia="zh-CN"/>
        </w:rPr>
        <w:t>合同价</w:t>
      </w:r>
      <w:r>
        <w:rPr>
          <w:rFonts w:hint="eastAsia" w:ascii="宋体" w:hAnsi="宋体" w:eastAsia="宋体" w:cs="宋体"/>
          <w:color w:val="000000"/>
          <w:sz w:val="21"/>
          <w:szCs w:val="21"/>
          <w:highlight w:val="none"/>
        </w:rPr>
        <w:t>的</w:t>
      </w:r>
      <w:r>
        <w:rPr>
          <w:rFonts w:hint="eastAsia" w:ascii="宋体" w:hAnsi="宋体" w:eastAsia="宋体" w:cs="宋体"/>
          <w:color w:val="000000"/>
          <w:sz w:val="21"/>
          <w:szCs w:val="21"/>
          <w:highlight w:val="none"/>
          <w:u w:val="single"/>
        </w:rPr>
        <w:t xml:space="preserve"> 5% </w:t>
      </w:r>
      <w:r>
        <w:rPr>
          <w:rFonts w:hint="eastAsia" w:ascii="宋体" w:hAnsi="宋体" w:eastAsia="宋体" w:cs="宋体"/>
          <w:color w:val="000000"/>
          <w:sz w:val="21"/>
          <w:szCs w:val="21"/>
          <w:highlight w:val="none"/>
        </w:rPr>
        <w:t>向甲方支付违约金。</w:t>
      </w:r>
    </w:p>
    <w:p w14:paraId="058F7080">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乙方所交货物（包括但不限于品种、型号、规格、质量不符合</w:t>
      </w:r>
      <w:r>
        <w:rPr>
          <w:rFonts w:hint="eastAsia" w:ascii="宋体" w:hAnsi="宋体" w:eastAsia="宋体" w:cs="宋体"/>
          <w:color w:val="000000"/>
          <w:sz w:val="21"/>
          <w:szCs w:val="21"/>
          <w:highlight w:val="none"/>
          <w:lang w:val="en-US" w:eastAsia="zh-CN"/>
        </w:rPr>
        <w:t>采购文件、报价文件</w:t>
      </w:r>
      <w:r>
        <w:rPr>
          <w:rFonts w:hint="eastAsia" w:ascii="宋体" w:hAnsi="宋体" w:eastAsia="宋体" w:cs="宋体"/>
          <w:color w:val="000000"/>
          <w:sz w:val="21"/>
          <w:szCs w:val="21"/>
          <w:highlight w:val="none"/>
        </w:rPr>
        <w:t>承诺等）</w:t>
      </w:r>
      <w:r>
        <w:rPr>
          <w:rFonts w:hint="eastAsia" w:ascii="宋体" w:hAnsi="宋体" w:eastAsia="宋体" w:cs="宋体"/>
          <w:color w:val="000000"/>
          <w:sz w:val="21"/>
          <w:szCs w:val="21"/>
          <w:highlight w:val="none"/>
          <w:lang w:val="en-US" w:eastAsia="zh-CN"/>
        </w:rPr>
        <w:t>或提供的服务</w:t>
      </w:r>
      <w:r>
        <w:rPr>
          <w:rFonts w:hint="eastAsia" w:ascii="宋体" w:hAnsi="宋体" w:eastAsia="宋体" w:cs="宋体"/>
          <w:color w:val="000000"/>
          <w:sz w:val="21"/>
          <w:szCs w:val="21"/>
          <w:highlight w:val="none"/>
        </w:rPr>
        <w:t>不符合甲方要求的，甲方有权拒收，并要求乙方免费予以更换或退货</w:t>
      </w:r>
      <w:r>
        <w:rPr>
          <w:rFonts w:hint="eastAsia" w:ascii="宋体" w:hAnsi="宋体" w:eastAsia="宋体" w:cs="宋体"/>
          <w:color w:val="000000"/>
          <w:sz w:val="21"/>
          <w:szCs w:val="21"/>
          <w:highlight w:val="none"/>
          <w:lang w:val="en-US" w:eastAsia="zh-CN"/>
        </w:rPr>
        <w:t>或整改</w:t>
      </w:r>
      <w:r>
        <w:rPr>
          <w:rFonts w:hint="eastAsia" w:ascii="宋体" w:hAnsi="宋体" w:eastAsia="宋体" w:cs="宋体"/>
          <w:color w:val="000000"/>
          <w:sz w:val="21"/>
          <w:szCs w:val="21"/>
          <w:highlight w:val="none"/>
        </w:rPr>
        <w:t>。乙方所交货物经检验出现3次以上（含本数）的不合格情况时，甲方将有权单方中止或解除合同，并追究因为使用乙方所提供的未达到所承诺质量标准产品而产生的所有损失和责任。</w:t>
      </w:r>
    </w:p>
    <w:p w14:paraId="7C77449A">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乙方应对设备</w:t>
      </w:r>
      <w:r>
        <w:rPr>
          <w:rFonts w:hint="eastAsia" w:ascii="宋体" w:hAnsi="宋体" w:eastAsia="宋体" w:cs="宋体"/>
          <w:color w:val="000000"/>
          <w:sz w:val="21"/>
          <w:szCs w:val="21"/>
          <w:highlight w:val="none"/>
          <w:lang w:val="en-US" w:eastAsia="zh-CN"/>
        </w:rPr>
        <w:t>运输</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交货、</w:t>
      </w:r>
      <w:r>
        <w:rPr>
          <w:rFonts w:hint="eastAsia" w:ascii="宋体" w:hAnsi="宋体" w:eastAsia="宋体" w:cs="宋体"/>
          <w:color w:val="000000"/>
          <w:sz w:val="21"/>
          <w:szCs w:val="21"/>
          <w:highlight w:val="none"/>
        </w:rPr>
        <w:t>验收过程中发生的安全事故（包括但不限于对协助人员、施工人员、第三方所造成的人身财产损害）承担全部责任及费用，甲方对此不承担任何责任及费用；如因此造成甲方损失的，乙方应承担赔偿责任</w:t>
      </w:r>
      <w:r>
        <w:rPr>
          <w:rFonts w:hint="eastAsia" w:ascii="宋体" w:hAnsi="宋体" w:eastAsia="宋体" w:cs="宋体"/>
          <w:color w:val="000000"/>
          <w:sz w:val="21"/>
          <w:szCs w:val="21"/>
          <w:highlight w:val="none"/>
          <w:lang w:eastAsia="zh-CN"/>
        </w:rPr>
        <w:t>。</w:t>
      </w:r>
    </w:p>
    <w:p w14:paraId="1011E7A1">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甲方在设备使用过程中，如发现乙方所提供的设备不符合</w:t>
      </w:r>
      <w:r>
        <w:rPr>
          <w:rFonts w:hint="eastAsia" w:ascii="宋体" w:hAnsi="宋体" w:eastAsia="宋体" w:cs="宋体"/>
          <w:color w:val="000000"/>
          <w:sz w:val="21"/>
          <w:szCs w:val="21"/>
          <w:highlight w:val="none"/>
          <w:lang w:val="en-US" w:eastAsia="zh-CN"/>
        </w:rPr>
        <w:t>采购</w:t>
      </w:r>
      <w:r>
        <w:rPr>
          <w:rFonts w:hint="eastAsia" w:ascii="宋体" w:hAnsi="宋体" w:eastAsia="宋体" w:cs="宋体"/>
          <w:color w:val="000000"/>
          <w:sz w:val="21"/>
          <w:szCs w:val="21"/>
          <w:highlight w:val="none"/>
        </w:rPr>
        <w:t>文件要求或乙方</w:t>
      </w:r>
      <w:r>
        <w:rPr>
          <w:rFonts w:hint="eastAsia" w:ascii="宋体" w:hAnsi="宋体" w:eastAsia="宋体" w:cs="宋体"/>
          <w:color w:val="000000"/>
          <w:sz w:val="21"/>
          <w:szCs w:val="21"/>
          <w:highlight w:val="none"/>
          <w:lang w:eastAsia="zh-CN"/>
        </w:rPr>
        <w:t>报价文件</w:t>
      </w:r>
      <w:r>
        <w:rPr>
          <w:rFonts w:hint="eastAsia" w:ascii="宋体" w:hAnsi="宋体" w:eastAsia="宋体" w:cs="宋体"/>
          <w:color w:val="000000"/>
          <w:sz w:val="21"/>
          <w:szCs w:val="21"/>
          <w:highlight w:val="none"/>
        </w:rPr>
        <w:t>承诺的，乙方必须无条件按询价文件要求及</w:t>
      </w:r>
      <w:r>
        <w:rPr>
          <w:rFonts w:hint="eastAsia" w:ascii="宋体" w:hAnsi="宋体" w:eastAsia="宋体" w:cs="宋体"/>
          <w:color w:val="000000"/>
          <w:sz w:val="21"/>
          <w:szCs w:val="21"/>
          <w:highlight w:val="none"/>
          <w:lang w:eastAsia="zh-CN"/>
        </w:rPr>
        <w:t>报价文件</w:t>
      </w:r>
      <w:r>
        <w:rPr>
          <w:rFonts w:hint="eastAsia" w:ascii="宋体" w:hAnsi="宋体" w:eastAsia="宋体" w:cs="宋体"/>
          <w:color w:val="000000"/>
          <w:sz w:val="21"/>
          <w:szCs w:val="21"/>
          <w:highlight w:val="none"/>
        </w:rPr>
        <w:t>承诺标准更换全新的设备</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存在本合同约定的</w:t>
      </w:r>
      <w:r>
        <w:rPr>
          <w:rFonts w:hint="eastAsia" w:ascii="宋体" w:hAnsi="宋体" w:eastAsia="宋体" w:cs="宋体"/>
          <w:color w:val="000000"/>
          <w:sz w:val="21"/>
          <w:szCs w:val="21"/>
          <w:highlight w:val="none"/>
        </w:rPr>
        <w:t>要求乙方更换、补齐货物或</w:t>
      </w:r>
      <w:r>
        <w:rPr>
          <w:rFonts w:hint="eastAsia" w:ascii="宋体" w:hAnsi="宋体" w:eastAsia="宋体" w:cs="宋体"/>
          <w:color w:val="000000"/>
          <w:sz w:val="21"/>
          <w:szCs w:val="21"/>
          <w:highlight w:val="none"/>
          <w:lang w:val="en-US" w:eastAsia="zh-CN"/>
        </w:rPr>
        <w:t>改正、</w:t>
      </w:r>
      <w:r>
        <w:rPr>
          <w:rFonts w:hint="eastAsia" w:ascii="宋体" w:hAnsi="宋体" w:eastAsia="宋体" w:cs="宋体"/>
          <w:color w:val="000000"/>
          <w:sz w:val="21"/>
          <w:szCs w:val="21"/>
          <w:highlight w:val="none"/>
        </w:rPr>
        <w:t>安装等服务工作的，乙方在收到甲方发出更换、补齐或</w:t>
      </w:r>
      <w:r>
        <w:rPr>
          <w:rFonts w:hint="eastAsia" w:ascii="宋体" w:hAnsi="宋体" w:eastAsia="宋体" w:cs="宋体"/>
          <w:color w:val="000000"/>
          <w:sz w:val="21"/>
          <w:szCs w:val="21"/>
          <w:highlight w:val="none"/>
          <w:lang w:val="en-US" w:eastAsia="zh-CN"/>
        </w:rPr>
        <w:t>改正</w:t>
      </w:r>
      <w:r>
        <w:rPr>
          <w:rFonts w:hint="eastAsia" w:ascii="宋体" w:hAnsi="宋体" w:eastAsia="宋体" w:cs="宋体"/>
          <w:color w:val="000000"/>
          <w:sz w:val="21"/>
          <w:szCs w:val="21"/>
          <w:highlight w:val="none"/>
        </w:rPr>
        <w:t>通知后5</w:t>
      </w:r>
      <w:r>
        <w:rPr>
          <w:rFonts w:hint="eastAsia" w:ascii="宋体" w:hAnsi="宋体" w:eastAsia="宋体" w:cs="宋体"/>
          <w:color w:val="000000"/>
          <w:sz w:val="21"/>
          <w:szCs w:val="21"/>
          <w:highlight w:val="none"/>
          <w:u w:val="none"/>
        </w:rPr>
        <w:t>日</w:t>
      </w:r>
      <w:r>
        <w:rPr>
          <w:rFonts w:hint="eastAsia" w:ascii="宋体" w:hAnsi="宋体" w:eastAsia="宋体" w:cs="宋体"/>
          <w:color w:val="000000"/>
          <w:sz w:val="21"/>
          <w:szCs w:val="21"/>
          <w:highlight w:val="none"/>
        </w:rPr>
        <w:t>内更换全新并符合本合同的</w:t>
      </w:r>
      <w:r>
        <w:rPr>
          <w:rFonts w:hint="eastAsia" w:ascii="宋体" w:hAnsi="宋体" w:eastAsia="宋体" w:cs="宋体"/>
          <w:color w:val="000000"/>
          <w:sz w:val="21"/>
          <w:szCs w:val="21"/>
          <w:highlight w:val="none"/>
          <w:lang w:val="en-US" w:eastAsia="zh-CN"/>
        </w:rPr>
        <w:t>约定</w:t>
      </w:r>
      <w:r>
        <w:rPr>
          <w:rFonts w:hint="eastAsia" w:ascii="宋体" w:hAnsi="宋体" w:eastAsia="宋体" w:cs="宋体"/>
          <w:color w:val="000000"/>
          <w:sz w:val="21"/>
          <w:szCs w:val="21"/>
          <w:highlight w:val="none"/>
        </w:rPr>
        <w:t>的货物或完成</w:t>
      </w:r>
      <w:r>
        <w:rPr>
          <w:rFonts w:hint="eastAsia" w:ascii="宋体" w:hAnsi="宋体" w:eastAsia="宋体" w:cs="宋体"/>
          <w:color w:val="000000"/>
          <w:sz w:val="21"/>
          <w:szCs w:val="21"/>
          <w:highlight w:val="none"/>
          <w:lang w:val="en-US" w:eastAsia="zh-CN"/>
        </w:rPr>
        <w:t>改正</w:t>
      </w:r>
      <w:r>
        <w:rPr>
          <w:rFonts w:hint="eastAsia" w:ascii="宋体" w:hAnsi="宋体" w:eastAsia="宋体" w:cs="宋体"/>
          <w:color w:val="000000"/>
          <w:sz w:val="21"/>
          <w:szCs w:val="21"/>
          <w:highlight w:val="none"/>
        </w:rPr>
        <w:t>工作并经甲方最终验收合格。</w:t>
      </w:r>
      <w:r>
        <w:rPr>
          <w:rFonts w:hint="eastAsia" w:ascii="宋体" w:hAnsi="宋体" w:eastAsia="宋体" w:cs="宋体"/>
          <w:color w:val="000000"/>
          <w:sz w:val="21"/>
          <w:szCs w:val="21"/>
          <w:highlight w:val="none"/>
          <w:lang w:val="en-US" w:eastAsia="zh-CN"/>
        </w:rPr>
        <w:t>甲方保留要求乙方</w:t>
      </w:r>
      <w:r>
        <w:rPr>
          <w:rFonts w:hint="eastAsia" w:ascii="宋体" w:hAnsi="宋体" w:eastAsia="宋体" w:cs="宋体"/>
          <w:color w:val="000000"/>
          <w:sz w:val="21"/>
          <w:szCs w:val="21"/>
          <w:highlight w:val="none"/>
        </w:rPr>
        <w:t>赔偿</w:t>
      </w:r>
      <w:r>
        <w:rPr>
          <w:rFonts w:hint="eastAsia" w:ascii="宋体" w:hAnsi="宋体" w:eastAsia="宋体" w:cs="宋体"/>
          <w:color w:val="000000"/>
          <w:sz w:val="21"/>
          <w:szCs w:val="21"/>
          <w:highlight w:val="none"/>
          <w:lang w:val="en-US" w:eastAsia="zh-CN"/>
        </w:rPr>
        <w:t>的权利，若更换期限中</w:t>
      </w:r>
      <w:r>
        <w:rPr>
          <w:rFonts w:hint="eastAsia" w:ascii="宋体" w:hAnsi="宋体" w:eastAsia="宋体" w:cs="宋体"/>
          <w:color w:val="000000"/>
          <w:sz w:val="21"/>
          <w:szCs w:val="21"/>
          <w:highlight w:val="none"/>
        </w:rPr>
        <w:t>甲方因此遭受的损失，</w:t>
      </w:r>
      <w:r>
        <w:rPr>
          <w:rFonts w:hint="eastAsia" w:ascii="宋体" w:hAnsi="宋体" w:eastAsia="宋体" w:cs="宋体"/>
          <w:color w:val="000000"/>
          <w:sz w:val="21"/>
          <w:szCs w:val="21"/>
          <w:highlight w:val="none"/>
          <w:lang w:val="en-US" w:eastAsia="zh-CN"/>
        </w:rPr>
        <w:t>乙方</w:t>
      </w:r>
      <w:r>
        <w:rPr>
          <w:rFonts w:hint="eastAsia" w:ascii="宋体" w:hAnsi="宋体" w:eastAsia="宋体" w:cs="宋体"/>
          <w:color w:val="000000"/>
          <w:sz w:val="21"/>
          <w:szCs w:val="21"/>
          <w:highlight w:val="none"/>
        </w:rPr>
        <w:t>应额外按</w:t>
      </w:r>
      <w:r>
        <w:rPr>
          <w:rFonts w:hint="eastAsia" w:ascii="宋体" w:hAnsi="宋体" w:eastAsia="宋体" w:cs="宋体"/>
          <w:color w:val="000000"/>
          <w:sz w:val="21"/>
          <w:szCs w:val="21"/>
          <w:highlight w:val="none"/>
          <w:lang w:eastAsia="zh-CN"/>
        </w:rPr>
        <w:t>合同价</w:t>
      </w:r>
      <w:r>
        <w:rPr>
          <w:rFonts w:hint="eastAsia" w:ascii="宋体" w:hAnsi="宋体" w:eastAsia="宋体" w:cs="宋体"/>
          <w:color w:val="000000"/>
          <w:sz w:val="21"/>
          <w:szCs w:val="21"/>
          <w:highlight w:val="none"/>
        </w:rPr>
        <w:t>的</w:t>
      </w:r>
      <w:r>
        <w:rPr>
          <w:rFonts w:hint="eastAsia" w:ascii="宋体" w:hAnsi="宋体" w:eastAsia="宋体" w:cs="宋体"/>
          <w:color w:val="000000"/>
          <w:sz w:val="21"/>
          <w:szCs w:val="21"/>
          <w:highlight w:val="none"/>
          <w:u w:val="none"/>
        </w:rPr>
        <w:t>1%</w:t>
      </w:r>
      <w:r>
        <w:rPr>
          <w:rFonts w:hint="eastAsia" w:ascii="宋体" w:hAnsi="宋体" w:eastAsia="宋体" w:cs="宋体"/>
          <w:color w:val="000000"/>
          <w:sz w:val="21"/>
          <w:szCs w:val="21"/>
          <w:highlight w:val="none"/>
        </w:rPr>
        <w:t>向甲方支付违约金</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并赔偿甲方全部损失</w:t>
      </w:r>
      <w:r>
        <w:rPr>
          <w:rFonts w:hint="eastAsia" w:ascii="宋体" w:hAnsi="宋体" w:eastAsia="宋体" w:cs="宋体"/>
          <w:color w:val="000000"/>
          <w:sz w:val="21"/>
          <w:szCs w:val="21"/>
          <w:highlight w:val="none"/>
        </w:rPr>
        <w:t>。更换的货物的质量保证期应按本合同的相关规定重新计算。</w:t>
      </w:r>
    </w:p>
    <w:p w14:paraId="0D0603E1">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乙方未按约定履行</w:t>
      </w:r>
      <w:r>
        <w:rPr>
          <w:rFonts w:hint="eastAsia" w:ascii="宋体" w:hAnsi="宋体" w:eastAsia="宋体" w:cs="宋体"/>
          <w:color w:val="000000"/>
          <w:sz w:val="21"/>
          <w:szCs w:val="21"/>
          <w:highlight w:val="none"/>
          <w:lang w:val="en-US" w:eastAsia="zh-CN"/>
        </w:rPr>
        <w:t>特种设备备案登记</w:t>
      </w:r>
      <w:r>
        <w:rPr>
          <w:rFonts w:hint="eastAsia" w:ascii="宋体" w:hAnsi="宋体" w:eastAsia="宋体" w:cs="宋体"/>
          <w:color w:val="000000"/>
          <w:sz w:val="21"/>
          <w:szCs w:val="21"/>
          <w:highlight w:val="none"/>
        </w:rPr>
        <w:t>，甲方有权要求限期改正，如逾期仍未改正的，甲方有权</w:t>
      </w:r>
      <w:r>
        <w:rPr>
          <w:rFonts w:hint="eastAsia" w:ascii="宋体" w:hAnsi="宋体" w:eastAsia="宋体" w:cs="宋体"/>
          <w:color w:val="000000"/>
          <w:sz w:val="21"/>
          <w:szCs w:val="21"/>
          <w:highlight w:val="none"/>
          <w:lang w:val="en-US" w:eastAsia="zh-CN"/>
        </w:rPr>
        <w:t>视为未通过验收，拒绝支付货款</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若逾期超过【30】日的，甲方有权单方解除本合同。</w:t>
      </w:r>
    </w:p>
    <w:p w14:paraId="377C0B9E">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无论是否在质保期内，因货物质量</w:t>
      </w:r>
      <w:r>
        <w:rPr>
          <w:rFonts w:hint="eastAsia" w:ascii="宋体" w:hAnsi="宋体" w:eastAsia="宋体" w:cs="宋体"/>
          <w:color w:val="000000"/>
          <w:sz w:val="21"/>
          <w:szCs w:val="21"/>
          <w:highlight w:val="none"/>
          <w:lang w:val="en-US" w:eastAsia="zh-CN"/>
        </w:rPr>
        <w:t>或乙方提供服务</w:t>
      </w:r>
      <w:r>
        <w:rPr>
          <w:rFonts w:hint="eastAsia" w:ascii="宋体" w:hAnsi="宋体" w:eastAsia="宋体" w:cs="宋体"/>
          <w:color w:val="000000"/>
          <w:sz w:val="21"/>
          <w:szCs w:val="21"/>
          <w:highlight w:val="none"/>
        </w:rPr>
        <w:t>不合格发生安全事故或引起其他损失、造成不良后果的，乙方应承担全部责任。</w:t>
      </w:r>
    </w:p>
    <w:p w14:paraId="0AC669A0">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乙方应确保所交货物不侵犯第三方任何权益，否则，由此引起的一切责任及损失都由乙方承担，造成甲方损失，乙方还需予以足额赔偿。</w:t>
      </w:r>
    </w:p>
    <w:p w14:paraId="55C8502C">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8.</w:t>
      </w:r>
      <w:r>
        <w:rPr>
          <w:rFonts w:hint="eastAsia" w:ascii="宋体" w:hAnsi="宋体" w:eastAsia="宋体" w:cs="宋体"/>
          <w:color w:val="000000"/>
          <w:sz w:val="21"/>
          <w:szCs w:val="21"/>
          <w:highlight w:val="none"/>
        </w:rPr>
        <w:t>甲方根据本合同的规定要求退货，或因本合同被解除或提前终止而需要退货的，乙方在收到甲方发出退货通知后</w:t>
      </w:r>
      <w:r>
        <w:rPr>
          <w:rFonts w:hint="eastAsia" w:ascii="宋体" w:hAnsi="宋体" w:eastAsia="宋体" w:cs="宋体"/>
          <w:color w:val="000000"/>
          <w:sz w:val="21"/>
          <w:szCs w:val="21"/>
          <w:highlight w:val="none"/>
          <w:u w:val="none"/>
        </w:rPr>
        <w:t>3</w:t>
      </w:r>
      <w:r>
        <w:rPr>
          <w:rFonts w:hint="eastAsia" w:ascii="宋体" w:hAnsi="宋体" w:eastAsia="宋体" w:cs="宋体"/>
          <w:color w:val="000000"/>
          <w:sz w:val="21"/>
          <w:szCs w:val="21"/>
          <w:highlight w:val="none"/>
        </w:rPr>
        <w:t>日内将退货货物运回</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返还甲方已全部支付的货款（合同价税合计），并承担因此产生的全部费用，以及赔偿因此造成甲方的损失。若乙方迟延将退货货物拆卸运回的，甲方不承担保管责任，相应货物损毁、灭失的风险由乙方自行承担，甲方因处理该些退货货物产生的</w:t>
      </w:r>
      <w:r>
        <w:rPr>
          <w:rFonts w:hint="eastAsia" w:ascii="宋体" w:hAnsi="宋体" w:eastAsia="宋体" w:cs="宋体"/>
          <w:color w:val="000000"/>
          <w:sz w:val="21"/>
          <w:szCs w:val="21"/>
          <w:highlight w:val="none"/>
          <w:lang w:val="en-US" w:eastAsia="zh-CN"/>
        </w:rPr>
        <w:t>费用及</w:t>
      </w:r>
      <w:r>
        <w:rPr>
          <w:rFonts w:hint="eastAsia" w:ascii="宋体" w:hAnsi="宋体" w:eastAsia="宋体" w:cs="宋体"/>
          <w:color w:val="000000"/>
          <w:sz w:val="21"/>
          <w:szCs w:val="21"/>
          <w:highlight w:val="none"/>
        </w:rPr>
        <w:t>损失由乙方自行承担。</w:t>
      </w:r>
    </w:p>
    <w:p w14:paraId="43C9C041">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9.</w:t>
      </w:r>
      <w:r>
        <w:rPr>
          <w:rFonts w:hint="eastAsia" w:ascii="宋体" w:hAnsi="宋体" w:eastAsia="宋体" w:cs="宋体"/>
          <w:color w:val="000000"/>
          <w:sz w:val="21"/>
          <w:szCs w:val="21"/>
          <w:highlight w:val="none"/>
        </w:rPr>
        <w:t>乙方未按约定履行售后服务义务的，甲方有权要求限期内改正并符合合同要求，如逾期仍未符合要求的，甲方有权要求乙方承担合同价2%的违约金，同时，甲方有权单方解除合同或另行委托其他第三方进行售后服务，甲方由此遭受的损失及产生的费用由乙方全部承担。</w:t>
      </w:r>
    </w:p>
    <w:p w14:paraId="6CD814D1">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10.</w:t>
      </w:r>
      <w:r>
        <w:rPr>
          <w:rFonts w:hint="eastAsia" w:ascii="宋体" w:hAnsi="宋体" w:eastAsia="宋体" w:cs="宋体"/>
          <w:color w:val="000000"/>
          <w:sz w:val="21"/>
          <w:szCs w:val="21"/>
          <w:highlight w:val="none"/>
        </w:rPr>
        <w:t>乙方违约产生的违约金、赔偿金、费用等应付款项，甲方有权从未付货款中直接抵扣，货款不足以抵扣的，乙方应另行支付。</w:t>
      </w:r>
    </w:p>
    <w:p w14:paraId="09453D90">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bCs w:val="0"/>
          <w:color w:val="000000"/>
          <w:sz w:val="21"/>
          <w:szCs w:val="21"/>
          <w:highlight w:val="none"/>
        </w:rPr>
      </w:pPr>
      <w:r>
        <w:rPr>
          <w:rFonts w:hint="eastAsia" w:ascii="宋体" w:hAnsi="宋体" w:eastAsia="宋体" w:cs="宋体"/>
          <w:bCs w:val="0"/>
          <w:color w:val="000000"/>
          <w:sz w:val="21"/>
          <w:szCs w:val="21"/>
          <w:highlight w:val="none"/>
          <w:lang w:eastAsia="zh-CN"/>
        </w:rPr>
        <w:t>1</w:t>
      </w:r>
      <w:r>
        <w:rPr>
          <w:rFonts w:hint="eastAsia" w:ascii="宋体" w:hAnsi="宋体" w:eastAsia="宋体" w:cs="宋体"/>
          <w:bCs w:val="0"/>
          <w:color w:val="000000"/>
          <w:sz w:val="21"/>
          <w:szCs w:val="21"/>
          <w:highlight w:val="none"/>
          <w:lang w:val="en-US" w:eastAsia="zh-CN"/>
        </w:rPr>
        <w:t>1.</w:t>
      </w:r>
      <w:r>
        <w:rPr>
          <w:rFonts w:hint="eastAsia" w:ascii="宋体" w:hAnsi="宋体" w:eastAsia="宋体" w:cs="宋体"/>
          <w:bCs w:val="0"/>
          <w:color w:val="000000"/>
          <w:sz w:val="21"/>
          <w:szCs w:val="21"/>
          <w:highlight w:val="none"/>
        </w:rPr>
        <w:t>在本合同履行期限内，乙方未经甲方书面同意即将本合同约定项下的全部项目或部分项目转包给第三方的，甲方有权单方解除本合同且要求乙方按合同价的30%承担违约责任。若由此给甲方造成损失的，乙方还应当承担全部赔偿责任。如因乙方将乙方本合同项下全部或部分权利义务转让给第三方，</w:t>
      </w:r>
      <w:r>
        <w:rPr>
          <w:rFonts w:hint="eastAsia" w:ascii="宋体" w:hAnsi="宋体" w:eastAsia="宋体" w:cs="宋体"/>
          <w:bCs w:val="0"/>
          <w:color w:val="000000"/>
          <w:sz w:val="21"/>
          <w:szCs w:val="21"/>
          <w:highlight w:val="none"/>
          <w:lang w:val="en-US" w:eastAsia="zh-CN"/>
        </w:rPr>
        <w:t>无论是否经甲方同意，</w:t>
      </w:r>
      <w:r>
        <w:rPr>
          <w:rFonts w:hint="eastAsia" w:ascii="宋体" w:hAnsi="宋体" w:eastAsia="宋体" w:cs="宋体"/>
          <w:bCs w:val="0"/>
          <w:color w:val="000000"/>
          <w:sz w:val="21"/>
          <w:szCs w:val="21"/>
          <w:highlight w:val="none"/>
        </w:rPr>
        <w:t>因前述</w:t>
      </w:r>
      <w:r>
        <w:rPr>
          <w:rFonts w:hint="eastAsia" w:ascii="宋体" w:hAnsi="宋体" w:eastAsia="宋体" w:cs="宋体"/>
          <w:bCs w:val="0"/>
          <w:color w:val="000000"/>
          <w:sz w:val="21"/>
          <w:szCs w:val="21"/>
          <w:highlight w:val="none"/>
          <w:lang w:val="en-US" w:eastAsia="zh-CN"/>
        </w:rPr>
        <w:t>转让</w:t>
      </w:r>
      <w:r>
        <w:rPr>
          <w:rFonts w:hint="eastAsia" w:ascii="宋体" w:hAnsi="宋体" w:eastAsia="宋体" w:cs="宋体"/>
          <w:bCs w:val="0"/>
          <w:color w:val="000000"/>
          <w:sz w:val="21"/>
          <w:szCs w:val="21"/>
          <w:highlight w:val="none"/>
        </w:rPr>
        <w:t>情形或第三方原因导致安全事故或人身损害事故，造成甲方其他损失的或甲方被认定承担赔偿责任的，甲方</w:t>
      </w:r>
      <w:r>
        <w:rPr>
          <w:rFonts w:hint="eastAsia" w:ascii="宋体" w:hAnsi="宋体" w:eastAsia="宋体" w:cs="宋体"/>
          <w:bCs w:val="0"/>
          <w:color w:val="000000"/>
          <w:sz w:val="21"/>
          <w:szCs w:val="21"/>
          <w:highlight w:val="none"/>
          <w:lang w:val="en-US" w:eastAsia="zh-CN"/>
        </w:rPr>
        <w:t>均</w:t>
      </w:r>
      <w:r>
        <w:rPr>
          <w:rFonts w:hint="eastAsia" w:ascii="宋体" w:hAnsi="宋体" w:eastAsia="宋体" w:cs="宋体"/>
          <w:bCs w:val="0"/>
          <w:color w:val="000000"/>
          <w:sz w:val="21"/>
          <w:szCs w:val="21"/>
          <w:highlight w:val="none"/>
        </w:rPr>
        <w:t>有权向乙方追偿。</w:t>
      </w:r>
    </w:p>
    <w:p w14:paraId="2613BEAB">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12.</w:t>
      </w:r>
      <w:r>
        <w:rPr>
          <w:rFonts w:hint="eastAsia" w:ascii="宋体" w:hAnsi="宋体" w:eastAsia="宋体" w:cs="宋体"/>
          <w:color w:val="000000"/>
          <w:sz w:val="21"/>
          <w:szCs w:val="21"/>
          <w:highlight w:val="none"/>
        </w:rPr>
        <w:t>乙方保证对其在讨论、签订、履行本合同过程中所获悉的属于甲方的且无法从公开渠道获得的文件资料及项目信息予以严格保密并应采取相应的保密措施，保证其自身及工作人员不私自使用或向任何第三方泄露，否则，视为乙方违约，甲方有权要求乙方支付</w:t>
      </w:r>
      <w:r>
        <w:rPr>
          <w:rFonts w:hint="eastAsia" w:ascii="宋体" w:hAnsi="宋体" w:eastAsia="宋体" w:cs="宋体"/>
          <w:color w:val="000000"/>
          <w:sz w:val="21"/>
          <w:szCs w:val="21"/>
          <w:highlight w:val="none"/>
          <w:lang w:val="en-US" w:eastAsia="zh-CN"/>
        </w:rPr>
        <w:t>合同价【20】%的</w:t>
      </w:r>
      <w:r>
        <w:rPr>
          <w:rFonts w:hint="eastAsia" w:ascii="宋体" w:hAnsi="宋体" w:eastAsia="宋体" w:cs="宋体"/>
          <w:color w:val="000000"/>
          <w:sz w:val="21"/>
          <w:szCs w:val="21"/>
          <w:highlight w:val="none"/>
        </w:rPr>
        <w:t>违约金，且乙方须承担由此给甲方造成的一切损失。乙方及其工作人员的保密义务不因本合同的终止而终止，直至相关保密信息被合法公开时止。</w:t>
      </w:r>
    </w:p>
    <w:p w14:paraId="48180889">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13.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合同价【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33C0489B">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14.乙方违反本合同约定，合同对违约责任有特别约定的，适用该特别约定；无特别约定的，甲方有权要求乙方支付合同价【20】%作为违约金。违约金不足以弥补甲方因此所受损失的，乙方应予以补足。</w:t>
      </w:r>
    </w:p>
    <w:p w14:paraId="68C6F6A8">
      <w:pPr>
        <w:keepNext w:val="0"/>
        <w:keepLines w:val="0"/>
        <w:pageBreakBefore w:val="0"/>
        <w:kinsoku/>
        <w:wordWrap/>
        <w:overflowPunct/>
        <w:topLinePunct w:val="0"/>
        <w:bidi w:val="0"/>
        <w:adjustRightInd/>
        <w:spacing w:line="360" w:lineRule="auto"/>
        <w:ind w:firstLine="422" w:firstLineChars="200"/>
        <w:textAlignment w:val="auto"/>
        <w:outlineLvl w:val="9"/>
        <w:rPr>
          <w:rFonts w:hint="eastAsia" w:ascii="宋体" w:hAnsi="宋体" w:eastAsia="宋体" w:cs="宋体"/>
          <w:b/>
          <w:sz w:val="21"/>
          <w:szCs w:val="21"/>
          <w:highlight w:val="none"/>
        </w:rPr>
      </w:pPr>
    </w:p>
    <w:p w14:paraId="668D1769">
      <w:pPr>
        <w:keepNext w:val="0"/>
        <w:keepLines w:val="0"/>
        <w:pageBreakBefore w:val="0"/>
        <w:kinsoku/>
        <w:wordWrap/>
        <w:overflowPunct/>
        <w:topLinePunct w:val="0"/>
        <w:bidi w:val="0"/>
        <w:adjustRightInd/>
        <w:spacing w:line="360" w:lineRule="auto"/>
        <w:ind w:firstLine="422" w:firstLineChars="200"/>
        <w:textAlignment w:val="auto"/>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第</w:t>
      </w:r>
      <w:r>
        <w:rPr>
          <w:rFonts w:hint="eastAsia" w:ascii="宋体" w:hAnsi="宋体" w:eastAsia="宋体" w:cs="宋体"/>
          <w:b/>
          <w:sz w:val="21"/>
          <w:szCs w:val="21"/>
          <w:highlight w:val="none"/>
          <w:lang w:val="en-US" w:eastAsia="zh-CN"/>
        </w:rPr>
        <w:t>八</w:t>
      </w:r>
      <w:r>
        <w:rPr>
          <w:rFonts w:hint="eastAsia" w:ascii="宋体" w:hAnsi="宋体" w:eastAsia="宋体" w:cs="宋体"/>
          <w:b/>
          <w:sz w:val="21"/>
          <w:szCs w:val="21"/>
          <w:highlight w:val="none"/>
        </w:rPr>
        <w:t>条 承诺与保证</w:t>
      </w:r>
    </w:p>
    <w:p w14:paraId="28B9EB7F">
      <w:pPr>
        <w:keepNext w:val="0"/>
        <w:keepLines w:val="0"/>
        <w:pageBreakBefore w:val="0"/>
        <w:kinsoku/>
        <w:wordWrap/>
        <w:overflowPunct/>
        <w:topLinePunct w:val="0"/>
        <w:bidi w:val="0"/>
        <w:adjustRightInd w:val="0"/>
        <w:spacing w:line="360" w:lineRule="auto"/>
        <w:ind w:firstLine="420" w:firstLineChars="200"/>
        <w:textAlignment w:val="auto"/>
        <w:outlineLvl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乙方应保证提供产品</w:t>
      </w:r>
      <w:r>
        <w:rPr>
          <w:rFonts w:hint="eastAsia" w:ascii="宋体" w:hAnsi="宋体" w:eastAsia="宋体" w:cs="宋体"/>
          <w:color w:val="000000"/>
          <w:sz w:val="21"/>
          <w:szCs w:val="21"/>
          <w:highlight w:val="none"/>
          <w:lang w:val="en-US" w:eastAsia="zh-CN"/>
        </w:rPr>
        <w:t>及服务</w:t>
      </w:r>
      <w:r>
        <w:rPr>
          <w:rFonts w:hint="eastAsia" w:ascii="宋体" w:hAnsi="宋体" w:eastAsia="宋体" w:cs="宋体"/>
          <w:color w:val="000000"/>
          <w:sz w:val="21"/>
          <w:szCs w:val="21"/>
          <w:highlight w:val="none"/>
        </w:rPr>
        <w:t>不侵犯第三方的合法权益，如第三方以本合同产品</w:t>
      </w:r>
      <w:r>
        <w:rPr>
          <w:rFonts w:hint="eastAsia" w:ascii="宋体" w:hAnsi="宋体" w:eastAsia="宋体" w:cs="宋体"/>
          <w:color w:val="000000"/>
          <w:sz w:val="21"/>
          <w:szCs w:val="21"/>
          <w:highlight w:val="none"/>
          <w:lang w:val="en-US" w:eastAsia="zh-CN"/>
        </w:rPr>
        <w:t>或服务</w:t>
      </w:r>
      <w:r>
        <w:rPr>
          <w:rFonts w:hint="eastAsia" w:ascii="宋体" w:hAnsi="宋体" w:eastAsia="宋体" w:cs="宋体"/>
          <w:color w:val="000000"/>
          <w:sz w:val="21"/>
          <w:szCs w:val="21"/>
          <w:highlight w:val="none"/>
        </w:rPr>
        <w:t>侵权为由提起侵权主张，乙方须与第三方交涉并承担由此发生的一切责任、费用和经济赔偿。由于乙方提供的产品</w:t>
      </w:r>
      <w:r>
        <w:rPr>
          <w:rFonts w:hint="eastAsia" w:ascii="宋体" w:hAnsi="宋体" w:eastAsia="宋体" w:cs="宋体"/>
          <w:color w:val="000000"/>
          <w:sz w:val="21"/>
          <w:szCs w:val="21"/>
          <w:highlight w:val="none"/>
          <w:lang w:val="en-US" w:eastAsia="zh-CN"/>
        </w:rPr>
        <w:t>或服务</w:t>
      </w:r>
      <w:r>
        <w:rPr>
          <w:rFonts w:hint="eastAsia" w:ascii="宋体" w:hAnsi="宋体" w:eastAsia="宋体" w:cs="宋体"/>
          <w:color w:val="000000"/>
          <w:sz w:val="21"/>
          <w:szCs w:val="21"/>
          <w:highlight w:val="none"/>
        </w:rPr>
        <w:t>的任何一部分不符合知识产权规定，由乙方承担因此给甲方造成的全部损失（包括但不限于甲方为维护自身权益所支付的律师费、诉讼费、鉴定费、差旅费以及甲方依法向第三方支付的赔偿款等全部费用）。</w:t>
      </w:r>
    </w:p>
    <w:p w14:paraId="415F6D2D">
      <w:pPr>
        <w:keepNext w:val="0"/>
        <w:keepLines w:val="0"/>
        <w:pageBreakBefore w:val="0"/>
        <w:kinsoku/>
        <w:wordWrap/>
        <w:overflowPunct/>
        <w:topLinePunct w:val="0"/>
        <w:bidi w:val="0"/>
        <w:adjustRightInd w:val="0"/>
        <w:spacing w:line="360" w:lineRule="auto"/>
        <w:ind w:firstLine="422" w:firstLineChars="200"/>
        <w:textAlignment w:val="auto"/>
        <w:outlineLvl w:val="0"/>
        <w:rPr>
          <w:rFonts w:hint="eastAsia" w:ascii="宋体" w:hAnsi="宋体" w:eastAsia="宋体" w:cs="宋体"/>
          <w:b/>
          <w:sz w:val="21"/>
          <w:szCs w:val="21"/>
          <w:highlight w:val="none"/>
        </w:rPr>
      </w:pPr>
    </w:p>
    <w:p w14:paraId="462E89AC">
      <w:pPr>
        <w:keepNext w:val="0"/>
        <w:keepLines w:val="0"/>
        <w:pageBreakBefore w:val="0"/>
        <w:kinsoku/>
        <w:wordWrap/>
        <w:overflowPunct/>
        <w:topLinePunct w:val="0"/>
        <w:bidi w:val="0"/>
        <w:adjustRightInd w:val="0"/>
        <w:spacing w:line="360" w:lineRule="auto"/>
        <w:ind w:firstLine="422" w:firstLineChars="200"/>
        <w:textAlignment w:val="auto"/>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第</w:t>
      </w:r>
      <w:r>
        <w:rPr>
          <w:rFonts w:hint="eastAsia" w:ascii="宋体" w:hAnsi="宋体" w:eastAsia="宋体" w:cs="宋体"/>
          <w:b/>
          <w:sz w:val="21"/>
          <w:szCs w:val="21"/>
          <w:highlight w:val="none"/>
          <w:lang w:val="en-US" w:eastAsia="zh-CN"/>
        </w:rPr>
        <w:t>九</w:t>
      </w:r>
      <w:r>
        <w:rPr>
          <w:rFonts w:hint="eastAsia" w:ascii="宋体" w:hAnsi="宋体" w:eastAsia="宋体" w:cs="宋体"/>
          <w:b/>
          <w:sz w:val="21"/>
          <w:szCs w:val="21"/>
          <w:highlight w:val="none"/>
        </w:rPr>
        <w:t>条 合同争议的解决办法</w:t>
      </w:r>
    </w:p>
    <w:p w14:paraId="4270038B">
      <w:pPr>
        <w:keepNext w:val="0"/>
        <w:keepLines w:val="0"/>
        <w:pageBreakBefore w:val="0"/>
        <w:kinsoku/>
        <w:wordWrap/>
        <w:overflowPunct/>
        <w:topLinePunct w:val="0"/>
        <w:bidi w:val="0"/>
        <w:adjustRightInd w:val="0"/>
        <w:spacing w:line="360" w:lineRule="auto"/>
        <w:ind w:firstLine="420" w:firstLineChars="200"/>
        <w:textAlignment w:val="auto"/>
        <w:outlineLvl w:val="0"/>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1.双方因本合同发生争议的，可协商解决。协商不成的，任何一方可向甲方住所地有管辖权的人民法院提起诉讼。</w:t>
      </w:r>
    </w:p>
    <w:p w14:paraId="3C20158D">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b w:val="0"/>
          <w:bCs/>
          <w:sz w:val="21"/>
          <w:szCs w:val="21"/>
          <w:highlight w:val="none"/>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093CC517">
      <w:pPr>
        <w:keepNext w:val="0"/>
        <w:keepLines w:val="0"/>
        <w:pageBreakBefore w:val="0"/>
        <w:kinsoku/>
        <w:wordWrap/>
        <w:overflowPunct/>
        <w:topLinePunct w:val="0"/>
        <w:bidi w:val="0"/>
        <w:adjustRightInd w:val="0"/>
        <w:spacing w:line="360" w:lineRule="auto"/>
        <w:ind w:firstLine="422" w:firstLineChars="200"/>
        <w:textAlignment w:val="auto"/>
        <w:outlineLvl w:val="0"/>
        <w:rPr>
          <w:rFonts w:hint="eastAsia" w:ascii="宋体" w:hAnsi="宋体" w:eastAsia="宋体" w:cs="宋体"/>
          <w:b/>
          <w:sz w:val="21"/>
          <w:szCs w:val="21"/>
          <w:highlight w:val="none"/>
        </w:rPr>
      </w:pPr>
    </w:p>
    <w:p w14:paraId="2624F7D7">
      <w:pPr>
        <w:keepNext w:val="0"/>
        <w:keepLines w:val="0"/>
        <w:pageBreakBefore w:val="0"/>
        <w:kinsoku/>
        <w:wordWrap/>
        <w:overflowPunct/>
        <w:topLinePunct w:val="0"/>
        <w:bidi w:val="0"/>
        <w:adjustRightInd w:val="0"/>
        <w:spacing w:line="360" w:lineRule="auto"/>
        <w:ind w:firstLine="422" w:firstLineChars="200"/>
        <w:textAlignment w:val="auto"/>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第十条 其他</w:t>
      </w:r>
    </w:p>
    <w:p w14:paraId="3B3A47C0">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15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6AE7B860">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乙方确认：本合同中列明的乙方“地址”为有效的收件地址，甲方对乙方的相关通知、函件等可通过特快专递方式送达至该地址。甲方通过特快专递方式向乙方“地址”发出相关通知、函件等3日后，即视为有效送达。乙方更换地址的，应该在3日内书面告知甲方，否则甲方仍按合同中列明的乙方“地址”发出相关通知、函件等并视为有效送达。</w:t>
      </w:r>
    </w:p>
    <w:p w14:paraId="1DBD05DC">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肆 </w:t>
      </w:r>
      <w:r>
        <w:rPr>
          <w:rFonts w:hint="eastAsia" w:ascii="宋体" w:hAnsi="宋体" w:eastAsia="宋体" w:cs="宋体"/>
          <w:color w:val="auto"/>
          <w:sz w:val="21"/>
          <w:szCs w:val="21"/>
          <w:highlight w:val="none"/>
        </w:rPr>
        <w:t>份，其中甲方执</w:t>
      </w:r>
      <w:r>
        <w:rPr>
          <w:rFonts w:hint="eastAsia" w:ascii="宋体" w:hAnsi="宋体" w:eastAsia="宋体" w:cs="宋体"/>
          <w:color w:val="auto"/>
          <w:sz w:val="21"/>
          <w:szCs w:val="21"/>
          <w:highlight w:val="none"/>
          <w:u w:val="single"/>
        </w:rPr>
        <w:t xml:space="preserve"> 叁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壹 </w:t>
      </w:r>
      <w:r>
        <w:rPr>
          <w:rFonts w:hint="eastAsia" w:ascii="宋体" w:hAnsi="宋体" w:eastAsia="宋体" w:cs="宋体"/>
          <w:color w:val="auto"/>
          <w:sz w:val="21"/>
          <w:szCs w:val="21"/>
          <w:highlight w:val="none"/>
        </w:rPr>
        <w:t>份，每份均具有同等法律效力。</w:t>
      </w:r>
    </w:p>
    <w:p w14:paraId="622A53D5">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本合同经双方盖章、并由双方法定代表人签字后生效。</w:t>
      </w:r>
    </w:p>
    <w:p w14:paraId="4579386F">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合同履约过程中，若发现同一种货物或服务存在有选择性的报价或不是固定的报价的,或存在多种理解方式的情况发生时，按最有利甲方的方式解释。本合同附件是本合同不可分割内容，与本合同同时生效，同具法律效力。合同条款与附件、采购文件、报价文件等其他文件不一致的，以有利于甲方的约定/解释为准。</w:t>
      </w:r>
    </w:p>
    <w:p w14:paraId="64C4594E">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highlight w:val="none"/>
        </w:rPr>
      </w:pPr>
    </w:p>
    <w:p w14:paraId="15ACB3C3">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附件：附件一：用户需求书；附件</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：阳光合作告知函。</w:t>
      </w:r>
    </w:p>
    <w:p w14:paraId="69C770CC">
      <w:pPr>
        <w:pStyle w:val="8"/>
        <w:keepNext w:val="0"/>
        <w:keepLines w:val="0"/>
        <w:pageBreakBefore/>
        <w:widowControl w:val="0"/>
        <w:tabs>
          <w:tab w:val="left" w:pos="5209"/>
        </w:tabs>
        <w:kinsoku w:val="0"/>
        <w:wordWrap/>
        <w:overflowPunct w:val="0"/>
        <w:topLinePunct w:val="0"/>
        <w:autoSpaceDE/>
        <w:autoSpaceDN/>
        <w:bidi w:val="0"/>
        <w:adjustRightInd/>
        <w:snapToGrid/>
        <w:spacing w:after="0" w:line="360" w:lineRule="auto"/>
        <w:ind w:firstLine="476" w:firstLineChars="200"/>
        <w:textAlignment w:val="auto"/>
        <w:rPr>
          <w:spacing w:val="-1"/>
          <w:szCs w:val="21"/>
          <w:highlight w:val="none"/>
        </w:rPr>
      </w:pPr>
    </w:p>
    <w:bookmarkEnd w:id="11"/>
    <w:bookmarkEnd w:id="12"/>
    <w:bookmarkEnd w:id="13"/>
    <w:bookmarkEnd w:id="14"/>
    <w:tbl>
      <w:tblPr>
        <w:tblStyle w:val="23"/>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53F99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57D2CC87">
            <w:pPr>
              <w:spacing w:line="360" w:lineRule="auto"/>
              <w:jc w:val="both"/>
              <w:rPr>
                <w:rFonts w:hint="eastAsia" w:ascii="Times New Roman" w:hAnsi="Times New Roman" w:eastAsia="宋体"/>
                <w:color w:val="auto"/>
                <w:highlight w:val="none"/>
              </w:rPr>
            </w:pPr>
            <w:r>
              <w:rPr>
                <w:rFonts w:hint="eastAsia" w:ascii="Times New Roman" w:hAnsi="Times New Roman" w:eastAsia="宋体"/>
                <w:color w:val="auto"/>
                <w:highlight w:val="none"/>
              </w:rPr>
              <w:t>甲方（盖章）：东莞市尚源环能科技有限公司</w:t>
            </w:r>
          </w:p>
          <w:p w14:paraId="02CF08B5">
            <w:pPr>
              <w:spacing w:line="360" w:lineRule="auto"/>
              <w:jc w:val="both"/>
              <w:rPr>
                <w:rFonts w:hint="eastAsia" w:ascii="Times New Roman" w:hAnsi="Times New Roman" w:eastAsia="宋体"/>
                <w:color w:val="auto"/>
                <w:highlight w:val="none"/>
              </w:rPr>
            </w:pPr>
          </w:p>
        </w:tc>
        <w:tc>
          <w:tcPr>
            <w:tcW w:w="5102" w:type="dxa"/>
            <w:tcBorders>
              <w:tl2br w:val="nil"/>
              <w:tr2bl w:val="nil"/>
            </w:tcBorders>
            <w:tcMar>
              <w:top w:w="0" w:type="dxa"/>
              <w:left w:w="57" w:type="dxa"/>
              <w:bottom w:w="0" w:type="dxa"/>
              <w:right w:w="57" w:type="dxa"/>
            </w:tcMar>
          </w:tcPr>
          <w:p w14:paraId="58C256F1">
            <w:pPr>
              <w:spacing w:line="360" w:lineRule="auto"/>
              <w:jc w:val="both"/>
              <w:rPr>
                <w:rFonts w:ascii="Times New Roman" w:hAnsi="Times New Roman" w:eastAsia="宋体"/>
                <w:color w:val="auto"/>
                <w:highlight w:val="none"/>
              </w:rPr>
            </w:pPr>
            <w:r>
              <w:rPr>
                <w:rFonts w:hint="eastAsia" w:ascii="Times New Roman" w:hAnsi="Times New Roman" w:eastAsia="宋体"/>
                <w:color w:val="auto"/>
                <w:highlight w:val="none"/>
              </w:rPr>
              <w:t>乙方（盖章）：</w:t>
            </w:r>
          </w:p>
        </w:tc>
      </w:tr>
      <w:tr w14:paraId="248DE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1FA6E569">
            <w:pPr>
              <w:spacing w:line="360" w:lineRule="auto"/>
              <w:jc w:val="both"/>
              <w:rPr>
                <w:rFonts w:hint="eastAsia" w:ascii="Times New Roman" w:hAnsi="Times New Roman" w:eastAsia="宋体"/>
                <w:color w:val="auto"/>
                <w:highlight w:val="none"/>
              </w:rPr>
            </w:pPr>
          </w:p>
          <w:p w14:paraId="4C9DCE92">
            <w:pPr>
              <w:spacing w:line="360" w:lineRule="auto"/>
              <w:jc w:val="both"/>
              <w:rPr>
                <w:rFonts w:ascii="Times New Roman" w:hAnsi="Times New Roman" w:eastAsia="宋体"/>
                <w:color w:val="auto"/>
                <w:highlight w:val="none"/>
              </w:rPr>
            </w:pPr>
            <w:r>
              <w:rPr>
                <w:rFonts w:hint="eastAsia" w:ascii="Times New Roman" w:hAnsi="Times New Roman" w:eastAsia="宋体"/>
                <w:color w:val="auto"/>
                <w:highlight w:val="none"/>
              </w:rPr>
              <w:t>法定代表人：</w:t>
            </w:r>
          </w:p>
        </w:tc>
        <w:tc>
          <w:tcPr>
            <w:tcW w:w="5102" w:type="dxa"/>
            <w:tcBorders>
              <w:tl2br w:val="nil"/>
              <w:tr2bl w:val="nil"/>
            </w:tcBorders>
            <w:tcMar>
              <w:top w:w="0" w:type="dxa"/>
              <w:left w:w="57" w:type="dxa"/>
              <w:bottom w:w="0" w:type="dxa"/>
              <w:right w:w="57" w:type="dxa"/>
            </w:tcMar>
          </w:tcPr>
          <w:p w14:paraId="06C97942">
            <w:pPr>
              <w:spacing w:line="360" w:lineRule="auto"/>
              <w:jc w:val="both"/>
              <w:rPr>
                <w:rFonts w:hint="eastAsia" w:ascii="Times New Roman" w:hAnsi="Times New Roman" w:eastAsia="宋体"/>
                <w:color w:val="auto"/>
                <w:highlight w:val="none"/>
              </w:rPr>
            </w:pPr>
          </w:p>
          <w:p w14:paraId="16EA3820">
            <w:pPr>
              <w:spacing w:line="360" w:lineRule="auto"/>
              <w:jc w:val="both"/>
              <w:rPr>
                <w:rFonts w:ascii="Times New Roman" w:hAnsi="Times New Roman" w:eastAsia="宋体"/>
                <w:color w:val="auto"/>
                <w:highlight w:val="none"/>
              </w:rPr>
            </w:pPr>
            <w:r>
              <w:rPr>
                <w:rFonts w:hint="eastAsia" w:ascii="Times New Roman" w:hAnsi="Times New Roman" w:eastAsia="宋体"/>
                <w:color w:val="auto"/>
                <w:highlight w:val="none"/>
              </w:rPr>
              <w:t>法定代表人：</w:t>
            </w:r>
          </w:p>
        </w:tc>
      </w:tr>
      <w:tr w14:paraId="05471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6B4A5112">
            <w:pPr>
              <w:spacing w:line="360" w:lineRule="auto"/>
              <w:jc w:val="both"/>
              <w:rPr>
                <w:rFonts w:hint="eastAsia" w:ascii="Times New Roman" w:hAnsi="Times New Roman" w:eastAsia="宋体"/>
                <w:color w:val="auto"/>
                <w:highlight w:val="none"/>
              </w:rPr>
            </w:pPr>
          </w:p>
          <w:p w14:paraId="01A914A5">
            <w:pPr>
              <w:spacing w:line="360" w:lineRule="auto"/>
              <w:jc w:val="both"/>
              <w:rPr>
                <w:rFonts w:ascii="Times New Roman" w:hAnsi="Times New Roman" w:eastAsia="宋体"/>
                <w:color w:val="auto"/>
                <w:highlight w:val="none"/>
              </w:rPr>
            </w:pPr>
            <w:r>
              <w:rPr>
                <w:rFonts w:hint="eastAsia" w:ascii="Times New Roman" w:hAnsi="Times New Roman" w:eastAsia="宋体"/>
                <w:color w:val="auto"/>
                <w:highlight w:val="none"/>
              </w:rPr>
              <w:t>地址：广东省东莞市沙田镇立沙中路</w:t>
            </w:r>
          </w:p>
        </w:tc>
        <w:tc>
          <w:tcPr>
            <w:tcW w:w="5102" w:type="dxa"/>
            <w:tcBorders>
              <w:tl2br w:val="nil"/>
              <w:tr2bl w:val="nil"/>
            </w:tcBorders>
            <w:tcMar>
              <w:top w:w="0" w:type="dxa"/>
              <w:left w:w="57" w:type="dxa"/>
              <w:bottom w:w="0" w:type="dxa"/>
              <w:right w:w="57" w:type="dxa"/>
            </w:tcMar>
          </w:tcPr>
          <w:p w14:paraId="4E341A11">
            <w:pPr>
              <w:spacing w:line="360" w:lineRule="auto"/>
              <w:ind w:left="720" w:hanging="720" w:hangingChars="300"/>
              <w:jc w:val="both"/>
              <w:rPr>
                <w:rFonts w:hint="eastAsia" w:ascii="Times New Roman" w:hAnsi="Times New Roman" w:eastAsia="宋体"/>
                <w:color w:val="auto"/>
                <w:highlight w:val="none"/>
              </w:rPr>
            </w:pPr>
          </w:p>
          <w:p w14:paraId="207AC3F4">
            <w:pPr>
              <w:spacing w:line="360" w:lineRule="auto"/>
              <w:ind w:left="720" w:hanging="720" w:hangingChars="300"/>
              <w:jc w:val="both"/>
              <w:rPr>
                <w:rFonts w:ascii="Times New Roman" w:hAnsi="Times New Roman" w:eastAsia="宋体"/>
                <w:color w:val="auto"/>
                <w:highlight w:val="none"/>
              </w:rPr>
            </w:pPr>
            <w:r>
              <w:rPr>
                <w:rFonts w:hint="eastAsia" w:ascii="Times New Roman" w:hAnsi="Times New Roman" w:eastAsia="宋体"/>
                <w:color w:val="auto"/>
                <w:highlight w:val="none"/>
              </w:rPr>
              <w:t>地址：</w:t>
            </w:r>
          </w:p>
        </w:tc>
      </w:tr>
      <w:tr w14:paraId="2EC1B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65113712">
            <w:pPr>
              <w:spacing w:line="360" w:lineRule="auto"/>
              <w:jc w:val="both"/>
              <w:rPr>
                <w:rFonts w:ascii="Times New Roman" w:hAnsi="Times New Roman" w:eastAsia="宋体"/>
                <w:color w:val="auto"/>
                <w:highlight w:val="none"/>
              </w:rPr>
            </w:pPr>
          </w:p>
        </w:tc>
        <w:tc>
          <w:tcPr>
            <w:tcW w:w="5102" w:type="dxa"/>
            <w:tcBorders>
              <w:tl2br w:val="nil"/>
              <w:tr2bl w:val="nil"/>
            </w:tcBorders>
            <w:tcMar>
              <w:top w:w="0" w:type="dxa"/>
              <w:left w:w="57" w:type="dxa"/>
              <w:bottom w:w="0" w:type="dxa"/>
              <w:right w:w="57" w:type="dxa"/>
            </w:tcMar>
          </w:tcPr>
          <w:p w14:paraId="23A372D0">
            <w:pPr>
              <w:spacing w:line="360" w:lineRule="auto"/>
              <w:jc w:val="both"/>
              <w:rPr>
                <w:rFonts w:ascii="Times New Roman" w:hAnsi="Times New Roman" w:eastAsia="宋体"/>
                <w:color w:val="auto"/>
                <w:highlight w:val="none"/>
              </w:rPr>
            </w:pPr>
            <w:r>
              <w:rPr>
                <w:rFonts w:hint="eastAsia" w:ascii="Times New Roman" w:hAnsi="Times New Roman" w:eastAsia="宋体"/>
                <w:color w:val="auto"/>
                <w:highlight w:val="none"/>
              </w:rPr>
              <w:t>电话：</w:t>
            </w:r>
          </w:p>
        </w:tc>
      </w:tr>
      <w:tr w14:paraId="547C8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70832F79">
            <w:pPr>
              <w:spacing w:line="360" w:lineRule="auto"/>
              <w:jc w:val="both"/>
              <w:rPr>
                <w:rFonts w:ascii="Times New Roman" w:hAnsi="Times New Roman" w:eastAsia="宋体"/>
                <w:color w:val="auto"/>
                <w:highlight w:val="none"/>
              </w:rPr>
            </w:pPr>
          </w:p>
        </w:tc>
        <w:tc>
          <w:tcPr>
            <w:tcW w:w="5102" w:type="dxa"/>
            <w:tcBorders>
              <w:tl2br w:val="nil"/>
              <w:tr2bl w:val="nil"/>
            </w:tcBorders>
            <w:tcMar>
              <w:top w:w="0" w:type="dxa"/>
              <w:left w:w="57" w:type="dxa"/>
              <w:bottom w:w="0" w:type="dxa"/>
              <w:right w:w="57" w:type="dxa"/>
            </w:tcMar>
          </w:tcPr>
          <w:p w14:paraId="6E748D0B">
            <w:pPr>
              <w:spacing w:line="360" w:lineRule="auto"/>
              <w:jc w:val="both"/>
              <w:rPr>
                <w:rFonts w:ascii="Times New Roman" w:hAnsi="Times New Roman" w:eastAsia="宋体"/>
                <w:color w:val="auto"/>
                <w:highlight w:val="none"/>
              </w:rPr>
            </w:pPr>
            <w:r>
              <w:rPr>
                <w:rFonts w:hint="eastAsia" w:ascii="Times New Roman" w:hAnsi="Times New Roman" w:eastAsia="宋体"/>
                <w:color w:val="auto"/>
                <w:highlight w:val="none"/>
              </w:rPr>
              <w:t>名称：</w:t>
            </w:r>
          </w:p>
        </w:tc>
      </w:tr>
      <w:tr w14:paraId="0D125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369BC8F2">
            <w:pPr>
              <w:spacing w:line="360" w:lineRule="auto"/>
              <w:jc w:val="both"/>
              <w:rPr>
                <w:rFonts w:ascii="Times New Roman" w:hAnsi="Times New Roman" w:eastAsia="宋体"/>
                <w:color w:val="auto"/>
                <w:highlight w:val="none"/>
              </w:rPr>
            </w:pPr>
          </w:p>
        </w:tc>
        <w:tc>
          <w:tcPr>
            <w:tcW w:w="5102" w:type="dxa"/>
            <w:tcBorders>
              <w:tl2br w:val="nil"/>
              <w:tr2bl w:val="nil"/>
            </w:tcBorders>
            <w:tcMar>
              <w:top w:w="0" w:type="dxa"/>
              <w:left w:w="57" w:type="dxa"/>
              <w:bottom w:w="0" w:type="dxa"/>
              <w:right w:w="57" w:type="dxa"/>
            </w:tcMar>
          </w:tcPr>
          <w:p w14:paraId="52C272E3">
            <w:pPr>
              <w:spacing w:line="360" w:lineRule="auto"/>
              <w:jc w:val="both"/>
              <w:rPr>
                <w:rFonts w:ascii="Times New Roman" w:hAnsi="Times New Roman" w:eastAsia="宋体"/>
                <w:color w:val="auto"/>
                <w:highlight w:val="none"/>
              </w:rPr>
            </w:pPr>
            <w:r>
              <w:rPr>
                <w:rFonts w:hint="eastAsia" w:ascii="Times New Roman" w:hAnsi="Times New Roman" w:eastAsia="宋体"/>
                <w:color w:val="auto"/>
                <w:highlight w:val="none"/>
              </w:rPr>
              <w:t>开户银行：</w:t>
            </w:r>
          </w:p>
        </w:tc>
      </w:tr>
      <w:tr w14:paraId="52AAF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681F39C1">
            <w:pPr>
              <w:spacing w:line="360" w:lineRule="auto"/>
              <w:jc w:val="both"/>
              <w:rPr>
                <w:rFonts w:ascii="Times New Roman" w:hAnsi="Times New Roman" w:eastAsia="宋体"/>
                <w:color w:val="auto"/>
                <w:highlight w:val="none"/>
              </w:rPr>
            </w:pPr>
          </w:p>
        </w:tc>
        <w:tc>
          <w:tcPr>
            <w:tcW w:w="5102" w:type="dxa"/>
            <w:tcBorders>
              <w:tl2br w:val="nil"/>
              <w:tr2bl w:val="nil"/>
            </w:tcBorders>
            <w:tcMar>
              <w:top w:w="0" w:type="dxa"/>
              <w:left w:w="57" w:type="dxa"/>
              <w:bottom w:w="0" w:type="dxa"/>
              <w:right w:w="57" w:type="dxa"/>
            </w:tcMar>
          </w:tcPr>
          <w:p w14:paraId="0468AB56">
            <w:pPr>
              <w:spacing w:line="360" w:lineRule="auto"/>
              <w:jc w:val="both"/>
              <w:rPr>
                <w:rFonts w:ascii="Times New Roman" w:hAnsi="Times New Roman" w:eastAsia="宋体"/>
                <w:color w:val="auto"/>
                <w:highlight w:val="none"/>
              </w:rPr>
            </w:pPr>
            <w:r>
              <w:rPr>
                <w:rFonts w:hint="eastAsia" w:ascii="Times New Roman" w:hAnsi="Times New Roman" w:eastAsia="宋体"/>
                <w:color w:val="auto"/>
                <w:highlight w:val="none"/>
              </w:rPr>
              <w:t>银行账号：</w:t>
            </w:r>
          </w:p>
        </w:tc>
      </w:tr>
      <w:tr w14:paraId="45CE3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66B71C71">
            <w:pPr>
              <w:spacing w:line="360" w:lineRule="auto"/>
              <w:jc w:val="both"/>
              <w:rPr>
                <w:rFonts w:ascii="Times New Roman" w:hAnsi="Times New Roman" w:eastAsia="宋体"/>
                <w:color w:val="auto"/>
                <w:highlight w:val="none"/>
              </w:rPr>
            </w:pPr>
          </w:p>
        </w:tc>
        <w:tc>
          <w:tcPr>
            <w:tcW w:w="5102" w:type="dxa"/>
            <w:tcBorders>
              <w:tl2br w:val="nil"/>
              <w:tr2bl w:val="nil"/>
            </w:tcBorders>
            <w:tcMar>
              <w:top w:w="0" w:type="dxa"/>
              <w:left w:w="57" w:type="dxa"/>
              <w:bottom w:w="0" w:type="dxa"/>
              <w:right w:w="57" w:type="dxa"/>
            </w:tcMar>
          </w:tcPr>
          <w:p w14:paraId="7B97C9A9">
            <w:pPr>
              <w:spacing w:line="360" w:lineRule="auto"/>
              <w:jc w:val="both"/>
              <w:rPr>
                <w:rFonts w:ascii="Times New Roman" w:hAnsi="Times New Roman" w:eastAsia="宋体"/>
                <w:color w:val="auto"/>
                <w:highlight w:val="none"/>
              </w:rPr>
            </w:pPr>
            <w:r>
              <w:rPr>
                <w:rFonts w:hint="eastAsia" w:ascii="Times New Roman" w:hAnsi="Times New Roman" w:eastAsia="宋体"/>
                <w:color w:val="auto"/>
                <w:highlight w:val="none"/>
              </w:rPr>
              <w:t>税号：</w:t>
            </w:r>
          </w:p>
        </w:tc>
      </w:tr>
    </w:tbl>
    <w:p w14:paraId="7048F148">
      <w:pPr>
        <w:spacing w:line="360" w:lineRule="auto"/>
        <w:rPr>
          <w:rFonts w:ascii="Times New Roman" w:hAnsi="Times New Roman" w:eastAsia="宋体"/>
          <w:color w:val="auto"/>
          <w:highlight w:val="none"/>
        </w:rPr>
      </w:pPr>
    </w:p>
    <w:p w14:paraId="353AFAA4">
      <w:pPr>
        <w:spacing w:line="360" w:lineRule="auto"/>
        <w:rPr>
          <w:rFonts w:hint="eastAsia" w:ascii="Times New Roman" w:hAnsi="Times New Roman" w:eastAsia="宋体"/>
          <w:color w:val="auto"/>
          <w:highlight w:val="none"/>
        </w:rPr>
      </w:pPr>
      <w:r>
        <w:rPr>
          <w:rFonts w:hint="eastAsia" w:ascii="Times New Roman" w:hAnsi="Times New Roman" w:eastAsia="宋体"/>
          <w:color w:val="auto"/>
          <w:highlight w:val="none"/>
        </w:rPr>
        <w:t xml:space="preserve">签订日期： </w:t>
      </w:r>
    </w:p>
    <w:p w14:paraId="598EC7F3">
      <w:pPr>
        <w:spacing w:line="360" w:lineRule="auto"/>
        <w:rPr>
          <w:rFonts w:hint="eastAsia" w:ascii="Times New Roman" w:hAnsi="Times New Roman" w:eastAsia="宋体"/>
          <w:color w:val="auto"/>
          <w:highlight w:val="none"/>
        </w:rPr>
        <w:sectPr>
          <w:footerReference r:id="rId11" w:type="first"/>
          <w:footerReference r:id="rId9" w:type="default"/>
          <w:footerReference r:id="rId10" w:type="even"/>
          <w:pgSz w:w="12240" w:h="15840"/>
          <w:pgMar w:top="1191" w:right="1357" w:bottom="1191" w:left="1043" w:header="720" w:footer="720" w:gutter="0"/>
          <w:pgBorders>
            <w:top w:val="none" w:sz="0" w:space="0"/>
            <w:left w:val="none" w:sz="0" w:space="0"/>
            <w:bottom w:val="none" w:sz="0" w:space="0"/>
            <w:right w:val="none" w:sz="0" w:space="0"/>
          </w:pgBorders>
          <w:pgNumType w:fmt="decimal" w:start="1"/>
          <w:cols w:space="720" w:num="1"/>
          <w:titlePg/>
          <w:docGrid w:linePitch="326" w:charSpace="0"/>
        </w:sectPr>
      </w:pPr>
      <w:r>
        <w:rPr>
          <w:rFonts w:hint="eastAsia" w:ascii="Times New Roman" w:hAnsi="Times New Roman" w:eastAsia="宋体"/>
          <w:color w:val="auto"/>
          <w:highlight w:val="none"/>
        </w:rPr>
        <w:t>签订地点：广东省东莞市</w:t>
      </w:r>
    </w:p>
    <w:p w14:paraId="0104D136">
      <w:pPr>
        <w:pageBreakBefore/>
        <w:spacing w:line="600" w:lineRule="exact"/>
        <w:outlineLvl w:val="1"/>
        <w:rPr>
          <w:rFonts w:ascii="Times New Roman" w:hAnsi="Times New Roman" w:eastAsia="宋体" w:cs="仿宋_GB2312"/>
          <w:b/>
          <w:bCs/>
          <w:color w:val="auto"/>
          <w:sz w:val="28"/>
          <w:szCs w:val="28"/>
          <w:highlight w:val="none"/>
        </w:rPr>
      </w:pPr>
      <w:r>
        <w:rPr>
          <w:rFonts w:hint="eastAsia" w:ascii="Times New Roman" w:hAnsi="Times New Roman" w:eastAsia="宋体" w:cs="仿宋_GB2312"/>
          <w:b/>
          <w:bCs/>
          <w:color w:val="auto"/>
          <w:sz w:val="28"/>
          <w:szCs w:val="28"/>
          <w:highlight w:val="none"/>
        </w:rPr>
        <w:t>附件</w:t>
      </w:r>
      <w:r>
        <w:rPr>
          <w:rFonts w:hint="eastAsia" w:ascii="Times New Roman" w:hAnsi="Times New Roman" w:cs="仿宋_GB2312"/>
          <w:b/>
          <w:bCs/>
          <w:color w:val="auto"/>
          <w:sz w:val="28"/>
          <w:szCs w:val="28"/>
          <w:highlight w:val="none"/>
          <w:lang w:val="en-US" w:eastAsia="zh-CN"/>
        </w:rPr>
        <w:t>二</w:t>
      </w:r>
      <w:r>
        <w:rPr>
          <w:rFonts w:hint="eastAsia" w:ascii="Times New Roman" w:hAnsi="Times New Roman" w:eastAsia="宋体" w:cs="仿宋_GB2312"/>
          <w:b/>
          <w:bCs/>
          <w:color w:val="auto"/>
          <w:sz w:val="28"/>
          <w:szCs w:val="28"/>
          <w:highlight w:val="none"/>
        </w:rPr>
        <w:t>：</w:t>
      </w:r>
    </w:p>
    <w:p w14:paraId="15D07755">
      <w:pPr>
        <w:spacing w:line="580" w:lineRule="exact"/>
        <w:jc w:val="center"/>
        <w:rPr>
          <w:rFonts w:ascii="Times New Roman" w:hAnsi="Times New Roman" w:eastAsia="宋体"/>
          <w:bCs/>
          <w:color w:val="auto"/>
          <w:sz w:val="36"/>
          <w:szCs w:val="36"/>
          <w:highlight w:val="none"/>
        </w:rPr>
      </w:pPr>
      <w:r>
        <w:rPr>
          <w:rFonts w:ascii="Times New Roman" w:hAnsi="Times New Roman" w:eastAsia="宋体"/>
          <w:bCs/>
          <w:color w:val="auto"/>
          <w:sz w:val="36"/>
          <w:szCs w:val="36"/>
          <w:highlight w:val="none"/>
        </w:rPr>
        <w:t>阳光合作告知函</w:t>
      </w:r>
    </w:p>
    <w:p w14:paraId="027F044D">
      <w:pPr>
        <w:spacing w:line="420" w:lineRule="exact"/>
        <w:rPr>
          <w:rFonts w:ascii="Times New Roman" w:hAnsi="Times New Roman" w:eastAsia="宋体"/>
          <w:b/>
          <w:bCs/>
          <w:color w:val="auto"/>
          <w:sz w:val="32"/>
          <w:szCs w:val="32"/>
          <w:highlight w:val="none"/>
        </w:rPr>
      </w:pPr>
    </w:p>
    <w:p w14:paraId="21E5F568">
      <w:pPr>
        <w:spacing w:line="480" w:lineRule="auto"/>
        <w:ind w:left="1405" w:hanging="1054" w:hangingChars="500"/>
        <w:rPr>
          <w:rFonts w:hint="eastAsia" w:ascii="Times New Roman" w:hAnsi="Times New Roman" w:eastAsia="宋体" w:cstheme="minorEastAsia"/>
          <w:b/>
          <w:bCs/>
          <w:color w:val="auto"/>
          <w:sz w:val="21"/>
          <w:szCs w:val="21"/>
          <w:highlight w:val="none"/>
          <w:lang w:eastAsia="zh-CN"/>
        </w:rPr>
      </w:pPr>
      <w:r>
        <w:rPr>
          <w:rFonts w:hint="eastAsia" w:ascii="Times New Roman" w:hAnsi="Times New Roman" w:eastAsia="宋体" w:cstheme="minorEastAsia"/>
          <w:b/>
          <w:bCs/>
          <w:color w:val="auto"/>
          <w:sz w:val="21"/>
          <w:szCs w:val="21"/>
          <w:highlight w:val="none"/>
        </w:rPr>
        <w:t>项目名称：</w:t>
      </w:r>
      <w:r>
        <w:rPr>
          <w:rFonts w:hint="eastAsia" w:cstheme="minorEastAsia"/>
          <w:b/>
          <w:bCs/>
          <w:color w:val="auto"/>
          <w:sz w:val="21"/>
          <w:szCs w:val="21"/>
          <w:highlight w:val="none"/>
          <w:lang w:eastAsia="zh-CN"/>
        </w:rPr>
        <w:t>东莞市污泥集中处理处置项目电动叉车及登高车采购项目（重新采购）</w:t>
      </w:r>
    </w:p>
    <w:p w14:paraId="24346A7E">
      <w:pPr>
        <w:spacing w:line="480" w:lineRule="auto"/>
        <w:ind w:left="1405" w:hanging="1050" w:hangingChars="500"/>
        <w:rPr>
          <w:rFonts w:ascii="Times New Roman" w:hAnsi="Times New Roman" w:eastAsia="宋体" w:cstheme="minorEastAsia"/>
          <w:b/>
          <w:bCs/>
          <w:color w:val="auto"/>
          <w:sz w:val="21"/>
          <w:szCs w:val="21"/>
          <w:highlight w:val="none"/>
        </w:rPr>
      </w:pPr>
      <w:r>
        <w:rPr>
          <w:rFonts w:hint="eastAsia" w:ascii="Times New Roman" w:hAnsi="Times New Roman" w:eastAsia="宋体" w:cstheme="minorEastAsia"/>
          <w:color w:val="auto"/>
          <w:sz w:val="21"/>
          <w:szCs w:val="21"/>
          <w:highlight w:val="none"/>
        </w:rPr>
        <w:t>（采购编号：</w:t>
      </w:r>
      <w:r>
        <w:rPr>
          <w:rFonts w:hint="eastAsia" w:ascii="Times New Roman" w:cstheme="minorEastAsia"/>
          <w:color w:val="auto"/>
          <w:sz w:val="21"/>
          <w:szCs w:val="21"/>
          <w:highlight w:val="none"/>
          <w:u w:val="single"/>
          <w:shd w:val="clear" w:color="auto" w:fill="FFFFFF"/>
          <w:lang w:val="en-US" w:eastAsia="zh-CN"/>
        </w:rPr>
        <w:t>JS-2026-042</w:t>
      </w:r>
      <w:r>
        <w:rPr>
          <w:rFonts w:hint="eastAsia" w:ascii="Times New Roman" w:hAnsi="Times New Roman" w:eastAsia="宋体" w:cstheme="minorEastAsia"/>
          <w:color w:val="auto"/>
          <w:sz w:val="21"/>
          <w:szCs w:val="21"/>
          <w:highlight w:val="none"/>
        </w:rPr>
        <w:t>）</w:t>
      </w:r>
    </w:p>
    <w:p w14:paraId="6DE49B14">
      <w:pPr>
        <w:spacing w:line="480" w:lineRule="auto"/>
        <w:rPr>
          <w:rFonts w:ascii="Times New Roman" w:hAnsi="Times New Roman" w:eastAsia="宋体" w:cstheme="minorEastAsia"/>
          <w:color w:val="auto"/>
          <w:sz w:val="21"/>
          <w:szCs w:val="21"/>
          <w:highlight w:val="none"/>
          <w:u w:val="single"/>
        </w:rPr>
      </w:pPr>
      <w:r>
        <w:rPr>
          <w:rFonts w:hint="eastAsia" w:ascii="Times New Roman" w:hAnsi="Times New Roman" w:eastAsia="宋体" w:cstheme="minorEastAsia"/>
          <w:color w:val="auto"/>
          <w:sz w:val="21"/>
          <w:szCs w:val="21"/>
          <w:highlight w:val="none"/>
          <w:u w:val="single"/>
        </w:rPr>
        <w:t xml:space="preserve"> </w:t>
      </w:r>
      <w:r>
        <w:rPr>
          <w:rFonts w:hint="eastAsia" w:ascii="Times New Roman" w:cstheme="minorEastAsia"/>
          <w:color w:val="auto"/>
          <w:sz w:val="21"/>
          <w:szCs w:val="21"/>
          <w:highlight w:val="none"/>
          <w:u w:val="single"/>
          <w:lang w:val="en-US" w:eastAsia="zh-CN"/>
        </w:rPr>
        <w:t xml:space="preserve">                     </w:t>
      </w:r>
      <w:r>
        <w:rPr>
          <w:rFonts w:hint="eastAsia" w:ascii="Times New Roman" w:hAnsi="Times New Roman" w:eastAsia="宋体" w:cstheme="minorEastAsia"/>
          <w:color w:val="auto"/>
          <w:sz w:val="21"/>
          <w:szCs w:val="21"/>
          <w:highlight w:val="none"/>
        </w:rPr>
        <w:t>：</w:t>
      </w:r>
    </w:p>
    <w:p w14:paraId="7EFBEBC3">
      <w:pPr>
        <w:pStyle w:val="58"/>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为保证我集团人员廉洁从业，规范和鼓励诚信交易行为，防止腐败和商业贿赂发生，推动双方建立阳光合作关系，现将我方推行阳光合作的相关管理规定函告如下：</w:t>
      </w:r>
    </w:p>
    <w:p w14:paraId="4B02C4C7">
      <w:pPr>
        <w:pStyle w:val="58"/>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一、我方负责对本单位有关人员进行阳光合作教育和管理。</w:t>
      </w:r>
    </w:p>
    <w:p w14:paraId="27EF0880">
      <w:pPr>
        <w:pStyle w:val="58"/>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二、我方人员有责任向贵方介绍本单位有关阳光合作的相关规定。</w:t>
      </w:r>
    </w:p>
    <w:p w14:paraId="79E778CD">
      <w:pPr>
        <w:pStyle w:val="58"/>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三、我方人员应本着诚实守信、公平公开、平等互利原则开展交易合作，遵守国家相关法律法规。</w:t>
      </w:r>
    </w:p>
    <w:p w14:paraId="685F4DEE">
      <w:pPr>
        <w:pStyle w:val="58"/>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四、我方人员应廉洁从业，自觉抵制商业贿赂及不正当交易行为，在交易业务中涉及本人、亲属或其他相关人员时，应主动提请回避。</w:t>
      </w:r>
    </w:p>
    <w:p w14:paraId="58472C4F">
      <w:pPr>
        <w:pStyle w:val="58"/>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五、在业务合作过程中，我方人员不得有以下违法违规行为：</w:t>
      </w:r>
    </w:p>
    <w:p w14:paraId="3B2AD4CB">
      <w:pPr>
        <w:pStyle w:val="58"/>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 xml:space="preserve">（一）合作过程中通过各种方式向贵方索贿、行贿，或为亲属、其他相关人员索取其他协助或服务； </w:t>
      </w:r>
    </w:p>
    <w:p w14:paraId="585ED115">
      <w:pPr>
        <w:pStyle w:val="58"/>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二）合作过程中通过各种方式收受贵方财物、服务，或为他人谋取不正当利益，包括但不限于：实物、现金、有价证券、礼券等有价物品（以下统称“财物”），不得参加贵方提供的旅游或其他可能影响职务廉洁的活动；</w:t>
      </w:r>
    </w:p>
    <w:p w14:paraId="255F3804">
      <w:pPr>
        <w:pStyle w:val="58"/>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 xml:space="preserve">（三）擅自截留、挪用或侵占贵方财物； </w:t>
      </w:r>
    </w:p>
    <w:p w14:paraId="18A840A2">
      <w:pPr>
        <w:pStyle w:val="58"/>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 xml:space="preserve">（四）以各种形式参与民间借贷，帮助贵方过桥借贷； </w:t>
      </w:r>
    </w:p>
    <w:p w14:paraId="0D0E153E">
      <w:pPr>
        <w:pStyle w:val="58"/>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（五）参与黄、赌、毒等违法犯罪活动；</w:t>
      </w:r>
    </w:p>
    <w:p w14:paraId="529AF6E0">
      <w:pPr>
        <w:pStyle w:val="58"/>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 xml:space="preserve">（六）其他违反国家法律法规和违反廉洁从业的行为。 </w:t>
      </w:r>
    </w:p>
    <w:p w14:paraId="4554D9D6">
      <w:pPr>
        <w:pStyle w:val="58"/>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六、在业务合作期间，我方有权通过回访等方式监督阳光合作执行情况。贵方及贵方人员发现我方任何人员任何形式的行贿、索贿、受贿或其他违反阳光合作的行为，可及时向我方举报。</w:t>
      </w:r>
    </w:p>
    <w:p w14:paraId="4CBBAC9F">
      <w:pPr>
        <w:pStyle w:val="58"/>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七、烦请贵方及贵方人员在投诉举报时，积极配合我方的相关调查工作，并提供联系方式等，便于我方纪检监察机构联系与调查核实。我方承诺对贵方的投诉举报人进行保密。</w:t>
      </w:r>
    </w:p>
    <w:p w14:paraId="0A8E8BE5">
      <w:pPr>
        <w:pStyle w:val="58"/>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八、贵方投诉举报的情况，经查证属实，我方将视情节轻重和影响恶劣程度对相关人员进行内部处理；构成犯罪的，依法移送司法机关处置，并将调查结果及时向贵方反馈。</w:t>
      </w:r>
    </w:p>
    <w:p w14:paraId="2B8FC924">
      <w:pPr>
        <w:pStyle w:val="58"/>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九、如贵方经办人员或其他相关人员主动诱使我方人员作出本告知函第五点列明的违法违规行为的，我方有权终止双方的合作，由此造成的损失由贵方承担。</w:t>
      </w:r>
    </w:p>
    <w:p w14:paraId="7095AA23">
      <w:pPr>
        <w:pStyle w:val="58"/>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十、我方对如实举报和严格遵守阳光合作精神的合作方，在同等条件下给予后续合作的优先权。</w:t>
      </w:r>
    </w:p>
    <w:p w14:paraId="199AB5F8">
      <w:pPr>
        <w:pStyle w:val="58"/>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十一、</w:t>
      </w:r>
      <w:bookmarkStart w:id="15" w:name="OLE_LINK1"/>
      <w:r>
        <w:rPr>
          <w:rFonts w:hint="eastAsia" w:ascii="Times New Roman" w:hAnsi="Times New Roman" w:eastAsia="宋体" w:cstheme="minorEastAsia"/>
          <w:color w:val="auto"/>
          <w:sz w:val="21"/>
          <w:szCs w:val="21"/>
          <w:highlight w:val="none"/>
        </w:rPr>
        <w:t>其他</w:t>
      </w:r>
    </w:p>
    <w:p w14:paraId="46A840F9">
      <w:pPr>
        <w:pStyle w:val="58"/>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（一）本告知函所言“其他相关人员”是指经办人以外的与合作项目有直接或间接利益关系的人员，包括但不仅限于项目经办人的亲友。</w:t>
      </w:r>
    </w:p>
    <w:bookmarkEnd w:id="15"/>
    <w:p w14:paraId="4718A753">
      <w:pPr>
        <w:pStyle w:val="58"/>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 xml:space="preserve">（二）我方常设投诉举报受理部门及联系方式： </w:t>
      </w:r>
    </w:p>
    <w:p w14:paraId="4F9F0DDD">
      <w:pPr>
        <w:pStyle w:val="58"/>
        <w:snapToGrid w:val="0"/>
        <w:spacing w:line="480" w:lineRule="auto"/>
        <w:ind w:firstLine="422"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b/>
          <w:bCs/>
          <w:color w:val="auto"/>
          <w:sz w:val="21"/>
          <w:szCs w:val="21"/>
          <w:highlight w:val="none"/>
        </w:rPr>
        <w:t>1.投诉举报受理部门：</w:t>
      </w:r>
      <w:r>
        <w:rPr>
          <w:rFonts w:hint="eastAsia" w:ascii="Times New Roman" w:hAnsi="Times New Roman" w:eastAsia="宋体" w:cstheme="minorEastAsia"/>
          <w:color w:val="auto"/>
          <w:sz w:val="21"/>
          <w:szCs w:val="21"/>
          <w:highlight w:val="none"/>
        </w:rPr>
        <w:t>东莞市水务环境投资控股集团有限公司纪检监察部；</w:t>
      </w:r>
    </w:p>
    <w:p w14:paraId="788E64BD">
      <w:pPr>
        <w:pStyle w:val="58"/>
        <w:snapToGrid w:val="0"/>
        <w:spacing w:line="480" w:lineRule="auto"/>
        <w:ind w:firstLine="422"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b/>
          <w:bCs/>
          <w:color w:val="auto"/>
          <w:sz w:val="21"/>
          <w:szCs w:val="21"/>
          <w:highlight w:val="none"/>
        </w:rPr>
        <w:t>2.投诉举报电话：</w:t>
      </w:r>
      <w:r>
        <w:rPr>
          <w:rFonts w:hint="eastAsia" w:ascii="Times New Roman" w:hAnsi="Times New Roman" w:cstheme="minorEastAsia"/>
          <w:color w:val="auto"/>
          <w:highlight w:val="none"/>
        </w:rPr>
        <w:t>0769–23076092</w:t>
      </w:r>
      <w:r>
        <w:rPr>
          <w:rFonts w:hint="eastAsia" w:ascii="Times New Roman" w:hAnsi="Times New Roman" w:eastAsia="宋体" w:cstheme="minorEastAsia"/>
          <w:color w:val="auto"/>
          <w:sz w:val="21"/>
          <w:szCs w:val="21"/>
          <w:highlight w:val="none"/>
        </w:rPr>
        <w:t>（星期一至星期五：8:30-17:30）；</w:t>
      </w:r>
    </w:p>
    <w:p w14:paraId="279A4BF8">
      <w:pPr>
        <w:pStyle w:val="58"/>
        <w:snapToGrid w:val="0"/>
        <w:spacing w:line="480" w:lineRule="auto"/>
        <w:ind w:firstLine="422"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b/>
          <w:bCs/>
          <w:color w:val="auto"/>
          <w:sz w:val="21"/>
          <w:szCs w:val="21"/>
          <w:highlight w:val="none"/>
        </w:rPr>
        <w:t>3.联系地址：</w:t>
      </w:r>
      <w:r>
        <w:rPr>
          <w:rFonts w:hint="eastAsia" w:ascii="Times New Roman" w:hAnsi="Times New Roman" w:cstheme="minorEastAsia"/>
          <w:color w:val="auto"/>
          <w:highlight w:val="none"/>
        </w:rPr>
        <w:t>广东省东莞市南城街道宏北路16号水业大厦</w:t>
      </w:r>
      <w:r>
        <w:rPr>
          <w:rFonts w:hint="eastAsia" w:ascii="Times New Roman" w:hAnsi="Times New Roman" w:eastAsia="宋体" w:cstheme="minorEastAsia"/>
          <w:color w:val="auto"/>
          <w:sz w:val="21"/>
          <w:szCs w:val="21"/>
          <w:highlight w:val="none"/>
        </w:rPr>
        <w:t>；</w:t>
      </w:r>
    </w:p>
    <w:p w14:paraId="49213799">
      <w:pPr>
        <w:pStyle w:val="58"/>
        <w:snapToGrid w:val="0"/>
        <w:spacing w:line="480" w:lineRule="auto"/>
        <w:ind w:firstLine="422"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b/>
          <w:bCs/>
          <w:color w:val="auto"/>
          <w:sz w:val="21"/>
          <w:szCs w:val="21"/>
          <w:highlight w:val="none"/>
        </w:rPr>
        <w:t>4.邮编：</w:t>
      </w:r>
      <w:r>
        <w:rPr>
          <w:rFonts w:hint="eastAsia" w:ascii="Times New Roman" w:hAnsi="Times New Roman" w:eastAsia="宋体" w:cstheme="minorEastAsia"/>
          <w:color w:val="auto"/>
          <w:sz w:val="21"/>
          <w:szCs w:val="21"/>
          <w:highlight w:val="none"/>
        </w:rPr>
        <w:t>523000。</w:t>
      </w:r>
    </w:p>
    <w:p w14:paraId="22F320DA">
      <w:pPr>
        <w:pStyle w:val="58"/>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让我们共同为建立健康、公平的商业秩序和实现双赢而努力。</w:t>
      </w:r>
    </w:p>
    <w:p w14:paraId="35A590CC">
      <w:pPr>
        <w:pStyle w:val="58"/>
        <w:snapToGrid w:val="0"/>
        <w:spacing w:line="480" w:lineRule="auto"/>
        <w:ind w:firstLine="420" w:firstLineChars="200"/>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特此致函。</w:t>
      </w:r>
    </w:p>
    <w:p w14:paraId="67A672CA">
      <w:pPr>
        <w:pStyle w:val="58"/>
        <w:snapToGrid w:val="0"/>
        <w:spacing w:line="480" w:lineRule="auto"/>
        <w:ind w:firstLine="420" w:firstLineChars="200"/>
        <w:rPr>
          <w:rFonts w:ascii="Times New Roman" w:hAnsi="Times New Roman" w:eastAsia="宋体" w:cstheme="minorEastAsia"/>
          <w:color w:val="auto"/>
          <w:sz w:val="21"/>
          <w:szCs w:val="21"/>
          <w:highlight w:val="none"/>
        </w:rPr>
      </w:pPr>
    </w:p>
    <w:p w14:paraId="1D8FAA29">
      <w:pPr>
        <w:pStyle w:val="58"/>
        <w:wordWrap w:val="0"/>
        <w:snapToGrid w:val="0"/>
        <w:spacing w:line="480" w:lineRule="auto"/>
        <w:ind w:firstLine="640"/>
        <w:jc w:val="right"/>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 xml:space="preserve"> 东莞市尚源环能科技有限公司</w:t>
      </w:r>
    </w:p>
    <w:p w14:paraId="757B4E90">
      <w:pPr>
        <w:pStyle w:val="58"/>
        <w:snapToGrid w:val="0"/>
        <w:spacing w:line="480" w:lineRule="auto"/>
        <w:ind w:firstLine="3990" w:firstLineChars="1900"/>
        <w:jc w:val="right"/>
        <w:rPr>
          <w:rFonts w:ascii="Times New Roman" w:hAnsi="Times New Roman" w:eastAsia="宋体"/>
          <w:color w:val="auto"/>
          <w:sz w:val="32"/>
          <w:szCs w:val="32"/>
          <w:highlight w:val="none"/>
        </w:rPr>
      </w:pPr>
      <w:r>
        <w:rPr>
          <w:rFonts w:hint="eastAsia" w:ascii="Times New Roman" w:hAnsi="Times New Roman" w:eastAsia="宋体" w:cstheme="minorEastAsia"/>
          <w:color w:val="auto"/>
          <w:sz w:val="21"/>
          <w:szCs w:val="21"/>
          <w:highlight w:val="none"/>
        </w:rPr>
        <w:t xml:space="preserve">  年   月  日</w:t>
      </w:r>
      <w:bookmarkStart w:id="16" w:name="现场签证通知单"/>
      <w:bookmarkEnd w:id="16"/>
      <w:bookmarkStart w:id="17" w:name="设计变更通知单"/>
      <w:bookmarkEnd w:id="17"/>
    </w:p>
    <w:p w14:paraId="4B7B19B0">
      <w:pPr>
        <w:pStyle w:val="58"/>
        <w:keepNext w:val="0"/>
        <w:keepLines w:val="0"/>
        <w:pageBreakBefore/>
        <w:widowControl w:val="0"/>
        <w:kinsoku/>
        <w:wordWrap/>
        <w:overflowPunct/>
        <w:topLinePunct w:val="0"/>
        <w:autoSpaceDE w:val="0"/>
        <w:autoSpaceDN w:val="0"/>
        <w:bidi w:val="0"/>
        <w:adjustRightInd w:val="0"/>
        <w:snapToGrid w:val="0"/>
        <w:spacing w:line="580" w:lineRule="exact"/>
        <w:ind w:firstLine="0"/>
        <w:jc w:val="center"/>
        <w:textAlignment w:val="baseline"/>
        <w:rPr>
          <w:rFonts w:ascii="Times New Roman" w:hAnsi="Times New Roman" w:eastAsia="宋体"/>
          <w:color w:val="auto"/>
          <w:sz w:val="36"/>
          <w:szCs w:val="36"/>
          <w:highlight w:val="none"/>
          <w:lang w:val="zh-CN"/>
        </w:rPr>
      </w:pPr>
      <w:r>
        <w:rPr>
          <w:rFonts w:hint="eastAsia" w:ascii="Times New Roman" w:hAnsi="Times New Roman" w:eastAsia="宋体"/>
          <w:color w:val="auto"/>
          <w:sz w:val="36"/>
          <w:szCs w:val="36"/>
          <w:highlight w:val="none"/>
          <w:lang w:val="zh-CN"/>
        </w:rPr>
        <w:t>阳光合作告知函回执</w:t>
      </w:r>
    </w:p>
    <w:p w14:paraId="7C587269">
      <w:pPr>
        <w:pStyle w:val="58"/>
        <w:snapToGrid w:val="0"/>
        <w:spacing w:line="580" w:lineRule="exact"/>
        <w:ind w:firstLine="600"/>
        <w:jc w:val="center"/>
        <w:rPr>
          <w:rFonts w:ascii="Times New Roman" w:hAnsi="Times New Roman" w:eastAsia="宋体"/>
          <w:color w:val="auto"/>
          <w:sz w:val="30"/>
          <w:szCs w:val="30"/>
          <w:highlight w:val="none"/>
        </w:rPr>
      </w:pPr>
      <w:r>
        <w:rPr>
          <w:rFonts w:ascii="Times New Roman" w:hAnsi="Times New Roman" w:eastAsia="宋体"/>
          <w:color w:val="auto"/>
          <w:sz w:val="30"/>
          <w:szCs w:val="30"/>
          <w:highlight w:val="none"/>
        </w:rPr>
        <w:t xml:space="preserve">                            </w:t>
      </w:r>
    </w:p>
    <w:p w14:paraId="017BD72B">
      <w:pPr>
        <w:pStyle w:val="58"/>
        <w:snapToGrid w:val="0"/>
        <w:spacing w:line="480" w:lineRule="auto"/>
        <w:ind w:firstLine="600"/>
        <w:jc w:val="right"/>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 xml:space="preserve">                                  </w:t>
      </w:r>
      <w:r>
        <w:rPr>
          <w:rFonts w:hint="eastAsia" w:ascii="Times New Roman" w:hAnsi="Times New Roman" w:eastAsia="宋体" w:cstheme="minorEastAsia"/>
          <w:color w:val="auto"/>
          <w:sz w:val="21"/>
          <w:szCs w:val="21"/>
          <w:highlight w:val="none"/>
          <w:lang w:val="zh-CN"/>
        </w:rPr>
        <w:t>编号：</w:t>
      </w:r>
      <w:r>
        <w:rPr>
          <w:rFonts w:hint="eastAsia" w:ascii="Times New Roman" w:hAnsi="Times New Roman" w:cstheme="minorEastAsia"/>
          <w:color w:val="auto"/>
          <w:sz w:val="21"/>
          <w:szCs w:val="21"/>
          <w:highlight w:val="none"/>
          <w:lang w:val="zh-CN"/>
        </w:rPr>
        <w:t>JS-2026-042</w:t>
      </w:r>
    </w:p>
    <w:p w14:paraId="41EDE2B0">
      <w:pPr>
        <w:pStyle w:val="58"/>
        <w:snapToGrid w:val="0"/>
        <w:spacing w:line="480" w:lineRule="auto"/>
        <w:ind w:firstLine="560"/>
        <w:jc w:val="center"/>
        <w:rPr>
          <w:rFonts w:ascii="Times New Roman" w:hAnsi="Times New Roman" w:eastAsia="宋体" w:cstheme="minorEastAsia"/>
          <w:color w:val="auto"/>
          <w:sz w:val="21"/>
          <w:szCs w:val="21"/>
          <w:highlight w:val="none"/>
          <w:lang w:val="zh-CN"/>
        </w:rPr>
      </w:pPr>
    </w:p>
    <w:p w14:paraId="13D84BF4">
      <w:pPr>
        <w:spacing w:line="480" w:lineRule="auto"/>
        <w:ind w:firstLine="525" w:firstLineChars="250"/>
        <w:rPr>
          <w:rFonts w:ascii="Times New Roman" w:hAnsi="Times New Roman" w:eastAsia="宋体" w:cstheme="minorEastAsia"/>
          <w:color w:val="auto"/>
          <w:sz w:val="21"/>
          <w:szCs w:val="21"/>
          <w:highlight w:val="none"/>
          <w:lang w:val="zh-CN"/>
        </w:rPr>
      </w:pPr>
      <w:r>
        <w:rPr>
          <w:rFonts w:hint="eastAsia" w:ascii="Times New Roman" w:hAnsi="Times New Roman" w:eastAsia="宋体" w:cstheme="minorEastAsia"/>
          <w:color w:val="auto"/>
          <w:sz w:val="21"/>
          <w:szCs w:val="21"/>
          <w:highlight w:val="none"/>
          <w:lang w:val="zh-CN"/>
        </w:rPr>
        <w:t>我单位于</w:t>
      </w:r>
      <w:r>
        <w:rPr>
          <w:rFonts w:hint="eastAsia" w:ascii="Times New Roman" w:hAnsi="Times New Roman" w:eastAsia="宋体" w:cstheme="minorEastAsia"/>
          <w:color w:val="auto"/>
          <w:sz w:val="21"/>
          <w:szCs w:val="21"/>
          <w:highlight w:val="none"/>
          <w:u w:val="single"/>
          <w:lang w:val="zh-CN"/>
        </w:rPr>
        <w:t xml:space="preserve">       </w:t>
      </w:r>
      <w:r>
        <w:rPr>
          <w:rFonts w:hint="eastAsia" w:ascii="Times New Roman" w:hAnsi="Times New Roman" w:eastAsia="宋体" w:cstheme="minorEastAsia"/>
          <w:color w:val="auto"/>
          <w:sz w:val="21"/>
          <w:szCs w:val="21"/>
          <w:highlight w:val="none"/>
          <w:lang w:val="zh-CN"/>
        </w:rPr>
        <w:t>年</w:t>
      </w:r>
      <w:r>
        <w:rPr>
          <w:rFonts w:hint="eastAsia" w:ascii="Times New Roman" w:hAnsi="Times New Roman" w:eastAsia="宋体" w:cstheme="minorEastAsia"/>
          <w:color w:val="auto"/>
          <w:sz w:val="21"/>
          <w:szCs w:val="21"/>
          <w:highlight w:val="none"/>
          <w:u w:val="single"/>
          <w:lang w:val="zh-CN"/>
        </w:rPr>
        <w:t xml:space="preserve">    </w:t>
      </w:r>
      <w:r>
        <w:rPr>
          <w:rFonts w:hint="eastAsia" w:ascii="Times New Roman" w:hAnsi="Times New Roman" w:eastAsia="宋体" w:cstheme="minorEastAsia"/>
          <w:color w:val="auto"/>
          <w:sz w:val="21"/>
          <w:szCs w:val="21"/>
          <w:highlight w:val="none"/>
          <w:lang w:val="zh-CN"/>
        </w:rPr>
        <w:t>月</w:t>
      </w:r>
      <w:r>
        <w:rPr>
          <w:rFonts w:hint="eastAsia" w:ascii="Times New Roman" w:hAnsi="Times New Roman" w:eastAsia="宋体" w:cstheme="minorEastAsia"/>
          <w:color w:val="auto"/>
          <w:sz w:val="21"/>
          <w:szCs w:val="21"/>
          <w:highlight w:val="none"/>
          <w:u w:val="single"/>
          <w:lang w:val="zh-CN"/>
        </w:rPr>
        <w:t xml:space="preserve">    </w:t>
      </w:r>
      <w:r>
        <w:rPr>
          <w:rFonts w:hint="eastAsia" w:ascii="Times New Roman" w:hAnsi="Times New Roman" w:eastAsia="宋体" w:cstheme="minorEastAsia"/>
          <w:color w:val="auto"/>
          <w:sz w:val="21"/>
          <w:szCs w:val="21"/>
          <w:highlight w:val="none"/>
          <w:lang w:val="zh-CN"/>
        </w:rPr>
        <w:t>日收到东莞市尚源环能科技有限公司的《阳光合作告知函》，承诺理解函告内容并告知相关人员严格执行其中规定。</w:t>
      </w:r>
    </w:p>
    <w:p w14:paraId="3C450485">
      <w:pPr>
        <w:snapToGrid w:val="0"/>
        <w:spacing w:line="480" w:lineRule="auto"/>
        <w:rPr>
          <w:rFonts w:ascii="Times New Roman" w:hAnsi="Times New Roman" w:eastAsia="宋体" w:cstheme="minorEastAsia"/>
          <w:color w:val="auto"/>
          <w:sz w:val="21"/>
          <w:szCs w:val="21"/>
          <w:highlight w:val="none"/>
          <w:lang w:val="zh-CN"/>
        </w:rPr>
      </w:pPr>
    </w:p>
    <w:p w14:paraId="3CBAA247">
      <w:pPr>
        <w:snapToGrid w:val="0"/>
        <w:spacing w:line="480" w:lineRule="auto"/>
        <w:jc w:val="right"/>
        <w:rPr>
          <w:rFonts w:ascii="Times New Roman" w:hAnsi="Times New Roman" w:eastAsia="宋体" w:cstheme="minorEastAsia"/>
          <w:color w:val="auto"/>
          <w:sz w:val="21"/>
          <w:szCs w:val="21"/>
          <w:highlight w:val="none"/>
          <w:lang w:val="zh-CN"/>
        </w:rPr>
      </w:pPr>
      <w:r>
        <w:rPr>
          <w:rFonts w:hint="eastAsia" w:ascii="Times New Roman" w:hAnsi="Times New Roman" w:eastAsia="宋体" w:cstheme="minorEastAsia"/>
          <w:color w:val="auto"/>
          <w:sz w:val="21"/>
          <w:szCs w:val="21"/>
          <w:highlight w:val="none"/>
          <w:lang w:val="zh-CN"/>
        </w:rPr>
        <w:t xml:space="preserve">                      </w:t>
      </w:r>
      <w:r>
        <w:rPr>
          <w:rFonts w:hint="eastAsia" w:ascii="Times New Roman" w:hAnsi="Times New Roman" w:eastAsia="宋体" w:cstheme="minorEastAsia"/>
          <w:bCs/>
          <w:color w:val="auto"/>
          <w:sz w:val="21"/>
          <w:szCs w:val="21"/>
          <w:highlight w:val="none"/>
        </w:rPr>
        <w:t xml:space="preserve">      </w:t>
      </w:r>
      <w:r>
        <w:rPr>
          <w:rFonts w:hint="eastAsia" w:ascii="Times New Roman" w:hAnsi="Times New Roman" w:eastAsia="宋体" w:cstheme="minorEastAsia"/>
          <w:bCs/>
          <w:color w:val="auto"/>
          <w:sz w:val="21"/>
          <w:szCs w:val="21"/>
          <w:highlight w:val="none"/>
          <w:u w:val="single"/>
        </w:rPr>
        <w:t xml:space="preserve"> </w:t>
      </w:r>
      <w:r>
        <w:rPr>
          <w:rFonts w:hint="eastAsia" w:ascii="Times New Roman" w:cstheme="minorEastAsia"/>
          <w:bCs/>
          <w:color w:val="auto"/>
          <w:sz w:val="21"/>
          <w:szCs w:val="21"/>
          <w:highlight w:val="none"/>
          <w:u w:val="single"/>
          <w:lang w:val="en-US" w:eastAsia="zh-CN"/>
        </w:rPr>
        <w:t xml:space="preserve">                         </w:t>
      </w:r>
      <w:r>
        <w:rPr>
          <w:rFonts w:hint="eastAsia" w:ascii="Times New Roman" w:hAnsi="Times New Roman" w:eastAsia="宋体" w:cstheme="minorEastAsia"/>
          <w:bCs/>
          <w:color w:val="auto"/>
          <w:sz w:val="21"/>
          <w:szCs w:val="21"/>
          <w:highlight w:val="none"/>
          <w:u w:val="single"/>
          <w:lang w:val="en-US" w:eastAsia="zh-CN"/>
        </w:rPr>
        <w:t xml:space="preserve"> </w:t>
      </w:r>
      <w:r>
        <w:rPr>
          <w:rFonts w:hint="eastAsia" w:ascii="Times New Roman" w:hAnsi="Times New Roman" w:eastAsia="宋体" w:cstheme="minorEastAsia"/>
          <w:color w:val="auto"/>
          <w:sz w:val="21"/>
          <w:szCs w:val="21"/>
          <w:highlight w:val="none"/>
          <w:lang w:val="zh-CN"/>
        </w:rPr>
        <w:t>（盖章）</w:t>
      </w:r>
    </w:p>
    <w:p w14:paraId="7711C04B">
      <w:pPr>
        <w:snapToGrid w:val="0"/>
        <w:spacing w:line="480" w:lineRule="auto"/>
        <w:jc w:val="right"/>
        <w:rPr>
          <w:rFonts w:ascii="Times New Roman" w:hAnsi="Times New Roman" w:eastAsia="宋体" w:cstheme="minorEastAsia"/>
          <w:color w:val="auto"/>
          <w:sz w:val="21"/>
          <w:szCs w:val="21"/>
          <w:highlight w:val="none"/>
          <w:lang w:val="zh-CN"/>
        </w:rPr>
      </w:pPr>
    </w:p>
    <w:p w14:paraId="385D471D">
      <w:pPr>
        <w:snapToGrid w:val="0"/>
        <w:spacing w:line="480" w:lineRule="auto"/>
        <w:ind w:right="1280" w:firstLine="3360" w:firstLineChars="1600"/>
        <w:jc w:val="right"/>
        <w:rPr>
          <w:rFonts w:ascii="Times New Roman" w:hAnsi="Times New Roman" w:eastAsia="宋体" w:cstheme="minorEastAsia"/>
          <w:color w:val="auto"/>
          <w:sz w:val="21"/>
          <w:szCs w:val="21"/>
          <w:highlight w:val="none"/>
        </w:rPr>
      </w:pPr>
      <w:r>
        <w:rPr>
          <w:rFonts w:hint="eastAsia" w:ascii="Times New Roman" w:hAnsi="Times New Roman" w:eastAsia="宋体" w:cstheme="minorEastAsia"/>
          <w:color w:val="auto"/>
          <w:sz w:val="21"/>
          <w:szCs w:val="21"/>
          <w:highlight w:val="none"/>
        </w:rPr>
        <w:t xml:space="preserve"> 法定代表人：           </w:t>
      </w:r>
    </w:p>
    <w:p w14:paraId="334DF831">
      <w:pPr>
        <w:wordWrap w:val="0"/>
        <w:snapToGrid w:val="0"/>
        <w:spacing w:line="480" w:lineRule="auto"/>
        <w:jc w:val="right"/>
        <w:rPr>
          <w:rFonts w:ascii="Times New Roman" w:hAnsi="Times New Roman" w:eastAsia="宋体" w:cstheme="minorEastAsia"/>
          <w:color w:val="auto"/>
          <w:sz w:val="21"/>
          <w:szCs w:val="21"/>
          <w:highlight w:val="none"/>
        </w:rPr>
      </w:pPr>
    </w:p>
    <w:p w14:paraId="3E781620">
      <w:pPr>
        <w:spacing w:line="480" w:lineRule="auto"/>
        <w:ind w:firstLine="3780" w:firstLineChars="1800"/>
        <w:jc w:val="center"/>
        <w:rPr>
          <w:rFonts w:ascii="Times New Roman" w:hAnsi="Times New Roman" w:eastAsia="宋体"/>
          <w:b/>
          <w:color w:val="auto"/>
          <w:sz w:val="21"/>
          <w:szCs w:val="21"/>
          <w:highlight w:val="none"/>
        </w:rPr>
      </w:pPr>
      <w:r>
        <w:rPr>
          <w:rFonts w:hint="eastAsia" w:ascii="Times New Roman" w:hAnsi="Times New Roman" w:eastAsia="宋体" w:cstheme="minorEastAsia"/>
          <w:color w:val="auto"/>
          <w:sz w:val="21"/>
          <w:szCs w:val="21"/>
          <w:highlight w:val="none"/>
          <w:lang w:val="en-US" w:eastAsia="zh-CN"/>
        </w:rPr>
        <w:t xml:space="preserve">        </w:t>
      </w:r>
      <w:r>
        <w:rPr>
          <w:rFonts w:hint="eastAsia" w:ascii="Times New Roman" w:hAnsi="Times New Roman" w:eastAsia="宋体" w:cstheme="minorEastAsia"/>
          <w:color w:val="auto"/>
          <w:sz w:val="21"/>
          <w:szCs w:val="21"/>
          <w:highlight w:val="none"/>
        </w:rPr>
        <w:t>年    月    日</w:t>
      </w:r>
    </w:p>
    <w:p w14:paraId="7B55A71F">
      <w:pPr>
        <w:spacing w:line="360" w:lineRule="auto"/>
        <w:jc w:val="right"/>
        <w:rPr>
          <w:rFonts w:ascii="Times New Roman" w:hAnsi="Times New Roman" w:eastAsia="宋体"/>
          <w:b/>
          <w:color w:val="auto"/>
          <w:highlight w:val="none"/>
        </w:rPr>
      </w:pPr>
      <w:r>
        <w:rPr>
          <w:rFonts w:hint="eastAsia" w:ascii="Times New Roman" w:hAnsi="Times New Roman" w:eastAsia="宋体"/>
          <w:color w:val="auto"/>
          <w:highlight w:val="none"/>
        </w:rPr>
        <w:t xml:space="preserve"> </w:t>
      </w:r>
      <w:r>
        <w:rPr>
          <w:rFonts w:ascii="Times New Roman" w:hAnsi="Times New Roman" w:eastAsia="宋体"/>
          <w:color w:val="auto"/>
          <w:highlight w:val="none"/>
        </w:rPr>
        <w:t xml:space="preserve">                         </w:t>
      </w:r>
    </w:p>
    <w:p w14:paraId="01D3BFB8">
      <w:pPr>
        <w:spacing w:line="360" w:lineRule="auto"/>
        <w:rPr>
          <w:rFonts w:ascii="Times New Roman" w:hAnsi="Times New Roman" w:eastAsia="宋体"/>
          <w:b/>
          <w:color w:val="auto"/>
          <w:highlight w:val="none"/>
        </w:rPr>
      </w:pPr>
    </w:p>
    <w:p w14:paraId="47103A24">
      <w:pPr>
        <w:spacing w:line="360" w:lineRule="auto"/>
        <w:rPr>
          <w:rFonts w:ascii="Times New Roman" w:hAnsi="Times New Roman" w:eastAsia="宋体"/>
          <w:b/>
          <w:color w:val="auto"/>
          <w:highlight w:val="none"/>
        </w:rPr>
      </w:pPr>
    </w:p>
    <w:p w14:paraId="2B78417E">
      <w:pPr>
        <w:spacing w:line="360" w:lineRule="auto"/>
        <w:rPr>
          <w:rFonts w:ascii="Times New Roman" w:hAnsi="Times New Roman" w:eastAsia="宋体"/>
          <w:b/>
          <w:color w:val="auto"/>
          <w:highlight w:val="none"/>
        </w:rPr>
      </w:pPr>
    </w:p>
    <w:p w14:paraId="1A5F1FC4">
      <w:pPr>
        <w:spacing w:line="360" w:lineRule="auto"/>
        <w:rPr>
          <w:rFonts w:ascii="Times New Roman" w:hAnsi="Times New Roman" w:eastAsia="宋体"/>
          <w:b/>
          <w:color w:val="auto"/>
          <w:highlight w:val="none"/>
        </w:rPr>
      </w:pPr>
    </w:p>
    <w:p w14:paraId="2EA18F71">
      <w:pPr>
        <w:spacing w:line="360" w:lineRule="auto"/>
        <w:rPr>
          <w:rFonts w:ascii="Times New Roman" w:hAnsi="Times New Roman" w:eastAsia="宋体"/>
          <w:b/>
          <w:color w:val="auto"/>
          <w:highlight w:val="none"/>
        </w:rPr>
      </w:pPr>
    </w:p>
    <w:p w14:paraId="583E2843">
      <w:pPr>
        <w:spacing w:line="360" w:lineRule="auto"/>
        <w:rPr>
          <w:rFonts w:ascii="Times New Roman" w:hAnsi="Times New Roman" w:eastAsia="宋体"/>
          <w:b/>
          <w:color w:val="auto"/>
          <w:highlight w:val="none"/>
        </w:rPr>
      </w:pPr>
    </w:p>
    <w:p w14:paraId="68AC4591">
      <w:pPr>
        <w:spacing w:line="360" w:lineRule="auto"/>
        <w:rPr>
          <w:rFonts w:ascii="Times New Roman" w:hAnsi="Times New Roman" w:eastAsia="宋体"/>
          <w:b/>
          <w:color w:val="auto"/>
          <w:highlight w:val="none"/>
        </w:rPr>
      </w:pPr>
    </w:p>
    <w:p w14:paraId="3D6E351B">
      <w:pPr>
        <w:spacing w:line="360" w:lineRule="auto"/>
        <w:rPr>
          <w:rFonts w:ascii="Times New Roman" w:hAnsi="Times New Roman" w:eastAsia="宋体"/>
          <w:b/>
          <w:color w:val="auto"/>
          <w:highlight w:val="none"/>
        </w:rPr>
      </w:pPr>
    </w:p>
    <w:p w14:paraId="3E65D8AD">
      <w:pPr>
        <w:spacing w:line="360" w:lineRule="auto"/>
        <w:rPr>
          <w:rFonts w:ascii="Times New Roman" w:hAnsi="Times New Roman" w:eastAsia="宋体"/>
          <w:b/>
          <w:color w:val="auto"/>
          <w:sz w:val="28"/>
          <w:szCs w:val="28"/>
          <w:highlight w:val="none"/>
        </w:rPr>
      </w:pPr>
    </w:p>
    <w:p w14:paraId="66E11C53">
      <w:pPr>
        <w:topLinePunct w:val="0"/>
        <w:bidi w:val="0"/>
        <w:spacing w:line="360" w:lineRule="auto"/>
        <w:rPr>
          <w:highlight w:val="none"/>
        </w:rPr>
      </w:pPr>
    </w:p>
    <w:p w14:paraId="632A8C8E">
      <w:pPr>
        <w:spacing w:line="360" w:lineRule="auto"/>
        <w:jc w:val="right"/>
        <w:rPr>
          <w:rFonts w:ascii="Times New Roman" w:hAnsi="Times New Roman" w:eastAsia="宋体"/>
          <w:b/>
          <w:color w:val="auto"/>
          <w:highlight w:val="none"/>
        </w:rPr>
      </w:pPr>
      <w:r>
        <w:rPr>
          <w:rFonts w:hint="eastAsia" w:ascii="Times New Roman" w:hAnsi="Times New Roman" w:eastAsia="宋体"/>
          <w:color w:val="auto"/>
          <w:highlight w:val="none"/>
        </w:rPr>
        <w:t xml:space="preserve"> </w:t>
      </w:r>
      <w:r>
        <w:rPr>
          <w:rFonts w:ascii="Times New Roman" w:hAnsi="Times New Roman" w:eastAsia="宋体"/>
          <w:color w:val="auto"/>
          <w:highlight w:val="none"/>
        </w:rPr>
        <w:t xml:space="preserve">                         </w:t>
      </w:r>
    </w:p>
    <w:p w14:paraId="4E871D79">
      <w:pPr>
        <w:spacing w:line="360" w:lineRule="auto"/>
        <w:rPr>
          <w:rFonts w:ascii="Times New Roman" w:hAnsi="Times New Roman" w:eastAsia="宋体"/>
          <w:b/>
          <w:color w:val="auto"/>
          <w:highlight w:val="none"/>
        </w:rPr>
      </w:pPr>
    </w:p>
    <w:p w14:paraId="3354C416">
      <w:pPr>
        <w:spacing w:line="360" w:lineRule="auto"/>
        <w:rPr>
          <w:rFonts w:ascii="Times New Roman" w:hAnsi="Times New Roman" w:eastAsia="宋体"/>
          <w:b/>
          <w:color w:val="auto"/>
          <w:highlight w:val="none"/>
        </w:rPr>
      </w:pPr>
    </w:p>
    <w:p w14:paraId="39B45ECF">
      <w:pPr>
        <w:pStyle w:val="3"/>
        <w:spacing w:before="0" w:after="0"/>
        <w:jc w:val="center"/>
        <w:rPr>
          <w:rFonts w:hAnsi="宋体" w:cs="宋体"/>
          <w:szCs w:val="32"/>
        </w:rPr>
      </w:pPr>
      <w:bookmarkStart w:id="18" w:name="_Toc29476707"/>
      <w:r>
        <w:rPr>
          <w:rFonts w:hint="eastAsia" w:hAnsi="宋体" w:cs="宋体"/>
          <w:szCs w:val="32"/>
        </w:rPr>
        <w:t>第四章 报价须知</w:t>
      </w:r>
      <w:bookmarkEnd w:id="18"/>
    </w:p>
    <w:p w14:paraId="0E6EE379">
      <w:pPr>
        <w:spacing w:line="360" w:lineRule="auto"/>
        <w:rPr>
          <w:rFonts w:hAnsi="宋体" w:cs="宋体"/>
          <w:b/>
          <w:bCs/>
        </w:rPr>
      </w:pPr>
      <w:r>
        <w:rPr>
          <w:rFonts w:hint="eastAsia" w:hAnsi="宋体" w:cs="宋体"/>
          <w:b/>
          <w:bCs/>
        </w:rPr>
        <w:t>一、项目费用说明</w:t>
      </w:r>
    </w:p>
    <w:p w14:paraId="4F195520">
      <w:pPr>
        <w:spacing w:line="360" w:lineRule="auto"/>
        <w:ind w:firstLine="424" w:firstLineChars="177"/>
        <w:rPr>
          <w:rFonts w:hAnsi="宋体" w:cs="宋体"/>
        </w:rPr>
      </w:pPr>
      <w:r>
        <w:rPr>
          <w:rFonts w:hint="eastAsia" w:hAnsi="宋体" w:cs="宋体"/>
        </w:rPr>
        <w:t>报价人应按询价文件要求及企业的自身情况进行报价。所报的价格包含完成询价文件规定的工作所需的全部费用（除了供应商销项税额），并承担所有相应项目风险。</w:t>
      </w:r>
    </w:p>
    <w:p w14:paraId="19E380FF">
      <w:pPr>
        <w:spacing w:line="360" w:lineRule="auto"/>
        <w:rPr>
          <w:rFonts w:hAnsi="宋体" w:cs="宋体"/>
          <w:b/>
          <w:bCs/>
        </w:rPr>
      </w:pPr>
    </w:p>
    <w:p w14:paraId="47D87E58">
      <w:pPr>
        <w:spacing w:line="360" w:lineRule="auto"/>
        <w:rPr>
          <w:rFonts w:hAnsi="宋体" w:cs="宋体"/>
          <w:b/>
          <w:bCs/>
        </w:rPr>
      </w:pPr>
      <w:r>
        <w:rPr>
          <w:rFonts w:hint="eastAsia" w:hAnsi="宋体" w:cs="宋体"/>
          <w:b/>
          <w:bCs/>
        </w:rPr>
        <w:t>二、报价文件的组成</w:t>
      </w:r>
    </w:p>
    <w:p w14:paraId="5773C94A">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1</w:t>
      </w:r>
      <w:r>
        <w:rPr>
          <w:rFonts w:hint="eastAsia" w:hAnsi="宋体" w:cs="宋体"/>
          <w:color w:val="000000" w:themeColor="text1"/>
          <w14:textFill>
            <w14:solidFill>
              <w14:schemeClr w14:val="tx1"/>
            </w14:solidFill>
          </w14:textFill>
        </w:rPr>
        <w:t>.报价表</w:t>
      </w:r>
      <w:r>
        <w:rPr>
          <w:rFonts w:hint="eastAsia" w:hAnsi="宋体" w:cs="宋体"/>
          <w:color w:val="000000" w:themeColor="text1"/>
          <w:lang w:eastAsia="zh-CN"/>
          <w14:textFill>
            <w14:solidFill>
              <w14:schemeClr w14:val="tx1"/>
            </w14:solidFill>
          </w14:textFill>
        </w:rPr>
        <w:t>（</w:t>
      </w:r>
      <w:r>
        <w:rPr>
          <w:rFonts w:hint="eastAsia" w:hAnsi="宋体" w:cs="宋体"/>
          <w:color w:val="000000" w:themeColor="text1"/>
          <w:lang w:val="en-US" w:eastAsia="zh-CN"/>
          <w14:textFill>
            <w14:solidFill>
              <w14:schemeClr w14:val="tx1"/>
            </w14:solidFill>
          </w14:textFill>
        </w:rPr>
        <w:t>含分项报价表</w:t>
      </w:r>
      <w:r>
        <w:rPr>
          <w:rFonts w:hint="eastAsia" w:hAnsi="宋体" w:cs="宋体"/>
          <w:color w:val="000000" w:themeColor="text1"/>
          <w:lang w:eastAsia="zh-CN"/>
          <w14:textFill>
            <w14:solidFill>
              <w14:schemeClr w14:val="tx1"/>
            </w14:solidFill>
          </w14:textFill>
        </w:rPr>
        <w:t>）</w:t>
      </w:r>
      <w:r>
        <w:rPr>
          <w:rFonts w:hint="eastAsia" w:hAnsi="宋体" w:cs="宋体"/>
          <w:color w:val="000000" w:themeColor="text1"/>
          <w14:textFill>
            <w14:solidFill>
              <w14:schemeClr w14:val="tx1"/>
            </w14:solidFill>
          </w14:textFill>
        </w:rPr>
        <w:t>；</w:t>
      </w:r>
    </w:p>
    <w:p w14:paraId="0FFDF520">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2</w:t>
      </w:r>
      <w:r>
        <w:rPr>
          <w:rFonts w:hint="eastAsia" w:hAnsi="宋体" w:cs="宋体"/>
          <w:color w:val="000000" w:themeColor="text1"/>
          <w14:textFill>
            <w14:solidFill>
              <w14:schemeClr w14:val="tx1"/>
            </w14:solidFill>
          </w14:textFill>
        </w:rPr>
        <w:t>.项目响应声明；</w:t>
      </w:r>
    </w:p>
    <w:p w14:paraId="1CB18CEA">
      <w:pPr>
        <w:spacing w:line="360" w:lineRule="auto"/>
        <w:ind w:firstLine="424" w:firstLineChars="177"/>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3.</w:t>
      </w:r>
      <w:r>
        <w:rPr>
          <w:rFonts w:hint="eastAsia" w:hAnsi="宋体" w:cs="宋体"/>
          <w:color w:val="000000" w:themeColor="text1"/>
          <w14:textFill>
            <w14:solidFill>
              <w14:schemeClr w14:val="tx1"/>
            </w14:solidFill>
          </w14:textFill>
        </w:rPr>
        <w:t>营业执照；</w:t>
      </w:r>
    </w:p>
    <w:p w14:paraId="6277C100">
      <w:pPr>
        <w:spacing w:line="360" w:lineRule="auto"/>
        <w:ind w:firstLine="424" w:firstLineChars="177"/>
        <w:rPr>
          <w:rFonts w:hAnsi="宋体" w:cs="宋体"/>
        </w:rPr>
      </w:pPr>
      <w:r>
        <w:rPr>
          <w:rFonts w:hAnsi="宋体" w:cs="宋体"/>
          <w:color w:val="000000" w:themeColor="text1"/>
          <w14:textFill>
            <w14:solidFill>
              <w14:schemeClr w14:val="tx1"/>
            </w14:solidFill>
          </w14:textFill>
        </w:rPr>
        <w:t>4.</w:t>
      </w:r>
      <w:r>
        <w:rPr>
          <w:rFonts w:hint="eastAsia" w:hAnsi="宋体" w:cs="宋体"/>
          <w:color w:val="auto"/>
          <w:highlight w:val="none"/>
          <w:lang w:val="en-US" w:eastAsia="zh-CN"/>
        </w:rPr>
        <w:t>报价人</w:t>
      </w:r>
      <w:r>
        <w:rPr>
          <w:rFonts w:hint="eastAsia" w:ascii="Times New Roman"/>
          <w:color w:val="auto"/>
          <w:highlight w:val="none"/>
          <w:lang w:val="en-US" w:eastAsia="zh-CN"/>
        </w:rPr>
        <w:t>提供</w:t>
      </w:r>
      <w:r>
        <w:rPr>
          <w:rFonts w:hint="eastAsia" w:hAnsi="宋体" w:cs="宋体"/>
          <w:color w:val="auto"/>
          <w:highlight w:val="none"/>
          <w:u w:val="single"/>
          <w:lang w:val="en-US" w:eastAsia="zh-CN"/>
        </w:rPr>
        <w:t>叉车</w:t>
      </w:r>
      <w:r>
        <w:rPr>
          <w:rFonts w:hint="eastAsia" w:hAnsi="宋体" w:cs="宋体"/>
          <w:b/>
          <w:bCs/>
          <w:color w:val="auto"/>
          <w:highlight w:val="red"/>
          <w:u w:val="single"/>
          <w:lang w:val="en-US" w:eastAsia="zh-CN"/>
        </w:rPr>
        <w:t>及</w:t>
      </w:r>
      <w:r>
        <w:rPr>
          <w:rFonts w:hint="eastAsia" w:hAnsi="宋体" w:cs="宋体"/>
          <w:color w:val="auto"/>
          <w:highlight w:val="none"/>
          <w:u w:val="single"/>
          <w:lang w:val="en-US" w:eastAsia="zh-CN"/>
        </w:rPr>
        <w:t>登高车的供货或销售业绩</w:t>
      </w:r>
      <w:r>
        <w:rPr>
          <w:rFonts w:hint="eastAsia" w:hAnsi="宋体" w:cs="宋体"/>
          <w:color w:val="auto"/>
          <w:highlight w:val="none"/>
          <w:lang w:val="en-US" w:eastAsia="zh-CN"/>
        </w:rPr>
        <w:t>，业绩可为一份或多份，供货清单涵盖前述车辆类型</w:t>
      </w:r>
      <w:r>
        <w:rPr>
          <w:rFonts w:hint="eastAsia" w:hAnsi="宋体" w:cs="宋体"/>
        </w:rPr>
        <w:t>；</w:t>
      </w:r>
    </w:p>
    <w:p w14:paraId="13209EC9">
      <w:pPr>
        <w:spacing w:line="360" w:lineRule="auto"/>
        <w:ind w:firstLine="424" w:firstLineChars="177"/>
        <w:rPr>
          <w:rFonts w:hAnsi="宋体" w:cs="宋体"/>
          <w:color w:val="000000" w:themeColor="text1"/>
          <w14:textFill>
            <w14:solidFill>
              <w14:schemeClr w14:val="tx1"/>
            </w14:solidFill>
          </w14:textFill>
        </w:rPr>
      </w:pPr>
      <w:r>
        <w:rPr>
          <w:rFonts w:hAnsi="宋体" w:cs="宋体"/>
        </w:rPr>
        <w:t>5.</w:t>
      </w:r>
      <w:r>
        <w:rPr>
          <w:rFonts w:hint="eastAsia" w:hAnsi="宋体" w:cs="宋体"/>
          <w:color w:val="000000" w:themeColor="text1"/>
          <w14:textFill>
            <w14:solidFill>
              <w14:schemeClr w14:val="tx1"/>
            </w14:solidFill>
          </w14:textFill>
        </w:rPr>
        <w:t>承诺函。</w:t>
      </w:r>
    </w:p>
    <w:p w14:paraId="65783605">
      <w:pPr>
        <w:spacing w:line="360" w:lineRule="auto"/>
        <w:rPr>
          <w:rFonts w:hAnsi="宋体" w:cs="宋体"/>
          <w:b/>
          <w:bCs/>
        </w:rPr>
      </w:pPr>
    </w:p>
    <w:p w14:paraId="4FBD5613">
      <w:pPr>
        <w:spacing w:line="360" w:lineRule="auto"/>
        <w:rPr>
          <w:rFonts w:hAnsi="宋体" w:cs="宋体"/>
          <w:b/>
          <w:bCs/>
        </w:rPr>
      </w:pPr>
      <w:r>
        <w:rPr>
          <w:rFonts w:hint="eastAsia" w:hAnsi="宋体" w:cs="宋体"/>
          <w:b/>
          <w:bCs/>
        </w:rPr>
        <w:t>三、报价文件的封装和递交</w:t>
      </w:r>
    </w:p>
    <w:p w14:paraId="2D9C0533">
      <w:pPr>
        <w:spacing w:line="360" w:lineRule="auto"/>
        <w:ind w:firstLine="424" w:firstLineChars="177"/>
        <w:rPr>
          <w:rFonts w:ascii="Times New Roman" w:cs="宋体"/>
        </w:rPr>
      </w:pPr>
      <w:r>
        <w:rPr>
          <w:rFonts w:hint="eastAsia" w:ascii="Times New Roman" w:cs="宋体"/>
        </w:rPr>
        <w:t>1.报价人应将报价文件一起密封在一个不透明的外层封装中。外层密封封装表面应正确标明项目名称、项目编号、报价人单位名称，封口位置盖公章。</w:t>
      </w:r>
    </w:p>
    <w:p w14:paraId="55803763">
      <w:pPr>
        <w:spacing w:line="360" w:lineRule="auto"/>
        <w:ind w:firstLine="424" w:firstLineChars="177"/>
        <w:rPr>
          <w:rFonts w:ascii="Times New Roman" w:cs="宋体"/>
        </w:rPr>
      </w:pPr>
      <w:r>
        <w:rPr>
          <w:rFonts w:hint="eastAsia" w:ascii="Times New Roman" w:cs="宋体"/>
        </w:rPr>
        <w:t>2.</w:t>
      </w:r>
      <w:r>
        <w:rPr>
          <w:rFonts w:hint="eastAsia" w:ascii="Times New Roman" w:cs="宋体"/>
          <w:color w:val="FF0000"/>
        </w:rPr>
        <w:t>报价文件无须装订成册。</w:t>
      </w:r>
      <w:r>
        <w:rPr>
          <w:rFonts w:hint="eastAsia" w:ascii="Times New Roman" w:cs="宋体"/>
        </w:rPr>
        <w:t>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，并密封于“电子文件”内（电子文件的包装封面需注明项目名称、项目编号、报价人单位名称，并盖公章）。</w:t>
      </w:r>
    </w:p>
    <w:p w14:paraId="32D9C435">
      <w:pPr>
        <w:spacing w:line="360" w:lineRule="auto"/>
        <w:ind w:firstLine="424" w:firstLineChars="177"/>
        <w:rPr>
          <w:rFonts w:hAnsi="宋体" w:cs="宋体"/>
        </w:rPr>
      </w:pPr>
      <w:r>
        <w:rPr>
          <w:rFonts w:hint="eastAsia" w:ascii="Times New Roman" w:cs="宋体"/>
        </w:rPr>
        <w:t>3</w:t>
      </w:r>
      <w:r>
        <w:rPr>
          <w:rFonts w:hint="eastAsia" w:hAnsi="宋体" w:cs="宋体"/>
        </w:rPr>
        <w:t>.</w:t>
      </w:r>
      <w:r>
        <w:rPr>
          <w:rFonts w:hint="eastAsia" w:hAnsi="宋体" w:cs="宋体"/>
          <w:b/>
          <w:bCs/>
        </w:rPr>
        <w:t>密封好的报价文件，应于询价邀请函中规定的截止时间前递交到采购人指定的递交地点，否则视为放弃参与本项目。</w:t>
      </w:r>
    </w:p>
    <w:p w14:paraId="6748E6AA">
      <w:pPr>
        <w:spacing w:line="360" w:lineRule="auto"/>
        <w:rPr>
          <w:rFonts w:hAnsi="宋体" w:cs="宋体"/>
        </w:rPr>
      </w:pPr>
    </w:p>
    <w:p w14:paraId="72C5F78C">
      <w:pPr>
        <w:spacing w:line="360" w:lineRule="auto"/>
        <w:rPr>
          <w:rFonts w:hAnsi="宋体" w:cs="宋体"/>
          <w:b/>
          <w:bCs/>
        </w:rPr>
      </w:pPr>
      <w:r>
        <w:rPr>
          <w:rFonts w:hint="eastAsia" w:hAnsi="宋体" w:cs="宋体"/>
          <w:b/>
          <w:bCs/>
        </w:rPr>
        <w:t>四、报价有效性说明</w:t>
      </w:r>
    </w:p>
    <w:p w14:paraId="2FB6B65D">
      <w:pPr>
        <w:spacing w:line="360" w:lineRule="auto"/>
        <w:ind w:firstLine="482" w:firstLineChars="200"/>
        <w:rPr>
          <w:rFonts w:ascii="Times New Roman"/>
          <w:b/>
          <w:bCs/>
        </w:rPr>
      </w:pPr>
      <w:r>
        <w:rPr>
          <w:rFonts w:hint="eastAsia" w:ascii="Times New Roman"/>
          <w:b/>
          <w:bCs/>
        </w:rPr>
        <w:t>1</w:t>
      </w:r>
      <w:r>
        <w:rPr>
          <w:rFonts w:ascii="Times New Roman"/>
          <w:b/>
          <w:bCs/>
        </w:rPr>
        <w:t>.</w:t>
      </w:r>
      <w:r>
        <w:rPr>
          <w:rFonts w:hint="eastAsia" w:ascii="Times New Roman"/>
          <w:b/>
          <w:bCs/>
        </w:rPr>
        <w:t>报价人不符合合格报价人的基本条件[被列入“信用中国”网站（www.creditchina.gov.cn）失信被执行人、重大税收违法失信主体、政府采购严重违法失信行为记录名单（处罚期限届满的除外）]。</w:t>
      </w:r>
    </w:p>
    <w:p w14:paraId="0F7ED50C">
      <w:pPr>
        <w:spacing w:line="360" w:lineRule="auto"/>
        <w:ind w:firstLine="482" w:firstLineChars="200"/>
        <w:rPr>
          <w:rFonts w:ascii="Times New Roman"/>
          <w:b/>
          <w:bCs/>
        </w:rPr>
      </w:pPr>
      <w:r>
        <w:rPr>
          <w:rFonts w:hint="eastAsia" w:ascii="Times New Roman"/>
          <w:b/>
          <w:bCs/>
        </w:rPr>
        <w:t>2.</w:t>
      </w:r>
      <w:r>
        <w:rPr>
          <w:rFonts w:ascii="Times New Roman"/>
          <w:b/>
          <w:bCs/>
        </w:rPr>
        <w:t>不含税总报价不得高于本项目不含税最高限价</w:t>
      </w:r>
      <w:r>
        <w:rPr>
          <w:rFonts w:hint="eastAsia" w:ascii="Times New Roman"/>
          <w:b/>
          <w:bCs/>
        </w:rPr>
        <w:t>，</w:t>
      </w:r>
      <w:r>
        <w:rPr>
          <w:rFonts w:ascii="Times New Roman"/>
          <w:b/>
          <w:bCs/>
        </w:rPr>
        <w:t>否则视为无效报价</w:t>
      </w:r>
      <w:r>
        <w:rPr>
          <w:rFonts w:hint="eastAsia" w:ascii="Times New Roman"/>
          <w:b/>
          <w:bCs/>
        </w:rPr>
        <w:t>。</w:t>
      </w:r>
    </w:p>
    <w:p w14:paraId="0FBFD6DF">
      <w:pPr>
        <w:spacing w:line="360" w:lineRule="auto"/>
        <w:ind w:firstLine="482" w:firstLineChars="200"/>
        <w:rPr>
          <w:rFonts w:ascii="Times New Roman"/>
          <w:b/>
          <w:bCs/>
        </w:rPr>
      </w:pPr>
      <w:r>
        <w:rPr>
          <w:rFonts w:ascii="Times New Roman"/>
          <w:b/>
          <w:bCs/>
        </w:rPr>
        <w:t>3.</w:t>
      </w:r>
      <w:r>
        <w:rPr>
          <w:rFonts w:hint="eastAsia" w:ascii="Times New Roman"/>
          <w:b/>
          <w:bCs/>
        </w:rPr>
        <w:t>报价人未按报价文件格式提供相应材料的，按无效报价处理。</w:t>
      </w:r>
    </w:p>
    <w:p w14:paraId="4DA2F49D">
      <w:pPr>
        <w:spacing w:line="360" w:lineRule="auto"/>
        <w:ind w:firstLine="482" w:firstLineChars="200"/>
        <w:rPr>
          <w:rFonts w:ascii="Times New Roman"/>
          <w:b/>
          <w:bCs/>
        </w:rPr>
      </w:pPr>
      <w:r>
        <w:rPr>
          <w:rFonts w:ascii="Times New Roman"/>
          <w:b/>
          <w:bCs/>
        </w:rPr>
        <w:t>4.</w:t>
      </w:r>
      <w:r>
        <w:rPr>
          <w:rFonts w:hint="eastAsia" w:hAnsi="宋体" w:cs="宋体"/>
          <w:b/>
          <w:bCs/>
        </w:rPr>
        <w:t>①报价截止时间结束，报价文件不足三家，公开询价采购失败。②</w:t>
      </w:r>
      <w:r>
        <w:rPr>
          <w:rFonts w:hint="eastAsia" w:ascii="Times New Roman"/>
          <w:b/>
          <w:bCs/>
        </w:rPr>
        <w:t>在实行公开询价过程中，合格供应商只有两家，但询价文件没有不合理条款，且采购程序符合规定的，采购人可以继续开展采购活动。③</w:t>
      </w:r>
      <w:r>
        <w:rPr>
          <w:rFonts w:hint="eastAsia" w:ascii="Times New Roman" w:cs="宋体"/>
          <w:b/>
          <w:bCs/>
        </w:rPr>
        <w:t>当公开询价合格供应商只有一家，采购失败。</w:t>
      </w:r>
    </w:p>
    <w:p w14:paraId="7F8F0F6F">
      <w:pPr>
        <w:spacing w:line="360" w:lineRule="auto"/>
        <w:ind w:firstLine="482" w:firstLineChars="200"/>
        <w:rPr>
          <w:rFonts w:ascii="Times New Roman"/>
          <w:b/>
          <w:bCs/>
        </w:rPr>
      </w:pPr>
      <w:r>
        <w:rPr>
          <w:rFonts w:ascii="Times New Roman"/>
          <w:b/>
          <w:bCs/>
        </w:rPr>
        <w:t>5.在实质性满足采购需求的情况下，若2家以上（含本数）供应商报价一致且同为最低价时，报价相同的供应商再进行一次报价，且再次报价不得高于前一次报价，以此类推，最终价低者得</w:t>
      </w:r>
      <w:r>
        <w:rPr>
          <w:rFonts w:hint="eastAsia" w:ascii="Times New Roman"/>
          <w:b/>
          <w:bCs/>
        </w:rPr>
        <w:t>。</w:t>
      </w:r>
    </w:p>
    <w:p w14:paraId="2E5024D0">
      <w:pPr>
        <w:spacing w:line="360" w:lineRule="auto"/>
        <w:ind w:firstLine="482" w:firstLineChars="200"/>
        <w:rPr>
          <w:rFonts w:hAnsi="宋体" w:cs="宋体"/>
          <w:b/>
          <w:bCs/>
        </w:rPr>
      </w:pPr>
      <w:r>
        <w:rPr>
          <w:rFonts w:ascii="Times New Roman"/>
          <w:b/>
          <w:bCs/>
        </w:rPr>
        <w:t>6</w:t>
      </w:r>
      <w:r>
        <w:rPr>
          <w:rFonts w:hint="eastAsia" w:ascii="Times New Roman"/>
          <w:b/>
          <w:bCs/>
        </w:rPr>
        <w:t>.</w:t>
      </w:r>
      <w:r>
        <w:rPr>
          <w:rFonts w:ascii="Times New Roman"/>
          <w:b/>
          <w:bCs/>
        </w:rPr>
        <w:t>当报价文件完全响应需求的最低价供应商放弃成交资格或经确认未实质性满足采购需求时，我公司有权确定实质性满足采购需求的第二低价供应商作为成交供应商，或重新进行采购</w:t>
      </w:r>
      <w:r>
        <w:rPr>
          <w:rFonts w:hint="eastAsia" w:hAnsi="宋体" w:cs="宋体"/>
          <w:b/>
          <w:bCs/>
        </w:rPr>
        <w:t>。</w:t>
      </w:r>
    </w:p>
    <w:p w14:paraId="67D430A9">
      <w:pPr>
        <w:spacing w:line="360" w:lineRule="auto"/>
        <w:ind w:firstLine="426" w:firstLineChars="177"/>
        <w:rPr>
          <w:rFonts w:ascii="Times New Roman" w:cs="宋体"/>
          <w:b/>
          <w:bCs/>
        </w:rPr>
      </w:pPr>
      <w:r>
        <w:rPr>
          <w:rFonts w:ascii="Times New Roman" w:cs="宋体"/>
          <w:b/>
          <w:bCs/>
        </w:rPr>
        <w:t>7</w:t>
      </w:r>
      <w:r>
        <w:rPr>
          <w:rFonts w:hint="eastAsia" w:ascii="Times New Roman" w:cs="宋体"/>
          <w:b/>
          <w:bCs/>
        </w:rPr>
        <w:t>.①与采购人存在利害关系可能影响采购公正性的法人、其他组织或者个人,不得参与报价;②供应商负责人为同一人或者存在控股管理关系的不同供应商，不得参加同一项目报价。上述情况一经发现，相关报价均无效。</w:t>
      </w:r>
    </w:p>
    <w:p w14:paraId="32897B79">
      <w:pPr>
        <w:spacing w:line="360" w:lineRule="auto"/>
        <w:ind w:firstLine="426" w:firstLineChars="177"/>
        <w:rPr>
          <w:rFonts w:hint="eastAsia" w:ascii="Times New Roman" w:cs="宋体"/>
          <w:b/>
          <w:bCs/>
        </w:rPr>
      </w:pPr>
      <w:r>
        <w:rPr>
          <w:rFonts w:hint="eastAsia" w:ascii="Times New Roman" w:cs="宋体"/>
          <w:b/>
          <w:bCs/>
          <w:lang w:val="en-US" w:eastAsia="zh-CN"/>
        </w:rPr>
        <w:t>8</w:t>
      </w:r>
      <w:r>
        <w:rPr>
          <w:rFonts w:hint="eastAsia" w:ascii="Times New Roman" w:cs="宋体"/>
          <w:b/>
          <w:bCs/>
        </w:rPr>
        <w:t>.本项目不接受联合体报价。分支机构报价的，除满足响应文件资格要求外，须提供总公司和分支机构营业执照复印件，总公司出具给分支机构的专项授权委托书，授权范围需明确参与项目报价、投标及合同签订等相关活动，并承担相应法律责任（格式自拟，如未提供视为无效报价）。</w:t>
      </w:r>
    </w:p>
    <w:p w14:paraId="53A11368">
      <w:pPr>
        <w:spacing w:line="360" w:lineRule="auto"/>
        <w:rPr>
          <w:rFonts w:hAnsi="宋体" w:cs="宋体"/>
          <w:b/>
        </w:rPr>
      </w:pPr>
    </w:p>
    <w:p w14:paraId="6572606F">
      <w:pPr>
        <w:spacing w:line="360" w:lineRule="auto"/>
        <w:rPr>
          <w:rFonts w:hAnsi="宋体" w:cs="宋体"/>
          <w:b/>
        </w:rPr>
      </w:pPr>
      <w:r>
        <w:rPr>
          <w:rFonts w:hint="eastAsia" w:hAnsi="宋体" w:cs="宋体"/>
          <w:b/>
        </w:rPr>
        <w:t>五、合同签订说明</w:t>
      </w:r>
    </w:p>
    <w:p w14:paraId="45464CF9">
      <w:pPr>
        <w:spacing w:line="360" w:lineRule="auto"/>
        <w:ind w:firstLine="481"/>
        <w:rPr>
          <w:rFonts w:hAnsi="宋体" w:cs="宋体"/>
          <w:b/>
        </w:rPr>
      </w:pPr>
      <w:r>
        <w:rPr>
          <w:rFonts w:hint="eastAsia" w:hAnsi="宋体" w:cs="宋体"/>
          <w:b/>
        </w:rPr>
        <w:t>本项目成交单位会根据项目实际情况与</w:t>
      </w:r>
      <w:r>
        <w:rPr>
          <w:rFonts w:hint="eastAsia" w:hAnsi="宋体" w:cs="宋体"/>
          <w:b/>
          <w:bCs/>
          <w:color w:val="000000" w:themeColor="text1"/>
          <w14:textFill>
            <w14:solidFill>
              <w14:schemeClr w14:val="tx1"/>
            </w14:solidFill>
          </w14:textFill>
        </w:rPr>
        <w:t>东莞市水务环境投资控股集团净水有限公司</w:t>
      </w:r>
      <w:r>
        <w:rPr>
          <w:rFonts w:hint="eastAsia" w:hAnsi="宋体" w:cs="宋体"/>
          <w:b/>
        </w:rPr>
        <w:t>或东莞市石鼓净水有限公司或东莞市樟村水质净化有限公司或东莞市清源净水科技有限公司或东莞市莞水装备科技有限公司或东莞市众源环境投资有限公司或东莞市尚源环能科技有限公司签署合同。</w:t>
      </w:r>
    </w:p>
    <w:p w14:paraId="12CAA428">
      <w:pPr>
        <w:spacing w:line="360" w:lineRule="auto"/>
        <w:ind w:firstLine="480" w:firstLineChars="200"/>
        <w:rPr>
          <w:rFonts w:hAnsi="宋体" w:cs="宋体"/>
        </w:rPr>
      </w:pPr>
    </w:p>
    <w:p w14:paraId="48F64F98">
      <w:pPr>
        <w:spacing w:line="360" w:lineRule="auto"/>
        <w:rPr>
          <w:rFonts w:hAnsi="宋体" w:cs="宋体"/>
        </w:rPr>
      </w:pPr>
      <w:r>
        <w:rPr>
          <w:rFonts w:hint="eastAsia" w:hAnsi="宋体" w:cs="宋体"/>
        </w:rPr>
        <w:br w:type="page"/>
      </w:r>
    </w:p>
    <w:p w14:paraId="2C585EA0">
      <w:pPr>
        <w:pStyle w:val="3"/>
        <w:spacing w:before="0" w:after="0"/>
        <w:jc w:val="center"/>
        <w:rPr>
          <w:rFonts w:hAnsi="宋体" w:cs="宋体"/>
          <w:szCs w:val="32"/>
        </w:rPr>
      </w:pPr>
      <w:bookmarkStart w:id="19" w:name="_Toc29476708"/>
      <w:bookmarkStart w:id="24" w:name="_GoBack"/>
      <w:bookmarkEnd w:id="24"/>
      <w:r>
        <w:rPr>
          <w:rFonts w:hint="eastAsia" w:hAnsi="宋体" w:cs="宋体"/>
          <w:szCs w:val="32"/>
        </w:rPr>
        <w:t>第五章 报价文件（格式）</w:t>
      </w:r>
      <w:bookmarkEnd w:id="19"/>
    </w:p>
    <w:p w14:paraId="5532E2E3">
      <w:pPr>
        <w:spacing w:line="360" w:lineRule="auto"/>
        <w:rPr>
          <w:rFonts w:ascii="Times New Roman"/>
          <w:b/>
          <w:color w:val="000000"/>
          <w:sz w:val="28"/>
          <w:szCs w:val="28"/>
        </w:rPr>
      </w:pPr>
      <w:r>
        <w:rPr>
          <w:rFonts w:ascii="Times New Roman"/>
          <w:b/>
          <w:color w:val="000000"/>
          <w:sz w:val="28"/>
          <w:szCs w:val="28"/>
        </w:rPr>
        <w:t>1. 报价表</w:t>
      </w:r>
    </w:p>
    <w:tbl>
      <w:tblPr>
        <w:tblStyle w:val="22"/>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2"/>
      </w:tblGrid>
      <w:tr w14:paraId="7639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1C36F23D">
            <w:pPr>
              <w:pStyle w:val="10"/>
              <w:jc w:val="center"/>
              <w:rPr>
                <w:rFonts w:hAnsi="宋体" w:cs="宋体"/>
                <w:color w:val="000000"/>
                <w:sz w:val="24"/>
                <w:szCs w:val="28"/>
              </w:rPr>
            </w:pPr>
            <w:r>
              <w:rPr>
                <w:rFonts w:hint="eastAsia" w:hAnsi="宋体" w:cs="宋体"/>
                <w:color w:val="000000"/>
                <w:sz w:val="24"/>
                <w:szCs w:val="28"/>
              </w:rPr>
              <w:t>项目名称</w:t>
            </w:r>
          </w:p>
        </w:tc>
        <w:tc>
          <w:tcPr>
            <w:tcW w:w="7082" w:type="dxa"/>
            <w:shd w:val="clear" w:color="auto" w:fill="auto"/>
            <w:vAlign w:val="center"/>
          </w:tcPr>
          <w:p w14:paraId="02F7C47D">
            <w:pPr>
              <w:autoSpaceDE/>
              <w:autoSpaceDN/>
              <w:adjustRightInd/>
              <w:jc w:val="center"/>
              <w:rPr>
                <w:rFonts w:hint="eastAsia" w:hAnsi="宋体" w:eastAsia="宋体" w:cs="宋体"/>
                <w:color w:val="000000"/>
                <w:szCs w:val="28"/>
                <w:lang w:eastAsia="zh-CN"/>
              </w:rPr>
            </w:pPr>
            <w:r>
              <w:rPr>
                <w:rFonts w:hint="eastAsia"/>
                <w:lang w:eastAsia="zh-CN"/>
              </w:rPr>
              <w:t>东莞市污泥集中处理处置项目电动叉车及登高车采购项目（重新采购）</w:t>
            </w:r>
          </w:p>
        </w:tc>
      </w:tr>
      <w:tr w14:paraId="7AA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14:paraId="1A61A4B4">
            <w:pPr>
              <w:pStyle w:val="10"/>
              <w:jc w:val="center"/>
              <w:rPr>
                <w:rFonts w:hAnsi="宋体" w:cs="宋体"/>
                <w:color w:val="000000"/>
                <w:sz w:val="24"/>
                <w:szCs w:val="28"/>
              </w:rPr>
            </w:pPr>
            <w:r>
              <w:rPr>
                <w:rFonts w:hint="eastAsia" w:hAnsi="宋体" w:cs="宋体"/>
                <w:color w:val="000000"/>
                <w:sz w:val="24"/>
                <w:szCs w:val="28"/>
              </w:rPr>
              <w:t>不含税总报价</w:t>
            </w:r>
          </w:p>
          <w:p w14:paraId="2EF85A7E">
            <w:pPr>
              <w:pStyle w:val="10"/>
              <w:jc w:val="center"/>
              <w:rPr>
                <w:rFonts w:hAnsi="宋体" w:cs="宋体"/>
                <w:color w:val="000000"/>
                <w:sz w:val="24"/>
                <w:szCs w:val="28"/>
              </w:rPr>
            </w:pPr>
            <w:r>
              <w:rPr>
                <w:rFonts w:hint="eastAsia" w:hAnsi="宋体" w:cs="宋体"/>
                <w:color w:val="000000"/>
                <w:sz w:val="24"/>
                <w:szCs w:val="28"/>
              </w:rPr>
              <w:t>（单位：元）</w:t>
            </w:r>
          </w:p>
        </w:tc>
        <w:tc>
          <w:tcPr>
            <w:tcW w:w="7082" w:type="dxa"/>
            <w:shd w:val="clear" w:color="auto" w:fill="auto"/>
            <w:vAlign w:val="center"/>
          </w:tcPr>
          <w:p w14:paraId="0C56D7CA">
            <w:pPr>
              <w:pStyle w:val="10"/>
              <w:ind w:firstLine="720" w:firstLineChars="300"/>
              <w:rPr>
                <w:rFonts w:hAnsi="宋体" w:cs="宋体"/>
                <w:color w:val="000000"/>
                <w:sz w:val="24"/>
                <w:szCs w:val="28"/>
                <w:u w:val="single"/>
              </w:rPr>
            </w:pPr>
            <w:r>
              <w:rPr>
                <w:rFonts w:hint="eastAsia" w:hAnsi="宋体" w:cs="宋体"/>
                <w:color w:val="000000"/>
                <w:sz w:val="24"/>
                <w:szCs w:val="28"/>
              </w:rPr>
              <w:t>人民币（小写）：</w:t>
            </w:r>
            <w:r>
              <w:rPr>
                <w:rFonts w:hint="eastAsia" w:hAnsi="宋体" w:cs="宋体"/>
                <w:color w:val="000000"/>
                <w:sz w:val="24"/>
                <w:szCs w:val="28"/>
                <w:u w:val="single"/>
              </w:rPr>
              <w:t xml:space="preserve">                   </w:t>
            </w:r>
          </w:p>
        </w:tc>
      </w:tr>
      <w:tr w14:paraId="7FD7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10BA4E24">
            <w:pPr>
              <w:pStyle w:val="10"/>
              <w:jc w:val="center"/>
              <w:rPr>
                <w:rFonts w:hAnsi="宋体" w:cs="宋体"/>
                <w:color w:val="000000"/>
                <w:sz w:val="24"/>
                <w:szCs w:val="28"/>
                <w:u w:val="single"/>
              </w:rPr>
            </w:pPr>
            <w:r>
              <w:rPr>
                <w:rFonts w:hint="eastAsia" w:hAnsi="宋体" w:cs="宋体"/>
                <w:color w:val="000000"/>
                <w:sz w:val="24"/>
                <w:szCs w:val="28"/>
              </w:rPr>
              <w:t>完成时间</w:t>
            </w:r>
          </w:p>
        </w:tc>
        <w:tc>
          <w:tcPr>
            <w:tcW w:w="7082" w:type="dxa"/>
            <w:shd w:val="clear" w:color="auto" w:fill="auto"/>
            <w:vAlign w:val="center"/>
          </w:tcPr>
          <w:p w14:paraId="56546C9B">
            <w:pPr>
              <w:autoSpaceDE/>
              <w:autoSpaceDN/>
              <w:adjustRightInd/>
              <w:jc w:val="center"/>
              <w:rPr>
                <w:rFonts w:hAnsi="宋体"/>
                <w:bCs/>
                <w:color w:val="000000"/>
              </w:rPr>
            </w:pPr>
            <w:r>
              <w:rPr>
                <w:rFonts w:hint="eastAsia" w:hAnsi="宋体"/>
                <w:bCs/>
                <w:color w:val="000000"/>
              </w:rPr>
              <w:t>详见用户需求书。</w:t>
            </w:r>
          </w:p>
        </w:tc>
      </w:tr>
      <w:tr w14:paraId="111E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02896F36">
            <w:pPr>
              <w:pStyle w:val="10"/>
              <w:jc w:val="center"/>
              <w:rPr>
                <w:rFonts w:hAnsi="宋体" w:cs="宋体"/>
                <w:color w:val="000000"/>
                <w:sz w:val="24"/>
                <w:szCs w:val="28"/>
              </w:rPr>
            </w:pPr>
            <w:r>
              <w:rPr>
                <w:rFonts w:hint="eastAsia" w:hAnsi="宋体" w:cs="宋体"/>
                <w:color w:val="000000"/>
                <w:sz w:val="24"/>
                <w:szCs w:val="28"/>
              </w:rPr>
              <w:t>报价人纳税类型</w:t>
            </w:r>
          </w:p>
        </w:tc>
        <w:tc>
          <w:tcPr>
            <w:tcW w:w="7082" w:type="dxa"/>
            <w:shd w:val="clear" w:color="auto" w:fill="auto"/>
            <w:vAlign w:val="center"/>
          </w:tcPr>
          <w:p w14:paraId="6D7C2F2D">
            <w:pPr>
              <w:autoSpaceDE/>
              <w:autoSpaceDN/>
              <w:adjustRightInd/>
              <w:ind w:firstLine="1800" w:firstLineChars="750"/>
              <w:rPr>
                <w:rFonts w:hAnsi="宋体" w:cs="宋体"/>
                <w:szCs w:val="28"/>
              </w:rPr>
            </w:pPr>
            <w:r>
              <w:rPr>
                <w:rFonts w:hint="eastAsia" w:hAnsi="宋体" w:cs="宋体"/>
                <w:szCs w:val="28"/>
              </w:rPr>
              <w:t>□ 一般纳税人</w:t>
            </w:r>
          </w:p>
          <w:p w14:paraId="502AB2E8">
            <w:pPr>
              <w:autoSpaceDE/>
              <w:autoSpaceDN/>
              <w:adjustRightInd/>
              <w:ind w:firstLine="1800" w:firstLineChars="750"/>
              <w:rPr>
                <w:rFonts w:hAnsi="宋体" w:cs="宋体"/>
                <w:szCs w:val="28"/>
              </w:rPr>
            </w:pPr>
            <w:r>
              <w:rPr>
                <w:rFonts w:hint="eastAsia" w:hAnsi="宋体" w:cs="宋体"/>
                <w:szCs w:val="28"/>
              </w:rPr>
              <w:t>□ 小规模纳税人</w:t>
            </w:r>
          </w:p>
        </w:tc>
      </w:tr>
      <w:tr w14:paraId="5E9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2515877">
            <w:pPr>
              <w:pStyle w:val="10"/>
              <w:jc w:val="center"/>
              <w:rPr>
                <w:rFonts w:hAnsi="宋体" w:cs="宋体"/>
                <w:color w:val="000000"/>
                <w:sz w:val="24"/>
                <w:szCs w:val="28"/>
              </w:rPr>
            </w:pPr>
            <w:r>
              <w:rPr>
                <w:rFonts w:hint="eastAsia" w:hAnsi="宋体" w:cs="宋体"/>
                <w:color w:val="000000"/>
                <w:sz w:val="24"/>
                <w:szCs w:val="28"/>
              </w:rPr>
              <w:t>报价人提供的增值税专用发票的税率</w:t>
            </w:r>
          </w:p>
        </w:tc>
        <w:tc>
          <w:tcPr>
            <w:tcW w:w="7082" w:type="dxa"/>
            <w:shd w:val="clear" w:color="auto" w:fill="auto"/>
            <w:vAlign w:val="center"/>
          </w:tcPr>
          <w:p w14:paraId="15BBBEC0">
            <w:pPr>
              <w:autoSpaceDE/>
              <w:autoSpaceDN/>
              <w:adjustRightInd/>
              <w:jc w:val="center"/>
              <w:rPr>
                <w:rFonts w:hAnsi="宋体" w:cs="宋体"/>
                <w:szCs w:val="28"/>
              </w:rPr>
            </w:pPr>
            <w:r>
              <w:rPr>
                <w:rFonts w:hint="eastAsia" w:hAnsi="宋体" w:cs="宋体"/>
                <w:szCs w:val="28"/>
                <w:u w:val="single"/>
              </w:rPr>
              <w:t xml:space="preserve">     </w:t>
            </w:r>
            <w:r>
              <w:rPr>
                <w:rFonts w:ascii="Times New Roman"/>
                <w:szCs w:val="28"/>
              </w:rPr>
              <w:t>%</w:t>
            </w:r>
          </w:p>
        </w:tc>
      </w:tr>
      <w:tr w14:paraId="54D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2127" w:type="dxa"/>
            <w:shd w:val="clear" w:color="auto" w:fill="auto"/>
            <w:vAlign w:val="center"/>
          </w:tcPr>
          <w:p w14:paraId="0FDBB976">
            <w:pPr>
              <w:pStyle w:val="10"/>
              <w:jc w:val="center"/>
              <w:rPr>
                <w:rFonts w:hAnsi="宋体" w:cs="宋体"/>
                <w:color w:val="000000"/>
                <w:sz w:val="24"/>
                <w:szCs w:val="24"/>
              </w:rPr>
            </w:pPr>
            <w:r>
              <w:rPr>
                <w:rFonts w:hint="eastAsia" w:hAnsi="宋体" w:cs="宋体"/>
                <w:color w:val="000000"/>
                <w:sz w:val="24"/>
                <w:szCs w:val="24"/>
              </w:rPr>
              <w:t>备注</w:t>
            </w:r>
          </w:p>
        </w:tc>
        <w:tc>
          <w:tcPr>
            <w:tcW w:w="7082" w:type="dxa"/>
            <w:shd w:val="clear" w:color="auto" w:fill="auto"/>
            <w:vAlign w:val="center"/>
          </w:tcPr>
          <w:p w14:paraId="7B668F06">
            <w:pPr>
              <w:numPr>
                <w:ilvl w:val="0"/>
                <w:numId w:val="1"/>
              </w:numPr>
              <w:autoSpaceDE/>
              <w:autoSpaceDN/>
              <w:adjustRightInd/>
              <w:jc w:val="both"/>
              <w:rPr>
                <w:rFonts w:ascii="Times New Roman"/>
                <w:b/>
                <w:bCs/>
              </w:rPr>
            </w:pPr>
            <w:r>
              <w:rPr>
                <w:rFonts w:ascii="Times New Roman"/>
                <w:b/>
                <w:bCs/>
              </w:rPr>
              <w:t>本次所报价格为不含销项税额，包含</w:t>
            </w:r>
            <w:r>
              <w:rPr>
                <w:rFonts w:hint="eastAsia" w:ascii="Times New Roman"/>
                <w:b/>
                <w:bCs/>
              </w:rPr>
              <w:t>供应</w:t>
            </w:r>
            <w:r>
              <w:rPr>
                <w:rFonts w:ascii="Times New Roman"/>
                <w:b/>
                <w:bCs/>
              </w:rPr>
              <w:t>商销项税额以外的税费及完成本项目所需的全部费用。</w:t>
            </w:r>
          </w:p>
          <w:p w14:paraId="2889CAFF">
            <w:pPr>
              <w:numPr>
                <w:ilvl w:val="0"/>
                <w:numId w:val="1"/>
              </w:numPr>
              <w:autoSpaceDE/>
              <w:autoSpaceDN/>
              <w:adjustRightInd/>
              <w:jc w:val="both"/>
              <w:rPr>
                <w:rFonts w:ascii="Times New Roman"/>
                <w:b/>
                <w:bCs/>
              </w:rPr>
            </w:pPr>
            <w:r>
              <w:rPr>
                <w:rFonts w:ascii="Times New Roman"/>
                <w:b/>
                <w:bCs/>
              </w:rPr>
              <w:t>不含税总报价不得高于本项目不含税最高限价</w:t>
            </w:r>
            <w:r>
              <w:rPr>
                <w:rFonts w:hint="eastAsia" w:ascii="Times New Roman"/>
                <w:b/>
                <w:bCs/>
              </w:rPr>
              <w:t>（</w:t>
            </w:r>
            <w:r>
              <w:rPr>
                <w:rFonts w:hint="eastAsia" w:ascii="Times New Roman" w:cs="宋体"/>
                <w:b/>
                <w:bCs/>
                <w:color w:val="auto"/>
                <w:kern w:val="2"/>
                <w:sz w:val="24"/>
                <w:szCs w:val="24"/>
                <w:highlight w:val="none"/>
                <w:lang w:val="en-US" w:eastAsia="zh-CN"/>
              </w:rPr>
              <w:t>344,690.27</w:t>
            </w:r>
            <w:r>
              <w:rPr>
                <w:rFonts w:hint="eastAsia" w:ascii="Times New Roman"/>
                <w:b/>
                <w:bCs/>
              </w:rPr>
              <w:t>元），</w:t>
            </w:r>
            <w:r>
              <w:rPr>
                <w:rFonts w:ascii="Times New Roman"/>
                <w:b/>
                <w:bCs/>
              </w:rPr>
              <w:t>否则视为无效报价。</w:t>
            </w:r>
          </w:p>
          <w:p w14:paraId="493D6F2E">
            <w:pPr>
              <w:numPr>
                <w:ilvl w:val="0"/>
                <w:numId w:val="1"/>
              </w:numPr>
              <w:autoSpaceDE/>
              <w:autoSpaceDN/>
              <w:adjustRightInd/>
              <w:jc w:val="both"/>
              <w:rPr>
                <w:rFonts w:ascii="Times New Roman"/>
                <w:b/>
                <w:bCs/>
              </w:rPr>
            </w:pPr>
            <w:r>
              <w:rPr>
                <w:rFonts w:hint="eastAsia" w:ascii="Times New Roman"/>
                <w:b/>
                <w:bCs/>
              </w:rPr>
              <w:t>上述报价数值如需保留小数点后2位，从小数点后第3位四舍五入。</w:t>
            </w:r>
          </w:p>
        </w:tc>
      </w:tr>
    </w:tbl>
    <w:p w14:paraId="0B834D7A">
      <w:pPr>
        <w:pStyle w:val="10"/>
        <w:spacing w:line="360" w:lineRule="auto"/>
        <w:rPr>
          <w:rFonts w:hAnsi="宋体" w:cs="宋体"/>
          <w:color w:val="000000"/>
          <w:sz w:val="24"/>
          <w:szCs w:val="24"/>
        </w:rPr>
      </w:pPr>
    </w:p>
    <w:p w14:paraId="473FFF10">
      <w:pPr>
        <w:pStyle w:val="10"/>
        <w:spacing w:line="360" w:lineRule="auto"/>
        <w:rPr>
          <w:rFonts w:hAnsi="宋体" w:cs="宋体"/>
          <w:color w:val="000000"/>
          <w:sz w:val="24"/>
          <w:szCs w:val="28"/>
        </w:rPr>
      </w:pPr>
      <w:r>
        <w:rPr>
          <w:rFonts w:hint="eastAsia" w:hAnsi="宋体" w:cs="宋体"/>
          <w:color w:val="000000"/>
          <w:sz w:val="24"/>
          <w:szCs w:val="28"/>
        </w:rPr>
        <w:t>联系人：                          联系电话：</w:t>
      </w:r>
    </w:p>
    <w:p w14:paraId="280A5133">
      <w:pPr>
        <w:pStyle w:val="10"/>
        <w:spacing w:line="360" w:lineRule="auto"/>
        <w:rPr>
          <w:rFonts w:hAnsi="宋体" w:cs="宋体"/>
          <w:color w:val="000000"/>
          <w:sz w:val="24"/>
          <w:szCs w:val="28"/>
        </w:rPr>
      </w:pPr>
      <w:r>
        <w:rPr>
          <w:rFonts w:hint="eastAsia" w:hAnsi="宋体" w:cs="宋体"/>
          <w:color w:val="000000"/>
          <w:sz w:val="24"/>
          <w:szCs w:val="28"/>
        </w:rPr>
        <w:t xml:space="preserve">联系邮箱： </w:t>
      </w:r>
      <w:r>
        <w:rPr>
          <w:rFonts w:hAnsi="宋体" w:cs="宋体"/>
          <w:color w:val="000000"/>
          <w:sz w:val="24"/>
          <w:szCs w:val="28"/>
        </w:rPr>
        <w:t xml:space="preserve">                       </w:t>
      </w:r>
      <w:r>
        <w:rPr>
          <w:rFonts w:hint="eastAsia" w:hAnsi="宋体" w:cs="宋体"/>
          <w:color w:val="000000"/>
          <w:sz w:val="24"/>
          <w:szCs w:val="28"/>
        </w:rPr>
        <w:t>联系地址：</w:t>
      </w:r>
    </w:p>
    <w:p w14:paraId="4B334444">
      <w:pPr>
        <w:wordWrap w:val="0"/>
        <w:spacing w:line="360" w:lineRule="auto"/>
        <w:jc w:val="right"/>
        <w:rPr>
          <w:rFonts w:hAnsi="宋体" w:cs="宋体"/>
          <w:color w:val="000000"/>
          <w:kern w:val="2"/>
          <w:szCs w:val="28"/>
          <w:lang w:val="zh-CN"/>
        </w:rPr>
      </w:pPr>
    </w:p>
    <w:p w14:paraId="22A90812">
      <w:pPr>
        <w:wordWrap w:val="0"/>
        <w:spacing w:line="360" w:lineRule="auto"/>
        <w:jc w:val="right"/>
        <w:rPr>
          <w:rFonts w:hAnsi="宋体" w:cs="宋体"/>
          <w:color w:val="000000"/>
          <w:kern w:val="2"/>
          <w:szCs w:val="28"/>
        </w:rPr>
      </w:pPr>
      <w:r>
        <w:rPr>
          <w:rFonts w:hint="eastAsia" w:hAnsi="宋体" w:cs="宋体"/>
          <w:color w:val="000000"/>
          <w:kern w:val="2"/>
          <w:szCs w:val="28"/>
          <w:lang w:val="en-US" w:eastAsia="zh-CN"/>
        </w:rPr>
        <w:t xml:space="preserve">  </w:t>
      </w:r>
      <w:r>
        <w:rPr>
          <w:rFonts w:hint="eastAsia" w:hAnsi="宋体" w:cs="宋体"/>
          <w:color w:val="000000"/>
          <w:kern w:val="2"/>
          <w:szCs w:val="28"/>
          <w:lang w:val="zh-CN"/>
        </w:rPr>
        <w:t xml:space="preserve"> </w:t>
      </w:r>
      <w:r>
        <w:rPr>
          <w:rFonts w:hAnsi="宋体" w:cs="宋体"/>
          <w:color w:val="000000"/>
          <w:kern w:val="2"/>
          <w:szCs w:val="28"/>
          <w:lang w:val="zh-CN"/>
        </w:rPr>
        <w:t xml:space="preserve"> </w:t>
      </w:r>
      <w:r>
        <w:rPr>
          <w:rFonts w:hint="eastAsia" w:hAnsi="宋体" w:cs="宋体"/>
          <w:color w:val="000000"/>
          <w:kern w:val="2"/>
          <w:szCs w:val="28"/>
          <w:lang w:val="zh-CN"/>
        </w:rPr>
        <w:t>报价人：（</w:t>
      </w:r>
      <w:r>
        <w:rPr>
          <w:rFonts w:hint="eastAsia" w:hAnsi="宋体" w:cs="宋体"/>
        </w:rPr>
        <w:t>加盖公</w:t>
      </w:r>
      <w:r>
        <w:rPr>
          <w:rFonts w:hint="eastAsia" w:hAnsi="宋体" w:cs="宋体"/>
          <w:color w:val="000000"/>
          <w:kern w:val="2"/>
          <w:szCs w:val="28"/>
          <w:lang w:val="zh-CN"/>
        </w:rPr>
        <w:t>章）</w:t>
      </w:r>
      <w:r>
        <w:rPr>
          <w:rFonts w:hint="eastAsia" w:hAnsi="宋体" w:cs="宋体"/>
          <w:color w:val="000000"/>
          <w:kern w:val="2"/>
          <w:szCs w:val="28"/>
        </w:rPr>
        <w:t xml:space="preserve">       </w:t>
      </w:r>
    </w:p>
    <w:p w14:paraId="748D5D0C">
      <w:pPr>
        <w:spacing w:line="360" w:lineRule="auto"/>
        <w:ind w:right="480"/>
        <w:jc w:val="center"/>
        <w:rPr>
          <w:rFonts w:hint="default" w:hAnsi="宋体" w:eastAsia="宋体" w:cs="宋体"/>
          <w:b/>
          <w:color w:val="000000"/>
          <w:sz w:val="28"/>
          <w:szCs w:val="28"/>
          <w:lang w:val="en-US" w:eastAsia="zh-CN"/>
        </w:rPr>
        <w:sectPr>
          <w:headerReference r:id="rId12" w:type="default"/>
          <w:footerReference r:id="rId13" w:type="default"/>
          <w:pgSz w:w="11906" w:h="16838"/>
          <w:pgMar w:top="1440" w:right="1803" w:bottom="1440" w:left="1803" w:header="851" w:footer="992" w:gutter="0"/>
          <w:pgNumType w:fmt="decimal"/>
          <w:cols w:space="0" w:num="1"/>
          <w:docGrid w:type="lines" w:linePitch="332" w:charSpace="0"/>
        </w:sectPr>
      </w:pPr>
      <w:r>
        <w:rPr>
          <w:rFonts w:hint="eastAsia" w:hAnsi="宋体" w:cs="宋体"/>
          <w:color w:val="000000"/>
          <w:kern w:val="2"/>
          <w:szCs w:val="28"/>
          <w:lang w:val="en-US" w:eastAsia="zh-CN"/>
        </w:rPr>
        <w:t xml:space="preserve">                                        </w:t>
      </w:r>
      <w:r>
        <w:rPr>
          <w:rFonts w:hint="eastAsia" w:hAnsi="宋体" w:cs="宋体"/>
          <w:color w:val="000000"/>
          <w:kern w:val="2"/>
          <w:szCs w:val="28"/>
          <w:lang w:val="zh-CN"/>
        </w:rPr>
        <w:t xml:space="preserve">日期：   年    月  </w:t>
      </w:r>
      <w:r>
        <w:rPr>
          <w:rFonts w:hint="eastAsia" w:hAnsi="宋体" w:cs="宋体"/>
          <w:color w:val="000000"/>
          <w:kern w:val="2"/>
          <w:szCs w:val="28"/>
          <w:lang w:val="en-US" w:eastAsia="zh-CN"/>
        </w:rPr>
        <w:t xml:space="preserve">  日</w:t>
      </w:r>
    </w:p>
    <w:p w14:paraId="362D5F8F">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分项报价表</w:t>
      </w:r>
    </w:p>
    <w:p w14:paraId="05B7C134">
      <w:pPr>
        <w:ind w:firstLine="361" w:firstLineChars="200"/>
        <w:jc w:val="both"/>
        <w:rPr>
          <w:rFonts w:hAnsi="宋体" w:cs="宋体"/>
          <w:b/>
          <w:color w:val="auto"/>
          <w:sz w:val="18"/>
          <w:szCs w:val="18"/>
          <w:highlight w:val="none"/>
        </w:rPr>
      </w:pPr>
    </w:p>
    <w:p w14:paraId="757B899B">
      <w:pPr>
        <w:tabs>
          <w:tab w:val="left" w:pos="6480"/>
        </w:tabs>
        <w:spacing w:line="360" w:lineRule="auto"/>
        <w:ind w:right="-100" w:rightChars="0"/>
        <w:rPr>
          <w:rFonts w:hint="eastAsia" w:hAnsi="宋体" w:cs="宋体"/>
          <w:b/>
          <w:color w:val="auto"/>
          <w:sz w:val="28"/>
          <w:szCs w:val="28"/>
          <w:highlight w:val="none"/>
          <w:lang w:val="en-US" w:eastAsia="zh-CN"/>
        </w:rPr>
      </w:pPr>
      <w:r>
        <w:rPr>
          <w:rFonts w:hint="eastAsia" w:hAnsi="宋体" w:cs="宋体"/>
          <w:b/>
          <w:color w:val="auto"/>
          <w:sz w:val="28"/>
          <w:szCs w:val="28"/>
          <w:highlight w:val="none"/>
          <w:lang w:val="en-US" w:eastAsia="zh-CN"/>
        </w:rPr>
        <w:t>(</w:t>
      </w:r>
      <w:r>
        <w:rPr>
          <w:rFonts w:hint="eastAsia" w:hAnsi="宋体" w:cs="宋体"/>
          <w:b/>
          <w:color w:val="auto"/>
          <w:sz w:val="28"/>
          <w:szCs w:val="28"/>
          <w:highlight w:val="none"/>
        </w:rPr>
        <w:t>详见附件：</w:t>
      </w:r>
      <w:r>
        <w:rPr>
          <w:rFonts w:hint="eastAsia" w:hAnsi="宋体" w:cs="宋体"/>
          <w:b/>
          <w:color w:val="auto"/>
          <w:sz w:val="28"/>
          <w:szCs w:val="28"/>
          <w:highlight w:val="none"/>
          <w:lang w:eastAsia="zh-CN"/>
        </w:rPr>
        <w:t>东莞市污泥集中处理处置项目电动叉车及登高车采购项目（重新采购）</w:t>
      </w:r>
      <w:r>
        <w:rPr>
          <w:rFonts w:hint="eastAsia" w:hAnsi="宋体" w:cs="宋体"/>
          <w:b/>
          <w:color w:val="auto"/>
          <w:sz w:val="28"/>
          <w:szCs w:val="28"/>
          <w:highlight w:val="none"/>
        </w:rPr>
        <w:t>分项报价表</w:t>
      </w:r>
      <w:r>
        <w:rPr>
          <w:rFonts w:hint="eastAsia" w:hAnsi="宋体" w:cs="宋体"/>
          <w:b/>
          <w:color w:val="auto"/>
          <w:sz w:val="28"/>
          <w:szCs w:val="28"/>
          <w:highlight w:val="none"/>
          <w:lang w:val="en-US" w:eastAsia="zh-CN"/>
        </w:rPr>
        <w:t>)</w:t>
      </w:r>
    </w:p>
    <w:p w14:paraId="1F1FC2CE">
      <w:pPr>
        <w:rPr>
          <w:rFonts w:hint="eastAsia" w:ascii="Times New Roman"/>
          <w:b/>
          <w:color w:val="000000"/>
          <w:sz w:val="28"/>
          <w:szCs w:val="28"/>
          <w:lang w:val="en-US" w:eastAsia="zh-CN"/>
        </w:rPr>
      </w:pPr>
      <w:r>
        <w:rPr>
          <w:rFonts w:hint="eastAsia" w:ascii="Times New Roman"/>
          <w:b/>
          <w:color w:val="000000"/>
          <w:sz w:val="28"/>
          <w:szCs w:val="28"/>
          <w:lang w:val="en-US" w:eastAsia="zh-CN"/>
        </w:rPr>
        <w:br w:type="page"/>
      </w:r>
    </w:p>
    <w:p w14:paraId="4CE43B83">
      <w:pPr>
        <w:numPr>
          <w:ilvl w:val="0"/>
          <w:numId w:val="0"/>
        </w:numPr>
        <w:spacing w:line="360" w:lineRule="auto"/>
        <w:rPr>
          <w:rFonts w:ascii="Times New Roman"/>
          <w:b/>
          <w:color w:val="000000"/>
          <w:sz w:val="28"/>
          <w:szCs w:val="28"/>
        </w:rPr>
      </w:pPr>
      <w:r>
        <w:rPr>
          <w:rFonts w:hint="eastAsia" w:ascii="Times New Roman"/>
          <w:b/>
          <w:color w:val="000000"/>
          <w:sz w:val="28"/>
          <w:szCs w:val="28"/>
          <w:lang w:val="en-US" w:eastAsia="zh-CN"/>
        </w:rPr>
        <w:t>2.</w:t>
      </w:r>
      <w:r>
        <w:rPr>
          <w:rFonts w:hint="eastAsia" w:ascii="Times New Roman"/>
          <w:b/>
          <w:color w:val="000000"/>
          <w:sz w:val="28"/>
          <w:szCs w:val="28"/>
        </w:rPr>
        <w:t>项目响应声明</w:t>
      </w:r>
    </w:p>
    <w:p w14:paraId="2240E8BA">
      <w:pPr>
        <w:spacing w:line="360" w:lineRule="auto"/>
        <w:jc w:val="center"/>
        <w:rPr>
          <w:rFonts w:hAnsi="宋体" w:cs="宋体"/>
          <w:b/>
          <w:color w:val="000000"/>
          <w:sz w:val="28"/>
          <w:szCs w:val="28"/>
        </w:rPr>
      </w:pPr>
      <w:bookmarkStart w:id="20" w:name="_Hlk26973180"/>
      <w:r>
        <w:rPr>
          <w:rFonts w:hint="eastAsia" w:hAnsi="宋体" w:cs="宋体"/>
          <w:b/>
          <w:color w:val="000000"/>
          <w:sz w:val="28"/>
          <w:szCs w:val="28"/>
        </w:rPr>
        <w:t>响应声明</w:t>
      </w:r>
    </w:p>
    <w:bookmarkEnd w:id="20"/>
    <w:p w14:paraId="00145D58">
      <w:pPr>
        <w:spacing w:line="360" w:lineRule="auto"/>
        <w:ind w:firstLine="480" w:firstLineChars="200"/>
        <w:rPr>
          <w:rFonts w:hAnsi="宋体" w:cs="宋体"/>
        </w:rPr>
      </w:pPr>
      <w:bookmarkStart w:id="21" w:name="_Toc534701786"/>
      <w:bookmarkStart w:id="22" w:name="_Toc534278252"/>
      <w:bookmarkStart w:id="23" w:name="_Toc513226437"/>
      <w:r>
        <w:rPr>
          <w:rFonts w:hAnsi="宋体" w:cs="宋体"/>
        </w:rPr>
        <w:t>我方已详细查阅了询价文件的所有内容，对询价文件中的“第二章 用户需求”和“第三章 合同条款”完全响应。一旦我方成交，将保证按质、按量、按期地完成项目中的全部责任和义务。</w:t>
      </w:r>
      <w:r>
        <w:rPr>
          <w:rFonts w:hint="eastAsia" w:hAnsi="宋体" w:cs="宋体"/>
        </w:rPr>
        <w:t>如我方存在成交后放弃或提供虚假证明文件、虚假报价文件或存在实际服务质量低于询价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rPr>
        <w:t xml:space="preserve"> </w:t>
      </w:r>
      <w:r>
        <w:rPr>
          <w:rFonts w:hint="eastAsia" w:hAnsi="宋体" w:cs="宋体"/>
        </w:rPr>
        <w:t>取消二年内参加东莞市水务环境投资控股集团净水有限公司采购项目的报价资格。</w:t>
      </w:r>
    </w:p>
    <w:p w14:paraId="363D71A1">
      <w:pPr>
        <w:spacing w:line="360" w:lineRule="auto"/>
        <w:ind w:firstLine="480" w:firstLineChars="200"/>
        <w:rPr>
          <w:rFonts w:hAnsi="宋体" w:cs="宋体"/>
        </w:rPr>
      </w:pPr>
      <w:r>
        <w:rPr>
          <w:rFonts w:hint="eastAsia" w:hAnsi="宋体" w:cs="宋体"/>
        </w:rPr>
        <w:t>特此声明。</w:t>
      </w:r>
    </w:p>
    <w:p w14:paraId="032256CA">
      <w:pPr>
        <w:spacing w:line="360" w:lineRule="auto"/>
        <w:ind w:firstLine="480" w:firstLineChars="200"/>
        <w:rPr>
          <w:rFonts w:hAnsi="宋体" w:cs="宋体"/>
        </w:rPr>
      </w:pPr>
    </w:p>
    <w:p w14:paraId="6B38E873">
      <w:pPr>
        <w:spacing w:line="360" w:lineRule="auto"/>
        <w:ind w:firstLine="480" w:firstLineChars="200"/>
        <w:rPr>
          <w:rFonts w:hAnsi="宋体" w:cs="宋体"/>
        </w:rPr>
      </w:pPr>
    </w:p>
    <w:p w14:paraId="4D5065B6">
      <w:pPr>
        <w:spacing w:line="360" w:lineRule="auto"/>
        <w:ind w:firstLine="5280" w:firstLineChars="2200"/>
        <w:rPr>
          <w:rFonts w:hAnsi="宋体" w:cs="宋体"/>
        </w:rPr>
      </w:pPr>
      <w:r>
        <w:rPr>
          <w:rFonts w:hint="eastAsia" w:hAnsi="宋体" w:cs="宋体"/>
        </w:rPr>
        <w:t>报价人：（加盖公章）</w:t>
      </w:r>
    </w:p>
    <w:p w14:paraId="061077E0">
      <w:pPr>
        <w:spacing w:line="360" w:lineRule="auto"/>
        <w:ind w:firstLine="5280" w:firstLineChars="2200"/>
        <w:rPr>
          <w:rFonts w:hAnsi="宋体" w:cs="宋体"/>
        </w:rPr>
      </w:pPr>
      <w:r>
        <w:rPr>
          <w:rFonts w:hint="eastAsia" w:hAnsi="宋体" w:cs="宋体"/>
        </w:rPr>
        <w:t>日期：</w:t>
      </w:r>
      <w:r>
        <w:rPr>
          <w:rFonts w:hAnsi="宋体" w:cs="宋体"/>
        </w:rPr>
        <w:t xml:space="preserve">    </w:t>
      </w:r>
      <w:r>
        <w:rPr>
          <w:rFonts w:hint="eastAsia" w:hAnsi="宋体" w:cs="宋体"/>
        </w:rPr>
        <w:t xml:space="preserve">年 </w:t>
      </w:r>
      <w:r>
        <w:rPr>
          <w:rFonts w:hAnsi="宋体" w:cs="宋体"/>
        </w:rPr>
        <w:t xml:space="preserve">   </w:t>
      </w:r>
      <w:r>
        <w:rPr>
          <w:rFonts w:hint="eastAsia" w:hAnsi="宋体" w:cs="宋体"/>
        </w:rPr>
        <w:t xml:space="preserve">月 </w:t>
      </w:r>
      <w:r>
        <w:rPr>
          <w:rFonts w:hAnsi="宋体" w:cs="宋体"/>
        </w:rPr>
        <w:t xml:space="preserve">   </w:t>
      </w:r>
      <w:r>
        <w:rPr>
          <w:rFonts w:hint="eastAsia" w:hAnsi="宋体" w:cs="宋体"/>
        </w:rPr>
        <w:t>日</w:t>
      </w:r>
    </w:p>
    <w:p w14:paraId="5643C88B">
      <w:pPr>
        <w:spacing w:line="360" w:lineRule="auto"/>
        <w:rPr>
          <w:rFonts w:hAnsi="宋体" w:cs="宋体"/>
        </w:rPr>
      </w:pPr>
    </w:p>
    <w:p w14:paraId="3178459A">
      <w:pPr>
        <w:spacing w:line="360" w:lineRule="auto"/>
        <w:rPr>
          <w:rFonts w:ascii="Times New Roman"/>
          <w:b/>
          <w:bCs/>
          <w:color w:val="000000"/>
          <w:sz w:val="21"/>
          <w:szCs w:val="21"/>
        </w:rPr>
      </w:pPr>
    </w:p>
    <w:p w14:paraId="74517536">
      <w:pPr>
        <w:spacing w:line="360" w:lineRule="auto"/>
        <w:rPr>
          <w:rFonts w:ascii="Times New Roman"/>
          <w:b/>
          <w:bCs/>
          <w:color w:val="000000"/>
          <w:sz w:val="21"/>
          <w:szCs w:val="21"/>
        </w:rPr>
      </w:pPr>
    </w:p>
    <w:p w14:paraId="76C6C981">
      <w:pPr>
        <w:spacing w:line="360" w:lineRule="auto"/>
        <w:rPr>
          <w:rFonts w:ascii="Times New Roman"/>
          <w:b/>
          <w:bCs/>
          <w:color w:val="000000"/>
          <w:sz w:val="21"/>
          <w:szCs w:val="21"/>
        </w:rPr>
      </w:pPr>
    </w:p>
    <w:p w14:paraId="5F72A6F0">
      <w:pPr>
        <w:spacing w:line="360" w:lineRule="auto"/>
        <w:rPr>
          <w:rFonts w:ascii="Times New Roman"/>
          <w:b/>
          <w:bCs/>
          <w:color w:val="000000"/>
          <w:sz w:val="21"/>
          <w:szCs w:val="21"/>
        </w:rPr>
      </w:pPr>
    </w:p>
    <w:p w14:paraId="6CD02EA0">
      <w:pPr>
        <w:spacing w:line="360" w:lineRule="auto"/>
        <w:rPr>
          <w:rFonts w:ascii="Times New Roman"/>
          <w:b/>
          <w:bCs/>
          <w:color w:val="000000"/>
          <w:sz w:val="21"/>
          <w:szCs w:val="21"/>
        </w:rPr>
      </w:pPr>
    </w:p>
    <w:p w14:paraId="77BE3AC2">
      <w:pPr>
        <w:spacing w:line="360" w:lineRule="auto"/>
        <w:rPr>
          <w:rFonts w:ascii="Times New Roman"/>
          <w:b/>
          <w:bCs/>
          <w:color w:val="000000"/>
          <w:sz w:val="21"/>
          <w:szCs w:val="21"/>
        </w:rPr>
      </w:pPr>
    </w:p>
    <w:p w14:paraId="35499DB9">
      <w:pPr>
        <w:spacing w:line="360" w:lineRule="auto"/>
        <w:rPr>
          <w:rFonts w:ascii="Times New Roman"/>
          <w:b/>
          <w:bCs/>
          <w:color w:val="000000"/>
          <w:sz w:val="21"/>
          <w:szCs w:val="21"/>
        </w:rPr>
      </w:pPr>
    </w:p>
    <w:p w14:paraId="2B4C281F">
      <w:pPr>
        <w:spacing w:line="360" w:lineRule="auto"/>
        <w:rPr>
          <w:rFonts w:ascii="Times New Roman"/>
          <w:b/>
          <w:bCs/>
          <w:color w:val="000000"/>
          <w:sz w:val="21"/>
          <w:szCs w:val="21"/>
        </w:rPr>
      </w:pPr>
    </w:p>
    <w:p w14:paraId="14F436B9">
      <w:pPr>
        <w:spacing w:line="360" w:lineRule="auto"/>
        <w:rPr>
          <w:rFonts w:ascii="Times New Roman"/>
          <w:b/>
          <w:bCs/>
          <w:color w:val="000000"/>
          <w:sz w:val="21"/>
          <w:szCs w:val="21"/>
        </w:rPr>
      </w:pPr>
    </w:p>
    <w:p w14:paraId="46A2580E">
      <w:pPr>
        <w:spacing w:line="360" w:lineRule="auto"/>
        <w:rPr>
          <w:rFonts w:ascii="Times New Roman"/>
          <w:b/>
          <w:bCs/>
          <w:color w:val="000000"/>
          <w:sz w:val="21"/>
          <w:szCs w:val="21"/>
        </w:rPr>
      </w:pPr>
    </w:p>
    <w:p w14:paraId="75DA4E82">
      <w:pPr>
        <w:spacing w:line="360" w:lineRule="auto"/>
        <w:rPr>
          <w:rFonts w:ascii="Times New Roman"/>
          <w:b/>
          <w:color w:val="000000" w:themeColor="text1"/>
          <w:sz w:val="28"/>
          <w:szCs w:val="28"/>
          <w14:textFill>
            <w14:solidFill>
              <w14:schemeClr w14:val="tx1"/>
            </w14:solidFill>
          </w14:textFill>
        </w:rPr>
      </w:pPr>
      <w:r>
        <w:rPr>
          <w:rFonts w:hint="eastAsia" w:ascii="Times New Roman"/>
          <w:b/>
          <w:color w:val="000000" w:themeColor="text1"/>
          <w:sz w:val="28"/>
          <w:szCs w:val="28"/>
          <w14:textFill>
            <w14:solidFill>
              <w14:schemeClr w14:val="tx1"/>
            </w14:solidFill>
          </w14:textFill>
        </w:rPr>
        <w:t>3</w:t>
      </w:r>
      <w:r>
        <w:rPr>
          <w:rFonts w:ascii="Times New Roman"/>
          <w:b/>
          <w:color w:val="000000" w:themeColor="text1"/>
          <w:sz w:val="28"/>
          <w:szCs w:val="28"/>
          <w14:textFill>
            <w14:solidFill>
              <w14:schemeClr w14:val="tx1"/>
            </w14:solidFill>
          </w14:textFill>
        </w:rPr>
        <w:t>.</w:t>
      </w:r>
      <w:r>
        <w:rPr>
          <w:rFonts w:hint="eastAsia" w:ascii="Times New Roman"/>
          <w:b/>
          <w:color w:val="000000" w:themeColor="text1"/>
          <w:sz w:val="28"/>
          <w:szCs w:val="28"/>
          <w14:textFill>
            <w14:solidFill>
              <w14:schemeClr w14:val="tx1"/>
            </w14:solidFill>
          </w14:textFill>
        </w:rPr>
        <w:t>营业执照</w:t>
      </w:r>
    </w:p>
    <w:p w14:paraId="17C4C265">
      <w:pPr>
        <w:spacing w:line="360" w:lineRule="auto"/>
        <w:rPr>
          <w:rFonts w:ascii="Times New Roman"/>
          <w:b/>
          <w:bCs/>
          <w:color w:val="000000"/>
          <w:sz w:val="21"/>
          <w:szCs w:val="21"/>
        </w:rPr>
      </w:pPr>
    </w:p>
    <w:p w14:paraId="5AF6BC86">
      <w:pPr>
        <w:spacing w:line="360" w:lineRule="auto"/>
        <w:rPr>
          <w:rFonts w:ascii="Times New Roman"/>
          <w:b/>
          <w:bCs/>
          <w:color w:val="000000"/>
          <w:sz w:val="21"/>
          <w:szCs w:val="21"/>
        </w:rPr>
      </w:pPr>
    </w:p>
    <w:p w14:paraId="722F90E9">
      <w:pPr>
        <w:spacing w:line="360" w:lineRule="auto"/>
        <w:rPr>
          <w:rFonts w:ascii="Times New Roman"/>
          <w:b/>
          <w:bCs/>
          <w:color w:val="000000"/>
          <w:sz w:val="21"/>
          <w:szCs w:val="21"/>
        </w:rPr>
      </w:pPr>
    </w:p>
    <w:p w14:paraId="26B11420">
      <w:pPr>
        <w:spacing w:line="360" w:lineRule="auto"/>
        <w:rPr>
          <w:rFonts w:ascii="Times New Roman"/>
          <w:b/>
          <w:bCs/>
          <w:color w:val="000000"/>
          <w:sz w:val="21"/>
          <w:szCs w:val="21"/>
        </w:rPr>
      </w:pPr>
    </w:p>
    <w:p w14:paraId="1A5EB5EB">
      <w:pPr>
        <w:spacing w:line="360" w:lineRule="auto"/>
        <w:rPr>
          <w:rFonts w:ascii="Times New Roman"/>
          <w:b/>
          <w:bCs/>
          <w:color w:val="000000"/>
          <w:sz w:val="21"/>
          <w:szCs w:val="21"/>
        </w:rPr>
      </w:pPr>
    </w:p>
    <w:p w14:paraId="712F1F63">
      <w:pPr>
        <w:spacing w:line="360" w:lineRule="auto"/>
        <w:rPr>
          <w:rFonts w:ascii="Times New Roman"/>
          <w:b/>
          <w:bCs/>
          <w:color w:val="000000"/>
          <w:sz w:val="21"/>
          <w:szCs w:val="21"/>
        </w:rPr>
      </w:pPr>
    </w:p>
    <w:p w14:paraId="2A17ACEB">
      <w:pPr>
        <w:spacing w:line="360" w:lineRule="auto"/>
        <w:rPr>
          <w:rFonts w:ascii="Times New Roman"/>
          <w:b/>
          <w:bCs/>
          <w:color w:val="000000"/>
          <w:sz w:val="21"/>
          <w:szCs w:val="21"/>
        </w:rPr>
      </w:pPr>
    </w:p>
    <w:p w14:paraId="4C2C1974">
      <w:pPr>
        <w:spacing w:line="360" w:lineRule="auto"/>
        <w:rPr>
          <w:rFonts w:ascii="Times New Roman"/>
          <w:b/>
          <w:bCs/>
          <w:color w:val="000000"/>
          <w:sz w:val="21"/>
          <w:szCs w:val="21"/>
        </w:rPr>
      </w:pPr>
    </w:p>
    <w:p w14:paraId="7397F8E1">
      <w:pPr>
        <w:spacing w:line="360" w:lineRule="auto"/>
        <w:rPr>
          <w:rFonts w:ascii="Times New Roman"/>
          <w:b/>
          <w:bCs/>
          <w:color w:val="000000"/>
          <w:sz w:val="21"/>
          <w:szCs w:val="21"/>
        </w:rPr>
      </w:pPr>
    </w:p>
    <w:p w14:paraId="471420C9">
      <w:pPr>
        <w:spacing w:line="360" w:lineRule="auto"/>
        <w:rPr>
          <w:rFonts w:ascii="Times New Roman"/>
          <w:b/>
          <w:bCs/>
          <w:color w:val="000000"/>
          <w:sz w:val="21"/>
          <w:szCs w:val="21"/>
        </w:rPr>
      </w:pPr>
    </w:p>
    <w:p w14:paraId="797EE6AE">
      <w:pPr>
        <w:spacing w:line="360" w:lineRule="auto"/>
        <w:rPr>
          <w:rFonts w:ascii="Times New Roman"/>
          <w:b/>
          <w:bCs/>
          <w:color w:val="000000"/>
          <w:sz w:val="21"/>
          <w:szCs w:val="21"/>
        </w:rPr>
      </w:pPr>
    </w:p>
    <w:p w14:paraId="7F55140C">
      <w:pPr>
        <w:spacing w:line="360" w:lineRule="auto"/>
        <w:rPr>
          <w:rFonts w:ascii="Times New Roman"/>
          <w:b/>
          <w:bCs/>
          <w:color w:val="000000"/>
          <w:sz w:val="21"/>
          <w:szCs w:val="21"/>
        </w:rPr>
      </w:pPr>
    </w:p>
    <w:p w14:paraId="72B5240E">
      <w:pPr>
        <w:spacing w:line="360" w:lineRule="auto"/>
        <w:rPr>
          <w:rFonts w:ascii="Times New Roman"/>
          <w:b/>
          <w:bCs/>
          <w:color w:val="000000"/>
          <w:sz w:val="21"/>
          <w:szCs w:val="21"/>
        </w:rPr>
      </w:pPr>
    </w:p>
    <w:p w14:paraId="698F7B8E">
      <w:pPr>
        <w:spacing w:line="360" w:lineRule="auto"/>
        <w:rPr>
          <w:rFonts w:ascii="Times New Roman"/>
          <w:b/>
          <w:bCs/>
          <w:color w:val="000000"/>
          <w:sz w:val="21"/>
          <w:szCs w:val="21"/>
        </w:rPr>
      </w:pPr>
    </w:p>
    <w:p w14:paraId="14A62D95">
      <w:pPr>
        <w:spacing w:line="360" w:lineRule="auto"/>
        <w:rPr>
          <w:rFonts w:ascii="Times New Roman"/>
          <w:b/>
          <w:bCs/>
          <w:color w:val="000000"/>
          <w:sz w:val="21"/>
          <w:szCs w:val="21"/>
        </w:rPr>
      </w:pPr>
    </w:p>
    <w:p w14:paraId="7750A378">
      <w:pPr>
        <w:spacing w:line="360" w:lineRule="auto"/>
        <w:rPr>
          <w:rFonts w:ascii="Times New Roman"/>
          <w:b/>
          <w:bCs/>
          <w:color w:val="000000"/>
          <w:sz w:val="21"/>
          <w:szCs w:val="21"/>
        </w:rPr>
      </w:pPr>
    </w:p>
    <w:p w14:paraId="61EF049D">
      <w:pPr>
        <w:spacing w:line="360" w:lineRule="auto"/>
        <w:rPr>
          <w:rFonts w:ascii="Times New Roman"/>
          <w:b/>
          <w:bCs/>
          <w:color w:val="000000"/>
          <w:sz w:val="21"/>
          <w:szCs w:val="21"/>
        </w:rPr>
      </w:pPr>
    </w:p>
    <w:p w14:paraId="4C4A5C49">
      <w:pPr>
        <w:spacing w:line="360" w:lineRule="auto"/>
        <w:rPr>
          <w:rFonts w:ascii="Times New Roman"/>
          <w:b/>
          <w:bCs/>
          <w:color w:val="000000"/>
          <w:sz w:val="21"/>
          <w:szCs w:val="21"/>
        </w:rPr>
      </w:pPr>
    </w:p>
    <w:p w14:paraId="2C770918">
      <w:pPr>
        <w:spacing w:line="360" w:lineRule="auto"/>
        <w:rPr>
          <w:rFonts w:ascii="Times New Roman"/>
          <w:b/>
          <w:bCs/>
          <w:color w:val="000000"/>
          <w:sz w:val="21"/>
          <w:szCs w:val="21"/>
        </w:rPr>
      </w:pPr>
    </w:p>
    <w:p w14:paraId="6E82B400">
      <w:pPr>
        <w:spacing w:line="360" w:lineRule="auto"/>
        <w:rPr>
          <w:rFonts w:ascii="Times New Roman"/>
          <w:b/>
          <w:bCs/>
          <w:color w:val="000000"/>
          <w:sz w:val="21"/>
          <w:szCs w:val="21"/>
        </w:rPr>
      </w:pPr>
    </w:p>
    <w:p w14:paraId="369ECCC1">
      <w:pPr>
        <w:spacing w:line="360" w:lineRule="auto"/>
        <w:rPr>
          <w:rFonts w:ascii="Times New Roman"/>
          <w:b/>
          <w:bCs/>
          <w:color w:val="000000"/>
          <w:sz w:val="21"/>
          <w:szCs w:val="21"/>
        </w:rPr>
      </w:pPr>
    </w:p>
    <w:p w14:paraId="5054B70B">
      <w:pPr>
        <w:spacing w:line="360" w:lineRule="auto"/>
        <w:rPr>
          <w:rFonts w:ascii="Times New Roman"/>
          <w:b/>
          <w:bCs/>
          <w:color w:val="000000"/>
          <w:sz w:val="21"/>
          <w:szCs w:val="21"/>
        </w:rPr>
      </w:pPr>
    </w:p>
    <w:p w14:paraId="1FB3DBBA">
      <w:pPr>
        <w:spacing w:line="360" w:lineRule="auto"/>
        <w:rPr>
          <w:rFonts w:ascii="Times New Roman"/>
          <w:b/>
          <w:bCs/>
          <w:color w:val="000000"/>
          <w:sz w:val="21"/>
          <w:szCs w:val="21"/>
        </w:rPr>
      </w:pPr>
    </w:p>
    <w:p w14:paraId="51854CED">
      <w:pPr>
        <w:spacing w:line="360" w:lineRule="auto"/>
        <w:rPr>
          <w:rFonts w:ascii="Times New Roman"/>
          <w:b/>
          <w:bCs/>
          <w:color w:val="000000"/>
          <w:sz w:val="21"/>
          <w:szCs w:val="21"/>
        </w:rPr>
      </w:pPr>
    </w:p>
    <w:p w14:paraId="08D19465">
      <w:pPr>
        <w:spacing w:line="360" w:lineRule="auto"/>
        <w:rPr>
          <w:rFonts w:ascii="Times New Roman"/>
          <w:b/>
          <w:bCs/>
          <w:color w:val="000000"/>
          <w:sz w:val="21"/>
          <w:szCs w:val="21"/>
        </w:rPr>
      </w:pPr>
    </w:p>
    <w:p w14:paraId="64267DC6">
      <w:pPr>
        <w:spacing w:line="360" w:lineRule="auto"/>
        <w:rPr>
          <w:rFonts w:ascii="Times New Roman"/>
          <w:b/>
          <w:bCs/>
          <w:color w:val="000000"/>
          <w:sz w:val="21"/>
          <w:szCs w:val="21"/>
        </w:rPr>
      </w:pPr>
    </w:p>
    <w:p w14:paraId="31FA6062">
      <w:pPr>
        <w:spacing w:line="360" w:lineRule="auto"/>
        <w:rPr>
          <w:rFonts w:hint="eastAsia" w:ascii="Times New Roman" w:eastAsia="宋体"/>
          <w:b/>
          <w:color w:val="000000" w:themeColor="text1"/>
          <w:sz w:val="28"/>
          <w:szCs w:val="28"/>
          <w14:textFill>
            <w14:solidFill>
              <w14:schemeClr w14:val="tx1"/>
            </w14:solidFill>
          </w14:textFill>
        </w:rPr>
      </w:pPr>
      <w:r>
        <w:rPr>
          <w:rFonts w:hint="eastAsia" w:ascii="Times New Roman" w:eastAsia="宋体"/>
          <w:b/>
          <w:color w:val="000000" w:themeColor="text1"/>
          <w:sz w:val="28"/>
          <w:szCs w:val="28"/>
          <w14:textFill>
            <w14:solidFill>
              <w14:schemeClr w14:val="tx1"/>
            </w14:solidFill>
          </w14:textFill>
        </w:rPr>
        <w:t>4.</w:t>
      </w:r>
      <w:r>
        <w:rPr>
          <w:rFonts w:hint="eastAsia" w:ascii="Times New Roman" w:eastAsia="宋体"/>
          <w:b/>
          <w:color w:val="000000" w:themeColor="text1"/>
          <w:sz w:val="28"/>
          <w:szCs w:val="28"/>
          <w:lang w:val="en-US" w:eastAsia="zh-CN"/>
          <w14:textFill>
            <w14:solidFill>
              <w14:schemeClr w14:val="tx1"/>
            </w14:solidFill>
          </w14:textFill>
        </w:rPr>
        <w:t>报价人提供叉车及登高车的供货或销售业绩，业绩可为一份或多份，供货清单涵盖前述车辆类型（</w:t>
      </w:r>
      <w:r>
        <w:rPr>
          <w:rFonts w:hint="eastAsia" w:ascii="Times New Roman" w:eastAsia="宋体"/>
          <w:b/>
          <w:color w:val="000000" w:themeColor="text1"/>
          <w:sz w:val="28"/>
          <w:szCs w:val="28"/>
          <w14:textFill>
            <w14:solidFill>
              <w14:schemeClr w14:val="tx1"/>
            </w14:solidFill>
          </w14:textFill>
        </w:rPr>
        <w:t>合同签订日期为</w:t>
      </w:r>
      <w:r>
        <w:rPr>
          <w:rFonts w:hint="eastAsia" w:ascii="Times New Roman" w:eastAsia="宋体"/>
          <w:b/>
          <w:color w:val="000000" w:themeColor="text1"/>
          <w:sz w:val="28"/>
          <w:szCs w:val="28"/>
          <w:lang w:eastAsia="zh-CN"/>
          <w14:textFill>
            <w14:solidFill>
              <w14:schemeClr w14:val="tx1"/>
            </w14:solidFill>
          </w14:textFill>
        </w:rPr>
        <w:t>2023年1月1日</w:t>
      </w:r>
      <w:r>
        <w:rPr>
          <w:rFonts w:hint="eastAsia" w:ascii="Times New Roman" w:eastAsia="宋体"/>
          <w:b/>
          <w:color w:val="000000" w:themeColor="text1"/>
          <w:sz w:val="28"/>
          <w:szCs w:val="28"/>
          <w14:textFill>
            <w14:solidFill>
              <w14:schemeClr w14:val="tx1"/>
            </w14:solidFill>
          </w14:textFill>
        </w:rPr>
        <w:t>或以后）</w:t>
      </w:r>
    </w:p>
    <w:p w14:paraId="0C9D33F6">
      <w:pPr>
        <w:spacing w:line="360" w:lineRule="auto"/>
        <w:rPr>
          <w:rFonts w:ascii="Times New Roman"/>
          <w:b/>
          <w:bCs/>
          <w:color w:val="000000"/>
          <w:sz w:val="21"/>
          <w:szCs w:val="21"/>
        </w:rPr>
      </w:pPr>
    </w:p>
    <w:p w14:paraId="6B07C831">
      <w:pPr>
        <w:spacing w:line="360" w:lineRule="auto"/>
        <w:rPr>
          <w:rFonts w:ascii="Times New Roman"/>
          <w:b/>
          <w:bCs/>
          <w:color w:val="000000"/>
          <w:sz w:val="21"/>
          <w:szCs w:val="21"/>
        </w:rPr>
      </w:pPr>
    </w:p>
    <w:p w14:paraId="59A42C71">
      <w:pPr>
        <w:spacing w:line="360" w:lineRule="auto"/>
        <w:rPr>
          <w:rFonts w:ascii="Times New Roman"/>
          <w:b/>
          <w:bCs/>
          <w:color w:val="000000"/>
          <w:sz w:val="21"/>
          <w:szCs w:val="21"/>
        </w:rPr>
      </w:pPr>
    </w:p>
    <w:p w14:paraId="2C212B07">
      <w:pPr>
        <w:spacing w:line="360" w:lineRule="auto"/>
        <w:rPr>
          <w:rFonts w:hAnsi="宋体" w:cs="宋体"/>
          <w:color w:val="000000"/>
          <w:kern w:val="2"/>
          <w:sz w:val="21"/>
          <w:lang w:val="zh-CN"/>
        </w:rPr>
      </w:pPr>
    </w:p>
    <w:p w14:paraId="6E62FF40">
      <w:pPr>
        <w:spacing w:line="360" w:lineRule="auto"/>
        <w:rPr>
          <w:rFonts w:hAnsi="宋体" w:cs="宋体"/>
          <w:color w:val="000000"/>
          <w:kern w:val="2"/>
          <w:sz w:val="21"/>
          <w:lang w:val="zh-CN"/>
        </w:rPr>
      </w:pPr>
    </w:p>
    <w:p w14:paraId="5AAC29CA">
      <w:pPr>
        <w:spacing w:line="360" w:lineRule="auto"/>
        <w:rPr>
          <w:rFonts w:hAnsi="宋体" w:cs="宋体"/>
          <w:color w:val="000000"/>
          <w:kern w:val="2"/>
          <w:sz w:val="21"/>
          <w:lang w:val="zh-CN"/>
        </w:rPr>
      </w:pPr>
    </w:p>
    <w:p w14:paraId="3CF01A24">
      <w:pPr>
        <w:spacing w:line="360" w:lineRule="auto"/>
        <w:rPr>
          <w:rFonts w:hAnsi="宋体" w:cs="宋体"/>
          <w:color w:val="000000"/>
          <w:kern w:val="2"/>
          <w:sz w:val="21"/>
          <w:lang w:val="zh-CN"/>
        </w:rPr>
      </w:pPr>
    </w:p>
    <w:p w14:paraId="49C5F9E7">
      <w:pPr>
        <w:spacing w:line="360" w:lineRule="auto"/>
        <w:rPr>
          <w:rFonts w:hAnsi="宋体" w:cs="宋体"/>
          <w:color w:val="000000"/>
          <w:kern w:val="2"/>
          <w:sz w:val="21"/>
          <w:lang w:val="zh-CN"/>
        </w:rPr>
      </w:pPr>
    </w:p>
    <w:p w14:paraId="4EE38759">
      <w:pPr>
        <w:spacing w:line="360" w:lineRule="auto"/>
        <w:rPr>
          <w:rFonts w:hAnsi="宋体" w:cs="宋体"/>
          <w:color w:val="000000"/>
          <w:kern w:val="2"/>
          <w:sz w:val="21"/>
          <w:lang w:val="zh-CN"/>
        </w:rPr>
      </w:pPr>
    </w:p>
    <w:p w14:paraId="5F4A7DFC">
      <w:pPr>
        <w:spacing w:line="360" w:lineRule="auto"/>
        <w:rPr>
          <w:rFonts w:hAnsi="宋体" w:cs="宋体"/>
          <w:color w:val="000000"/>
          <w:kern w:val="2"/>
          <w:sz w:val="21"/>
          <w:lang w:val="zh-CN"/>
        </w:rPr>
      </w:pPr>
    </w:p>
    <w:p w14:paraId="345EA10A">
      <w:pPr>
        <w:spacing w:line="360" w:lineRule="auto"/>
        <w:rPr>
          <w:rFonts w:hAnsi="宋体" w:cs="宋体"/>
          <w:color w:val="000000"/>
          <w:kern w:val="2"/>
          <w:sz w:val="21"/>
          <w:lang w:val="zh-CN"/>
        </w:rPr>
      </w:pPr>
    </w:p>
    <w:p w14:paraId="7043E443">
      <w:pPr>
        <w:spacing w:line="360" w:lineRule="auto"/>
        <w:rPr>
          <w:rFonts w:hAnsi="宋体" w:cs="宋体"/>
          <w:color w:val="000000"/>
          <w:kern w:val="2"/>
          <w:sz w:val="21"/>
          <w:lang w:val="zh-CN"/>
        </w:rPr>
      </w:pPr>
    </w:p>
    <w:p w14:paraId="63E9084A">
      <w:pPr>
        <w:spacing w:line="360" w:lineRule="auto"/>
        <w:rPr>
          <w:rFonts w:hAnsi="宋体" w:cs="宋体"/>
          <w:color w:val="000000"/>
          <w:kern w:val="2"/>
          <w:sz w:val="21"/>
          <w:lang w:val="zh-CN"/>
        </w:rPr>
      </w:pPr>
    </w:p>
    <w:p w14:paraId="163DDEAC">
      <w:pPr>
        <w:spacing w:line="360" w:lineRule="auto"/>
        <w:rPr>
          <w:rFonts w:hAnsi="宋体" w:cs="宋体"/>
          <w:color w:val="000000"/>
          <w:kern w:val="2"/>
          <w:sz w:val="21"/>
          <w:lang w:val="zh-CN"/>
        </w:rPr>
      </w:pPr>
    </w:p>
    <w:p w14:paraId="0399D2CD">
      <w:pPr>
        <w:spacing w:line="360" w:lineRule="auto"/>
        <w:rPr>
          <w:rFonts w:hAnsi="宋体" w:cs="宋体"/>
          <w:color w:val="000000"/>
          <w:kern w:val="2"/>
          <w:sz w:val="21"/>
          <w:lang w:val="zh-CN"/>
        </w:rPr>
      </w:pPr>
    </w:p>
    <w:p w14:paraId="24F2BAC9">
      <w:pPr>
        <w:spacing w:line="360" w:lineRule="auto"/>
        <w:rPr>
          <w:rFonts w:hAnsi="宋体" w:cs="宋体"/>
          <w:color w:val="000000"/>
          <w:kern w:val="2"/>
          <w:sz w:val="21"/>
          <w:lang w:val="zh-CN"/>
        </w:rPr>
      </w:pPr>
    </w:p>
    <w:p w14:paraId="274F23A3">
      <w:pPr>
        <w:spacing w:line="360" w:lineRule="auto"/>
        <w:rPr>
          <w:rFonts w:hAnsi="宋体" w:cs="宋体"/>
          <w:color w:val="000000"/>
          <w:kern w:val="2"/>
          <w:sz w:val="21"/>
          <w:lang w:val="zh-CN"/>
        </w:rPr>
      </w:pPr>
    </w:p>
    <w:p w14:paraId="176CB3FA">
      <w:pPr>
        <w:spacing w:line="360" w:lineRule="auto"/>
        <w:rPr>
          <w:rFonts w:hAnsi="宋体" w:cs="宋体"/>
          <w:color w:val="000000"/>
          <w:kern w:val="2"/>
          <w:sz w:val="21"/>
          <w:lang w:val="zh-CN"/>
        </w:rPr>
      </w:pPr>
    </w:p>
    <w:p w14:paraId="5276CD2A">
      <w:pPr>
        <w:spacing w:line="360" w:lineRule="auto"/>
        <w:rPr>
          <w:rFonts w:hAnsi="宋体" w:cs="宋体"/>
          <w:color w:val="000000"/>
          <w:kern w:val="2"/>
          <w:sz w:val="21"/>
          <w:lang w:val="zh-CN"/>
        </w:rPr>
      </w:pPr>
    </w:p>
    <w:p w14:paraId="6B355A53">
      <w:pPr>
        <w:spacing w:line="360" w:lineRule="auto"/>
        <w:rPr>
          <w:rFonts w:hAnsi="宋体" w:cs="宋体"/>
          <w:color w:val="000000"/>
          <w:kern w:val="2"/>
          <w:sz w:val="21"/>
          <w:lang w:val="zh-CN"/>
        </w:rPr>
      </w:pPr>
    </w:p>
    <w:p w14:paraId="3F03EE3F">
      <w:pPr>
        <w:spacing w:line="360" w:lineRule="auto"/>
        <w:rPr>
          <w:rFonts w:hAnsi="宋体" w:cs="宋体"/>
          <w:color w:val="000000"/>
          <w:kern w:val="2"/>
          <w:sz w:val="21"/>
          <w:lang w:val="zh-CN"/>
        </w:rPr>
      </w:pPr>
    </w:p>
    <w:p w14:paraId="43AFE9ED">
      <w:pPr>
        <w:spacing w:line="360" w:lineRule="auto"/>
        <w:rPr>
          <w:rFonts w:hAnsi="宋体" w:cs="宋体"/>
          <w:color w:val="000000"/>
          <w:kern w:val="2"/>
          <w:sz w:val="21"/>
          <w:lang w:val="zh-CN"/>
        </w:rPr>
      </w:pPr>
    </w:p>
    <w:p w14:paraId="52972B83">
      <w:pPr>
        <w:spacing w:line="360" w:lineRule="auto"/>
        <w:rPr>
          <w:rFonts w:hAnsi="宋体" w:cs="宋体"/>
          <w:color w:val="000000"/>
          <w:kern w:val="2"/>
          <w:sz w:val="21"/>
          <w:lang w:val="zh-CN"/>
        </w:rPr>
      </w:pPr>
    </w:p>
    <w:p w14:paraId="003AE07F">
      <w:pPr>
        <w:spacing w:line="360" w:lineRule="auto"/>
        <w:rPr>
          <w:rFonts w:hAnsi="宋体" w:cs="宋体"/>
          <w:color w:val="000000"/>
          <w:kern w:val="2"/>
          <w:sz w:val="21"/>
          <w:lang w:val="zh-CN"/>
        </w:rPr>
      </w:pPr>
    </w:p>
    <w:p w14:paraId="530B2AA4">
      <w:pPr>
        <w:spacing w:line="360" w:lineRule="auto"/>
        <w:rPr>
          <w:rFonts w:hAnsi="宋体" w:cs="宋体"/>
          <w:color w:val="000000"/>
          <w:kern w:val="2"/>
          <w:sz w:val="21"/>
          <w:lang w:val="zh-CN"/>
        </w:rPr>
      </w:pPr>
    </w:p>
    <w:p w14:paraId="5809EA6A">
      <w:pPr>
        <w:spacing w:line="360" w:lineRule="auto"/>
        <w:rPr>
          <w:rFonts w:hint="eastAsia" w:hAnsi="宋体" w:cs="宋体"/>
          <w:color w:val="000000"/>
          <w:kern w:val="2"/>
          <w:sz w:val="21"/>
          <w:lang w:val="zh-CN"/>
        </w:rPr>
      </w:pPr>
    </w:p>
    <w:p w14:paraId="4A213954">
      <w:pPr>
        <w:spacing w:line="360" w:lineRule="auto"/>
        <w:rPr>
          <w:rFonts w:hAnsi="宋体" w:cs="宋体"/>
          <w:color w:val="000000"/>
          <w:kern w:val="2"/>
          <w:sz w:val="21"/>
        </w:rPr>
      </w:pPr>
      <w:r>
        <w:rPr>
          <w:rFonts w:ascii="Times New Roman"/>
          <w:b/>
          <w:sz w:val="28"/>
          <w:szCs w:val="28"/>
        </w:rPr>
        <w:t>5.</w:t>
      </w:r>
      <w:r>
        <w:rPr>
          <w:rFonts w:hint="eastAsia" w:ascii="Times New Roman"/>
          <w:b/>
          <w:sz w:val="28"/>
          <w:szCs w:val="28"/>
        </w:rPr>
        <w:t xml:space="preserve"> 承诺函</w:t>
      </w:r>
    </w:p>
    <w:p w14:paraId="77A11E02">
      <w:pPr>
        <w:spacing w:line="360" w:lineRule="auto"/>
        <w:rPr>
          <w:rFonts w:hAnsi="宋体" w:cs="宋体"/>
        </w:rPr>
      </w:pPr>
      <w:r>
        <w:rPr>
          <w:rFonts w:hint="eastAsia" w:hAnsi="宋体" w:cs="宋体"/>
        </w:rPr>
        <w:t>致东莞市水务环境投资控股集团净水有限公司：</w:t>
      </w:r>
    </w:p>
    <w:p w14:paraId="7B093267">
      <w:pPr>
        <w:spacing w:line="360" w:lineRule="auto"/>
        <w:ind w:firstLine="480" w:firstLineChars="200"/>
        <w:rPr>
          <w:rFonts w:hAnsi="宋体" w:cs="宋体"/>
        </w:rPr>
      </w:pPr>
      <w:r>
        <w:rPr>
          <w:rFonts w:hint="eastAsia" w:hAnsi="宋体" w:cs="宋体"/>
        </w:rPr>
        <w:t>我公司</w:t>
      </w:r>
      <w:r>
        <w:rPr>
          <w:rFonts w:hint="eastAsia" w:hAnsi="宋体" w:cs="宋体"/>
          <w:u w:val="single"/>
        </w:rPr>
        <w:t xml:space="preserve"> </w:t>
      </w:r>
      <w:r>
        <w:rPr>
          <w:rFonts w:hAnsi="宋体" w:cs="宋体"/>
          <w:u w:val="single"/>
        </w:rPr>
        <w:t xml:space="preserve">             </w:t>
      </w:r>
      <w:r>
        <w:rPr>
          <w:rFonts w:hint="eastAsia" w:hAnsi="宋体" w:cs="宋体"/>
        </w:rPr>
        <w:t>为贵公司询价的</w:t>
      </w:r>
      <w:r>
        <w:rPr>
          <w:rFonts w:hint="eastAsia" w:ascii="Times New Roman" w:cs="宋体"/>
          <w:u w:val="single"/>
          <w:lang w:eastAsia="zh-CN"/>
        </w:rPr>
        <w:t>东莞市污泥集中处理处置项目电动叉车及登高车采购项目（重新采购）</w:t>
      </w:r>
      <w:r>
        <w:rPr>
          <w:rFonts w:hint="eastAsia" w:hAnsi="宋体" w:cs="宋体"/>
        </w:rPr>
        <w:t>的报价单位，为确保供货及/或提供服务过程中的人身、财产安全，我公司承诺，如我公司获得成交资格，将严格按照下列要求开展工作。</w:t>
      </w:r>
    </w:p>
    <w:p w14:paraId="2ADF870A">
      <w:pPr>
        <w:spacing w:line="360" w:lineRule="auto"/>
        <w:ind w:firstLine="480" w:firstLineChars="200"/>
        <w:rPr>
          <w:rFonts w:hAnsi="宋体" w:cs="宋体"/>
        </w:rPr>
      </w:pPr>
      <w:r>
        <w:rPr>
          <w:rFonts w:hAnsi="宋体" w:cs="宋体"/>
        </w:rPr>
        <w:t>1、我公司承诺将严格遵守国家、地方政府有关安全生产及劳动保护的法律法规、标准、规定，贯彻执行贵公司的各项安全管理规章制度。</w:t>
      </w:r>
    </w:p>
    <w:p w14:paraId="5C4C5A94">
      <w:pPr>
        <w:spacing w:line="360" w:lineRule="auto"/>
        <w:ind w:firstLine="480" w:firstLineChars="200"/>
        <w:rPr>
          <w:rFonts w:hAnsi="宋体" w:cs="宋体"/>
        </w:rPr>
      </w:pPr>
      <w:r>
        <w:rPr>
          <w:rFonts w:hAnsi="宋体" w:cs="宋体"/>
        </w:rPr>
        <w:t>2、我公司承诺将依法参加工伤保险，为</w:t>
      </w:r>
      <w:r>
        <w:rPr>
          <w:rFonts w:hint="eastAsia" w:hAnsi="宋体" w:cs="宋体"/>
        </w:rPr>
        <w:t>安排至贵公司从事本项目的工作</w:t>
      </w:r>
      <w:r>
        <w:rPr>
          <w:rFonts w:hAnsi="宋体" w:cs="宋体"/>
        </w:rPr>
        <w:t>人员缴纳保险费，并为从事危险作业的人员办理意外伤害保险。</w:t>
      </w:r>
    </w:p>
    <w:p w14:paraId="783BD8B2">
      <w:pPr>
        <w:spacing w:line="360" w:lineRule="auto"/>
        <w:ind w:firstLine="480" w:firstLineChars="200"/>
        <w:rPr>
          <w:rFonts w:hAnsi="宋体" w:cs="宋体"/>
        </w:rPr>
      </w:pPr>
      <w:r>
        <w:rPr>
          <w:rFonts w:hAnsi="宋体" w:cs="宋体"/>
        </w:rPr>
        <w:t>3、我公司承诺服从贵公司的安全管理，保证</w:t>
      </w:r>
      <w:r>
        <w:rPr>
          <w:rFonts w:hint="eastAsia" w:hAnsi="宋体" w:cs="宋体"/>
        </w:rPr>
        <w:t>作业</w:t>
      </w:r>
      <w:r>
        <w:rPr>
          <w:rFonts w:hAnsi="宋体" w:cs="宋体"/>
        </w:rPr>
        <w:t>区域的现场文明安全管理达标，现场临时用电、机器设备、安全防护齐全、完好</w:t>
      </w:r>
      <w:r>
        <w:rPr>
          <w:rFonts w:hint="eastAsia" w:hAnsi="宋体" w:cs="宋体"/>
        </w:rPr>
        <w:t>，并</w:t>
      </w:r>
      <w:r>
        <w:rPr>
          <w:rFonts w:hAnsi="宋体" w:cs="宋体"/>
        </w:rPr>
        <w:t>接受和配合贵公司的安全监督检查，我公司</w:t>
      </w:r>
      <w:r>
        <w:rPr>
          <w:rFonts w:hint="eastAsia" w:hAnsi="宋体" w:cs="宋体"/>
        </w:rPr>
        <w:t>提供到贵公司</w:t>
      </w:r>
      <w:r>
        <w:rPr>
          <w:rFonts w:hAnsi="宋体" w:cs="宋体"/>
        </w:rPr>
        <w:t>现场</w:t>
      </w:r>
      <w:r>
        <w:rPr>
          <w:rFonts w:hint="eastAsia" w:hAnsi="宋体" w:cs="宋体"/>
        </w:rPr>
        <w:t>作业</w:t>
      </w:r>
      <w:r>
        <w:rPr>
          <w:rFonts w:hAnsi="宋体" w:cs="宋体"/>
        </w:rPr>
        <w:t>的所有安全装置、防护设施必须依据经贵公司审批后的安全技术方案进行搭设、安装，同时我公司无条件保证安全防护设施使用的搭设材料的质量</w:t>
      </w:r>
      <w:r>
        <w:rPr>
          <w:rFonts w:hint="eastAsia" w:hAnsi="宋体" w:cs="宋体"/>
        </w:rPr>
        <w:t>安全</w:t>
      </w:r>
      <w:r>
        <w:rPr>
          <w:rFonts w:hAnsi="宋体" w:cs="宋体"/>
        </w:rPr>
        <w:t>，在用于安全防护的物资进场前将有关物资的材质证明报贵公司，经贵公司确认后方可使用。</w:t>
      </w:r>
    </w:p>
    <w:p w14:paraId="2AF52B50">
      <w:pPr>
        <w:spacing w:line="360" w:lineRule="auto"/>
        <w:ind w:firstLine="480" w:firstLineChars="200"/>
        <w:rPr>
          <w:rFonts w:hAnsi="宋体" w:cs="宋体"/>
        </w:rPr>
      </w:pPr>
      <w:r>
        <w:rPr>
          <w:rFonts w:hint="eastAsia" w:hAnsi="宋体" w:cs="宋体"/>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1A8B5F47">
      <w:pPr>
        <w:spacing w:line="360" w:lineRule="auto"/>
        <w:ind w:firstLine="480" w:firstLineChars="200"/>
        <w:rPr>
          <w:rFonts w:hAnsi="宋体" w:cs="宋体"/>
        </w:rPr>
      </w:pPr>
      <w:r>
        <w:rPr>
          <w:rFonts w:hint="eastAsia" w:hAnsi="宋体" w:cs="宋体"/>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6FD2D7A5">
      <w:pPr>
        <w:spacing w:line="360" w:lineRule="auto"/>
        <w:ind w:firstLine="480" w:firstLineChars="200"/>
        <w:rPr>
          <w:rFonts w:hAnsi="宋体" w:cs="宋体"/>
        </w:rPr>
      </w:pPr>
      <w:r>
        <w:rPr>
          <w:rFonts w:hint="eastAsia" w:hAnsi="宋体" w:cs="宋体"/>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06A7BF45">
      <w:pPr>
        <w:spacing w:line="360" w:lineRule="auto"/>
        <w:ind w:firstLine="480" w:firstLineChars="200"/>
        <w:rPr>
          <w:rFonts w:hAnsi="宋体" w:cs="宋体"/>
        </w:rPr>
      </w:pPr>
      <w:r>
        <w:rPr>
          <w:rFonts w:hint="eastAsia" w:hAnsi="宋体" w:cs="宋体"/>
        </w:rPr>
        <w:t>7、我公司承诺协助和指导贵公司进行货物的储存，对贵公司的储存方式、方法、储存数量、仓库的安全设施设备、安全生产规章制度等是否符合国家标准或者国家有关规定提出合理的建议，并进行技术指导。</w:t>
      </w:r>
    </w:p>
    <w:p w14:paraId="6C6163F3">
      <w:pPr>
        <w:spacing w:line="360" w:lineRule="auto"/>
        <w:ind w:firstLine="480" w:firstLineChars="200"/>
        <w:rPr>
          <w:rFonts w:hAnsi="宋体" w:cs="宋体"/>
        </w:rPr>
      </w:pPr>
      <w:r>
        <w:rPr>
          <w:rFonts w:hint="eastAsia" w:hAnsi="宋体" w:cs="宋体"/>
        </w:rPr>
        <w:t>8、我公司车辆在贵公司场所行驶时，将严格遵守厂区道路限行，限速和限重要求，如因我公司未遵守前述要求，对厂区</w:t>
      </w:r>
      <w:r>
        <w:rPr>
          <w:rFonts w:hAnsi="宋体" w:cs="宋体"/>
        </w:rPr>
        <w:t>/</w:t>
      </w:r>
      <w:r>
        <w:rPr>
          <w:rFonts w:hint="eastAsia" w:hAnsi="宋体" w:cs="宋体"/>
        </w:rPr>
        <w:t>贵公司</w:t>
      </w:r>
      <w:r>
        <w:rPr>
          <w:rFonts w:hAnsi="宋体" w:cs="宋体"/>
        </w:rPr>
        <w:t>（含其人员）、</w:t>
      </w:r>
      <w:r>
        <w:rPr>
          <w:rFonts w:hint="eastAsia" w:hAnsi="宋体" w:cs="宋体"/>
        </w:rPr>
        <w:t>我公司</w:t>
      </w:r>
      <w:r>
        <w:rPr>
          <w:rFonts w:hAnsi="宋体" w:cs="宋体"/>
        </w:rPr>
        <w:t>人员、第三方造成损失的，</w:t>
      </w:r>
      <w:r>
        <w:rPr>
          <w:rFonts w:hint="eastAsia" w:hAnsi="宋体" w:cs="宋体"/>
        </w:rPr>
        <w:t>由我公司</w:t>
      </w:r>
      <w:r>
        <w:rPr>
          <w:rFonts w:hAnsi="宋体" w:cs="宋体"/>
        </w:rPr>
        <w:t>承担赔偿责任。</w:t>
      </w:r>
    </w:p>
    <w:p w14:paraId="6F444FB8">
      <w:pPr>
        <w:spacing w:line="360" w:lineRule="auto"/>
        <w:ind w:firstLine="480" w:firstLineChars="200"/>
        <w:rPr>
          <w:rFonts w:hAnsi="宋体" w:cs="宋体"/>
        </w:rPr>
      </w:pPr>
      <w:r>
        <w:rPr>
          <w:rFonts w:hint="eastAsia" w:hAnsi="宋体" w:cs="宋体"/>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2AB33C28">
      <w:pPr>
        <w:spacing w:line="360" w:lineRule="auto"/>
        <w:ind w:firstLine="480" w:firstLineChars="200"/>
        <w:rPr>
          <w:rFonts w:hAnsi="宋体" w:cs="宋体"/>
        </w:rPr>
      </w:pPr>
      <w:r>
        <w:rPr>
          <w:rFonts w:hAnsi="宋体" w:cs="宋体"/>
        </w:rPr>
        <w:t>10、因我公司原因，造成我公司损失，由我公司自负，给贵公司造成财产损失和人员伤害，我公司</w:t>
      </w:r>
      <w:r>
        <w:rPr>
          <w:rFonts w:hint="eastAsia" w:hAnsi="宋体" w:cs="宋体"/>
        </w:rPr>
        <w:t>承担</w:t>
      </w:r>
      <w:r>
        <w:rPr>
          <w:rFonts w:hAnsi="宋体" w:cs="宋体"/>
        </w:rPr>
        <w:t>全部责任，并全额赔偿贵公司。</w:t>
      </w:r>
    </w:p>
    <w:p w14:paraId="39179D2E">
      <w:pPr>
        <w:spacing w:line="360" w:lineRule="auto"/>
        <w:ind w:firstLine="480" w:firstLineChars="200"/>
        <w:rPr>
          <w:rFonts w:hAnsi="宋体" w:cs="宋体"/>
        </w:rPr>
      </w:pPr>
      <w:r>
        <w:rPr>
          <w:rFonts w:hAnsi="宋体" w:cs="宋体"/>
        </w:rPr>
        <w:t>11、非因贵公司原因，造成我公司损失的，贵公司无需承担任何责任，由我公司自行承担全部责任。</w:t>
      </w:r>
    </w:p>
    <w:p w14:paraId="59F5AE99">
      <w:pPr>
        <w:spacing w:line="360" w:lineRule="auto"/>
        <w:ind w:firstLine="480" w:firstLineChars="20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14:paraId="413808F6">
      <w:pPr>
        <w:spacing w:line="360" w:lineRule="auto"/>
        <w:ind w:firstLine="480" w:firstLineChars="200"/>
        <w:rPr>
          <w:rFonts w:hAnsi="宋体" w:cs="宋体"/>
        </w:rPr>
      </w:pPr>
      <w:r>
        <w:rPr>
          <w:rFonts w:hint="eastAsia" w:hAnsi="宋体" w:cs="宋体"/>
        </w:rPr>
        <w:t>①禁火区内严禁吸烟、动火。有火灾危险的作业区域，我公司承诺配置足够的灭火设施。</w:t>
      </w:r>
    </w:p>
    <w:p w14:paraId="1DBC95FE">
      <w:pPr>
        <w:spacing w:line="360" w:lineRule="auto"/>
        <w:ind w:firstLine="480" w:firstLineChars="200"/>
        <w:rPr>
          <w:rFonts w:hAnsi="宋体" w:cs="宋体"/>
        </w:rPr>
      </w:pPr>
      <w:r>
        <w:rPr>
          <w:rFonts w:hint="eastAsia" w:hAnsi="宋体" w:cs="宋体"/>
        </w:rPr>
        <w:t>②我公司承诺焊接、气割作业时两瓶距离必须达到</w:t>
      </w:r>
      <w:r>
        <w:rPr>
          <w:rFonts w:hAnsi="宋体" w:cs="宋体"/>
        </w:rPr>
        <w:t>5M及以上，气瓶距可能产生火花的电器、设备和其它火源的间距必须达到10M及以上。</w:t>
      </w:r>
    </w:p>
    <w:p w14:paraId="66D2F5D5">
      <w:pPr>
        <w:spacing w:line="360" w:lineRule="auto"/>
        <w:ind w:firstLine="480" w:firstLineChars="200"/>
        <w:rPr>
          <w:rFonts w:hAnsi="宋体" w:cs="宋体"/>
        </w:rPr>
      </w:pPr>
      <w:r>
        <w:rPr>
          <w:rFonts w:hint="eastAsia" w:hAnsi="宋体" w:cs="宋体"/>
        </w:rPr>
        <w:t>③我公司承诺不在厂内道路、消防通道内搭建临时建筑或堆放物资。</w:t>
      </w:r>
    </w:p>
    <w:p w14:paraId="462DCDEF">
      <w:pPr>
        <w:spacing w:line="360" w:lineRule="auto"/>
        <w:ind w:firstLine="480" w:firstLineChars="200"/>
        <w:rPr>
          <w:rFonts w:hAnsi="宋体" w:cs="宋体"/>
        </w:rPr>
      </w:pPr>
      <w:r>
        <w:rPr>
          <w:rFonts w:hint="eastAsia" w:hAnsi="宋体" w:cs="宋体"/>
        </w:rPr>
        <w:t>④我公司承诺电动工具、电焊机等均具有漏电保护器和相应的安全防护装置。</w:t>
      </w:r>
    </w:p>
    <w:p w14:paraId="664236B1">
      <w:pPr>
        <w:spacing w:line="360" w:lineRule="auto"/>
        <w:ind w:firstLine="480" w:firstLineChars="200"/>
        <w:rPr>
          <w:rFonts w:hAnsi="宋体" w:cs="宋体"/>
        </w:rPr>
      </w:pPr>
      <w:r>
        <w:rPr>
          <w:rFonts w:hint="eastAsia" w:hAnsi="宋体" w:cs="宋体"/>
        </w:rPr>
        <w:t>⑤我公司承诺用电设施符合要求，杜绝电线乱接、乱拉，刀闸和开关无盖，在电器设施上堆放物品等行为。</w:t>
      </w:r>
    </w:p>
    <w:p w14:paraId="15392195">
      <w:pPr>
        <w:spacing w:line="360" w:lineRule="auto"/>
        <w:ind w:firstLine="480" w:firstLineChars="200"/>
        <w:rPr>
          <w:rFonts w:hAnsi="宋体" w:cs="宋体"/>
        </w:rPr>
      </w:pPr>
      <w:r>
        <w:rPr>
          <w:rFonts w:hint="eastAsia" w:hAnsi="宋体" w:cs="宋体"/>
        </w:rPr>
        <w:t>⑥我公司承诺防雷、防静电设施及用电设施有良好接地。</w:t>
      </w:r>
    </w:p>
    <w:p w14:paraId="4BCA1F94">
      <w:pPr>
        <w:spacing w:line="360" w:lineRule="auto"/>
        <w:ind w:firstLine="480" w:firstLineChars="200"/>
        <w:rPr>
          <w:rFonts w:hAnsi="宋体" w:cs="宋体"/>
        </w:rPr>
      </w:pPr>
      <w:r>
        <w:rPr>
          <w:rFonts w:hint="eastAsia" w:hAnsi="宋体" w:cs="宋体"/>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242A516D">
      <w:pPr>
        <w:spacing w:line="360" w:lineRule="auto"/>
        <w:ind w:firstLine="480" w:firstLineChars="200"/>
        <w:rPr>
          <w:rFonts w:hAnsi="宋体" w:cs="宋体"/>
        </w:rPr>
      </w:pPr>
      <w:r>
        <w:rPr>
          <w:rFonts w:hAnsi="宋体" w:cs="宋体"/>
        </w:rPr>
        <w:t>13、我公司承诺接受</w:t>
      </w:r>
      <w:r>
        <w:rPr>
          <w:rFonts w:hint="eastAsia" w:hAnsi="宋体" w:cs="宋体"/>
        </w:rPr>
        <w:t>贵公司</w:t>
      </w:r>
      <w:r>
        <w:rPr>
          <w:rFonts w:hAnsi="宋体" w:cs="宋体"/>
        </w:rPr>
        <w:t>的检查与监督，并主动配合，做好安全工作，凡有违反上述条款的即视为我公司违约，贵公司有权视情况从</w:t>
      </w:r>
      <w:r>
        <w:rPr>
          <w:rFonts w:hint="eastAsia" w:hAnsi="宋体" w:cs="宋体"/>
        </w:rPr>
        <w:t>货物</w:t>
      </w:r>
      <w:r>
        <w:rPr>
          <w:rFonts w:hAnsi="宋体" w:cs="宋体"/>
        </w:rPr>
        <w:t>/服务价款中扣除2000元/次作为违约金。</w:t>
      </w:r>
    </w:p>
    <w:p w14:paraId="06828237">
      <w:pPr>
        <w:spacing w:line="360" w:lineRule="auto"/>
        <w:ind w:firstLine="480" w:firstLineChars="200"/>
        <w:rPr>
          <w:rFonts w:hAnsi="宋体" w:cs="宋体"/>
        </w:rPr>
      </w:pPr>
      <w:r>
        <w:rPr>
          <w:rFonts w:hint="eastAsia" w:hAnsi="宋体" w:cs="宋体"/>
        </w:rPr>
        <w:t>如因我公司违反上述条款造成安全生产事故的，我公司将承担由此引发的一切责任与后果，如造成贵公司损失的，我公司将予以足额赔偿，同时，贵公司有权没收我公司提交的履约担保。</w:t>
      </w:r>
    </w:p>
    <w:p w14:paraId="57CA339F">
      <w:pPr>
        <w:spacing w:line="360" w:lineRule="auto"/>
        <w:ind w:firstLine="480" w:firstLineChars="200"/>
        <w:rPr>
          <w:rFonts w:hAnsi="宋体" w:cs="宋体"/>
        </w:rPr>
      </w:pPr>
    </w:p>
    <w:p w14:paraId="032B4B15">
      <w:pPr>
        <w:spacing w:line="360" w:lineRule="auto"/>
        <w:ind w:firstLine="480" w:firstLineChars="200"/>
        <w:rPr>
          <w:rFonts w:hAnsi="宋体" w:cs="宋体"/>
        </w:rPr>
      </w:pPr>
    </w:p>
    <w:p w14:paraId="2EEC22D2">
      <w:pPr>
        <w:spacing w:line="360" w:lineRule="auto"/>
        <w:ind w:firstLine="480" w:firstLineChars="200"/>
        <w:rPr>
          <w:rFonts w:hAnsi="宋体" w:cs="宋体"/>
        </w:rPr>
      </w:pPr>
      <w:r>
        <w:rPr>
          <w:rFonts w:hint="eastAsia" w:hAnsi="宋体" w:cs="宋体"/>
        </w:rPr>
        <w:t>特此承诺。</w:t>
      </w:r>
    </w:p>
    <w:p w14:paraId="1779A672">
      <w:pPr>
        <w:spacing w:line="360" w:lineRule="auto"/>
        <w:rPr>
          <w:rFonts w:hAnsi="宋体" w:cs="宋体"/>
        </w:rPr>
      </w:pPr>
      <w:r>
        <w:rPr>
          <w:rFonts w:hint="eastAsia" w:hAnsi="宋体" w:cs="宋体"/>
        </w:rPr>
        <w:t xml:space="preserve">                                  承诺人（加盖公章）：</w:t>
      </w:r>
    </w:p>
    <w:p w14:paraId="30F3116C">
      <w:pPr>
        <w:spacing w:line="360" w:lineRule="auto"/>
        <w:jc w:val="center"/>
        <w:rPr>
          <w:rFonts w:hAnsi="宋体" w:cs="宋体"/>
        </w:rPr>
      </w:pPr>
      <w:r>
        <w:rPr>
          <w:rFonts w:hint="eastAsia" w:hAnsi="宋体" w:cs="宋体"/>
        </w:rPr>
        <w:t xml:space="preserve">     日期：</w:t>
      </w:r>
    </w:p>
    <w:p w14:paraId="17B0AF4D">
      <w:pPr>
        <w:spacing w:line="360" w:lineRule="auto"/>
        <w:rPr>
          <w:rFonts w:hAnsi="宋体" w:cs="宋体"/>
          <w:color w:val="000000"/>
          <w:kern w:val="2"/>
          <w:sz w:val="21"/>
        </w:rPr>
      </w:pPr>
    </w:p>
    <w:bookmarkEnd w:id="21"/>
    <w:bookmarkEnd w:id="22"/>
    <w:bookmarkEnd w:id="23"/>
    <w:p w14:paraId="0F12B5DA">
      <w:pPr>
        <w:spacing w:line="360" w:lineRule="auto"/>
        <w:rPr>
          <w:rFonts w:ascii="Times New Roman"/>
          <w:b/>
          <w:sz w:val="28"/>
          <w:szCs w:val="28"/>
        </w:rPr>
      </w:pPr>
    </w:p>
    <w:sectPr>
      <w:pgSz w:w="11906" w:h="16838"/>
      <w:pgMar w:top="1440" w:right="1803" w:bottom="1440" w:left="1803" w:header="851" w:footer="992" w:gutter="0"/>
      <w:pgNumType w:fmt="decimal"/>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Aptos">
    <w:altName w:val="Segoe Print"/>
    <w:panose1 w:val="020B0004020202020204"/>
    <w:charset w:val="00"/>
    <w:family w:val="swiss"/>
    <w:pitch w:val="default"/>
    <w:sig w:usb0="00000000" w:usb1="00000000" w:usb2="00000000" w:usb3="00000000" w:csb0="2000019F"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83A7C">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536A40">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536A40">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3BF61">
    <w:pPr>
      <w:pStyle w:val="12"/>
      <w:jc w:val="center"/>
    </w:pPr>
  </w:p>
  <w:p w14:paraId="2D42026F">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C7B15">
    <w:pPr>
      <w:pStyle w:val="12"/>
      <w:framePr w:wrap="around" w:vAnchor="text" w:hAnchor="margin" w:xAlign="center" w:y="1"/>
      <w:jc w:val="center"/>
      <w:rPr>
        <w:rStyle w:val="25"/>
      </w:rPr>
    </w:pPr>
    <w:r>
      <w:fldChar w:fldCharType="begin"/>
    </w:r>
    <w:r>
      <w:rPr>
        <w:rStyle w:val="25"/>
      </w:rPr>
      <w:instrText xml:space="preserve">PAGE  </w:instrText>
    </w:r>
    <w:r>
      <w:fldChar w:fldCharType="end"/>
    </w:r>
  </w:p>
  <w:p w14:paraId="5CF0302A">
    <w:pPr>
      <w:pStyle w:val="12"/>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89352">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2C6B75">
                          <w:pPr>
                            <w:pStyle w:val="12"/>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2</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42C6B75">
                    <w:pPr>
                      <w:pStyle w:val="12"/>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2</w:t>
                    </w:r>
                    <w:r>
                      <w:rPr>
                        <w:rFonts w:ascii="Times New Roman" w:hAnsi="Times New Roman" w:eastAsia="宋体" w:cs="Times New Roma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F4550">
    <w:pPr>
      <w:pStyle w:val="12"/>
    </w:pPr>
    <w: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690880" cy="345440"/>
              <wp:effectExtent l="0" t="0" r="0" b="0"/>
              <wp:wrapNone/>
              <wp:docPr id="1175980483" name="Text Box 2" descr="General"/>
              <wp:cNvGraphicFramePr/>
              <a:graphic xmlns:a="http://schemas.openxmlformats.org/drawingml/2006/main">
                <a:graphicData uri="http://schemas.microsoft.com/office/word/2010/wordprocessingShape">
                  <wps:wsp>
                    <wps:cNvSpPr txBox="1"/>
                    <wps:spPr>
                      <a:xfrm>
                        <a:off x="0" y="0"/>
                        <a:ext cx="690880" cy="345440"/>
                      </a:xfrm>
                      <a:prstGeom prst="rect">
                        <a:avLst/>
                      </a:prstGeom>
                      <a:noFill/>
                      <a:ln>
                        <a:noFill/>
                      </a:ln>
                    </wps:spPr>
                    <wps:txbx>
                      <w:txbxContent>
                        <w:p w14:paraId="0129BB36">
                          <w:pPr>
                            <w:rPr>
                              <w:rFonts w:ascii="Aptos" w:hAnsi="Aptos" w:eastAsia="Aptos" w:cs="Aptos"/>
                              <w:color w:val="000000"/>
                              <w:sz w:val="20"/>
                              <w:szCs w:val="20"/>
                            </w:rPr>
                          </w:pPr>
                          <w:r>
                            <w:rPr>
                              <w:rFonts w:ascii="Aptos" w:hAnsi="Aptos" w:eastAsia="Aptos" w:cs="Aptos"/>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 Box 2" o:spid="_x0000_s1026" o:spt="202" alt="General" type="#_x0000_t202" style="position:absolute;left:0pt;height:27.2pt;width:54.4pt;mso-position-horizontal:left;mso-position-horizontal-relative:page;mso-position-vertical:bottom;mso-position-vertical-relative:page;mso-wrap-style:none;z-index:251660288;v-text-anchor:bottom;mso-width-relative:page;mso-height-relative:page;" filled="f" stroked="f" coordsize="21600,21600" o:gfxdata="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Oiugn0wAAAAQBAAAPAAAAAAAAAAEAIAAAACIAAABkcnMvZG93bnJldi54bWxQ&#10;SwECFAAUAAAACACHTuJAVrLnQTUCAABsBAAADgAAAAAAAAABACAAAAAiAQAAZHJzL2Uyb0RvYy54&#10;bWxQSwUGAAAAAAYABgBZAQAAyQUAAAAA&#10;">
              <v:fill on="f" focussize="0,0"/>
              <v:stroke on="f"/>
              <v:imagedata o:title=""/>
              <o:lock v:ext="edit" aspectratio="f"/>
              <v:textbox inset="20pt,0mm,0mm,15pt" style="mso-fit-shape-to-text:t;">
                <w:txbxContent>
                  <w:p w14:paraId="0129BB36">
                    <w:pPr>
                      <w:rPr>
                        <w:rFonts w:ascii="Aptos" w:hAnsi="Aptos" w:eastAsia="Aptos" w:cs="Aptos"/>
                        <w:color w:val="000000"/>
                        <w:sz w:val="20"/>
                        <w:szCs w:val="20"/>
                      </w:rPr>
                    </w:pPr>
                    <w:r>
                      <w:rPr>
                        <w:rFonts w:ascii="Aptos" w:hAnsi="Aptos" w:eastAsia="Aptos" w:cs="Aptos"/>
                        <w:color w:val="000000"/>
                        <w:sz w:val="20"/>
                        <w:szCs w:val="20"/>
                      </w:rPr>
                      <w:t>General</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96518">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9ACE74">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B9ACE74">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EEE2">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86CB0D">
                          <w:pPr>
                            <w:pStyle w:val="12"/>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286CB0D">
                    <w:pPr>
                      <w:pStyle w:val="12"/>
                    </w:pPr>
                    <w:r>
                      <w:fldChar w:fldCharType="begin"/>
                    </w:r>
                    <w:r>
                      <w:instrText xml:space="preserve"> PAGE  \* MERGEFORMAT </w:instrText>
                    </w:r>
                    <w:r>
                      <w:fldChar w:fldCharType="separate"/>
                    </w:r>
                    <w:r>
                      <w:t>32</w:t>
                    </w:r>
                    <w:r>
                      <w:fldChar w:fldCharType="end"/>
                    </w:r>
                  </w:p>
                </w:txbxContent>
              </v:textbox>
            </v:shape>
          </w:pict>
        </mc:Fallback>
      </mc:AlternateContent>
    </w:r>
  </w:p>
  <w:p w14:paraId="57939FF2">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F0B5F">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17970">
    <w:pPr>
      <w:pStyle w:val="13"/>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BA1D8">
    <w:pPr>
      <w:pStyle w:val="13"/>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38B42">
    <w:pPr>
      <w:pStyle w:val="1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1D2219"/>
    <w:multiLevelType w:val="singleLevel"/>
    <w:tmpl w:val="FE1D221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20"/>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1EB3"/>
    <w:rsid w:val="00033DAB"/>
    <w:rsid w:val="00050011"/>
    <w:rsid w:val="00060A39"/>
    <w:rsid w:val="0006243A"/>
    <w:rsid w:val="00072AA3"/>
    <w:rsid w:val="000822C1"/>
    <w:rsid w:val="00087579"/>
    <w:rsid w:val="000877EE"/>
    <w:rsid w:val="000936C4"/>
    <w:rsid w:val="000A73FD"/>
    <w:rsid w:val="000C3DC4"/>
    <w:rsid w:val="000C6F12"/>
    <w:rsid w:val="000C72DE"/>
    <w:rsid w:val="000D580D"/>
    <w:rsid w:val="000D7F46"/>
    <w:rsid w:val="000F1C5C"/>
    <w:rsid w:val="000F3B87"/>
    <w:rsid w:val="00126F7D"/>
    <w:rsid w:val="001277AD"/>
    <w:rsid w:val="00130C34"/>
    <w:rsid w:val="00131E6B"/>
    <w:rsid w:val="00133197"/>
    <w:rsid w:val="0014286F"/>
    <w:rsid w:val="00145D18"/>
    <w:rsid w:val="001657AB"/>
    <w:rsid w:val="001722B4"/>
    <w:rsid w:val="00182153"/>
    <w:rsid w:val="001A1C91"/>
    <w:rsid w:val="001A7AD9"/>
    <w:rsid w:val="001C4E88"/>
    <w:rsid w:val="001C66F6"/>
    <w:rsid w:val="001D1208"/>
    <w:rsid w:val="001D37D8"/>
    <w:rsid w:val="001D52F6"/>
    <w:rsid w:val="001E3F91"/>
    <w:rsid w:val="001F7380"/>
    <w:rsid w:val="0021086E"/>
    <w:rsid w:val="00213880"/>
    <w:rsid w:val="00217C3C"/>
    <w:rsid w:val="00220FA1"/>
    <w:rsid w:val="00224CB4"/>
    <w:rsid w:val="0023708C"/>
    <w:rsid w:val="00241CA3"/>
    <w:rsid w:val="00241DD2"/>
    <w:rsid w:val="002533B7"/>
    <w:rsid w:val="00270F2F"/>
    <w:rsid w:val="00272C5F"/>
    <w:rsid w:val="00276876"/>
    <w:rsid w:val="002861E1"/>
    <w:rsid w:val="002964B6"/>
    <w:rsid w:val="002B2FCB"/>
    <w:rsid w:val="002C29FB"/>
    <w:rsid w:val="002D11BA"/>
    <w:rsid w:val="002D4E96"/>
    <w:rsid w:val="002D64F7"/>
    <w:rsid w:val="002E36DD"/>
    <w:rsid w:val="002E3BD3"/>
    <w:rsid w:val="003058B2"/>
    <w:rsid w:val="00335ADA"/>
    <w:rsid w:val="003451AD"/>
    <w:rsid w:val="00345C98"/>
    <w:rsid w:val="003516C5"/>
    <w:rsid w:val="003543DC"/>
    <w:rsid w:val="003A4927"/>
    <w:rsid w:val="003B7BA2"/>
    <w:rsid w:val="003C09AD"/>
    <w:rsid w:val="003C4080"/>
    <w:rsid w:val="003C52D7"/>
    <w:rsid w:val="003E34BC"/>
    <w:rsid w:val="003E6384"/>
    <w:rsid w:val="003F09A2"/>
    <w:rsid w:val="003F5D9B"/>
    <w:rsid w:val="004145D3"/>
    <w:rsid w:val="00417A22"/>
    <w:rsid w:val="00440D93"/>
    <w:rsid w:val="004471D9"/>
    <w:rsid w:val="00450793"/>
    <w:rsid w:val="004536B9"/>
    <w:rsid w:val="004547EA"/>
    <w:rsid w:val="00460DA6"/>
    <w:rsid w:val="004668C5"/>
    <w:rsid w:val="0047208D"/>
    <w:rsid w:val="0048608D"/>
    <w:rsid w:val="004A0792"/>
    <w:rsid w:val="004C1B24"/>
    <w:rsid w:val="004E008B"/>
    <w:rsid w:val="004E1AB3"/>
    <w:rsid w:val="004E7A38"/>
    <w:rsid w:val="004F24C9"/>
    <w:rsid w:val="00506965"/>
    <w:rsid w:val="00512169"/>
    <w:rsid w:val="00520060"/>
    <w:rsid w:val="005375DE"/>
    <w:rsid w:val="00550342"/>
    <w:rsid w:val="00554075"/>
    <w:rsid w:val="005703C1"/>
    <w:rsid w:val="00572E8D"/>
    <w:rsid w:val="0057425D"/>
    <w:rsid w:val="00575282"/>
    <w:rsid w:val="00575CE7"/>
    <w:rsid w:val="00576FC0"/>
    <w:rsid w:val="00580EBB"/>
    <w:rsid w:val="00581C68"/>
    <w:rsid w:val="00582018"/>
    <w:rsid w:val="00592AF5"/>
    <w:rsid w:val="005939E4"/>
    <w:rsid w:val="005A22A8"/>
    <w:rsid w:val="005A2E63"/>
    <w:rsid w:val="005A7108"/>
    <w:rsid w:val="005B0B0B"/>
    <w:rsid w:val="005B5AFF"/>
    <w:rsid w:val="005B5F82"/>
    <w:rsid w:val="005B7598"/>
    <w:rsid w:val="005E0558"/>
    <w:rsid w:val="005E06C1"/>
    <w:rsid w:val="005E1087"/>
    <w:rsid w:val="005E4914"/>
    <w:rsid w:val="005E532B"/>
    <w:rsid w:val="005F03DC"/>
    <w:rsid w:val="006003DB"/>
    <w:rsid w:val="006008D3"/>
    <w:rsid w:val="006009DF"/>
    <w:rsid w:val="00604148"/>
    <w:rsid w:val="00604AE0"/>
    <w:rsid w:val="00607F8A"/>
    <w:rsid w:val="00612300"/>
    <w:rsid w:val="00622EDA"/>
    <w:rsid w:val="00625283"/>
    <w:rsid w:val="00635EA9"/>
    <w:rsid w:val="00656404"/>
    <w:rsid w:val="0067550D"/>
    <w:rsid w:val="006861AF"/>
    <w:rsid w:val="006A0C51"/>
    <w:rsid w:val="006A3590"/>
    <w:rsid w:val="006B6AE3"/>
    <w:rsid w:val="006D3240"/>
    <w:rsid w:val="006E350A"/>
    <w:rsid w:val="006E6C27"/>
    <w:rsid w:val="007021BC"/>
    <w:rsid w:val="00703C17"/>
    <w:rsid w:val="007114E2"/>
    <w:rsid w:val="007143FF"/>
    <w:rsid w:val="00727FD1"/>
    <w:rsid w:val="00731B42"/>
    <w:rsid w:val="007427A4"/>
    <w:rsid w:val="007427CA"/>
    <w:rsid w:val="00743F4C"/>
    <w:rsid w:val="00761855"/>
    <w:rsid w:val="00770D53"/>
    <w:rsid w:val="00770F5B"/>
    <w:rsid w:val="00774C98"/>
    <w:rsid w:val="0078433B"/>
    <w:rsid w:val="00786AEA"/>
    <w:rsid w:val="007913E8"/>
    <w:rsid w:val="00797B90"/>
    <w:rsid w:val="007A4F78"/>
    <w:rsid w:val="007A57A7"/>
    <w:rsid w:val="007B613E"/>
    <w:rsid w:val="007D1B4D"/>
    <w:rsid w:val="007D3F87"/>
    <w:rsid w:val="007E02E2"/>
    <w:rsid w:val="007E6CDC"/>
    <w:rsid w:val="007F4A53"/>
    <w:rsid w:val="007F781E"/>
    <w:rsid w:val="008015B3"/>
    <w:rsid w:val="0080585B"/>
    <w:rsid w:val="00806A29"/>
    <w:rsid w:val="00834896"/>
    <w:rsid w:val="008479A5"/>
    <w:rsid w:val="00852936"/>
    <w:rsid w:val="008603E5"/>
    <w:rsid w:val="00867E40"/>
    <w:rsid w:val="008705AE"/>
    <w:rsid w:val="0087336F"/>
    <w:rsid w:val="00875649"/>
    <w:rsid w:val="00885671"/>
    <w:rsid w:val="0089250A"/>
    <w:rsid w:val="00892DEC"/>
    <w:rsid w:val="008A27B9"/>
    <w:rsid w:val="008A57B2"/>
    <w:rsid w:val="008B1A03"/>
    <w:rsid w:val="008C0C45"/>
    <w:rsid w:val="008D4847"/>
    <w:rsid w:val="008D72FE"/>
    <w:rsid w:val="008E02B7"/>
    <w:rsid w:val="008E7140"/>
    <w:rsid w:val="008F0ABF"/>
    <w:rsid w:val="00905314"/>
    <w:rsid w:val="00913116"/>
    <w:rsid w:val="00916959"/>
    <w:rsid w:val="00936DB6"/>
    <w:rsid w:val="0094384C"/>
    <w:rsid w:val="00964520"/>
    <w:rsid w:val="009675C0"/>
    <w:rsid w:val="00981B8E"/>
    <w:rsid w:val="009A7082"/>
    <w:rsid w:val="009B3C45"/>
    <w:rsid w:val="009B5937"/>
    <w:rsid w:val="009B5D98"/>
    <w:rsid w:val="009B7B4E"/>
    <w:rsid w:val="009D033A"/>
    <w:rsid w:val="009D0E49"/>
    <w:rsid w:val="009D6EEC"/>
    <w:rsid w:val="009E2108"/>
    <w:rsid w:val="009E5061"/>
    <w:rsid w:val="009F2836"/>
    <w:rsid w:val="00A04E05"/>
    <w:rsid w:val="00A14EF1"/>
    <w:rsid w:val="00A15517"/>
    <w:rsid w:val="00A222E8"/>
    <w:rsid w:val="00A30B04"/>
    <w:rsid w:val="00A32BDC"/>
    <w:rsid w:val="00A43A8A"/>
    <w:rsid w:val="00A75B6C"/>
    <w:rsid w:val="00A91D5D"/>
    <w:rsid w:val="00AA01B4"/>
    <w:rsid w:val="00AB4DF3"/>
    <w:rsid w:val="00AB6541"/>
    <w:rsid w:val="00AC72E8"/>
    <w:rsid w:val="00AD6764"/>
    <w:rsid w:val="00B00F70"/>
    <w:rsid w:val="00B07FC7"/>
    <w:rsid w:val="00B14626"/>
    <w:rsid w:val="00B2564D"/>
    <w:rsid w:val="00B3048B"/>
    <w:rsid w:val="00B36345"/>
    <w:rsid w:val="00B44D9E"/>
    <w:rsid w:val="00B52BA3"/>
    <w:rsid w:val="00B577DA"/>
    <w:rsid w:val="00B63B6C"/>
    <w:rsid w:val="00B72CF5"/>
    <w:rsid w:val="00B73C22"/>
    <w:rsid w:val="00B74EAC"/>
    <w:rsid w:val="00B90792"/>
    <w:rsid w:val="00BA1825"/>
    <w:rsid w:val="00BA2FDD"/>
    <w:rsid w:val="00BB6875"/>
    <w:rsid w:val="00BD0A68"/>
    <w:rsid w:val="00BD116D"/>
    <w:rsid w:val="00BD2C9F"/>
    <w:rsid w:val="00BE2103"/>
    <w:rsid w:val="00BE30CA"/>
    <w:rsid w:val="00BF0326"/>
    <w:rsid w:val="00BF23B3"/>
    <w:rsid w:val="00C0670D"/>
    <w:rsid w:val="00C15CAE"/>
    <w:rsid w:val="00C54EDF"/>
    <w:rsid w:val="00C61301"/>
    <w:rsid w:val="00C65334"/>
    <w:rsid w:val="00C77A3A"/>
    <w:rsid w:val="00C8067F"/>
    <w:rsid w:val="00C81F39"/>
    <w:rsid w:val="00C96177"/>
    <w:rsid w:val="00CA5760"/>
    <w:rsid w:val="00CB0949"/>
    <w:rsid w:val="00CB31B3"/>
    <w:rsid w:val="00CD0892"/>
    <w:rsid w:val="00CD29B4"/>
    <w:rsid w:val="00CD7B0D"/>
    <w:rsid w:val="00CE0466"/>
    <w:rsid w:val="00CE73B7"/>
    <w:rsid w:val="00CF015C"/>
    <w:rsid w:val="00D12814"/>
    <w:rsid w:val="00D167C9"/>
    <w:rsid w:val="00D259F0"/>
    <w:rsid w:val="00D41EDF"/>
    <w:rsid w:val="00D66911"/>
    <w:rsid w:val="00D72128"/>
    <w:rsid w:val="00D84B4B"/>
    <w:rsid w:val="00D8609F"/>
    <w:rsid w:val="00D8721B"/>
    <w:rsid w:val="00D96BDE"/>
    <w:rsid w:val="00DB1934"/>
    <w:rsid w:val="00DB3106"/>
    <w:rsid w:val="00DE6DD0"/>
    <w:rsid w:val="00E031E7"/>
    <w:rsid w:val="00E078F8"/>
    <w:rsid w:val="00E12E8C"/>
    <w:rsid w:val="00E17996"/>
    <w:rsid w:val="00E24003"/>
    <w:rsid w:val="00E2498C"/>
    <w:rsid w:val="00E50F9B"/>
    <w:rsid w:val="00E57C1C"/>
    <w:rsid w:val="00E60BC8"/>
    <w:rsid w:val="00E63CBF"/>
    <w:rsid w:val="00E76C1A"/>
    <w:rsid w:val="00E77CB1"/>
    <w:rsid w:val="00E81726"/>
    <w:rsid w:val="00E95C72"/>
    <w:rsid w:val="00E969D2"/>
    <w:rsid w:val="00EA060E"/>
    <w:rsid w:val="00EA45E8"/>
    <w:rsid w:val="00ED0E9B"/>
    <w:rsid w:val="00ED726B"/>
    <w:rsid w:val="00EE624C"/>
    <w:rsid w:val="00F07ECE"/>
    <w:rsid w:val="00F104E8"/>
    <w:rsid w:val="00F36E08"/>
    <w:rsid w:val="00F53F51"/>
    <w:rsid w:val="00F56153"/>
    <w:rsid w:val="00F838DA"/>
    <w:rsid w:val="00F8456C"/>
    <w:rsid w:val="00F923D8"/>
    <w:rsid w:val="00FA1A5C"/>
    <w:rsid w:val="00FA4520"/>
    <w:rsid w:val="00FB4F9D"/>
    <w:rsid w:val="00FC1827"/>
    <w:rsid w:val="00FC5D57"/>
    <w:rsid w:val="00FD5E41"/>
    <w:rsid w:val="00FF58C5"/>
    <w:rsid w:val="00FF628A"/>
    <w:rsid w:val="043E18CA"/>
    <w:rsid w:val="06E27ADA"/>
    <w:rsid w:val="07440B95"/>
    <w:rsid w:val="08B1198F"/>
    <w:rsid w:val="0A6C3DC0"/>
    <w:rsid w:val="115D651F"/>
    <w:rsid w:val="11714165"/>
    <w:rsid w:val="12567973"/>
    <w:rsid w:val="166C3E5C"/>
    <w:rsid w:val="1719707D"/>
    <w:rsid w:val="1CFF214E"/>
    <w:rsid w:val="1E190503"/>
    <w:rsid w:val="21217D8A"/>
    <w:rsid w:val="2386555D"/>
    <w:rsid w:val="24435D01"/>
    <w:rsid w:val="250F1AC0"/>
    <w:rsid w:val="262A4E03"/>
    <w:rsid w:val="27E162AD"/>
    <w:rsid w:val="282E038C"/>
    <w:rsid w:val="29E140BF"/>
    <w:rsid w:val="2A631000"/>
    <w:rsid w:val="2BCE6231"/>
    <w:rsid w:val="2C3562B0"/>
    <w:rsid w:val="2CCD3838"/>
    <w:rsid w:val="2E5E3CB8"/>
    <w:rsid w:val="308F7574"/>
    <w:rsid w:val="326B64DD"/>
    <w:rsid w:val="3A3C76E9"/>
    <w:rsid w:val="45120AE5"/>
    <w:rsid w:val="458D0D8B"/>
    <w:rsid w:val="462E7BA0"/>
    <w:rsid w:val="4DC81F78"/>
    <w:rsid w:val="4F7244C4"/>
    <w:rsid w:val="500501A6"/>
    <w:rsid w:val="51492FE2"/>
    <w:rsid w:val="54AF4891"/>
    <w:rsid w:val="5A313B60"/>
    <w:rsid w:val="5B02162B"/>
    <w:rsid w:val="5BC86423"/>
    <w:rsid w:val="5BED3CEF"/>
    <w:rsid w:val="5C6F4617"/>
    <w:rsid w:val="5D9600A9"/>
    <w:rsid w:val="5F9D2B92"/>
    <w:rsid w:val="60A60CCB"/>
    <w:rsid w:val="62F85366"/>
    <w:rsid w:val="63143EF4"/>
    <w:rsid w:val="639579B5"/>
    <w:rsid w:val="65316E3C"/>
    <w:rsid w:val="6AED5C1F"/>
    <w:rsid w:val="6F420807"/>
    <w:rsid w:val="70714B0F"/>
    <w:rsid w:val="7288319E"/>
    <w:rsid w:val="7A3E58FC"/>
    <w:rsid w:val="7ACB5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9"/>
    <w:pPr>
      <w:keepNext/>
      <w:keepLines/>
      <w:spacing w:before="340" w:after="330" w:line="360" w:lineRule="auto"/>
      <w:outlineLvl w:val="0"/>
    </w:pPr>
    <w:rPr>
      <w:b/>
      <w:bCs/>
      <w:kern w:val="44"/>
      <w:sz w:val="32"/>
      <w:szCs w:val="44"/>
    </w:rPr>
  </w:style>
  <w:style w:type="paragraph" w:styleId="2">
    <w:name w:val="heading 2"/>
    <w:basedOn w:val="1"/>
    <w:next w:val="1"/>
    <w:link w:val="55"/>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5"/>
    <w:unhideWhenUsed/>
    <w:qFormat/>
    <w:uiPriority w:val="0"/>
    <w:pPr>
      <w:keepNext/>
      <w:keepLines/>
      <w:spacing w:before="260" w:after="260" w:line="416" w:lineRule="auto"/>
      <w:outlineLvl w:val="2"/>
    </w:pPr>
    <w:rPr>
      <w:b/>
      <w:bCs/>
      <w:sz w:val="32"/>
      <w:szCs w:val="32"/>
    </w:rPr>
  </w:style>
  <w:style w:type="paragraph" w:styleId="5">
    <w:name w:val="heading 9"/>
    <w:basedOn w:val="1"/>
    <w:next w:val="1"/>
    <w:link w:val="44"/>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toa heading"/>
    <w:basedOn w:val="1"/>
    <w:next w:val="1"/>
    <w:qFormat/>
    <w:uiPriority w:val="0"/>
    <w:pPr>
      <w:snapToGrid w:val="0"/>
      <w:spacing w:before="120" w:line="360" w:lineRule="auto"/>
    </w:pPr>
    <w:rPr>
      <w:rFonts w:ascii="Arial" w:hAnsi="Arial"/>
      <w:snapToGrid w:val="0"/>
      <w:color w:val="000000"/>
      <w:szCs w:val="20"/>
    </w:rPr>
  </w:style>
  <w:style w:type="paragraph" w:styleId="7">
    <w:name w:val="annotation text"/>
    <w:basedOn w:val="1"/>
    <w:link w:val="35"/>
    <w:qFormat/>
    <w:uiPriority w:val="0"/>
  </w:style>
  <w:style w:type="paragraph" w:styleId="8">
    <w:name w:val="Body Text"/>
    <w:basedOn w:val="1"/>
    <w:next w:val="9"/>
    <w:link w:val="37"/>
    <w:qFormat/>
    <w:uiPriority w:val="99"/>
    <w:pPr>
      <w:spacing w:after="120"/>
    </w:pPr>
    <w:rPr>
      <w:rFonts w:ascii="Times New Roman"/>
    </w:rPr>
  </w:style>
  <w:style w:type="paragraph" w:styleId="9">
    <w:name w:val="Body Text Indent"/>
    <w:basedOn w:val="1"/>
    <w:next w:val="1"/>
    <w:link w:val="49"/>
    <w:qFormat/>
    <w:uiPriority w:val="0"/>
    <w:pPr>
      <w:autoSpaceDE/>
      <w:autoSpaceDN/>
      <w:adjustRightInd/>
      <w:spacing w:line="480" w:lineRule="exact"/>
      <w:ind w:firstLine="560" w:firstLineChars="200"/>
      <w:jc w:val="both"/>
    </w:pPr>
    <w:rPr>
      <w:rFonts w:hAnsi="宋体"/>
      <w:kern w:val="2"/>
      <w:sz w:val="28"/>
    </w:rPr>
  </w:style>
  <w:style w:type="paragraph" w:styleId="10">
    <w:name w:val="Plain Text"/>
    <w:basedOn w:val="1"/>
    <w:link w:val="43"/>
    <w:qFormat/>
    <w:uiPriority w:val="0"/>
    <w:pPr>
      <w:autoSpaceDE/>
      <w:autoSpaceDN/>
      <w:adjustRightInd/>
      <w:jc w:val="both"/>
    </w:pPr>
    <w:rPr>
      <w:rFonts w:hAnsi="Courier New"/>
      <w:kern w:val="2"/>
      <w:sz w:val="21"/>
      <w:szCs w:val="20"/>
    </w:rPr>
  </w:style>
  <w:style w:type="paragraph" w:styleId="11">
    <w:name w:val="Balloon Text"/>
    <w:basedOn w:val="1"/>
    <w:link w:val="34"/>
    <w:qFormat/>
    <w:uiPriority w:val="99"/>
    <w:rPr>
      <w:sz w:val="18"/>
      <w:szCs w:val="18"/>
    </w:rPr>
  </w:style>
  <w:style w:type="paragraph" w:styleId="12">
    <w:name w:val="footer"/>
    <w:basedOn w:val="1"/>
    <w:link w:val="45"/>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3">
    <w:name w:val="header"/>
    <w:basedOn w:val="1"/>
    <w:link w:val="4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toc 1"/>
    <w:basedOn w:val="1"/>
    <w:next w:val="1"/>
    <w:unhideWhenUsed/>
    <w:qFormat/>
    <w:uiPriority w:val="39"/>
    <w:pPr>
      <w:tabs>
        <w:tab w:val="right" w:leader="dot" w:pos="8296"/>
      </w:tabs>
      <w:spacing w:line="360" w:lineRule="auto"/>
    </w:pPr>
  </w:style>
  <w:style w:type="paragraph" w:styleId="15">
    <w:name w:val="Subtitle"/>
    <w:basedOn w:val="1"/>
    <w:next w:val="1"/>
    <w:link w:val="40"/>
    <w:qFormat/>
    <w:uiPriority w:val="11"/>
    <w:pPr>
      <w:spacing w:before="240" w:after="60" w:line="312" w:lineRule="auto"/>
      <w:jc w:val="center"/>
      <w:outlineLvl w:val="1"/>
    </w:pPr>
    <w:rPr>
      <w:rFonts w:ascii="Cambria" w:hAnsi="Cambria"/>
      <w:b/>
      <w:bCs/>
      <w:kern w:val="28"/>
      <w:sz w:val="32"/>
      <w:szCs w:val="32"/>
    </w:rPr>
  </w:style>
  <w:style w:type="paragraph" w:styleId="16">
    <w:name w:val="toc 6"/>
    <w:basedOn w:val="1"/>
    <w:next w:val="1"/>
    <w:qFormat/>
    <w:uiPriority w:val="0"/>
    <w:pPr>
      <w:ind w:left="2100" w:leftChars="1000"/>
    </w:pPr>
  </w:style>
  <w:style w:type="paragraph" w:styleId="17">
    <w:name w:val="Body Text 2"/>
    <w:basedOn w:val="1"/>
    <w:qFormat/>
    <w:uiPriority w:val="0"/>
    <w:pPr>
      <w:snapToGrid w:val="0"/>
    </w:pPr>
    <w:rPr>
      <w:rFonts w:ascii="宋体" w:hAnsi="宋体"/>
      <w:sz w:val="24"/>
    </w:rPr>
  </w:style>
  <w:style w:type="paragraph" w:styleId="18">
    <w:name w:val="HTML Preformatted"/>
    <w:basedOn w:val="1"/>
    <w:link w:val="4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9">
    <w:name w:val="annotation subject"/>
    <w:basedOn w:val="7"/>
    <w:next w:val="7"/>
    <w:link w:val="36"/>
    <w:qFormat/>
    <w:uiPriority w:val="99"/>
    <w:rPr>
      <w:b/>
      <w:bCs/>
    </w:rPr>
  </w:style>
  <w:style w:type="paragraph" w:styleId="20">
    <w:name w:val="Body Text First Indent"/>
    <w:basedOn w:val="8"/>
    <w:next w:val="16"/>
    <w:link w:val="38"/>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21">
    <w:name w:val="Body Text First Indent 2"/>
    <w:basedOn w:val="9"/>
    <w:link w:val="54"/>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unhideWhenUsed/>
    <w:qFormat/>
    <w:uiPriority w:val="99"/>
    <w:rPr>
      <w:color w:val="954F72"/>
      <w:u w:val="single"/>
    </w:rPr>
  </w:style>
  <w:style w:type="character" w:styleId="27">
    <w:name w:val="Hyperlink"/>
    <w:basedOn w:val="24"/>
    <w:unhideWhenUsed/>
    <w:qFormat/>
    <w:uiPriority w:val="99"/>
    <w:rPr>
      <w:color w:val="0563C1" w:themeColor="hyperlink"/>
      <w:u w:val="single"/>
      <w14:textFill>
        <w14:solidFill>
          <w14:schemeClr w14:val="hlink"/>
        </w14:solidFill>
      </w14:textFill>
    </w:rPr>
  </w:style>
  <w:style w:type="character" w:styleId="28">
    <w:name w:val="annotation reference"/>
    <w:basedOn w:val="24"/>
    <w:qFormat/>
    <w:uiPriority w:val="99"/>
    <w:rPr>
      <w:sz w:val="21"/>
      <w:szCs w:val="21"/>
    </w:rPr>
  </w:style>
  <w:style w:type="paragraph" w:customStyle="1" w:styleId="29">
    <w:name w:val="TOC 标题1"/>
    <w:basedOn w:val="3"/>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30">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31">
    <w:name w:val="彩色列表 - 强调文字颜色 11"/>
    <w:basedOn w:val="1"/>
    <w:qFormat/>
    <w:uiPriority w:val="34"/>
    <w:pPr>
      <w:ind w:firstLine="420" w:firstLineChars="200"/>
    </w:pPr>
  </w:style>
  <w:style w:type="paragraph" w:customStyle="1" w:styleId="32">
    <w:name w:val="文本格式"/>
    <w:basedOn w:val="1"/>
    <w:link w:val="33"/>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3">
    <w:name w:val="文本格式 Char"/>
    <w:basedOn w:val="24"/>
    <w:link w:val="32"/>
    <w:qFormat/>
    <w:uiPriority w:val="0"/>
    <w:rPr>
      <w:kern w:val="2"/>
      <w:sz w:val="24"/>
      <w:szCs w:val="28"/>
    </w:rPr>
  </w:style>
  <w:style w:type="character" w:customStyle="1" w:styleId="34">
    <w:name w:val="批注框文本 字符"/>
    <w:basedOn w:val="24"/>
    <w:link w:val="11"/>
    <w:qFormat/>
    <w:uiPriority w:val="99"/>
    <w:rPr>
      <w:rFonts w:ascii="宋体"/>
      <w:sz w:val="18"/>
      <w:szCs w:val="18"/>
    </w:rPr>
  </w:style>
  <w:style w:type="character" w:customStyle="1" w:styleId="35">
    <w:name w:val="批注文字 字符"/>
    <w:basedOn w:val="24"/>
    <w:link w:val="7"/>
    <w:qFormat/>
    <w:uiPriority w:val="99"/>
    <w:rPr>
      <w:rFonts w:ascii="宋体"/>
      <w:sz w:val="24"/>
      <w:szCs w:val="24"/>
    </w:rPr>
  </w:style>
  <w:style w:type="character" w:customStyle="1" w:styleId="36">
    <w:name w:val="批注主题 字符"/>
    <w:basedOn w:val="35"/>
    <w:link w:val="19"/>
    <w:qFormat/>
    <w:uiPriority w:val="99"/>
    <w:rPr>
      <w:rFonts w:ascii="宋体"/>
      <w:b/>
      <w:bCs/>
      <w:sz w:val="24"/>
      <w:szCs w:val="24"/>
    </w:rPr>
  </w:style>
  <w:style w:type="character" w:customStyle="1" w:styleId="37">
    <w:name w:val="正文文本 字符"/>
    <w:basedOn w:val="24"/>
    <w:link w:val="8"/>
    <w:qFormat/>
    <w:uiPriority w:val="0"/>
    <w:rPr>
      <w:sz w:val="24"/>
      <w:szCs w:val="24"/>
    </w:rPr>
  </w:style>
  <w:style w:type="character" w:customStyle="1" w:styleId="38">
    <w:name w:val="正文首行缩进 字符"/>
    <w:basedOn w:val="37"/>
    <w:link w:val="20"/>
    <w:qFormat/>
    <w:uiPriority w:val="0"/>
    <w:rPr>
      <w:kern w:val="2"/>
      <w:sz w:val="21"/>
      <w:szCs w:val="24"/>
      <w:lang w:val="zh-CN"/>
    </w:rPr>
  </w:style>
  <w:style w:type="paragraph" w:customStyle="1" w:styleId="39">
    <w:name w:val="p0"/>
    <w:basedOn w:val="1"/>
    <w:qFormat/>
    <w:uiPriority w:val="0"/>
    <w:pPr>
      <w:autoSpaceDE/>
      <w:autoSpaceDN/>
      <w:adjustRightInd/>
      <w:jc w:val="both"/>
    </w:pPr>
    <w:rPr>
      <w:rFonts w:ascii="Times New Roman"/>
      <w:sz w:val="21"/>
      <w:szCs w:val="21"/>
    </w:rPr>
  </w:style>
  <w:style w:type="character" w:customStyle="1" w:styleId="40">
    <w:name w:val="副标题 字符1"/>
    <w:link w:val="15"/>
    <w:qFormat/>
    <w:uiPriority w:val="11"/>
    <w:rPr>
      <w:rFonts w:ascii="Cambria" w:hAnsi="Cambria"/>
      <w:b/>
      <w:bCs/>
      <w:kern w:val="28"/>
      <w:sz w:val="32"/>
      <w:szCs w:val="32"/>
      <w:lang w:val="en-US" w:eastAsia="zh-CN"/>
    </w:rPr>
  </w:style>
  <w:style w:type="character" w:customStyle="1" w:styleId="41">
    <w:name w:val="副标题 字符"/>
    <w:basedOn w:val="24"/>
    <w:qFormat/>
    <w:uiPriority w:val="0"/>
    <w:rPr>
      <w:rFonts w:asciiTheme="minorHAnsi" w:hAnsiTheme="minorHAnsi" w:eastAsiaTheme="minorEastAsia" w:cstheme="minorBidi"/>
      <w:b/>
      <w:bCs/>
      <w:kern w:val="28"/>
      <w:sz w:val="32"/>
      <w:szCs w:val="32"/>
    </w:rPr>
  </w:style>
  <w:style w:type="paragraph" w:customStyle="1" w:styleId="42">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3">
    <w:name w:val="纯文本 字符"/>
    <w:basedOn w:val="24"/>
    <w:link w:val="10"/>
    <w:qFormat/>
    <w:uiPriority w:val="0"/>
    <w:rPr>
      <w:rFonts w:ascii="宋体" w:hAnsi="Courier New"/>
      <w:kern w:val="2"/>
      <w:sz w:val="21"/>
    </w:rPr>
  </w:style>
  <w:style w:type="character" w:customStyle="1" w:styleId="44">
    <w:name w:val="标题 9 字符"/>
    <w:basedOn w:val="24"/>
    <w:link w:val="5"/>
    <w:semiHidden/>
    <w:qFormat/>
    <w:uiPriority w:val="0"/>
    <w:rPr>
      <w:rFonts w:ascii="等线 Light" w:hAnsi="等线 Light" w:eastAsia="等线 Light"/>
      <w:kern w:val="2"/>
      <w:sz w:val="21"/>
      <w:szCs w:val="21"/>
    </w:rPr>
  </w:style>
  <w:style w:type="character" w:customStyle="1" w:styleId="45">
    <w:name w:val="页脚 字符"/>
    <w:link w:val="12"/>
    <w:qFormat/>
    <w:uiPriority w:val="99"/>
    <w:rPr>
      <w:rFonts w:asciiTheme="minorHAnsi" w:hAnsiTheme="minorHAnsi" w:eastAsiaTheme="minorEastAsia" w:cstheme="minorBidi"/>
      <w:kern w:val="2"/>
      <w:sz w:val="18"/>
      <w:szCs w:val="18"/>
    </w:rPr>
  </w:style>
  <w:style w:type="character" w:customStyle="1" w:styleId="46">
    <w:name w:val="页眉 字符"/>
    <w:link w:val="13"/>
    <w:qFormat/>
    <w:uiPriority w:val="99"/>
    <w:rPr>
      <w:rFonts w:ascii="宋体"/>
      <w:sz w:val="18"/>
      <w:szCs w:val="24"/>
    </w:rPr>
  </w:style>
  <w:style w:type="character" w:customStyle="1" w:styleId="47">
    <w:name w:val="HTML 预设格式 字符"/>
    <w:basedOn w:val="24"/>
    <w:link w:val="18"/>
    <w:qFormat/>
    <w:uiPriority w:val="0"/>
    <w:rPr>
      <w:rFonts w:ascii="宋体" w:hAnsi="宋体" w:cs="宋体"/>
      <w:sz w:val="24"/>
      <w:szCs w:val="24"/>
    </w:rPr>
  </w:style>
  <w:style w:type="paragraph" w:customStyle="1" w:styleId="48">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9">
    <w:name w:val="正文文本缩进 字符"/>
    <w:basedOn w:val="24"/>
    <w:link w:val="9"/>
    <w:qFormat/>
    <w:uiPriority w:val="0"/>
    <w:rPr>
      <w:rFonts w:ascii="宋体" w:hAnsi="宋体"/>
      <w:kern w:val="2"/>
      <w:sz w:val="28"/>
      <w:szCs w:val="24"/>
    </w:rPr>
  </w:style>
  <w:style w:type="paragraph" w:customStyle="1" w:styleId="50">
    <w:name w:val="修订1"/>
    <w:hidden/>
    <w:qFormat/>
    <w:uiPriority w:val="99"/>
    <w:rPr>
      <w:rFonts w:ascii="宋体" w:hAnsi="Times New Roman" w:eastAsia="宋体" w:cs="Times New Roman"/>
      <w:sz w:val="24"/>
      <w:szCs w:val="24"/>
      <w:lang w:val="en-US" w:eastAsia="zh-CN" w:bidi="ar-SA"/>
    </w:rPr>
  </w:style>
  <w:style w:type="character" w:customStyle="1" w:styleId="51">
    <w:name w:val="页脚 字符1"/>
    <w:basedOn w:val="24"/>
    <w:semiHidden/>
    <w:qFormat/>
    <w:uiPriority w:val="99"/>
    <w:rPr>
      <w:rFonts w:ascii="Times New Roman" w:hAnsi="Times New Roman"/>
      <w:kern w:val="2"/>
      <w:sz w:val="18"/>
      <w:szCs w:val="18"/>
    </w:rPr>
  </w:style>
  <w:style w:type="character" w:customStyle="1" w:styleId="52">
    <w:name w:val="页眉 字符1"/>
    <w:basedOn w:val="24"/>
    <w:semiHidden/>
    <w:qFormat/>
    <w:uiPriority w:val="99"/>
    <w:rPr>
      <w:rFonts w:ascii="Times New Roman" w:hAnsi="Times New Roman"/>
      <w:kern w:val="2"/>
      <w:sz w:val="18"/>
      <w:szCs w:val="18"/>
    </w:rPr>
  </w:style>
  <w:style w:type="table" w:customStyle="1" w:styleId="53">
    <w:name w:val="网格型1"/>
    <w:basedOn w:val="22"/>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4">
    <w:name w:val="正文首行缩进 2 字符"/>
    <w:basedOn w:val="49"/>
    <w:link w:val="21"/>
    <w:qFormat/>
    <w:uiPriority w:val="0"/>
    <w:rPr>
      <w:rFonts w:ascii="宋体" w:hAnsi="宋体"/>
      <w:kern w:val="2"/>
      <w:sz w:val="24"/>
      <w:szCs w:val="24"/>
    </w:rPr>
  </w:style>
  <w:style w:type="character" w:customStyle="1" w:styleId="55">
    <w:name w:val="标题 2 字符"/>
    <w:basedOn w:val="24"/>
    <w:link w:val="2"/>
    <w:semiHidden/>
    <w:qFormat/>
    <w:uiPriority w:val="0"/>
    <w:rPr>
      <w:rFonts w:asciiTheme="majorHAnsi" w:hAnsiTheme="majorHAnsi" w:eastAsiaTheme="majorEastAsia" w:cstheme="majorBidi"/>
      <w:b/>
      <w:bCs/>
      <w:sz w:val="32"/>
      <w:szCs w:val="32"/>
    </w:rPr>
  </w:style>
  <w:style w:type="character" w:customStyle="1" w:styleId="56">
    <w:name w:val="font01"/>
    <w:qFormat/>
    <w:uiPriority w:val="0"/>
    <w:rPr>
      <w:rFonts w:hint="eastAsia" w:ascii="宋体" w:hAnsi="宋体" w:eastAsia="宋体" w:cs="宋体"/>
      <w:color w:val="000000"/>
      <w:sz w:val="22"/>
      <w:szCs w:val="22"/>
      <w:u w:val="none"/>
    </w:rPr>
  </w:style>
  <w:style w:type="table" w:customStyle="1" w:styleId="57">
    <w:name w:val="网格型2"/>
    <w:basedOn w:val="2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8">
    <w:name w:val="正文文本缩进 21"/>
    <w:basedOn w:val="1"/>
    <w:qFormat/>
    <w:uiPriority w:val="0"/>
    <w:pPr>
      <w:spacing w:line="480" w:lineRule="auto"/>
      <w:ind w:firstLine="540"/>
      <w:textAlignment w:val="baseline"/>
    </w:pPr>
    <w:rPr>
      <w:rFonts w:ascii="Calibri" w:hAnsi="Calibri"/>
      <w:sz w:val="21"/>
      <w:szCs w:val="21"/>
    </w:rPr>
  </w:style>
  <w:style w:type="paragraph" w:customStyle="1" w:styleId="59">
    <w:name w:val="首行缩进"/>
    <w:basedOn w:val="1"/>
    <w:qFormat/>
    <w:uiPriority w:val="0"/>
    <w:pPr>
      <w:ind w:firstLine="480" w:firstLineChars="200"/>
    </w:pPr>
    <w:rPr>
      <w:lang w:val="zh-CN"/>
    </w:rPr>
  </w:style>
  <w:style w:type="character" w:customStyle="1" w:styleId="60">
    <w:name w:val="font11"/>
    <w:basedOn w:val="24"/>
    <w:qFormat/>
    <w:uiPriority w:val="0"/>
    <w:rPr>
      <w:rFonts w:hint="eastAsia" w:ascii="宋体" w:hAnsi="宋体" w:eastAsia="宋体" w:cs="宋体"/>
      <w:color w:val="000000"/>
      <w:sz w:val="22"/>
      <w:szCs w:val="22"/>
      <w:u w:val="none"/>
    </w:rPr>
  </w:style>
  <w:style w:type="character" w:customStyle="1" w:styleId="61">
    <w:name w:val="font41"/>
    <w:basedOn w:val="24"/>
    <w:qFormat/>
    <w:uiPriority w:val="0"/>
    <w:rPr>
      <w:rFonts w:hint="eastAsia" w:ascii="宋体" w:hAnsi="宋体" w:eastAsia="宋体" w:cs="宋体"/>
      <w:color w:val="000000"/>
      <w:sz w:val="20"/>
      <w:szCs w:val="20"/>
      <w:u w:val="none"/>
    </w:rPr>
  </w:style>
  <w:style w:type="character" w:customStyle="1" w:styleId="62">
    <w:name w:val="font31"/>
    <w:basedOn w:val="24"/>
    <w:qFormat/>
    <w:uiPriority w:val="0"/>
    <w:rPr>
      <w:rFonts w:hint="eastAsia" w:ascii="宋体" w:hAnsi="宋体" w:eastAsia="宋体" w:cs="宋体"/>
      <w:color w:val="000000"/>
      <w:sz w:val="20"/>
      <w:szCs w:val="20"/>
      <w:u w:val="none"/>
    </w:rPr>
  </w:style>
  <w:style w:type="paragraph" w:customStyle="1" w:styleId="6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6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65">
    <w:name w:val="标题 3 字符"/>
    <w:basedOn w:val="24"/>
    <w:link w:val="4"/>
    <w:semiHidden/>
    <w:qFormat/>
    <w:uiPriority w:val="0"/>
    <w:rPr>
      <w:rFonts w:ascii="宋体"/>
      <w:b/>
      <w:bCs/>
      <w:sz w:val="32"/>
      <w:szCs w:val="32"/>
    </w:rPr>
  </w:style>
  <w:style w:type="paragraph" w:customStyle="1" w:styleId="66">
    <w:name w:val="Other|1"/>
    <w:basedOn w:val="1"/>
    <w:qFormat/>
    <w:uiPriority w:val="0"/>
    <w:pPr>
      <w:autoSpaceDE/>
      <w:autoSpaceDN/>
      <w:adjustRightInd/>
      <w:jc w:val="both"/>
    </w:pPr>
    <w:rPr>
      <w:rFonts w:hAnsi="宋体" w:cs="宋体"/>
      <w:kern w:val="2"/>
      <w:sz w:val="22"/>
      <w:szCs w:val="22"/>
      <w:lang w:val="zh-TW" w:eastAsia="zh-TW" w:bidi="zh-TW"/>
    </w:rPr>
  </w:style>
  <w:style w:type="paragraph" w:customStyle="1" w:styleId="67">
    <w:name w:val="Table Text"/>
    <w:basedOn w:val="1"/>
    <w:semiHidden/>
    <w:qFormat/>
    <w:uiPriority w:val="0"/>
    <w:rPr>
      <w:rFonts w:hAnsi="宋体" w:cs="宋体"/>
      <w:lang w:eastAsia="en-US"/>
    </w:rPr>
  </w:style>
  <w:style w:type="character" w:customStyle="1" w:styleId="68">
    <w:name w:val="font21"/>
    <w:qFormat/>
    <w:uiPriority w:val="0"/>
    <w:rPr>
      <w:rFonts w:hint="eastAsia" w:ascii="宋体" w:hAnsi="宋体" w:eastAsia="宋体" w:cs="宋体"/>
      <w:color w:val="000000"/>
      <w:sz w:val="22"/>
      <w:szCs w:val="22"/>
      <w:u w:val="none"/>
    </w:rPr>
  </w:style>
  <w:style w:type="paragraph" w:customStyle="1" w:styleId="69">
    <w:name w:val="样式 宋体 行距: 1.5 倍行距"/>
    <w:basedOn w:val="1"/>
    <w:autoRedefine/>
    <w:qFormat/>
    <w:uiPriority w:val="0"/>
    <w:pPr>
      <w:jc w:val="center"/>
    </w:pPr>
    <w:rPr>
      <w:rFonts w:ascii="Times New Roman"/>
      <w:b/>
    </w:rPr>
  </w:style>
  <w:style w:type="table" w:customStyle="1" w:styleId="70">
    <w:name w:val="Table Normal1"/>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FCD8D8-5CAE-451F-8321-A827EB2A281B}">
  <ds:schemaRefs/>
</ds:datastoreItem>
</file>

<file path=docProps/app.xml><?xml version="1.0" encoding="utf-8"?>
<Properties xmlns="http://schemas.openxmlformats.org/officeDocument/2006/extended-properties" xmlns:vt="http://schemas.openxmlformats.org/officeDocument/2006/docPropsVTypes">
  <Template>Normal</Template>
  <Pages>31</Pages>
  <Words>1878</Words>
  <Characters>2073</Characters>
  <Lines>138</Lines>
  <Paragraphs>39</Paragraphs>
  <TotalTime>9</TotalTime>
  <ScaleCrop>false</ScaleCrop>
  <LinksUpToDate>false</LinksUpToDate>
  <CharactersWithSpaces>2106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hjw</cp:lastModifiedBy>
  <cp:lastPrinted>2020-10-15T06:52:00Z</cp:lastPrinted>
  <dcterms:modified xsi:type="dcterms:W3CDTF">2026-05-09T04:56:34Z</dcterms:modified>
  <cp:revision>266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eyJoZGlkIjoiOTVjMGEyOTZkNjk5MTkzNDI0NGVjZDJhMzI1NTRmYmUiLCJ1c2VySWQiOiIxNjAyNjcwNjAxIn0=</vt:lpwstr>
  </property>
  <property fmtid="{D5CDD505-2E9C-101B-9397-08002B2CF9AE}" pid="4" name="ICV">
    <vt:lpwstr>BC82B40AC4ED44C08EE8AF8773078854_13</vt:lpwstr>
  </property>
</Properties>
</file>