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D8E153">
      <w:pPr>
        <w:rPr>
          <w:rFonts w:hint="eastAsia" w:ascii="宋体" w:hAnsi="宋体" w:eastAsia="宋体" w:cs="宋体"/>
          <w:color w:val="auto"/>
          <w:highlight w:val="none"/>
          <w:lang w:val="zh-CN"/>
        </w:rPr>
      </w:pPr>
    </w:p>
    <w:p w14:paraId="7FEFF683">
      <w:pPr>
        <w:rPr>
          <w:rFonts w:hint="eastAsia" w:ascii="宋体" w:hAnsi="宋体" w:eastAsia="宋体" w:cs="宋体"/>
          <w:color w:val="auto"/>
          <w:highlight w:val="none"/>
          <w:lang w:val="zh-CN"/>
        </w:rPr>
      </w:pPr>
    </w:p>
    <w:p w14:paraId="7C571381">
      <w:pPr>
        <w:spacing w:line="276" w:lineRule="auto"/>
        <w:ind w:left="357" w:leftChars="170" w:right="-23" w:rightChars="-11"/>
        <w:jc w:val="center"/>
        <w:rPr>
          <w:rFonts w:hint="eastAsia" w:ascii="宋体" w:hAnsi="宋体" w:eastAsia="宋体" w:cs="宋体"/>
          <w:b/>
          <w:bCs/>
          <w:color w:val="auto"/>
          <w:kern w:val="0"/>
          <w:sz w:val="60"/>
          <w:szCs w:val="60"/>
          <w:highlight w:val="none"/>
          <w:lang w:val="zh-CN"/>
        </w:rPr>
      </w:pPr>
      <w:r>
        <w:rPr>
          <w:rFonts w:hint="eastAsia" w:cs="宋体"/>
          <w:b/>
          <w:bCs/>
          <w:color w:val="auto"/>
          <w:kern w:val="0"/>
          <w:sz w:val="60"/>
          <w:szCs w:val="60"/>
          <w:highlight w:val="none"/>
          <w:lang w:val="zh-CN"/>
        </w:rPr>
        <w:t>东莞市碧水信息科技有限公司2025年度球墨铸铁阀门采购项目（第三次招标）</w:t>
      </w:r>
    </w:p>
    <w:p w14:paraId="697CCF0D">
      <w:pPr>
        <w:rPr>
          <w:rFonts w:hint="eastAsia" w:ascii="宋体" w:hAnsi="宋体" w:eastAsia="宋体" w:cs="宋体"/>
          <w:color w:val="auto"/>
          <w:highlight w:val="none"/>
          <w:lang w:val="zh-CN"/>
        </w:rPr>
      </w:pPr>
    </w:p>
    <w:p w14:paraId="790C49A1">
      <w:pPr>
        <w:rPr>
          <w:rFonts w:hint="eastAsia" w:ascii="宋体" w:hAnsi="宋体" w:eastAsia="宋体" w:cs="宋体"/>
          <w:color w:val="auto"/>
          <w:highlight w:val="none"/>
          <w:lang w:val="zh-CN"/>
        </w:rPr>
      </w:pPr>
    </w:p>
    <w:p w14:paraId="739229FD">
      <w:pPr>
        <w:rPr>
          <w:rFonts w:hint="eastAsia" w:ascii="宋体" w:hAnsi="宋体" w:eastAsia="宋体" w:cs="宋体"/>
          <w:color w:val="auto"/>
          <w:highlight w:val="none"/>
        </w:rPr>
      </w:pPr>
    </w:p>
    <w:p w14:paraId="6596CB5A">
      <w:pPr>
        <w:rPr>
          <w:rFonts w:hint="eastAsia" w:ascii="宋体" w:hAnsi="宋体" w:eastAsia="宋体" w:cs="宋体"/>
          <w:color w:val="auto"/>
          <w:highlight w:val="none"/>
        </w:rPr>
      </w:pPr>
    </w:p>
    <w:p w14:paraId="3003FFCC">
      <w:pPr>
        <w:rPr>
          <w:rFonts w:hint="eastAsia" w:ascii="宋体" w:hAnsi="宋体" w:eastAsia="宋体" w:cs="宋体"/>
          <w:color w:val="auto"/>
          <w:highlight w:val="none"/>
        </w:rPr>
      </w:pPr>
    </w:p>
    <w:p w14:paraId="4C658254">
      <w:pPr>
        <w:ind w:right="-23" w:rightChars="-11"/>
        <w:jc w:val="center"/>
        <w:rPr>
          <w:rFonts w:hint="eastAsia" w:ascii="宋体" w:hAnsi="宋体" w:eastAsia="宋体" w:cs="宋体"/>
          <w:b/>
          <w:bCs/>
          <w:color w:val="auto"/>
          <w:sz w:val="72"/>
          <w:szCs w:val="72"/>
          <w:highlight w:val="none"/>
          <w:lang w:val="zh-CN"/>
        </w:rPr>
      </w:pPr>
      <w:r>
        <w:rPr>
          <w:rFonts w:hint="eastAsia" w:ascii="宋体" w:hAnsi="宋体" w:eastAsia="宋体" w:cs="宋体"/>
          <w:b/>
          <w:bCs/>
          <w:color w:val="auto"/>
          <w:sz w:val="72"/>
          <w:szCs w:val="72"/>
          <w:highlight w:val="none"/>
          <w:lang w:val="zh-CN"/>
        </w:rPr>
        <w:t>招</w:t>
      </w:r>
      <w:r>
        <w:rPr>
          <w:rFonts w:hint="eastAsia" w:ascii="宋体" w:hAnsi="宋体" w:eastAsia="宋体" w:cs="宋体"/>
          <w:b/>
          <w:bCs/>
          <w:color w:val="auto"/>
          <w:sz w:val="72"/>
          <w:szCs w:val="72"/>
          <w:highlight w:val="none"/>
        </w:rPr>
        <w:t xml:space="preserve"> </w:t>
      </w:r>
      <w:r>
        <w:rPr>
          <w:rFonts w:hint="eastAsia" w:ascii="宋体" w:hAnsi="宋体" w:eastAsia="宋体" w:cs="宋体"/>
          <w:b/>
          <w:bCs/>
          <w:color w:val="auto"/>
          <w:sz w:val="72"/>
          <w:szCs w:val="72"/>
          <w:highlight w:val="none"/>
          <w:lang w:val="zh-CN"/>
        </w:rPr>
        <w:t>标</w:t>
      </w:r>
      <w:r>
        <w:rPr>
          <w:rFonts w:hint="eastAsia" w:ascii="宋体" w:hAnsi="宋体" w:eastAsia="宋体" w:cs="宋体"/>
          <w:b/>
          <w:bCs/>
          <w:color w:val="auto"/>
          <w:sz w:val="72"/>
          <w:szCs w:val="72"/>
          <w:highlight w:val="none"/>
        </w:rPr>
        <w:t xml:space="preserve"> </w:t>
      </w:r>
      <w:r>
        <w:rPr>
          <w:rFonts w:hint="eastAsia" w:ascii="宋体" w:hAnsi="宋体" w:eastAsia="宋体" w:cs="宋体"/>
          <w:b/>
          <w:bCs/>
          <w:color w:val="auto"/>
          <w:sz w:val="72"/>
          <w:szCs w:val="72"/>
          <w:highlight w:val="none"/>
          <w:lang w:val="zh-CN"/>
        </w:rPr>
        <w:t>文</w:t>
      </w:r>
      <w:r>
        <w:rPr>
          <w:rFonts w:hint="eastAsia" w:ascii="宋体" w:hAnsi="宋体" w:eastAsia="宋体" w:cs="宋体"/>
          <w:b/>
          <w:bCs/>
          <w:color w:val="auto"/>
          <w:sz w:val="72"/>
          <w:szCs w:val="72"/>
          <w:highlight w:val="none"/>
        </w:rPr>
        <w:t xml:space="preserve"> </w:t>
      </w:r>
      <w:r>
        <w:rPr>
          <w:rFonts w:hint="eastAsia" w:ascii="宋体" w:hAnsi="宋体" w:eastAsia="宋体" w:cs="宋体"/>
          <w:b/>
          <w:bCs/>
          <w:color w:val="auto"/>
          <w:sz w:val="72"/>
          <w:szCs w:val="72"/>
          <w:highlight w:val="none"/>
          <w:lang w:val="zh-CN"/>
        </w:rPr>
        <w:t>件</w:t>
      </w:r>
    </w:p>
    <w:p w14:paraId="5027C430">
      <w:pPr>
        <w:rPr>
          <w:rFonts w:hint="eastAsia" w:ascii="宋体" w:hAnsi="宋体" w:eastAsia="宋体" w:cs="宋体"/>
          <w:color w:val="auto"/>
          <w:highlight w:val="none"/>
          <w:lang w:val="zh-CN"/>
        </w:rPr>
      </w:pPr>
    </w:p>
    <w:p w14:paraId="21CE5954">
      <w:pPr>
        <w:rPr>
          <w:rFonts w:hint="eastAsia" w:ascii="宋体" w:hAnsi="宋体" w:eastAsia="宋体" w:cs="宋体"/>
          <w:color w:val="auto"/>
          <w:highlight w:val="none"/>
          <w:lang w:val="zh-CN"/>
        </w:rPr>
      </w:pPr>
    </w:p>
    <w:p w14:paraId="6B621361">
      <w:pPr>
        <w:rPr>
          <w:rFonts w:hint="eastAsia" w:ascii="宋体" w:hAnsi="宋体" w:eastAsia="宋体" w:cs="宋体"/>
          <w:color w:val="auto"/>
          <w:highlight w:val="none"/>
          <w:lang w:val="zh-CN"/>
        </w:rPr>
      </w:pPr>
    </w:p>
    <w:p w14:paraId="4BD5597D">
      <w:pPr>
        <w:rPr>
          <w:rFonts w:hint="eastAsia" w:ascii="宋体" w:hAnsi="宋体" w:eastAsia="宋体" w:cs="宋体"/>
          <w:color w:val="auto"/>
          <w:highlight w:val="none"/>
          <w:lang w:val="zh-CN"/>
        </w:rPr>
      </w:pPr>
    </w:p>
    <w:p w14:paraId="13C87EB7">
      <w:pPr>
        <w:spacing w:line="480" w:lineRule="auto"/>
        <w:ind w:left="1680" w:leftChars="800"/>
        <w:jc w:val="left"/>
        <w:rPr>
          <w:rFonts w:hint="eastAsia" w:ascii="宋体" w:hAnsi="宋体" w:eastAsia="宋体" w:cs="宋体"/>
          <w:b/>
          <w:bCs/>
          <w:color w:val="auto"/>
          <w:sz w:val="32"/>
          <w:szCs w:val="32"/>
          <w:highlight w:val="none"/>
          <w:lang w:eastAsia="zh-CN"/>
        </w:rPr>
      </w:pPr>
      <w:r>
        <w:rPr>
          <w:rFonts w:hint="eastAsia" w:ascii="宋体" w:hAnsi="宋体" w:eastAsia="宋体" w:cs="宋体"/>
          <w:b/>
          <w:bCs/>
          <w:color w:val="auto"/>
          <w:sz w:val="32"/>
          <w:szCs w:val="32"/>
          <w:highlight w:val="none"/>
          <w:lang w:val="zh-CN"/>
        </w:rPr>
        <w:t>招</w:t>
      </w:r>
      <w:r>
        <w:rPr>
          <w:rFonts w:hint="eastAsia" w:ascii="宋体" w:hAnsi="宋体" w:eastAsia="宋体" w:cs="宋体"/>
          <w:b/>
          <w:bCs/>
          <w:color w:val="auto"/>
          <w:sz w:val="32"/>
          <w:szCs w:val="32"/>
          <w:highlight w:val="none"/>
        </w:rPr>
        <w:t xml:space="preserve"> </w:t>
      </w:r>
      <w:r>
        <w:rPr>
          <w:rFonts w:hint="eastAsia" w:ascii="宋体" w:hAnsi="宋体" w:eastAsia="宋体" w:cs="宋体"/>
          <w:b/>
          <w:bCs/>
          <w:color w:val="auto"/>
          <w:sz w:val="32"/>
          <w:szCs w:val="32"/>
          <w:highlight w:val="none"/>
          <w:lang w:val="zh-CN"/>
        </w:rPr>
        <w:t>标</w:t>
      </w:r>
      <w:r>
        <w:rPr>
          <w:rFonts w:hint="eastAsia" w:ascii="宋体" w:hAnsi="宋体" w:eastAsia="宋体" w:cs="宋体"/>
          <w:b/>
          <w:bCs/>
          <w:color w:val="auto"/>
          <w:sz w:val="32"/>
          <w:szCs w:val="32"/>
          <w:highlight w:val="none"/>
        </w:rPr>
        <w:t xml:space="preserve"> </w:t>
      </w:r>
      <w:r>
        <w:rPr>
          <w:rFonts w:hint="eastAsia" w:ascii="宋体" w:hAnsi="宋体" w:eastAsia="宋体" w:cs="宋体"/>
          <w:b/>
          <w:bCs/>
          <w:color w:val="auto"/>
          <w:sz w:val="32"/>
          <w:szCs w:val="32"/>
          <w:highlight w:val="none"/>
          <w:lang w:val="zh-CN"/>
        </w:rPr>
        <w:t>编</w:t>
      </w:r>
      <w:r>
        <w:rPr>
          <w:rFonts w:hint="eastAsia" w:ascii="宋体" w:hAnsi="宋体" w:eastAsia="宋体" w:cs="宋体"/>
          <w:b/>
          <w:bCs/>
          <w:color w:val="auto"/>
          <w:sz w:val="32"/>
          <w:szCs w:val="32"/>
          <w:highlight w:val="none"/>
        </w:rPr>
        <w:t xml:space="preserve"> </w:t>
      </w:r>
      <w:r>
        <w:rPr>
          <w:rFonts w:hint="eastAsia" w:ascii="宋体" w:hAnsi="宋体" w:eastAsia="宋体" w:cs="宋体"/>
          <w:b/>
          <w:bCs/>
          <w:color w:val="auto"/>
          <w:sz w:val="32"/>
          <w:szCs w:val="32"/>
          <w:highlight w:val="none"/>
          <w:lang w:val="zh-CN"/>
        </w:rPr>
        <w:t>号：</w:t>
      </w:r>
      <w:r>
        <w:rPr>
          <w:rFonts w:hint="eastAsia" w:cs="宋体"/>
          <w:b/>
          <w:bCs/>
          <w:color w:val="auto"/>
          <w:sz w:val="32"/>
          <w:szCs w:val="32"/>
          <w:highlight w:val="none"/>
          <w:lang w:eastAsia="zh-CN"/>
        </w:rPr>
        <w:t>YDZB25DGQY0149-2</w:t>
      </w:r>
    </w:p>
    <w:p w14:paraId="7873CE46">
      <w:pPr>
        <w:spacing w:line="480" w:lineRule="auto"/>
        <w:ind w:left="1680" w:leftChars="800"/>
        <w:jc w:val="left"/>
        <w:rPr>
          <w:rFonts w:hint="eastAsia" w:ascii="宋体" w:hAnsi="宋体" w:eastAsia="宋体" w:cs="宋体"/>
          <w:b/>
          <w:bCs/>
          <w:color w:val="auto"/>
          <w:sz w:val="32"/>
          <w:szCs w:val="32"/>
          <w:highlight w:val="none"/>
          <w:lang w:eastAsia="zh-CN"/>
        </w:rPr>
      </w:pPr>
      <w:r>
        <w:rPr>
          <w:rFonts w:hint="eastAsia" w:ascii="宋体" w:hAnsi="宋体" w:eastAsia="宋体" w:cs="宋体"/>
          <w:b/>
          <w:bCs/>
          <w:color w:val="auto"/>
          <w:sz w:val="32"/>
          <w:szCs w:val="32"/>
          <w:highlight w:val="none"/>
          <w:lang w:val="zh-CN"/>
        </w:rPr>
        <w:t>招</w:t>
      </w:r>
      <w:r>
        <w:rPr>
          <w:rFonts w:hint="eastAsia" w:ascii="宋体" w:hAnsi="宋体" w:eastAsia="宋体" w:cs="宋体"/>
          <w:b/>
          <w:bCs/>
          <w:color w:val="auto"/>
          <w:sz w:val="32"/>
          <w:szCs w:val="32"/>
          <w:highlight w:val="none"/>
        </w:rPr>
        <w:t xml:space="preserve"> </w:t>
      </w:r>
      <w:r>
        <w:rPr>
          <w:rFonts w:hint="eastAsia" w:ascii="宋体" w:hAnsi="宋体" w:eastAsia="宋体" w:cs="宋体"/>
          <w:b/>
          <w:bCs/>
          <w:color w:val="auto"/>
          <w:sz w:val="32"/>
          <w:szCs w:val="32"/>
          <w:highlight w:val="none"/>
          <w:lang w:val="zh-CN"/>
        </w:rPr>
        <w:t>标</w:t>
      </w:r>
      <w:r>
        <w:rPr>
          <w:rFonts w:hint="eastAsia" w:ascii="宋体" w:hAnsi="宋体" w:eastAsia="宋体" w:cs="宋体"/>
          <w:b/>
          <w:bCs/>
          <w:color w:val="auto"/>
          <w:sz w:val="32"/>
          <w:szCs w:val="32"/>
          <w:highlight w:val="none"/>
        </w:rPr>
        <w:t xml:space="preserve"> </w:t>
      </w:r>
      <w:r>
        <w:rPr>
          <w:rFonts w:hint="eastAsia" w:ascii="宋体" w:hAnsi="宋体" w:eastAsia="宋体" w:cs="宋体"/>
          <w:b/>
          <w:bCs/>
          <w:color w:val="auto"/>
          <w:sz w:val="32"/>
          <w:szCs w:val="32"/>
          <w:highlight w:val="none"/>
          <w:lang w:val="zh-CN"/>
        </w:rPr>
        <w:t>人：</w:t>
      </w:r>
      <w:r>
        <w:rPr>
          <w:rFonts w:hint="eastAsia" w:ascii="宋体" w:hAnsi="宋体" w:eastAsia="宋体" w:cs="宋体"/>
          <w:b/>
          <w:bCs/>
          <w:color w:val="auto"/>
          <w:sz w:val="32"/>
          <w:szCs w:val="32"/>
          <w:highlight w:val="none"/>
          <w:lang w:eastAsia="zh-CN"/>
        </w:rPr>
        <w:t>东莞市碧水信息科技有限公司</w:t>
      </w:r>
    </w:p>
    <w:p w14:paraId="3635BC25">
      <w:pPr>
        <w:spacing w:line="480" w:lineRule="auto"/>
        <w:ind w:left="1680" w:leftChars="800"/>
        <w:jc w:val="left"/>
        <w:rPr>
          <w:rFonts w:hint="eastAsia" w:ascii="宋体" w:hAnsi="宋体" w:eastAsia="宋体" w:cs="宋体"/>
          <w:b/>
          <w:bCs/>
          <w:color w:val="auto"/>
          <w:sz w:val="32"/>
          <w:szCs w:val="32"/>
          <w:highlight w:val="none"/>
          <w:lang w:val="zh-CN"/>
        </w:rPr>
      </w:pPr>
      <w:r>
        <w:rPr>
          <w:rFonts w:hint="eastAsia" w:ascii="宋体" w:hAnsi="宋体" w:eastAsia="宋体" w:cs="宋体"/>
          <w:b/>
          <w:bCs/>
          <w:color w:val="auto"/>
          <w:sz w:val="32"/>
          <w:szCs w:val="32"/>
          <w:highlight w:val="none"/>
          <w:lang w:val="zh-CN"/>
        </w:rPr>
        <w:t>招标代理机构：广东有德招标采购有限公司</w:t>
      </w:r>
    </w:p>
    <w:p w14:paraId="5CBC14F1">
      <w:pPr>
        <w:rPr>
          <w:rFonts w:hint="eastAsia" w:ascii="宋体" w:hAnsi="宋体" w:eastAsia="宋体" w:cs="宋体"/>
          <w:color w:val="auto"/>
          <w:highlight w:val="none"/>
          <w:lang w:val="zh-CN"/>
        </w:rPr>
      </w:pPr>
    </w:p>
    <w:p w14:paraId="4D832C6C">
      <w:pPr>
        <w:rPr>
          <w:rFonts w:hint="eastAsia" w:ascii="宋体" w:hAnsi="宋体" w:eastAsia="宋体" w:cs="宋体"/>
          <w:color w:val="auto"/>
          <w:highlight w:val="none"/>
          <w:lang w:val="zh-CN"/>
        </w:rPr>
      </w:pPr>
    </w:p>
    <w:p w14:paraId="480540A5">
      <w:pPr>
        <w:rPr>
          <w:rFonts w:hint="eastAsia" w:ascii="宋体" w:hAnsi="宋体" w:eastAsia="宋体" w:cs="宋体"/>
          <w:color w:val="auto"/>
          <w:highlight w:val="none"/>
          <w:lang w:val="zh-CN"/>
        </w:rPr>
      </w:pPr>
    </w:p>
    <w:p w14:paraId="10EF54CB">
      <w:pPr>
        <w:ind w:right="-23" w:rightChars="-11"/>
        <w:jc w:val="center"/>
        <w:rPr>
          <w:rFonts w:hint="eastAsia" w:ascii="宋体" w:hAnsi="宋体" w:eastAsia="宋体" w:cs="宋体"/>
          <w:b/>
          <w:bCs/>
          <w:color w:val="auto"/>
          <w:sz w:val="32"/>
          <w:szCs w:val="32"/>
          <w:highlight w:val="none"/>
          <w:lang w:val="zh-CN"/>
        </w:rPr>
      </w:pPr>
      <w:r>
        <w:rPr>
          <w:rFonts w:hint="eastAsia" w:cs="宋体"/>
          <w:b/>
          <w:bCs/>
          <w:color w:val="auto"/>
          <w:sz w:val="32"/>
          <w:szCs w:val="32"/>
          <w:highlight w:val="none"/>
          <w:lang w:val="en-US" w:eastAsia="zh-CN"/>
        </w:rPr>
        <w:t>2026</w:t>
      </w:r>
      <w:r>
        <w:rPr>
          <w:rFonts w:hint="eastAsia" w:ascii="宋体" w:hAnsi="宋体" w:eastAsia="宋体" w:cs="宋体"/>
          <w:b/>
          <w:bCs/>
          <w:color w:val="auto"/>
          <w:sz w:val="32"/>
          <w:szCs w:val="32"/>
          <w:highlight w:val="none"/>
          <w:lang w:val="zh-CN"/>
        </w:rPr>
        <w:t>年</w:t>
      </w:r>
      <w:r>
        <w:rPr>
          <w:rFonts w:hint="eastAsia" w:cs="宋体"/>
          <w:b/>
          <w:bCs/>
          <w:color w:val="auto"/>
          <w:sz w:val="32"/>
          <w:szCs w:val="32"/>
          <w:highlight w:val="none"/>
          <w:lang w:val="en-US" w:eastAsia="zh-CN"/>
        </w:rPr>
        <w:t>04</w:t>
      </w:r>
      <w:r>
        <w:rPr>
          <w:rFonts w:hint="eastAsia" w:ascii="宋体" w:hAnsi="宋体" w:eastAsia="宋体" w:cs="宋体"/>
          <w:b/>
          <w:bCs/>
          <w:color w:val="auto"/>
          <w:sz w:val="32"/>
          <w:szCs w:val="32"/>
          <w:highlight w:val="none"/>
          <w:lang w:val="zh-CN"/>
        </w:rPr>
        <w:t>月</w:t>
      </w:r>
      <w:r>
        <w:rPr>
          <w:rFonts w:hint="eastAsia" w:cs="宋体"/>
          <w:b/>
          <w:bCs/>
          <w:color w:val="auto"/>
          <w:sz w:val="32"/>
          <w:szCs w:val="32"/>
          <w:highlight w:val="none"/>
          <w:lang w:val="en-US" w:eastAsia="zh-CN"/>
        </w:rPr>
        <w:t>22</w:t>
      </w:r>
      <w:r>
        <w:rPr>
          <w:rFonts w:hint="eastAsia" w:ascii="宋体" w:hAnsi="宋体" w:eastAsia="宋体" w:cs="宋体"/>
          <w:b/>
          <w:bCs/>
          <w:color w:val="auto"/>
          <w:sz w:val="32"/>
          <w:szCs w:val="32"/>
          <w:highlight w:val="none"/>
          <w:lang w:val="zh-CN"/>
        </w:rPr>
        <w:t>日</w:t>
      </w:r>
    </w:p>
    <w:p w14:paraId="5B09BEC3">
      <w:pPr>
        <w:rPr>
          <w:rFonts w:hint="eastAsia" w:ascii="宋体" w:hAnsi="宋体" w:eastAsia="宋体" w:cs="宋体"/>
          <w:b/>
          <w:bCs/>
          <w:color w:val="auto"/>
          <w:sz w:val="32"/>
          <w:szCs w:val="32"/>
          <w:highlight w:val="none"/>
          <w:lang w:val="zh-CN"/>
        </w:rPr>
      </w:pPr>
      <w:r>
        <w:rPr>
          <w:rFonts w:hint="eastAsia" w:ascii="宋体" w:hAnsi="宋体" w:eastAsia="宋体" w:cs="宋体"/>
          <w:b/>
          <w:bCs/>
          <w:color w:val="auto"/>
          <w:sz w:val="32"/>
          <w:szCs w:val="32"/>
          <w:highlight w:val="none"/>
          <w:lang w:val="zh-CN"/>
        </w:rPr>
        <w:br w:type="page"/>
      </w:r>
    </w:p>
    <w:sdt>
      <w:sdtPr>
        <w:rPr>
          <w:rFonts w:hint="eastAsia" w:ascii="宋体" w:hAnsi="宋体" w:eastAsia="宋体" w:cs="宋体"/>
          <w:b/>
          <w:bCs/>
          <w:color w:val="auto"/>
          <w:sz w:val="24"/>
          <w:szCs w:val="28"/>
          <w:highlight w:val="none"/>
        </w:rPr>
        <w:id w:val="147478449"/>
        <w15:color w:val="DBDBDB"/>
        <w:docPartObj>
          <w:docPartGallery w:val="Table of Contents"/>
          <w:docPartUnique/>
        </w:docPartObj>
      </w:sdtPr>
      <w:sdtEndPr>
        <w:rPr>
          <w:rFonts w:hint="eastAsia" w:ascii="宋体" w:hAnsi="宋体" w:eastAsia="宋体" w:cs="宋体"/>
          <w:b/>
          <w:bCs/>
          <w:color w:val="auto"/>
          <w:sz w:val="24"/>
          <w:szCs w:val="28"/>
          <w:highlight w:val="none"/>
        </w:rPr>
      </w:sdtEndPr>
      <w:sdtContent>
        <w:p w14:paraId="11D991BF">
          <w:pPr>
            <w:jc w:val="center"/>
            <w:rPr>
              <w:rFonts w:hint="eastAsia" w:ascii="宋体" w:hAnsi="宋体" w:eastAsia="宋体" w:cs="宋体"/>
              <w:b/>
              <w:bCs/>
              <w:color w:val="auto"/>
              <w:sz w:val="24"/>
              <w:szCs w:val="28"/>
              <w:highlight w:val="none"/>
            </w:rPr>
          </w:pPr>
          <w:bookmarkStart w:id="0" w:name="_Toc450662846"/>
          <w:bookmarkStart w:id="1" w:name="_Toc2723_WPSOffice_Level1"/>
          <w:bookmarkStart w:id="2" w:name="_Toc20259"/>
          <w:bookmarkStart w:id="3" w:name="_Toc2302"/>
          <w:bookmarkStart w:id="4" w:name="_Toc178076453"/>
          <w:bookmarkStart w:id="5" w:name="_Toc29343"/>
          <w:bookmarkStart w:id="6" w:name="_Toc1960"/>
          <w:bookmarkStart w:id="7" w:name="_Toc176627774"/>
          <w:bookmarkStart w:id="8" w:name="_Toc26012"/>
          <w:bookmarkStart w:id="9" w:name="_Toc11638"/>
          <w:bookmarkStart w:id="10" w:name="_Toc14688"/>
          <w:bookmarkStart w:id="11" w:name="_Toc172552140"/>
          <w:bookmarkStart w:id="12" w:name="_Toc486167660"/>
          <w:bookmarkStart w:id="13" w:name="_Toc142508310"/>
          <w:r>
            <w:rPr>
              <w:rFonts w:hint="eastAsia" w:ascii="宋体" w:hAnsi="宋体" w:eastAsia="宋体" w:cs="宋体"/>
              <w:b/>
              <w:bCs/>
              <w:color w:val="auto"/>
              <w:sz w:val="24"/>
              <w:szCs w:val="28"/>
              <w:highlight w:val="none"/>
            </w:rPr>
            <w:t>目录</w:t>
          </w:r>
        </w:p>
        <w:p w14:paraId="443E8525">
          <w:pPr>
            <w:pStyle w:val="16"/>
            <w:tabs>
              <w:tab w:val="right" w:leader="dot" w:pos="10080"/>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TOC \o "1-3" \h \u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_Toc11264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第一篇 招标公告</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_Toc11264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40649A4F">
          <w:pPr>
            <w:pStyle w:val="16"/>
            <w:tabs>
              <w:tab w:val="right" w:leader="dot" w:pos="10080"/>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_Toc26599 </w:instrText>
          </w:r>
          <w:r>
            <w:rPr>
              <w:rFonts w:hint="eastAsia" w:ascii="宋体" w:hAnsi="宋体" w:eastAsia="宋体" w:cs="宋体"/>
              <w:color w:val="auto"/>
              <w:highlight w:val="none"/>
            </w:rPr>
            <w:fldChar w:fldCharType="separate"/>
          </w:r>
          <w:r>
            <w:rPr>
              <w:rFonts w:hint="eastAsia" w:ascii="宋体" w:hAnsi="宋体" w:eastAsia="宋体" w:cs="宋体"/>
              <w:bCs/>
              <w:color w:val="auto"/>
              <w:kern w:val="44"/>
              <w:szCs w:val="32"/>
              <w:highlight w:val="none"/>
              <w:lang w:val="zh-CN"/>
            </w:rPr>
            <w:t>第二篇</w:t>
          </w:r>
          <w:r>
            <w:rPr>
              <w:rFonts w:hint="eastAsia" w:ascii="宋体" w:hAnsi="宋体" w:eastAsia="宋体" w:cs="宋体"/>
              <w:bCs/>
              <w:color w:val="auto"/>
              <w:kern w:val="44"/>
              <w:szCs w:val="32"/>
              <w:highlight w:val="none"/>
            </w:rPr>
            <w:t xml:space="preserve"> </w:t>
          </w:r>
          <w:r>
            <w:rPr>
              <w:rFonts w:hint="eastAsia" w:ascii="宋体" w:hAnsi="宋体" w:eastAsia="宋体" w:cs="宋体"/>
              <w:bCs/>
              <w:color w:val="auto"/>
              <w:kern w:val="44"/>
              <w:szCs w:val="32"/>
              <w:highlight w:val="none"/>
              <w:lang w:val="zh-CN"/>
            </w:rPr>
            <w:t>投标人须知</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_Toc26599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6</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36CD9524">
          <w:pPr>
            <w:pStyle w:val="17"/>
            <w:tabs>
              <w:tab w:val="right" w:leader="dot" w:pos="10080"/>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_Toc8521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一、总则</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_Toc8521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6</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2377894A">
          <w:pPr>
            <w:pStyle w:val="14"/>
            <w:tabs>
              <w:tab w:val="right" w:leader="dot" w:pos="10080"/>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_Toc24913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1 资金来源：企业自筹资金。</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_Toc24913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6</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3B75C75A">
          <w:pPr>
            <w:pStyle w:val="14"/>
            <w:tabs>
              <w:tab w:val="right" w:leader="dot" w:pos="10080"/>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_Toc609 </w:instrText>
          </w:r>
          <w:r>
            <w:rPr>
              <w:rFonts w:hint="eastAsia" w:ascii="宋体" w:hAnsi="宋体" w:eastAsia="宋体" w:cs="宋体"/>
              <w:color w:val="auto"/>
              <w:highlight w:val="none"/>
            </w:rPr>
            <w:fldChar w:fldCharType="separate"/>
          </w:r>
          <w:r>
            <w:rPr>
              <w:rFonts w:hint="eastAsia" w:ascii="宋体" w:hAnsi="宋体" w:eastAsia="宋体" w:cs="宋体"/>
              <w:bCs/>
              <w:color w:val="auto"/>
              <w:highlight w:val="none"/>
              <w:lang w:val="zh-CN"/>
            </w:rPr>
            <w:t>2 合格的投标人</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_Toc609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6</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195AC498">
          <w:pPr>
            <w:pStyle w:val="14"/>
            <w:tabs>
              <w:tab w:val="right" w:leader="dot" w:pos="10080"/>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_Toc19117 </w:instrText>
          </w:r>
          <w:r>
            <w:rPr>
              <w:rFonts w:hint="eastAsia" w:ascii="宋体" w:hAnsi="宋体" w:eastAsia="宋体" w:cs="宋体"/>
              <w:color w:val="auto"/>
              <w:highlight w:val="none"/>
            </w:rPr>
            <w:fldChar w:fldCharType="separate"/>
          </w:r>
          <w:r>
            <w:rPr>
              <w:rFonts w:hint="eastAsia" w:ascii="宋体" w:hAnsi="宋体" w:eastAsia="宋体" w:cs="宋体"/>
              <w:bCs/>
              <w:color w:val="auto"/>
              <w:highlight w:val="none"/>
              <w:lang w:val="zh-CN"/>
            </w:rPr>
            <w:t>3 合格的货物</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_Toc19117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6</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2B87F649">
          <w:pPr>
            <w:pStyle w:val="14"/>
            <w:tabs>
              <w:tab w:val="right" w:leader="dot" w:pos="10080"/>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_Toc17031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4 其它说明</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_Toc17031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7</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7E056F4B">
          <w:pPr>
            <w:pStyle w:val="17"/>
            <w:tabs>
              <w:tab w:val="right" w:leader="dot" w:pos="10080"/>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_Toc12074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二、招标文件</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_Toc12074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7</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6C845B3E">
          <w:pPr>
            <w:pStyle w:val="14"/>
            <w:tabs>
              <w:tab w:val="right" w:leader="dot" w:pos="10080"/>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_Toc22871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5 招标文件的构成</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_Toc22871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8</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78A5277A">
          <w:pPr>
            <w:pStyle w:val="14"/>
            <w:tabs>
              <w:tab w:val="right" w:leader="dot" w:pos="10080"/>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_Toc1153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6 招标文件的异议</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_Toc1153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9</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2EB778EF">
          <w:pPr>
            <w:pStyle w:val="14"/>
            <w:tabs>
              <w:tab w:val="right" w:leader="dot" w:pos="10080"/>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_Toc22566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7 招标文件的澄清及修改</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_Toc22566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9</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70674E9D">
          <w:pPr>
            <w:pStyle w:val="17"/>
            <w:tabs>
              <w:tab w:val="right" w:leader="dot" w:pos="10080"/>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_Toc10045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三、投标文件的编制</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_Toc10045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9</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5FD00117">
          <w:pPr>
            <w:pStyle w:val="14"/>
            <w:tabs>
              <w:tab w:val="right" w:leader="dot" w:pos="10080"/>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_Toc16279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8 投标使用的文字及度量衡单位</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_Toc16279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9</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65AC52BB">
          <w:pPr>
            <w:pStyle w:val="14"/>
            <w:tabs>
              <w:tab w:val="right" w:leader="dot" w:pos="10080"/>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_Toc31384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lang w:val="zh-CN"/>
            </w:rPr>
            <w:t>9</w:t>
          </w:r>
          <w:r>
            <w:rPr>
              <w:rFonts w:hint="eastAsia" w:ascii="宋体" w:hAnsi="宋体" w:eastAsia="宋体" w:cs="宋体"/>
              <w:color w:val="auto"/>
              <w:highlight w:val="none"/>
              <w:lang w:val="zh-CN"/>
            </w:rPr>
            <w:t xml:space="preserve"> </w:t>
          </w:r>
          <w:r>
            <w:rPr>
              <w:rFonts w:hint="eastAsia" w:ascii="宋体" w:hAnsi="宋体" w:eastAsia="宋体" w:cs="宋体"/>
              <w:color w:val="auto"/>
              <w:szCs w:val="21"/>
              <w:highlight w:val="none"/>
              <w:lang w:val="zh-CN"/>
            </w:rPr>
            <w:t>投标文件的组成</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_Toc31384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9</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4B0BE8BB">
          <w:pPr>
            <w:pStyle w:val="14"/>
            <w:tabs>
              <w:tab w:val="right" w:leader="dot" w:pos="10080"/>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_Toc16024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10 投标函</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_Toc16024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11</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46BD9187">
          <w:pPr>
            <w:pStyle w:val="14"/>
            <w:tabs>
              <w:tab w:val="right" w:leader="dot" w:pos="10080"/>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_Toc20475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11 投标报价</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_Toc20475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11</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2D95C1FB">
          <w:pPr>
            <w:pStyle w:val="14"/>
            <w:tabs>
              <w:tab w:val="right" w:leader="dot" w:pos="10080"/>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_Toc3675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12 投标报价货币</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_Toc3675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12</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45F28D68">
          <w:pPr>
            <w:pStyle w:val="14"/>
            <w:tabs>
              <w:tab w:val="right" w:leader="dot" w:pos="10080"/>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_Toc7059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lang w:val="zh-CN"/>
            </w:rPr>
            <w:t>13 证明投标人的合格性和资格的声明文件</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_Toc7059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12</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65BD8D40">
          <w:pPr>
            <w:pStyle w:val="14"/>
            <w:tabs>
              <w:tab w:val="right" w:leader="dot" w:pos="10080"/>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_Toc31501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14 证明货物的合格性并符合招标文件规定的声明文件</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_Toc31501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12</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32F15FCE">
          <w:pPr>
            <w:pStyle w:val="14"/>
            <w:tabs>
              <w:tab w:val="right" w:leader="dot" w:pos="10080"/>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_Toc26284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15 投标保证金</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_Toc26284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13</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2257CBB0">
          <w:pPr>
            <w:pStyle w:val="14"/>
            <w:tabs>
              <w:tab w:val="right" w:leader="dot" w:pos="10080"/>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_Toc26457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16 投标有效期</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_Toc26457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14</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069F11E3">
          <w:pPr>
            <w:pStyle w:val="14"/>
            <w:tabs>
              <w:tab w:val="right" w:leader="dot" w:pos="10080"/>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_Toc13732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17 投标文件的式样和签署</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_Toc13732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14</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2B3A8258">
          <w:pPr>
            <w:pStyle w:val="17"/>
            <w:tabs>
              <w:tab w:val="right" w:leader="dot" w:pos="10080"/>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_Toc18685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四、投标文件的递交</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_Toc18685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15</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7954862C">
          <w:pPr>
            <w:pStyle w:val="14"/>
            <w:tabs>
              <w:tab w:val="right" w:leader="dot" w:pos="10080"/>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_Toc1718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18 投标文件的密封和标记</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_Toc1718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15</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3B672912">
          <w:pPr>
            <w:pStyle w:val="14"/>
            <w:tabs>
              <w:tab w:val="right" w:leader="dot" w:pos="10080"/>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_Toc20210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19 递交投标文件的截止日期</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_Toc20210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15</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62F4BB14">
          <w:pPr>
            <w:pStyle w:val="14"/>
            <w:tabs>
              <w:tab w:val="right" w:leader="dot" w:pos="10080"/>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_Toc30707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20 迟交的投标文件</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_Toc30707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15</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0E218FC9">
          <w:pPr>
            <w:pStyle w:val="14"/>
            <w:tabs>
              <w:tab w:val="right" w:leader="dot" w:pos="10080"/>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_Toc9728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21 投标文件的修改和撤回</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_Toc9728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15</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5A7AF21A">
          <w:pPr>
            <w:pStyle w:val="17"/>
            <w:tabs>
              <w:tab w:val="right" w:leader="dot" w:pos="10080"/>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_Toc22044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五、开标与评标</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_Toc22044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15</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501FAF6B">
          <w:pPr>
            <w:pStyle w:val="14"/>
            <w:tabs>
              <w:tab w:val="right" w:leader="dot" w:pos="10080"/>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_Toc13997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22 开标</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_Toc13997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16</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6A95E754">
          <w:pPr>
            <w:pStyle w:val="14"/>
            <w:tabs>
              <w:tab w:val="right" w:leader="dot" w:pos="10080"/>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_Toc9024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 xml:space="preserve">23 </w:t>
          </w:r>
          <w:r>
            <w:rPr>
              <w:rFonts w:hint="eastAsia" w:ascii="宋体" w:hAnsi="宋体" w:eastAsia="宋体" w:cs="宋体"/>
              <w:color w:val="auto"/>
              <w:highlight w:val="none"/>
            </w:rPr>
            <w:t>评标过程的保密性</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_Toc9024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16</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297D8278">
          <w:pPr>
            <w:pStyle w:val="14"/>
            <w:tabs>
              <w:tab w:val="right" w:leader="dot" w:pos="10080"/>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_Toc20454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24 评标委员会</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_Toc20454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16</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608F4A11">
          <w:pPr>
            <w:pStyle w:val="14"/>
            <w:tabs>
              <w:tab w:val="right" w:leader="dot" w:pos="10080"/>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_Toc23365 </w:instrText>
          </w:r>
          <w:r>
            <w:rPr>
              <w:rFonts w:hint="eastAsia" w:ascii="宋体" w:hAnsi="宋体" w:eastAsia="宋体" w:cs="宋体"/>
              <w:color w:val="auto"/>
              <w:highlight w:val="none"/>
            </w:rPr>
            <w:fldChar w:fldCharType="separate"/>
          </w:r>
          <w:r>
            <w:rPr>
              <w:rFonts w:hint="eastAsia" w:ascii="宋体" w:hAnsi="宋体" w:eastAsia="宋体" w:cs="宋体"/>
              <w:bCs/>
              <w:color w:val="auto"/>
              <w:highlight w:val="none"/>
              <w:lang w:val="zh-CN"/>
            </w:rPr>
            <w:t>25 投标文件的初审</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_Toc23365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16</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0B0A4EAF">
          <w:pPr>
            <w:pStyle w:val="14"/>
            <w:tabs>
              <w:tab w:val="right" w:leader="dot" w:pos="10080"/>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_Toc3043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26 投标文件的澄清</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_Toc3043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17</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71E28F30">
          <w:pPr>
            <w:pStyle w:val="14"/>
            <w:tabs>
              <w:tab w:val="right" w:leader="dot" w:pos="10080"/>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_Toc11721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27 对投标文件的比较和评价</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_Toc11721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17</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10D5FAB3">
          <w:pPr>
            <w:pStyle w:val="14"/>
            <w:tabs>
              <w:tab w:val="right" w:leader="dot" w:pos="10080"/>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_Toc26884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28 评标原则及方法</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_Toc26884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17</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098B02C2">
          <w:pPr>
            <w:pStyle w:val="14"/>
            <w:tabs>
              <w:tab w:val="right" w:leader="dot" w:pos="10080"/>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_Toc24575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 xml:space="preserve">9 </w:t>
          </w:r>
          <w:r>
            <w:rPr>
              <w:rFonts w:hint="eastAsia" w:ascii="宋体" w:hAnsi="宋体" w:eastAsia="宋体" w:cs="宋体"/>
              <w:color w:val="auto"/>
              <w:szCs w:val="21"/>
              <w:highlight w:val="none"/>
              <w:lang w:val="zh-CN"/>
            </w:rPr>
            <w:t>评标结果公示及异议、投诉</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_Toc24575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17</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64582C2D">
          <w:pPr>
            <w:pStyle w:val="14"/>
            <w:tabs>
              <w:tab w:val="right" w:leader="dot" w:pos="10080"/>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_Toc7868 </w:instrText>
          </w:r>
          <w:r>
            <w:rPr>
              <w:rFonts w:hint="eastAsia" w:ascii="宋体" w:hAnsi="宋体" w:eastAsia="宋体" w:cs="宋体"/>
              <w:color w:val="auto"/>
              <w:highlight w:val="none"/>
            </w:rPr>
            <w:fldChar w:fldCharType="separate"/>
          </w:r>
          <w:r>
            <w:rPr>
              <w:rFonts w:hint="eastAsia" w:ascii="宋体" w:hAnsi="宋体" w:eastAsia="宋体" w:cs="宋体"/>
              <w:bCs/>
              <w:color w:val="auto"/>
              <w:highlight w:val="none"/>
            </w:rPr>
            <w:t>30</w:t>
          </w:r>
          <w:r>
            <w:rPr>
              <w:rFonts w:hint="eastAsia" w:ascii="宋体" w:hAnsi="宋体" w:eastAsia="宋体" w:cs="宋体"/>
              <w:bCs/>
              <w:color w:val="auto"/>
              <w:highlight w:val="none"/>
              <w:lang w:val="zh-CN"/>
            </w:rPr>
            <w:t xml:space="preserve"> 真实性审查</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_Toc7868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18</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47F3BECF">
          <w:pPr>
            <w:pStyle w:val="14"/>
            <w:tabs>
              <w:tab w:val="right" w:leader="dot" w:pos="10080"/>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_Toc24174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31</w:t>
          </w:r>
          <w:r>
            <w:rPr>
              <w:rFonts w:hint="eastAsia" w:ascii="宋体" w:hAnsi="宋体" w:eastAsia="宋体" w:cs="宋体"/>
              <w:color w:val="auto"/>
              <w:highlight w:val="none"/>
              <w:lang w:val="zh-CN"/>
            </w:rPr>
            <w:t xml:space="preserve"> 评标委员会和招标人接受或拒绝任何投标或所有投标的权利</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_Toc24174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19</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7FD7A532">
          <w:pPr>
            <w:pStyle w:val="17"/>
            <w:tabs>
              <w:tab w:val="right" w:leader="dot" w:pos="10080"/>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_Toc14028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六、授予合同</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_Toc14028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19</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4B604676">
          <w:pPr>
            <w:pStyle w:val="14"/>
            <w:tabs>
              <w:tab w:val="right" w:leader="dot" w:pos="10080"/>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_Toc1475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32</w:t>
          </w:r>
          <w:r>
            <w:rPr>
              <w:rFonts w:hint="eastAsia" w:ascii="宋体" w:hAnsi="宋体" w:eastAsia="宋体" w:cs="宋体"/>
              <w:color w:val="auto"/>
              <w:highlight w:val="none"/>
              <w:lang w:val="zh-CN"/>
            </w:rPr>
            <w:t xml:space="preserve"> 授予合同的准则</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_Toc1475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19</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1C243B2D">
          <w:pPr>
            <w:pStyle w:val="14"/>
            <w:tabs>
              <w:tab w:val="right" w:leader="dot" w:pos="10080"/>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_Toc30042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33 中标通知</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_Toc30042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19</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6EF56CD4">
          <w:pPr>
            <w:pStyle w:val="14"/>
            <w:tabs>
              <w:tab w:val="right" w:leader="dot" w:pos="10080"/>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_Toc11937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rPr>
            <w:t>34</w:t>
          </w:r>
          <w:r>
            <w:rPr>
              <w:rFonts w:hint="eastAsia" w:ascii="宋体" w:hAnsi="宋体" w:eastAsia="宋体" w:cs="宋体"/>
              <w:color w:val="auto"/>
              <w:szCs w:val="21"/>
              <w:highlight w:val="none"/>
              <w:lang w:val="zh-CN"/>
            </w:rPr>
            <w:t xml:space="preserve"> 签署合同</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_Toc11937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20</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21628738">
          <w:pPr>
            <w:pStyle w:val="14"/>
            <w:tabs>
              <w:tab w:val="right" w:leader="dot" w:pos="10080"/>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_Toc28475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rPr>
            <w:t xml:space="preserve">35 </w:t>
          </w:r>
          <w:r>
            <w:rPr>
              <w:rFonts w:hint="eastAsia" w:ascii="宋体" w:hAnsi="宋体" w:eastAsia="宋体" w:cs="宋体"/>
              <w:color w:val="auto"/>
              <w:szCs w:val="21"/>
              <w:highlight w:val="none"/>
              <w:lang w:val="zh-CN"/>
            </w:rPr>
            <w:t>履约担保</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_Toc28475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20</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08CCBA1A">
          <w:pPr>
            <w:pStyle w:val="14"/>
            <w:tabs>
              <w:tab w:val="right" w:leader="dot" w:pos="10080"/>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_Toc24403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36</w:t>
          </w:r>
          <w:r>
            <w:rPr>
              <w:rFonts w:hint="eastAsia" w:ascii="宋体" w:hAnsi="宋体" w:eastAsia="宋体" w:cs="宋体"/>
              <w:color w:val="auto"/>
              <w:highlight w:val="none"/>
              <w:lang w:val="zh-CN"/>
            </w:rPr>
            <w:t xml:space="preserve"> 在合同履行中变更采购范围的权利</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_Toc24403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22</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1188051E">
          <w:pPr>
            <w:pStyle w:val="14"/>
            <w:tabs>
              <w:tab w:val="right" w:leader="dot" w:pos="10080"/>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_Toc9798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rPr>
            <w:t>37</w:t>
          </w:r>
          <w:r>
            <w:rPr>
              <w:rFonts w:hint="eastAsia" w:ascii="宋体" w:hAnsi="宋体" w:eastAsia="宋体" w:cs="宋体"/>
              <w:color w:val="auto"/>
              <w:szCs w:val="21"/>
              <w:highlight w:val="none"/>
              <w:lang w:val="zh-CN"/>
            </w:rPr>
            <w:t xml:space="preserve"> 中标服务费</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_Toc9798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22</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3019A5F7">
          <w:pPr>
            <w:pStyle w:val="14"/>
            <w:tabs>
              <w:tab w:val="right" w:leader="dot" w:pos="10080"/>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_Toc17641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rPr>
            <w:t>38</w:t>
          </w:r>
          <w:r>
            <w:rPr>
              <w:rFonts w:hint="eastAsia" w:ascii="宋体" w:hAnsi="宋体" w:eastAsia="宋体" w:cs="宋体"/>
              <w:color w:val="auto"/>
              <w:szCs w:val="21"/>
              <w:highlight w:val="none"/>
              <w:lang w:val="zh-CN"/>
            </w:rPr>
            <w:t xml:space="preserve"> 发票</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_Toc17641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22</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5C537A04">
          <w:pPr>
            <w:pStyle w:val="14"/>
            <w:tabs>
              <w:tab w:val="right" w:leader="dot" w:pos="10080"/>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_Toc8961 </w:instrText>
          </w:r>
          <w:r>
            <w:rPr>
              <w:rFonts w:hint="eastAsia" w:ascii="宋体" w:hAnsi="宋体" w:eastAsia="宋体" w:cs="宋体"/>
              <w:color w:val="auto"/>
              <w:highlight w:val="none"/>
            </w:rPr>
            <w:fldChar w:fldCharType="separate"/>
          </w:r>
          <w:r>
            <w:rPr>
              <w:rFonts w:hint="eastAsia" w:ascii="宋体" w:hAnsi="宋体" w:eastAsia="宋体" w:cs="宋体"/>
              <w:bCs/>
              <w:color w:val="auto"/>
              <w:highlight w:val="none"/>
            </w:rPr>
            <w:t>39 招标相关补充约定</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_Toc8961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23</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774ED911">
          <w:pPr>
            <w:pStyle w:val="14"/>
            <w:tabs>
              <w:tab w:val="right" w:leader="dot" w:pos="10080"/>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_Toc23909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40 本次招标活动的最终解释权归招标代理机构及招标人所有。</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_Toc23909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23</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33FBCDAA">
          <w:pPr>
            <w:pStyle w:val="16"/>
            <w:tabs>
              <w:tab w:val="right" w:leader="dot" w:pos="10080"/>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_Toc26657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第三篇 用户需求书</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_Toc26657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24</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3CC6B152">
          <w:pPr>
            <w:pStyle w:val="16"/>
            <w:tabs>
              <w:tab w:val="right" w:leader="dot" w:pos="10080"/>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_Toc18121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第四篇 合同条款格式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_Toc18121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39</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72745700">
          <w:pPr>
            <w:pStyle w:val="16"/>
            <w:tabs>
              <w:tab w:val="right" w:leader="dot" w:pos="10080"/>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_Toc14108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第五篇 相关保函格式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_Toc14108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57</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6DC93CD7">
          <w:pPr>
            <w:pStyle w:val="16"/>
            <w:tabs>
              <w:tab w:val="right" w:leader="dot" w:pos="10080"/>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_Toc19670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第六篇 投标文件格式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_Toc19670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60</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37ADED08">
          <w:pPr>
            <w:pStyle w:val="16"/>
            <w:tabs>
              <w:tab w:val="right" w:leader="dot" w:pos="10080"/>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_Toc21269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附件一：评标工作大纲</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_Toc21269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105</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6BFA81E4">
          <w:pPr>
            <w:rPr>
              <w:rFonts w:hint="eastAsia" w:ascii="宋体" w:hAnsi="宋体" w:eastAsia="宋体" w:cs="宋体"/>
              <w:color w:val="auto"/>
              <w:highlight w:val="none"/>
            </w:rPr>
          </w:pPr>
          <w:r>
            <w:rPr>
              <w:rFonts w:hint="eastAsia" w:ascii="宋体" w:hAnsi="宋体" w:eastAsia="宋体" w:cs="宋体"/>
              <w:color w:val="auto"/>
              <w:highlight w:val="none"/>
            </w:rPr>
            <w:fldChar w:fldCharType="end"/>
          </w:r>
        </w:p>
      </w:sdtContent>
    </w:sdt>
    <w:p w14:paraId="76007526">
      <w:pPr>
        <w:rPr>
          <w:rFonts w:hint="eastAsia" w:ascii="宋体" w:hAnsi="宋体" w:eastAsia="宋体" w:cs="宋体"/>
          <w:color w:val="auto"/>
          <w:highlight w:val="none"/>
        </w:rPr>
      </w:pPr>
    </w:p>
    <w:p w14:paraId="39E244C3">
      <w:pPr>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br w:type="page"/>
      </w:r>
    </w:p>
    <w:p w14:paraId="4538B1E8">
      <w:pPr>
        <w:pStyle w:val="2"/>
        <w:rPr>
          <w:rFonts w:hint="eastAsia" w:ascii="宋体" w:hAnsi="宋体" w:eastAsia="宋体" w:cs="宋体"/>
          <w:color w:val="auto"/>
          <w:highlight w:val="none"/>
          <w:lang w:val="zh-CN"/>
        </w:rPr>
      </w:pPr>
      <w:bookmarkStart w:id="14" w:name="_Toc17129"/>
      <w:bookmarkStart w:id="15" w:name="_Toc11264"/>
      <w:r>
        <w:rPr>
          <w:rFonts w:hint="eastAsia" w:ascii="宋体" w:hAnsi="宋体" w:eastAsia="宋体" w:cs="宋体"/>
          <w:color w:val="auto"/>
          <w:highlight w:val="none"/>
          <w:lang w:val="zh-CN"/>
        </w:rPr>
        <w:t>第一篇 招标公告</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p w14:paraId="4D35C967">
      <w:pPr>
        <w:ind w:firstLine="420" w:firstLineChars="200"/>
        <w:rPr>
          <w:rFonts w:hint="eastAsia" w:ascii="宋体" w:hAnsi="宋体" w:eastAsia="宋体" w:cs="宋体"/>
          <w:color w:val="auto"/>
          <w:szCs w:val="21"/>
          <w:highlight w:val="none"/>
          <w:lang w:val="zh-CN"/>
        </w:rPr>
      </w:pPr>
      <w:r>
        <w:rPr>
          <w:rFonts w:hint="eastAsia" w:ascii="宋体" w:hAnsi="宋体" w:eastAsia="宋体" w:cs="宋体"/>
          <w:color w:val="auto"/>
          <w:kern w:val="2"/>
          <w:sz w:val="21"/>
          <w:szCs w:val="21"/>
          <w:highlight w:val="none"/>
          <w:lang w:val="zh-CN" w:eastAsia="zh-CN" w:bidi="ar-SA"/>
        </w:rPr>
        <w:t>广东有德招标采购有限公司</w:t>
      </w:r>
      <w:r>
        <w:rPr>
          <w:rFonts w:hint="eastAsia" w:ascii="宋体" w:hAnsi="宋体" w:eastAsia="宋体" w:cs="宋体"/>
          <w:color w:val="auto"/>
          <w:szCs w:val="21"/>
          <w:highlight w:val="none"/>
          <w:lang w:val="zh-CN"/>
        </w:rPr>
        <w:t>（以下简称“招标代理机构”）受</w:t>
      </w:r>
      <w:r>
        <w:rPr>
          <w:rFonts w:hint="eastAsia" w:ascii="宋体" w:hAnsi="宋体" w:eastAsia="宋体" w:cs="宋体"/>
          <w:color w:val="auto"/>
          <w:kern w:val="0"/>
          <w:szCs w:val="21"/>
          <w:highlight w:val="none"/>
          <w:lang w:eastAsia="zh-CN"/>
        </w:rPr>
        <w:t>东莞市碧水信息科技有限公司</w:t>
      </w:r>
      <w:r>
        <w:rPr>
          <w:rFonts w:hint="eastAsia" w:ascii="宋体" w:hAnsi="宋体" w:eastAsia="宋体" w:cs="宋体"/>
          <w:color w:val="auto"/>
          <w:szCs w:val="21"/>
          <w:highlight w:val="none"/>
          <w:lang w:val="zh-CN"/>
        </w:rPr>
        <w:t>（以下简称“招标人”）的委托，对</w:t>
      </w:r>
      <w:bookmarkStart w:id="16" w:name="_Hlk41903390"/>
      <w:r>
        <w:rPr>
          <w:rFonts w:hint="eastAsia" w:cs="宋体"/>
          <w:color w:val="auto"/>
          <w:kern w:val="2"/>
          <w:sz w:val="21"/>
          <w:szCs w:val="21"/>
          <w:highlight w:val="none"/>
          <w:lang w:val="zh-CN" w:eastAsia="zh-CN" w:bidi="ar-SA"/>
        </w:rPr>
        <w:t>东莞市碧水信息科技有限公司2025年度球墨铸铁阀门采购项目（第三次招标）</w:t>
      </w:r>
      <w:r>
        <w:rPr>
          <w:rFonts w:hint="eastAsia" w:ascii="宋体" w:hAnsi="宋体" w:eastAsia="宋体" w:cs="宋体"/>
          <w:color w:val="auto"/>
          <w:szCs w:val="21"/>
          <w:highlight w:val="none"/>
          <w:lang w:val="zh-CN"/>
        </w:rPr>
        <w:t>（招标编号：</w:t>
      </w:r>
      <w:bookmarkEnd w:id="16"/>
      <w:r>
        <w:rPr>
          <w:rFonts w:hint="eastAsia" w:cs="宋体"/>
          <w:color w:val="auto"/>
          <w:kern w:val="2"/>
          <w:sz w:val="21"/>
          <w:szCs w:val="21"/>
          <w:highlight w:val="none"/>
          <w:lang w:val="en-US" w:eastAsia="zh-CN" w:bidi="ar-SA"/>
        </w:rPr>
        <w:t>YDZB25DGQY0149-2</w:t>
      </w:r>
      <w:r>
        <w:rPr>
          <w:rFonts w:hint="eastAsia" w:ascii="宋体" w:hAnsi="宋体" w:eastAsia="宋体" w:cs="宋体"/>
          <w:color w:val="auto"/>
          <w:szCs w:val="21"/>
          <w:highlight w:val="none"/>
          <w:lang w:val="zh-CN"/>
        </w:rPr>
        <w:t>）进行国内公开招标，</w:t>
      </w:r>
      <w:r>
        <w:rPr>
          <w:rFonts w:hint="eastAsia" w:ascii="宋体" w:hAnsi="宋体" w:eastAsia="宋体" w:cs="宋体"/>
          <w:bCs/>
          <w:color w:val="auto"/>
          <w:kern w:val="0"/>
          <w:szCs w:val="21"/>
          <w:highlight w:val="none"/>
        </w:rPr>
        <w:t>详情请参见本招标文件。</w:t>
      </w:r>
      <w:r>
        <w:rPr>
          <w:rFonts w:hint="eastAsia" w:ascii="宋体" w:hAnsi="宋体" w:eastAsia="宋体" w:cs="宋体"/>
          <w:color w:val="auto"/>
          <w:kern w:val="0"/>
          <w:szCs w:val="21"/>
          <w:highlight w:val="none"/>
        </w:rPr>
        <w:t>欢迎符合条件的合格投标人参加投标，</w:t>
      </w:r>
      <w:r>
        <w:rPr>
          <w:rFonts w:hint="eastAsia" w:ascii="宋体" w:hAnsi="宋体" w:eastAsia="宋体" w:cs="宋体"/>
          <w:bCs/>
          <w:color w:val="auto"/>
          <w:kern w:val="0"/>
          <w:szCs w:val="21"/>
          <w:highlight w:val="none"/>
        </w:rPr>
        <w:t>有关事项如下：</w:t>
      </w:r>
    </w:p>
    <w:p w14:paraId="084D196D">
      <w:pPr>
        <w:rPr>
          <w:rFonts w:hint="eastAsia" w:ascii="宋体" w:hAnsi="宋体" w:eastAsia="宋体" w:cs="宋体"/>
          <w:color w:val="auto"/>
          <w:highlight w:val="none"/>
          <w:lang w:val="zh-CN"/>
        </w:rPr>
      </w:pPr>
    </w:p>
    <w:p w14:paraId="749CE53A">
      <w:pPr>
        <w:numPr>
          <w:ilvl w:val="0"/>
          <w:numId w:val="1"/>
        </w:numPr>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招标范围：</w:t>
      </w:r>
      <w:r>
        <w:rPr>
          <w:rFonts w:hint="eastAsia" w:ascii="宋体" w:hAnsi="宋体" w:eastAsia="宋体" w:cs="宋体"/>
          <w:color w:val="auto"/>
          <w:highlight w:val="none"/>
          <w:u w:val="single"/>
          <w:lang w:val="zh-CN"/>
        </w:rPr>
        <w:t>供货期内，东莞市碧水信息科技有限公司球墨铸铁阀门的采购，包供货和运输</w:t>
      </w:r>
      <w:r>
        <w:rPr>
          <w:rFonts w:hint="eastAsia" w:ascii="宋体" w:hAnsi="宋体" w:eastAsia="宋体" w:cs="宋体"/>
          <w:color w:val="auto"/>
          <w:highlight w:val="none"/>
          <w:lang w:val="zh-CN"/>
        </w:rPr>
        <w:t>。（具体内容详见：第三篇用户需求书）。</w:t>
      </w:r>
    </w:p>
    <w:p w14:paraId="0754FA53">
      <w:pPr>
        <w:ind w:firstLine="420" w:firstLineChars="200"/>
        <w:rPr>
          <w:rFonts w:hint="eastAsia" w:ascii="宋体" w:hAnsi="宋体" w:eastAsia="宋体" w:cs="宋体"/>
          <w:color w:val="auto"/>
          <w:highlight w:val="none"/>
          <w:lang w:val="zh-CN"/>
        </w:rPr>
      </w:pPr>
    </w:p>
    <w:p w14:paraId="4DD7E4F9">
      <w:pPr>
        <w:numPr>
          <w:ilvl w:val="0"/>
          <w:numId w:val="1"/>
        </w:numPr>
        <w:ind w:right="-34"/>
        <w:jc w:val="left"/>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合格投标人资格要求：</w:t>
      </w:r>
    </w:p>
    <w:p w14:paraId="43D3449F">
      <w:pPr>
        <w:ind w:right="-29" w:rightChars="-14"/>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2.1 在中华人民共和国境内登记注册、合法存续、正常经营且具有独立承担民事责任能力的法人或其他组织；</w:t>
      </w:r>
    </w:p>
    <w:p w14:paraId="0E17CEA1">
      <w:pPr>
        <w:ind w:left="422" w:right="-29" w:rightChars="-14" w:hanging="422" w:hangingChars="200"/>
        <w:rPr>
          <w:rFonts w:hint="eastAsia" w:ascii="宋体" w:hAnsi="宋体" w:eastAsia="宋体" w:cs="宋体"/>
          <w:b/>
          <w:color w:val="auto"/>
          <w:szCs w:val="21"/>
          <w:highlight w:val="none"/>
          <w:lang w:val="zh-CN"/>
        </w:rPr>
      </w:pPr>
      <w:bookmarkStart w:id="17" w:name="_Toc25819"/>
      <w:r>
        <w:rPr>
          <w:rFonts w:hint="eastAsia" w:ascii="宋体" w:hAnsi="宋体" w:eastAsia="宋体" w:cs="宋体"/>
          <w:b/>
          <w:color w:val="auto"/>
          <w:szCs w:val="21"/>
          <w:highlight w:val="none"/>
        </w:rPr>
        <w:t xml:space="preserve">2.2 </w:t>
      </w:r>
      <w:r>
        <w:rPr>
          <w:rFonts w:hint="eastAsia" w:ascii="宋体" w:hAnsi="宋体" w:eastAsia="宋体" w:cs="宋体"/>
          <w:b/>
          <w:color w:val="auto"/>
          <w:szCs w:val="21"/>
          <w:highlight w:val="none"/>
          <w:lang w:val="en-US" w:eastAsia="zh-CN"/>
        </w:rPr>
        <w:t>本项目投标人须为生产制造本次投标品牌球墨铸铁阀门的制造商</w:t>
      </w:r>
      <w:r>
        <w:rPr>
          <w:rFonts w:hint="eastAsia" w:ascii="宋体" w:hAnsi="宋体" w:eastAsia="宋体" w:cs="宋体"/>
          <w:b/>
          <w:color w:val="auto"/>
          <w:szCs w:val="21"/>
          <w:highlight w:val="none"/>
          <w:lang w:val="zh-CN"/>
        </w:rPr>
        <w:t>，或为球墨铸铁阀门制造商直接就本项目独家授权销售的经销商；</w:t>
      </w:r>
    </w:p>
    <w:p w14:paraId="491549E9">
      <w:pPr>
        <w:ind w:left="422" w:right="-29" w:rightChars="-14" w:hanging="422" w:hangingChars="200"/>
        <w:rPr>
          <w:rFonts w:hint="eastAsia" w:ascii="宋体" w:hAnsi="宋体" w:eastAsia="宋体" w:cs="宋体"/>
          <w:color w:val="auto"/>
          <w:highlight w:val="none"/>
        </w:rPr>
      </w:pPr>
      <w:r>
        <w:rPr>
          <w:rFonts w:hint="eastAsia" w:ascii="宋体" w:hAnsi="宋体" w:eastAsia="宋体" w:cs="宋体"/>
          <w:b/>
          <w:color w:val="auto"/>
          <w:szCs w:val="21"/>
          <w:highlight w:val="none"/>
          <w:lang w:val="zh-CN"/>
        </w:rPr>
        <w:t>2.3 投标人2022年1月1日以来具有一份投标品牌球墨铸铁阀门在国内的销售业绩（合同签订日期为2022年1月1日或以后）</w:t>
      </w:r>
      <w:r>
        <w:rPr>
          <w:rFonts w:hint="eastAsia" w:ascii="宋体" w:hAnsi="宋体" w:eastAsia="宋体" w:cs="宋体"/>
          <w:b/>
          <w:color w:val="auto"/>
          <w:szCs w:val="21"/>
          <w:highlight w:val="none"/>
        </w:rPr>
        <w:t>；</w:t>
      </w:r>
    </w:p>
    <w:p w14:paraId="04B5ADAB">
      <w:pPr>
        <w:pStyle w:val="11"/>
        <w:ind w:left="422" w:hanging="422" w:hangingChars="200"/>
        <w:rPr>
          <w:rFonts w:hint="eastAsia" w:ascii="宋体" w:hAnsi="宋体" w:eastAsia="宋体" w:cs="宋体"/>
          <w:color w:val="auto"/>
          <w:highlight w:val="none"/>
        </w:rPr>
      </w:pPr>
      <w:r>
        <w:rPr>
          <w:rFonts w:hint="eastAsia" w:ascii="宋体" w:hAnsi="宋体" w:eastAsia="宋体" w:cs="宋体"/>
          <w:b/>
          <w:color w:val="auto"/>
          <w:szCs w:val="21"/>
          <w:highlight w:val="none"/>
          <w:lang w:val="en-US" w:eastAsia="zh-CN"/>
        </w:rPr>
        <w:t xml:space="preserve">2.4 </w:t>
      </w:r>
      <w:r>
        <w:rPr>
          <w:rFonts w:hint="eastAsia" w:ascii="宋体" w:hAnsi="宋体" w:eastAsia="宋体" w:cs="宋体"/>
          <w:b/>
          <w:color w:val="auto"/>
          <w:szCs w:val="21"/>
          <w:highlight w:val="none"/>
        </w:rPr>
        <w:t>投标人所供</w:t>
      </w:r>
      <w:r>
        <w:rPr>
          <w:rFonts w:hint="eastAsia" w:ascii="宋体" w:hAnsi="宋体" w:eastAsia="宋体" w:cs="宋体"/>
          <w:b/>
          <w:color w:val="auto"/>
          <w:szCs w:val="21"/>
          <w:highlight w:val="none"/>
          <w:lang w:val="zh-CN"/>
        </w:rPr>
        <w:t>球墨铸铁阀门</w:t>
      </w:r>
      <w:r>
        <w:rPr>
          <w:rFonts w:hint="eastAsia" w:ascii="宋体" w:hAnsi="宋体" w:eastAsia="宋体" w:cs="宋体"/>
          <w:b/>
          <w:color w:val="auto"/>
          <w:szCs w:val="21"/>
          <w:highlight w:val="none"/>
        </w:rPr>
        <w:t>具有有效的省级以上(含省级)卫生行政主管部门颁发的《涉及饮用水卫生安全产品卫生许可批件》；</w:t>
      </w:r>
    </w:p>
    <w:p w14:paraId="77CE9CB0">
      <w:pPr>
        <w:ind w:right="-29" w:rightChars="-14"/>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rPr>
        <w:t>2.</w:t>
      </w:r>
      <w:r>
        <w:rPr>
          <w:rFonts w:hint="eastAsia" w:ascii="宋体" w:hAnsi="宋体" w:eastAsia="宋体" w:cs="宋体"/>
          <w:b/>
          <w:color w:val="auto"/>
          <w:szCs w:val="21"/>
          <w:highlight w:val="none"/>
          <w:lang w:val="en-US" w:eastAsia="zh-CN"/>
        </w:rPr>
        <w:t>5</w:t>
      </w:r>
      <w:r>
        <w:rPr>
          <w:rFonts w:hint="eastAsia" w:ascii="宋体" w:hAnsi="宋体" w:eastAsia="宋体" w:cs="宋体"/>
          <w:b/>
          <w:color w:val="auto"/>
          <w:szCs w:val="21"/>
          <w:highlight w:val="none"/>
        </w:rPr>
        <w:t xml:space="preserve"> </w:t>
      </w:r>
      <w:r>
        <w:rPr>
          <w:rFonts w:hint="eastAsia" w:ascii="宋体" w:hAnsi="宋体" w:eastAsia="宋体" w:cs="宋体"/>
          <w:b/>
          <w:color w:val="auto"/>
          <w:szCs w:val="21"/>
          <w:highlight w:val="none"/>
          <w:lang w:val="zh-CN"/>
        </w:rPr>
        <w:t>本项目不接受联合体投标。</w:t>
      </w:r>
    </w:p>
    <w:bookmarkEnd w:id="17"/>
    <w:p w14:paraId="684376F2">
      <w:pPr>
        <w:rPr>
          <w:rFonts w:hint="eastAsia" w:ascii="宋体" w:hAnsi="宋体" w:eastAsia="宋体" w:cs="宋体"/>
          <w:color w:val="auto"/>
          <w:highlight w:val="none"/>
          <w:lang w:val="zh-CN"/>
        </w:rPr>
      </w:pPr>
    </w:p>
    <w:p w14:paraId="41B48EEB">
      <w:pPr>
        <w:numPr>
          <w:ilvl w:val="0"/>
          <w:numId w:val="1"/>
        </w:numPr>
        <w:ind w:left="426" w:right="-34" w:hanging="426"/>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zh-CN"/>
        </w:rPr>
        <w:t>获取招标文件的方式：本项目采用“不记名网上下载”的方式发布招标文件，有意向的投标人可于本项目投标截止时间前，在本项目招标信息发布媒介【详见本招标公告第7点（除中国招标投标公共服务平台外）】下载招标文件</w:t>
      </w:r>
      <w:r>
        <w:rPr>
          <w:rFonts w:hint="eastAsia" w:ascii="宋体" w:hAnsi="宋体" w:eastAsia="宋体" w:cs="宋体"/>
          <w:color w:val="auto"/>
          <w:szCs w:val="21"/>
          <w:highlight w:val="none"/>
        </w:rPr>
        <w:t>。</w:t>
      </w:r>
    </w:p>
    <w:p w14:paraId="5CB8D057">
      <w:pPr>
        <w:rPr>
          <w:rFonts w:hint="eastAsia" w:ascii="宋体" w:hAnsi="宋体" w:eastAsia="宋体" w:cs="宋体"/>
          <w:color w:val="auto"/>
          <w:highlight w:val="none"/>
          <w:lang w:val="zh-CN"/>
        </w:rPr>
      </w:pPr>
    </w:p>
    <w:p w14:paraId="52E5BB21">
      <w:pPr>
        <w:numPr>
          <w:ilvl w:val="0"/>
          <w:numId w:val="1"/>
        </w:numPr>
        <w:ind w:right="-34"/>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招标代理机构在递交投标文件截止时间当天通过“信用中国”网站（www.creditchina.gov.cn）查询投标人（含其不具有独立法人资格的分支机构）信用记录。招标代理机构对投标人信用记录进行甄别，对列入失信被执行人、重大税收违法失信主体、政府采购严重违法失信行为记录名单的投标人，做好相关记录（处罚期限届满的除外）。</w:t>
      </w:r>
    </w:p>
    <w:p w14:paraId="73F150AE">
      <w:pPr>
        <w:rPr>
          <w:rFonts w:hint="eastAsia" w:ascii="宋体" w:hAnsi="宋体" w:eastAsia="宋体" w:cs="宋体"/>
          <w:color w:val="auto"/>
          <w:highlight w:val="none"/>
          <w:lang w:val="zh-CN"/>
        </w:rPr>
      </w:pPr>
    </w:p>
    <w:p w14:paraId="29A5D203">
      <w:pPr>
        <w:numPr>
          <w:ilvl w:val="0"/>
          <w:numId w:val="1"/>
        </w:numPr>
        <w:ind w:right="-34"/>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投标、开标时间及地点：</w:t>
      </w:r>
    </w:p>
    <w:p w14:paraId="6B73A879">
      <w:pPr>
        <w:ind w:right="-29" w:rightChars="-14"/>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5.1 投标文件递交时间：</w:t>
      </w:r>
      <w:r>
        <w:rPr>
          <w:rFonts w:hint="eastAsia" w:cs="宋体"/>
          <w:color w:val="auto"/>
          <w:szCs w:val="21"/>
          <w:highlight w:val="none"/>
          <w:u w:val="single"/>
          <w:lang w:val="en-US" w:eastAsia="zh-CN"/>
        </w:rPr>
        <w:t>2026</w:t>
      </w:r>
      <w:r>
        <w:rPr>
          <w:rFonts w:hint="eastAsia" w:ascii="宋体" w:hAnsi="宋体" w:eastAsia="宋体" w:cs="宋体"/>
          <w:bCs/>
          <w:color w:val="auto"/>
          <w:kern w:val="0"/>
          <w:szCs w:val="21"/>
          <w:highlight w:val="none"/>
        </w:rPr>
        <w:t>年</w:t>
      </w:r>
      <w:r>
        <w:rPr>
          <w:rFonts w:hint="eastAsia" w:cs="宋体"/>
          <w:color w:val="auto"/>
          <w:szCs w:val="21"/>
          <w:highlight w:val="none"/>
          <w:u w:val="single"/>
          <w:lang w:val="en-US" w:eastAsia="zh-CN"/>
        </w:rPr>
        <w:t>05</w:t>
      </w:r>
      <w:r>
        <w:rPr>
          <w:rFonts w:hint="eastAsia" w:ascii="宋体" w:hAnsi="宋体" w:eastAsia="宋体" w:cs="宋体"/>
          <w:bCs/>
          <w:color w:val="auto"/>
          <w:kern w:val="0"/>
          <w:szCs w:val="21"/>
          <w:highlight w:val="none"/>
        </w:rPr>
        <w:t>月</w:t>
      </w:r>
      <w:r>
        <w:rPr>
          <w:rFonts w:hint="eastAsia" w:cs="宋体"/>
          <w:color w:val="auto"/>
          <w:szCs w:val="21"/>
          <w:highlight w:val="none"/>
          <w:u w:val="single"/>
          <w:lang w:val="en-US" w:eastAsia="zh-CN"/>
        </w:rPr>
        <w:t>13</w:t>
      </w:r>
      <w:r>
        <w:rPr>
          <w:rFonts w:hint="eastAsia" w:ascii="宋体" w:hAnsi="宋体" w:eastAsia="宋体" w:cs="宋体"/>
          <w:bCs/>
          <w:color w:val="auto"/>
          <w:kern w:val="0"/>
          <w:szCs w:val="21"/>
          <w:highlight w:val="none"/>
        </w:rPr>
        <w:t>日</w:t>
      </w:r>
      <w:r>
        <w:rPr>
          <w:rFonts w:hint="eastAsia" w:cs="宋体"/>
          <w:bCs/>
          <w:color w:val="auto"/>
          <w:kern w:val="0"/>
          <w:szCs w:val="21"/>
          <w:highlight w:val="none"/>
          <w:u w:val="single"/>
          <w:lang w:val="en-US" w:eastAsia="zh-CN"/>
        </w:rPr>
        <w:t>13：30-14：00</w:t>
      </w:r>
      <w:r>
        <w:rPr>
          <w:rFonts w:hint="eastAsia" w:ascii="宋体" w:hAnsi="宋体" w:eastAsia="宋体" w:cs="宋体"/>
          <w:bCs/>
          <w:color w:val="auto"/>
          <w:kern w:val="0"/>
          <w:szCs w:val="21"/>
          <w:highlight w:val="none"/>
        </w:rPr>
        <w:t>；</w:t>
      </w:r>
    </w:p>
    <w:p w14:paraId="636960E1">
      <w:pPr>
        <w:ind w:right="-29" w:rightChars="-14"/>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5.2 投标截止及开标时间：</w:t>
      </w:r>
      <w:r>
        <w:rPr>
          <w:rFonts w:hint="eastAsia" w:cs="宋体"/>
          <w:color w:val="auto"/>
          <w:szCs w:val="21"/>
          <w:highlight w:val="none"/>
          <w:u w:val="single"/>
          <w:lang w:val="en-US" w:eastAsia="zh-CN"/>
        </w:rPr>
        <w:t>2026</w:t>
      </w:r>
      <w:r>
        <w:rPr>
          <w:rFonts w:hint="eastAsia" w:ascii="宋体" w:hAnsi="宋体" w:eastAsia="宋体" w:cs="宋体"/>
          <w:bCs/>
          <w:color w:val="auto"/>
          <w:kern w:val="0"/>
          <w:szCs w:val="21"/>
          <w:highlight w:val="none"/>
        </w:rPr>
        <w:t>年</w:t>
      </w:r>
      <w:r>
        <w:rPr>
          <w:rFonts w:hint="eastAsia" w:cs="宋体"/>
          <w:color w:val="auto"/>
          <w:szCs w:val="21"/>
          <w:highlight w:val="none"/>
          <w:u w:val="single"/>
          <w:lang w:val="en-US" w:eastAsia="zh-CN"/>
        </w:rPr>
        <w:t>05</w:t>
      </w:r>
      <w:r>
        <w:rPr>
          <w:rFonts w:hint="eastAsia" w:ascii="宋体" w:hAnsi="宋体" w:eastAsia="宋体" w:cs="宋体"/>
          <w:bCs/>
          <w:color w:val="auto"/>
          <w:kern w:val="0"/>
          <w:szCs w:val="21"/>
          <w:highlight w:val="none"/>
        </w:rPr>
        <w:t>月</w:t>
      </w:r>
      <w:r>
        <w:rPr>
          <w:rFonts w:hint="eastAsia" w:cs="宋体"/>
          <w:color w:val="auto"/>
          <w:szCs w:val="21"/>
          <w:highlight w:val="none"/>
          <w:u w:val="single"/>
          <w:lang w:val="en-US" w:eastAsia="zh-CN"/>
        </w:rPr>
        <w:t>13</w:t>
      </w:r>
      <w:r>
        <w:rPr>
          <w:rFonts w:hint="eastAsia" w:ascii="宋体" w:hAnsi="宋体" w:eastAsia="宋体" w:cs="宋体"/>
          <w:bCs/>
          <w:color w:val="auto"/>
          <w:kern w:val="0"/>
          <w:szCs w:val="21"/>
          <w:highlight w:val="none"/>
        </w:rPr>
        <w:t>日</w:t>
      </w:r>
      <w:bookmarkStart w:id="1165" w:name="_GoBack"/>
      <w:bookmarkEnd w:id="1165"/>
      <w:r>
        <w:rPr>
          <w:rFonts w:hint="eastAsia" w:cs="宋体"/>
          <w:bCs/>
          <w:color w:val="auto"/>
          <w:kern w:val="0"/>
          <w:szCs w:val="21"/>
          <w:highlight w:val="none"/>
          <w:u w:val="single"/>
          <w:lang w:val="en-US" w:eastAsia="zh-CN"/>
        </w:rPr>
        <w:t>14：00</w:t>
      </w:r>
      <w:r>
        <w:rPr>
          <w:rFonts w:hint="eastAsia" w:ascii="宋体" w:hAnsi="宋体" w:eastAsia="宋体" w:cs="宋体"/>
          <w:bCs/>
          <w:color w:val="auto"/>
          <w:kern w:val="0"/>
          <w:szCs w:val="21"/>
          <w:highlight w:val="none"/>
        </w:rPr>
        <w:t>；</w:t>
      </w:r>
    </w:p>
    <w:p w14:paraId="05A19494">
      <w:pPr>
        <w:ind w:right="-29" w:rightChars="-14"/>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lang w:val="zh-CN"/>
        </w:rPr>
        <w:t>5.3 投标及开标地点：</w:t>
      </w:r>
      <w:r>
        <w:rPr>
          <w:rFonts w:hint="eastAsia" w:ascii="宋体" w:hAnsi="宋体" w:eastAsia="宋体" w:cs="宋体"/>
          <w:color w:val="auto"/>
          <w:szCs w:val="21"/>
          <w:highlight w:val="none"/>
          <w:u w:val="single"/>
          <w:lang w:val="zh-CN"/>
        </w:rPr>
        <w:t>广东省东莞市东城街道新源路海德琥珀台6栋1703室</w:t>
      </w:r>
      <w:r>
        <w:rPr>
          <w:rFonts w:hint="eastAsia" w:ascii="宋体" w:hAnsi="宋体" w:eastAsia="宋体" w:cs="宋体"/>
          <w:color w:val="auto"/>
          <w:kern w:val="0"/>
          <w:szCs w:val="21"/>
          <w:highlight w:val="none"/>
        </w:rPr>
        <w:t>。</w:t>
      </w:r>
    </w:p>
    <w:p w14:paraId="3A092A4A">
      <w:pPr>
        <w:rPr>
          <w:rFonts w:hint="eastAsia" w:ascii="宋体" w:hAnsi="宋体" w:eastAsia="宋体" w:cs="宋体"/>
          <w:color w:val="auto"/>
          <w:highlight w:val="none"/>
        </w:rPr>
      </w:pPr>
    </w:p>
    <w:p w14:paraId="6DD9E109">
      <w:pPr>
        <w:numPr>
          <w:ilvl w:val="0"/>
          <w:numId w:val="1"/>
        </w:numPr>
        <w:ind w:right="-34"/>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招标代理机构只接受在递交投标文件截止日当天由投标人法定代表人或其授权代表于递交投标文件截止时间前亲自递交的投标文件</w:t>
      </w:r>
      <w:r>
        <w:rPr>
          <w:rFonts w:hint="eastAsia" w:ascii="宋体" w:hAnsi="宋体" w:eastAsia="宋体" w:cs="宋体"/>
          <w:color w:val="auto"/>
          <w:szCs w:val="21"/>
          <w:highlight w:val="none"/>
          <w:lang w:val="zh-CN"/>
        </w:rPr>
        <w:t>。电报、传真形式的投标概不接受。</w:t>
      </w:r>
    </w:p>
    <w:p w14:paraId="1F985A7B">
      <w:pPr>
        <w:rPr>
          <w:rFonts w:hint="eastAsia" w:ascii="宋体" w:hAnsi="宋体" w:eastAsia="宋体" w:cs="宋体"/>
          <w:color w:val="auto"/>
          <w:highlight w:val="none"/>
          <w:lang w:val="zh-CN"/>
        </w:rPr>
      </w:pPr>
    </w:p>
    <w:p w14:paraId="1075F54C">
      <w:pPr>
        <w:numPr>
          <w:ilvl w:val="0"/>
          <w:numId w:val="1"/>
        </w:numPr>
        <w:ind w:right="-34"/>
        <w:jc w:val="left"/>
        <w:rPr>
          <w:rFonts w:hint="eastAsia" w:ascii="宋体" w:hAnsi="宋体" w:eastAsia="宋体" w:cs="宋体"/>
          <w:color w:val="auto"/>
          <w:szCs w:val="21"/>
          <w:highlight w:val="none"/>
          <w:lang w:val="zh-CN"/>
        </w:rPr>
      </w:pPr>
      <w:r>
        <w:rPr>
          <w:rFonts w:hint="eastAsia" w:ascii="宋体" w:hAnsi="宋体" w:eastAsia="宋体" w:cs="宋体"/>
          <w:bCs/>
          <w:color w:val="auto"/>
          <w:szCs w:val="21"/>
          <w:highlight w:val="none"/>
        </w:rPr>
        <w:t>本项目相关公告在以下媒介发布：</w:t>
      </w:r>
      <w:r>
        <w:rPr>
          <w:rFonts w:hint="eastAsia" w:ascii="宋体" w:hAnsi="宋体" w:eastAsia="宋体" w:cs="宋体"/>
          <w:bCs/>
          <w:color w:val="auto"/>
          <w:szCs w:val="21"/>
          <w:highlight w:val="none"/>
          <w:lang w:eastAsia="zh-CN"/>
        </w:rPr>
        <w:t>广东省公共资源交易平台（ygp.gdzwfw.gov.cn）、</w:t>
      </w:r>
      <w:r>
        <w:rPr>
          <w:rFonts w:hint="eastAsia" w:ascii="宋体" w:hAnsi="宋体" w:eastAsia="宋体" w:cs="宋体"/>
          <w:bCs/>
          <w:color w:val="auto"/>
          <w:szCs w:val="21"/>
          <w:highlight w:val="none"/>
        </w:rPr>
        <w:t>中国招标投标公共服务平台（www.cebpubservice.com）、</w:t>
      </w:r>
      <w:r>
        <w:rPr>
          <w:rFonts w:hint="eastAsia" w:ascii="宋体" w:hAnsi="宋体" w:eastAsia="宋体" w:cs="宋体"/>
          <w:color w:val="auto"/>
          <w:szCs w:val="21"/>
          <w:highlight w:val="none"/>
          <w:lang w:val="zh-CN"/>
        </w:rPr>
        <w:t>东莞市水务环境投资控股集团有限公司</w:t>
      </w:r>
      <w:r>
        <w:rPr>
          <w:rFonts w:hint="eastAsia" w:ascii="宋体" w:hAnsi="宋体" w:eastAsia="宋体" w:cs="宋体"/>
          <w:bCs/>
          <w:color w:val="auto"/>
          <w:szCs w:val="21"/>
          <w:highlight w:val="none"/>
          <w:lang w:eastAsia="zh-CN"/>
        </w:rPr>
        <w:t>网</w:t>
      </w:r>
      <w:r>
        <w:rPr>
          <w:rFonts w:hint="eastAsia" w:ascii="宋体" w:hAnsi="宋体" w:eastAsia="宋体" w:cs="宋体"/>
          <w:bCs/>
          <w:color w:val="auto"/>
          <w:szCs w:val="21"/>
          <w:highlight w:val="none"/>
        </w:rPr>
        <w:t>（</w:t>
      </w:r>
      <w:r>
        <w:rPr>
          <w:rFonts w:hint="eastAsia" w:cs="宋体"/>
          <w:bCs/>
          <w:color w:val="auto"/>
          <w:szCs w:val="21"/>
          <w:highlight w:val="none"/>
          <w:lang w:eastAsia="zh-CN"/>
        </w:rPr>
        <w:t>www.dgweg.cn</w:t>
      </w:r>
      <w:r>
        <w:rPr>
          <w:rFonts w:hint="eastAsia" w:ascii="宋体" w:hAnsi="宋体" w:eastAsia="宋体" w:cs="宋体"/>
          <w:bCs/>
          <w:color w:val="auto"/>
          <w:szCs w:val="21"/>
          <w:highlight w:val="none"/>
        </w:rPr>
        <w:t>）、招标代理机构网站（www.youde.net）</w:t>
      </w:r>
      <w:r>
        <w:rPr>
          <w:rFonts w:hint="eastAsia" w:ascii="宋体" w:hAnsi="宋体" w:eastAsia="宋体" w:cs="宋体"/>
          <w:color w:val="auto"/>
          <w:szCs w:val="21"/>
          <w:highlight w:val="none"/>
          <w:lang w:val="zh-CN"/>
        </w:rPr>
        <w:t>。</w:t>
      </w:r>
    </w:p>
    <w:p w14:paraId="2E1BB047">
      <w:pPr>
        <w:rPr>
          <w:rFonts w:hint="eastAsia" w:ascii="宋体" w:hAnsi="宋体" w:eastAsia="宋体" w:cs="宋体"/>
          <w:color w:val="auto"/>
          <w:highlight w:val="none"/>
        </w:rPr>
      </w:pPr>
    </w:p>
    <w:p w14:paraId="1647D6F1">
      <w:pPr>
        <w:numPr>
          <w:ilvl w:val="0"/>
          <w:numId w:val="1"/>
        </w:numPr>
        <w:ind w:right="-34"/>
        <w:jc w:val="left"/>
        <w:rPr>
          <w:rFonts w:hint="eastAsia" w:ascii="宋体" w:hAnsi="宋体" w:eastAsia="宋体" w:cs="宋体"/>
          <w:color w:val="auto"/>
          <w:szCs w:val="21"/>
          <w:highlight w:val="none"/>
        </w:rPr>
      </w:pPr>
      <w:r>
        <w:rPr>
          <w:rFonts w:hint="eastAsia" w:ascii="宋体" w:hAnsi="宋体" w:eastAsia="宋体" w:cs="宋体"/>
          <w:bCs/>
          <w:color w:val="auto"/>
          <w:szCs w:val="21"/>
          <w:highlight w:val="none"/>
          <w:lang w:val="zh-CN"/>
        </w:rPr>
        <w:t>招标人联系方式</w:t>
      </w:r>
    </w:p>
    <w:p w14:paraId="4AA4B4AD">
      <w:pPr>
        <w:widowControl/>
        <w:ind w:right="-31" w:rightChars="-15" w:firstLine="424" w:firstLineChars="202"/>
        <w:jc w:val="left"/>
        <w:textAlignment w:val="bottom"/>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招标人：</w:t>
      </w:r>
      <w:r>
        <w:rPr>
          <w:rFonts w:hint="eastAsia" w:ascii="宋体" w:hAnsi="宋体" w:eastAsia="宋体" w:cs="宋体"/>
          <w:color w:val="auto"/>
          <w:kern w:val="0"/>
          <w:szCs w:val="21"/>
          <w:highlight w:val="none"/>
          <w:lang w:eastAsia="zh-CN"/>
        </w:rPr>
        <w:t>东莞市碧水信息科技有限公司</w:t>
      </w:r>
    </w:p>
    <w:p w14:paraId="3585D68D">
      <w:pPr>
        <w:widowControl/>
        <w:ind w:right="-31" w:rightChars="-15" w:firstLine="424" w:firstLineChars="202"/>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地  址：广东省东莞市南城街道滨河路100号1号楼</w:t>
      </w:r>
    </w:p>
    <w:p w14:paraId="32AD7225">
      <w:pPr>
        <w:widowControl/>
        <w:ind w:right="-31" w:rightChars="-15" w:firstLine="424" w:firstLineChars="202"/>
        <w:jc w:val="left"/>
        <w:textAlignment w:val="bottom"/>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联系人：</w:t>
      </w:r>
      <w:r>
        <w:rPr>
          <w:rFonts w:hint="eastAsia" w:ascii="宋体" w:hAnsi="宋体" w:eastAsia="宋体" w:cs="宋体"/>
          <w:color w:val="auto"/>
          <w:kern w:val="0"/>
          <w:szCs w:val="21"/>
          <w:highlight w:val="none"/>
          <w:lang w:eastAsia="zh-CN"/>
        </w:rPr>
        <w:t>陈启政</w:t>
      </w:r>
    </w:p>
    <w:p w14:paraId="4233DD82">
      <w:pPr>
        <w:widowControl/>
        <w:ind w:right="-31" w:rightChars="-15" w:firstLine="424" w:firstLineChars="202"/>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电  话：0769-27289286</w:t>
      </w:r>
    </w:p>
    <w:p w14:paraId="5B653052">
      <w:pPr>
        <w:rPr>
          <w:rFonts w:hint="eastAsia" w:ascii="宋体" w:hAnsi="宋体" w:eastAsia="宋体" w:cs="宋体"/>
          <w:color w:val="auto"/>
          <w:highlight w:val="none"/>
        </w:rPr>
      </w:pPr>
    </w:p>
    <w:p w14:paraId="4AF061F2">
      <w:pPr>
        <w:numPr>
          <w:ilvl w:val="0"/>
          <w:numId w:val="1"/>
        </w:numPr>
        <w:ind w:right="-34"/>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招标代理机构及异议受理联系方式</w:t>
      </w:r>
    </w:p>
    <w:p w14:paraId="1D595155">
      <w:pPr>
        <w:widowControl/>
        <w:ind w:right="-31" w:rightChars="-15" w:firstLine="424" w:firstLineChars="202"/>
        <w:jc w:val="left"/>
        <w:textAlignment w:val="bottom"/>
        <w:rPr>
          <w:rFonts w:hint="eastAsia" w:ascii="宋体" w:hAnsi="宋体" w:eastAsia="宋体" w:cs="宋体"/>
          <w:color w:val="auto"/>
          <w:kern w:val="0"/>
          <w:szCs w:val="21"/>
          <w:highlight w:val="none"/>
        </w:rPr>
      </w:pPr>
      <w:bookmarkStart w:id="18" w:name="_Toc450662847"/>
      <w:bookmarkStart w:id="19" w:name="_Toc486167661"/>
      <w:bookmarkStart w:id="20" w:name="_Toc31764_WPSOffice_Level1"/>
      <w:r>
        <w:rPr>
          <w:rFonts w:hint="eastAsia" w:ascii="宋体" w:hAnsi="宋体" w:eastAsia="宋体" w:cs="宋体"/>
          <w:color w:val="auto"/>
          <w:kern w:val="0"/>
          <w:szCs w:val="21"/>
          <w:highlight w:val="none"/>
        </w:rPr>
        <w:t>招标代理机构：广东有德招标采购有限公司</w:t>
      </w:r>
    </w:p>
    <w:p w14:paraId="1F034E91">
      <w:pPr>
        <w:widowControl/>
        <w:ind w:right="-31" w:rightChars="-15" w:firstLine="424" w:firstLineChars="202"/>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地  址：广东省</w:t>
      </w:r>
      <w:r>
        <w:rPr>
          <w:rFonts w:hint="eastAsia" w:ascii="宋体" w:hAnsi="宋体" w:eastAsia="宋体" w:cs="宋体"/>
          <w:color w:val="auto"/>
          <w:szCs w:val="21"/>
          <w:highlight w:val="none"/>
        </w:rPr>
        <w:t>东莞市东城街道新源路海德琥珀台6栋1703室</w:t>
      </w:r>
    </w:p>
    <w:p w14:paraId="36A72990">
      <w:pPr>
        <w:widowControl/>
        <w:ind w:right="-31" w:rightChars="-15" w:firstLine="424" w:firstLineChars="202"/>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联系人：</w:t>
      </w:r>
      <w:r>
        <w:rPr>
          <w:rFonts w:hint="eastAsia" w:ascii="宋体" w:hAnsi="宋体" w:eastAsia="宋体" w:cs="宋体"/>
          <w:color w:val="auto"/>
          <w:kern w:val="0"/>
          <w:szCs w:val="21"/>
          <w:highlight w:val="none"/>
          <w:lang w:val="en-US" w:eastAsia="zh-CN"/>
        </w:rPr>
        <w:t>缪俊豪</w:t>
      </w:r>
    </w:p>
    <w:p w14:paraId="0F169CD1">
      <w:pPr>
        <w:widowControl/>
        <w:ind w:right="-31" w:rightChars="-15" w:firstLine="424" w:firstLineChars="202"/>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电  话：</w:t>
      </w:r>
      <w:r>
        <w:rPr>
          <w:rFonts w:hint="eastAsia" w:ascii="宋体" w:hAnsi="宋体" w:eastAsia="宋体" w:cs="宋体"/>
          <w:color w:val="auto"/>
          <w:kern w:val="0"/>
          <w:sz w:val="21"/>
          <w:szCs w:val="21"/>
          <w:highlight w:val="none"/>
          <w:lang w:val="en-US" w:eastAsia="zh-CN" w:bidi="ar-SA"/>
        </w:rPr>
        <w:t>0769-</w:t>
      </w:r>
      <w:r>
        <w:rPr>
          <w:rFonts w:hint="eastAsia" w:ascii="宋体" w:hAnsi="宋体" w:eastAsia="宋体" w:cs="宋体"/>
          <w:color w:val="auto"/>
          <w:szCs w:val="21"/>
          <w:highlight w:val="none"/>
        </w:rPr>
        <w:t>23362836-8018</w:t>
      </w:r>
    </w:p>
    <w:p w14:paraId="5CDCF327">
      <w:pPr>
        <w:rPr>
          <w:rFonts w:hint="eastAsia" w:ascii="宋体" w:hAnsi="宋体" w:eastAsia="宋体" w:cs="宋体"/>
          <w:color w:val="auto"/>
          <w:highlight w:val="none"/>
          <w:lang w:val="zh-CN"/>
        </w:rPr>
      </w:pPr>
      <w:bookmarkStart w:id="21" w:name="_Toc178076454"/>
      <w:bookmarkStart w:id="22" w:name="_Toc14448"/>
      <w:bookmarkStart w:id="23" w:name="_Toc22922"/>
      <w:bookmarkStart w:id="24" w:name="_Toc172552141"/>
      <w:bookmarkStart w:id="25" w:name="_Toc8129"/>
      <w:bookmarkStart w:id="26" w:name="_Toc142508311"/>
      <w:bookmarkStart w:id="27" w:name="_Toc176627775"/>
      <w:bookmarkStart w:id="28" w:name="_Toc12475"/>
      <w:bookmarkStart w:id="29" w:name="_Toc29178"/>
      <w:bookmarkStart w:id="30" w:name="_Toc14484"/>
      <w:bookmarkStart w:id="31" w:name="_Toc24621"/>
    </w:p>
    <w:p w14:paraId="202BAC6F">
      <w:pPr>
        <w:rPr>
          <w:rFonts w:hint="eastAsia" w:ascii="宋体" w:hAnsi="宋体" w:eastAsia="宋体" w:cs="宋体"/>
          <w:b/>
          <w:bCs/>
          <w:color w:val="auto"/>
          <w:kern w:val="44"/>
          <w:sz w:val="32"/>
          <w:szCs w:val="32"/>
          <w:highlight w:val="none"/>
          <w:lang w:val="zh-CN"/>
        </w:rPr>
      </w:pPr>
      <w:r>
        <w:rPr>
          <w:rFonts w:hint="eastAsia" w:ascii="宋体" w:hAnsi="宋体" w:eastAsia="宋体" w:cs="宋体"/>
          <w:b/>
          <w:bCs/>
          <w:color w:val="auto"/>
          <w:kern w:val="44"/>
          <w:sz w:val="32"/>
          <w:szCs w:val="32"/>
          <w:highlight w:val="none"/>
          <w:lang w:val="zh-CN"/>
        </w:rPr>
        <w:br w:type="page"/>
      </w:r>
    </w:p>
    <w:p w14:paraId="7023E095">
      <w:pPr>
        <w:pStyle w:val="2"/>
        <w:rPr>
          <w:rFonts w:hint="eastAsia" w:ascii="宋体" w:hAnsi="宋体" w:eastAsia="宋体" w:cs="宋体"/>
          <w:bCs/>
          <w:color w:val="auto"/>
          <w:kern w:val="44"/>
          <w:szCs w:val="32"/>
          <w:highlight w:val="none"/>
        </w:rPr>
      </w:pPr>
      <w:bookmarkStart w:id="32" w:name="_Toc20765"/>
      <w:bookmarkStart w:id="33" w:name="_Toc26599"/>
      <w:r>
        <w:rPr>
          <w:rFonts w:hint="eastAsia" w:ascii="宋体" w:hAnsi="宋体" w:eastAsia="宋体" w:cs="宋体"/>
          <w:bCs/>
          <w:color w:val="auto"/>
          <w:kern w:val="44"/>
          <w:szCs w:val="32"/>
          <w:highlight w:val="none"/>
          <w:lang w:val="zh-CN"/>
        </w:rPr>
        <w:t>第二篇</w:t>
      </w:r>
      <w:r>
        <w:rPr>
          <w:rFonts w:hint="eastAsia" w:ascii="宋体" w:hAnsi="宋体" w:eastAsia="宋体" w:cs="宋体"/>
          <w:bCs/>
          <w:color w:val="auto"/>
          <w:kern w:val="44"/>
          <w:szCs w:val="32"/>
          <w:highlight w:val="none"/>
        </w:rPr>
        <w:t xml:space="preserve"> </w:t>
      </w:r>
      <w:r>
        <w:rPr>
          <w:rFonts w:hint="eastAsia" w:ascii="宋体" w:hAnsi="宋体" w:eastAsia="宋体" w:cs="宋体"/>
          <w:bCs/>
          <w:color w:val="auto"/>
          <w:kern w:val="44"/>
          <w:szCs w:val="32"/>
          <w:highlight w:val="none"/>
          <w:lang w:val="zh-CN"/>
        </w:rPr>
        <w:t>投标人须知</w:t>
      </w:r>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p w14:paraId="51211F77">
      <w:pPr>
        <w:pStyle w:val="3"/>
        <w:rPr>
          <w:rFonts w:hint="eastAsia" w:ascii="宋体" w:hAnsi="宋体" w:eastAsia="宋体" w:cs="宋体"/>
          <w:color w:val="auto"/>
          <w:highlight w:val="none"/>
          <w:lang w:val="zh-CN"/>
        </w:rPr>
      </w:pPr>
      <w:bookmarkStart w:id="34" w:name="_Toc142508312"/>
      <w:bookmarkStart w:id="35" w:name="_Toc8297"/>
      <w:bookmarkStart w:id="36" w:name="_Toc172552142"/>
      <w:bookmarkStart w:id="37" w:name="_Toc2501"/>
      <w:bookmarkStart w:id="38" w:name="_Toc27999"/>
      <w:bookmarkStart w:id="39" w:name="_Toc140596871"/>
      <w:bookmarkStart w:id="40" w:name="_Toc15773"/>
      <w:bookmarkStart w:id="41" w:name="_Toc486167662"/>
      <w:bookmarkStart w:id="42" w:name="_Toc8521"/>
      <w:bookmarkStart w:id="43" w:name="_Toc23340"/>
      <w:bookmarkStart w:id="44" w:name="_Toc450662848"/>
      <w:bookmarkStart w:id="45" w:name="_Toc7593"/>
      <w:bookmarkStart w:id="46" w:name="_Toc176627776"/>
      <w:bookmarkStart w:id="47" w:name="_Toc15366_WPSOffice_Level2"/>
      <w:bookmarkStart w:id="48" w:name="_Toc16098"/>
      <w:bookmarkStart w:id="49" w:name="_Toc1784"/>
      <w:bookmarkStart w:id="50" w:name="_Toc178076455"/>
      <w:r>
        <w:rPr>
          <w:rFonts w:hint="eastAsia" w:ascii="宋体" w:hAnsi="宋体" w:eastAsia="宋体" w:cs="宋体"/>
          <w:color w:val="auto"/>
          <w:highlight w:val="none"/>
          <w:lang w:val="zh-CN"/>
        </w:rPr>
        <w:t>一、总则</w:t>
      </w:r>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p>
    <w:p w14:paraId="352F46C5">
      <w:pPr>
        <w:pStyle w:val="4"/>
        <w:rPr>
          <w:rFonts w:hint="eastAsia" w:ascii="宋体" w:hAnsi="宋体" w:eastAsia="宋体" w:cs="宋体"/>
          <w:color w:val="auto"/>
          <w:highlight w:val="none"/>
          <w:lang w:val="zh-CN"/>
        </w:rPr>
      </w:pPr>
      <w:bookmarkStart w:id="51" w:name="_Toc24913"/>
      <w:bookmarkStart w:id="52" w:name="_Toc450662849"/>
      <w:bookmarkStart w:id="53" w:name="_Toc17309"/>
      <w:bookmarkStart w:id="54" w:name="_Toc19191"/>
      <w:bookmarkStart w:id="55" w:name="_Toc172552143"/>
      <w:bookmarkStart w:id="56" w:name="_Toc21710_WPSOffice_Level3"/>
      <w:bookmarkStart w:id="57" w:name="_Toc178076456"/>
      <w:bookmarkStart w:id="58" w:name="_Toc176627777"/>
      <w:bookmarkStart w:id="59" w:name="_Toc4234"/>
      <w:bookmarkStart w:id="60" w:name="_Toc16700"/>
      <w:bookmarkStart w:id="61" w:name="_Toc19999"/>
      <w:bookmarkStart w:id="62" w:name="_Toc142508313"/>
      <w:bookmarkStart w:id="63" w:name="_Toc486167663"/>
      <w:r>
        <w:rPr>
          <w:rFonts w:hint="eastAsia" w:ascii="宋体" w:hAnsi="宋体" w:eastAsia="宋体" w:cs="宋体"/>
          <w:color w:val="auto"/>
          <w:highlight w:val="none"/>
          <w:lang w:val="zh-CN"/>
        </w:rPr>
        <w:t>1 资金来源：企业自筹资金。</w:t>
      </w:r>
      <w:bookmarkEnd w:id="51"/>
      <w:bookmarkEnd w:id="52"/>
      <w:bookmarkEnd w:id="53"/>
      <w:bookmarkEnd w:id="54"/>
      <w:bookmarkEnd w:id="55"/>
      <w:bookmarkEnd w:id="56"/>
      <w:bookmarkEnd w:id="57"/>
      <w:bookmarkEnd w:id="58"/>
      <w:bookmarkEnd w:id="59"/>
      <w:bookmarkEnd w:id="60"/>
      <w:bookmarkEnd w:id="61"/>
      <w:bookmarkEnd w:id="62"/>
      <w:bookmarkEnd w:id="63"/>
    </w:p>
    <w:p w14:paraId="3BEB55CB">
      <w:pPr>
        <w:rPr>
          <w:rFonts w:hint="eastAsia" w:ascii="宋体" w:hAnsi="宋体" w:eastAsia="宋体" w:cs="宋体"/>
          <w:color w:val="auto"/>
          <w:highlight w:val="none"/>
        </w:rPr>
      </w:pPr>
    </w:p>
    <w:p w14:paraId="0735063E">
      <w:pPr>
        <w:pStyle w:val="4"/>
        <w:rPr>
          <w:rFonts w:hint="eastAsia" w:ascii="宋体" w:hAnsi="宋体" w:eastAsia="宋体" w:cs="宋体"/>
          <w:b/>
          <w:bCs/>
          <w:color w:val="auto"/>
          <w:highlight w:val="none"/>
          <w:lang w:val="zh-CN"/>
        </w:rPr>
      </w:pPr>
      <w:bookmarkStart w:id="64" w:name="_Toc178076457"/>
      <w:bookmarkStart w:id="65" w:name="_Toc142508314"/>
      <w:bookmarkStart w:id="66" w:name="_Toc609"/>
      <w:bookmarkStart w:id="67" w:name="_Toc25522"/>
      <w:bookmarkStart w:id="68" w:name="_Toc450662850"/>
      <w:bookmarkStart w:id="69" w:name="_Toc172552144"/>
      <w:bookmarkStart w:id="70" w:name="_Toc486167664"/>
      <w:bookmarkStart w:id="71" w:name="_Toc28131"/>
      <w:bookmarkStart w:id="72" w:name="_Toc176627778"/>
      <w:bookmarkStart w:id="73" w:name="_Toc16593"/>
      <w:bookmarkStart w:id="74" w:name="_Toc31094"/>
      <w:bookmarkStart w:id="75" w:name="_Toc5550"/>
      <w:bookmarkStart w:id="76" w:name="_Toc80_WPSOffice_Level3"/>
      <w:r>
        <w:rPr>
          <w:rFonts w:hint="eastAsia" w:ascii="宋体" w:hAnsi="宋体" w:eastAsia="宋体" w:cs="宋体"/>
          <w:b/>
          <w:bCs/>
          <w:color w:val="auto"/>
          <w:highlight w:val="none"/>
          <w:lang w:val="zh-CN"/>
        </w:rPr>
        <w:t>2 合格的投标人</w:t>
      </w:r>
      <w:bookmarkEnd w:id="64"/>
      <w:bookmarkEnd w:id="65"/>
      <w:bookmarkEnd w:id="66"/>
      <w:bookmarkEnd w:id="67"/>
      <w:bookmarkEnd w:id="68"/>
      <w:bookmarkEnd w:id="69"/>
      <w:bookmarkEnd w:id="70"/>
      <w:bookmarkEnd w:id="71"/>
      <w:bookmarkEnd w:id="72"/>
      <w:bookmarkEnd w:id="73"/>
      <w:bookmarkEnd w:id="74"/>
      <w:bookmarkEnd w:id="75"/>
      <w:bookmarkEnd w:id="76"/>
    </w:p>
    <w:p w14:paraId="0393B103">
      <w:pPr>
        <w:ind w:left="527" w:hanging="527" w:hangingChars="250"/>
        <w:rPr>
          <w:rFonts w:hint="eastAsia" w:ascii="宋体" w:hAnsi="宋体" w:eastAsia="宋体" w:cs="宋体"/>
          <w:b/>
          <w:bCs/>
          <w:color w:val="auto"/>
          <w:highlight w:val="none"/>
          <w:lang w:val="zh-CN"/>
        </w:rPr>
      </w:pPr>
      <w:r>
        <w:rPr>
          <w:rFonts w:hint="eastAsia" w:ascii="宋体" w:hAnsi="宋体" w:eastAsia="宋体" w:cs="宋体"/>
          <w:b/>
          <w:bCs/>
          <w:color w:val="auto"/>
          <w:highlight w:val="none"/>
          <w:lang w:val="zh-CN"/>
        </w:rPr>
        <w:t>2.1  合格的投标人条件见第一篇《招标公告》中第2条的“合格投标人资格要求”及本条以下2.2款至</w:t>
      </w:r>
      <w:r>
        <w:rPr>
          <w:rFonts w:hint="eastAsia" w:ascii="宋体" w:hAnsi="宋体" w:eastAsia="宋体" w:cs="宋体"/>
          <w:b/>
          <w:bCs/>
          <w:color w:val="auto"/>
          <w:highlight w:val="none"/>
        </w:rPr>
        <w:t>2.5</w:t>
      </w:r>
      <w:r>
        <w:rPr>
          <w:rFonts w:hint="eastAsia" w:ascii="宋体" w:hAnsi="宋体" w:eastAsia="宋体" w:cs="宋体"/>
          <w:b/>
          <w:bCs/>
          <w:color w:val="auto"/>
          <w:highlight w:val="none"/>
          <w:lang w:val="zh-CN"/>
        </w:rPr>
        <w:t>款的通用要求。</w:t>
      </w:r>
    </w:p>
    <w:p w14:paraId="01ECBF0C">
      <w:pPr>
        <w:ind w:left="527" w:hanging="527" w:hangingChars="250"/>
        <w:rPr>
          <w:rFonts w:hint="eastAsia" w:ascii="宋体" w:hAnsi="宋体" w:eastAsia="宋体" w:cs="宋体"/>
          <w:b/>
          <w:bCs/>
          <w:color w:val="auto"/>
          <w:highlight w:val="none"/>
        </w:rPr>
      </w:pPr>
      <w:r>
        <w:rPr>
          <w:rFonts w:hint="eastAsia" w:ascii="宋体" w:hAnsi="宋体" w:eastAsia="宋体" w:cs="宋体"/>
          <w:b/>
          <w:bCs/>
          <w:color w:val="auto"/>
          <w:highlight w:val="none"/>
        </w:rPr>
        <w:t>2.2  投标人在参加本项目投标前的三年内不得在投标活动中存在《中华人民共和国招标投标法》第五十三条（相互串通投标或者与招标人串通投标，以向招标人或者评标委员会成员行贿的手段谋取中标）、第五十四条（以他人名义投标或者以其他方式弄虚作假，骗取中标）、第六十条（中标人不履行与招标人订立的合同）、《中华人民共和国招标投标法实施条例》第七十六条（将中标项目转让给他人的，将中标项目肢解后分别转让给他人的，违反招标投标法和本条例规定将中标项目的部分主体、关键性工作分包给他人的，或者分包人再次分包）、第七十七条（捏造事实、伪造材料或者以非法手段取得证明材料进行投诉）规定的违法行为，而受到各级管理部门的处罚。投标人存在前述处罚的，在投标文件中必须主动按招标文件的要求填报“最近3年投标人牵涉的其他（失信和违法）处罚说明”，如果不主动填报而被事后发现的，将取消其投标（中标）资格，并按有关规定从重处理。</w:t>
      </w:r>
    </w:p>
    <w:p w14:paraId="1E87D8D0">
      <w:pPr>
        <w:ind w:left="527" w:hanging="527" w:hangingChars="250"/>
        <w:rPr>
          <w:rFonts w:hint="eastAsia" w:ascii="宋体" w:hAnsi="宋体" w:eastAsia="宋体" w:cs="宋体"/>
          <w:b/>
          <w:bCs/>
          <w:color w:val="auto"/>
          <w:highlight w:val="none"/>
          <w:lang w:val="zh-CN"/>
        </w:rPr>
      </w:pPr>
      <w:r>
        <w:rPr>
          <w:rFonts w:hint="eastAsia" w:ascii="宋体" w:hAnsi="宋体" w:eastAsia="宋体" w:cs="宋体"/>
          <w:b/>
          <w:bCs/>
          <w:color w:val="auto"/>
          <w:highlight w:val="none"/>
          <w:lang w:val="zh-CN"/>
        </w:rPr>
        <w:t>2.3  投标人符合《中华人民共和国招标投标法》第二十六条规定。</w:t>
      </w:r>
    </w:p>
    <w:p w14:paraId="3E820A83">
      <w:pPr>
        <w:ind w:left="527" w:hanging="527" w:hangingChars="250"/>
        <w:rPr>
          <w:rFonts w:hint="eastAsia" w:ascii="宋体" w:hAnsi="宋体" w:eastAsia="宋体" w:cs="宋体"/>
          <w:b/>
          <w:bCs/>
          <w:color w:val="auto"/>
          <w:highlight w:val="none"/>
        </w:rPr>
      </w:pPr>
      <w:r>
        <w:rPr>
          <w:rFonts w:hint="eastAsia" w:ascii="宋体" w:hAnsi="宋体" w:eastAsia="宋体" w:cs="宋体"/>
          <w:b/>
          <w:bCs/>
          <w:color w:val="auto"/>
          <w:highlight w:val="none"/>
        </w:rPr>
        <w:t>2.4  投标人（含其不具有独立法人资格的分支机构）未被列入“信用中国”网站（ www.creditchina.gov.cn）失信被执行人、重大税收违法失信主体、政府采购严重违法失信行为记录名单（处罚期限届满的除外）。</w:t>
      </w:r>
    </w:p>
    <w:p w14:paraId="594EDA0D">
      <w:pPr>
        <w:ind w:left="527" w:hanging="527" w:hangingChars="250"/>
        <w:rPr>
          <w:rFonts w:hint="eastAsia" w:ascii="宋体" w:hAnsi="宋体" w:eastAsia="宋体" w:cs="宋体"/>
          <w:b/>
          <w:bCs/>
          <w:color w:val="auto"/>
          <w:highlight w:val="none"/>
          <w:lang w:val="zh-CN"/>
        </w:rPr>
      </w:pPr>
      <w:r>
        <w:rPr>
          <w:rFonts w:hint="eastAsia" w:ascii="宋体" w:hAnsi="宋体" w:eastAsia="宋体" w:cs="宋体"/>
          <w:b/>
          <w:bCs/>
          <w:color w:val="auto"/>
          <w:highlight w:val="none"/>
        </w:rPr>
        <w:t>2.5  根据《中华人民共和国招标投标法实施条例》第三十四条规定，与招标人存在利害关系可能影响招标公正性的法人、其他组织或者个人，不得参加投标；投标人负责人为同一人或者存在控股、管理关系的不同投标人，不得参加同一项目投标。上述情况一经发现，相关投标均无效</w:t>
      </w:r>
      <w:r>
        <w:rPr>
          <w:rFonts w:hint="eastAsia" w:ascii="宋体" w:hAnsi="宋体" w:eastAsia="宋体" w:cs="宋体"/>
          <w:b/>
          <w:bCs/>
          <w:color w:val="auto"/>
          <w:highlight w:val="none"/>
          <w:lang w:val="zh-CN"/>
        </w:rPr>
        <w:t>。</w:t>
      </w:r>
    </w:p>
    <w:p w14:paraId="5FB2231E">
      <w:pPr>
        <w:rPr>
          <w:rFonts w:hint="eastAsia" w:ascii="宋体" w:hAnsi="宋体" w:eastAsia="宋体" w:cs="宋体"/>
          <w:color w:val="auto"/>
          <w:highlight w:val="none"/>
        </w:rPr>
      </w:pPr>
    </w:p>
    <w:p w14:paraId="35299653">
      <w:pPr>
        <w:pStyle w:val="4"/>
        <w:rPr>
          <w:rFonts w:hint="eastAsia" w:ascii="宋体" w:hAnsi="宋体" w:eastAsia="宋体" w:cs="宋体"/>
          <w:b/>
          <w:bCs/>
          <w:color w:val="auto"/>
          <w:highlight w:val="none"/>
          <w:lang w:val="zh-CN"/>
        </w:rPr>
      </w:pPr>
      <w:bookmarkStart w:id="77" w:name="_Toc23847_WPSOffice_Level3"/>
      <w:bookmarkStart w:id="78" w:name="_Toc7538"/>
      <w:bookmarkStart w:id="79" w:name="_Toc176627779"/>
      <w:bookmarkStart w:id="80" w:name="_Toc32205"/>
      <w:bookmarkStart w:id="81" w:name="_Toc172552145"/>
      <w:bookmarkStart w:id="82" w:name="_Toc17489"/>
      <w:bookmarkStart w:id="83" w:name="_Toc15603"/>
      <w:bookmarkStart w:id="84" w:name="_Toc8199"/>
      <w:bookmarkStart w:id="85" w:name="_Toc142508315"/>
      <w:bookmarkStart w:id="86" w:name="_Toc178076458"/>
      <w:bookmarkStart w:id="87" w:name="_Toc19117"/>
      <w:bookmarkStart w:id="88" w:name="_Toc486167665"/>
      <w:bookmarkStart w:id="89" w:name="_Toc450662851"/>
      <w:r>
        <w:rPr>
          <w:rFonts w:hint="eastAsia" w:ascii="宋体" w:hAnsi="宋体" w:eastAsia="宋体" w:cs="宋体"/>
          <w:b/>
          <w:bCs/>
          <w:color w:val="auto"/>
          <w:highlight w:val="none"/>
          <w:lang w:val="zh-CN"/>
        </w:rPr>
        <w:t>3 合格的货物</w:t>
      </w:r>
      <w:bookmarkEnd w:id="77"/>
      <w:bookmarkEnd w:id="78"/>
      <w:bookmarkEnd w:id="79"/>
      <w:bookmarkEnd w:id="80"/>
      <w:bookmarkEnd w:id="81"/>
      <w:bookmarkEnd w:id="82"/>
      <w:bookmarkEnd w:id="83"/>
      <w:bookmarkEnd w:id="84"/>
      <w:bookmarkEnd w:id="85"/>
      <w:bookmarkEnd w:id="86"/>
      <w:bookmarkEnd w:id="87"/>
    </w:p>
    <w:p w14:paraId="54BCDD5A">
      <w:pPr>
        <w:ind w:left="525" w:hanging="525" w:hangingChars="25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3.1</w:t>
      </w:r>
      <w:r>
        <w:rPr>
          <w:rFonts w:hint="eastAsia" w:ascii="宋体" w:hAnsi="宋体" w:eastAsia="宋体" w:cs="宋体"/>
          <w:color w:val="auto"/>
          <w:highlight w:val="none"/>
        </w:rPr>
        <w:t xml:space="preserve">  </w:t>
      </w:r>
      <w:bookmarkStart w:id="90" w:name="_Toc1977668"/>
      <w:bookmarkStart w:id="91" w:name="_Toc533708068"/>
      <w:r>
        <w:rPr>
          <w:rFonts w:hint="eastAsia" w:ascii="宋体" w:hAnsi="宋体" w:eastAsia="宋体" w:cs="宋体"/>
          <w:color w:val="auto"/>
          <w:highlight w:val="none"/>
          <w:lang w:val="zh-CN"/>
        </w:rPr>
        <w:t>本款所述的“原产地”指最终供货货物生产制造地方。所述的货物是指制造、加工或使用重要的和主要的原材料制作而成的货物，必须是全新、原装、符合国家质量检测标准和国家安全技术标准，且在商业上公认其基本特征、性能或功能与部件（或原材料）有着实质性区别的产品。</w:t>
      </w:r>
    </w:p>
    <w:p w14:paraId="41875D57">
      <w:pPr>
        <w:ind w:left="525" w:hanging="525" w:hangingChars="25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3.2  投标人中标后提供的货物必须是合法生产、合法来源的原厂生产的、全新的、未使用过的，并完全符合原厂质量检测标准和国家质量检测标准、行业标准和招标文件要求、投标文件承诺。涉及进口产品或原材料的，中标人负责办理所有货物的进口及商检手续，并承担相关费用。</w:t>
      </w:r>
    </w:p>
    <w:p w14:paraId="3603D5A7">
      <w:pPr>
        <w:ind w:left="525" w:hanging="525" w:hangingChars="25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3.3  投标人必须保证提供的所有货物或货物的任何部分均为最新正式版本。</w:t>
      </w:r>
    </w:p>
    <w:p w14:paraId="42667ED0">
      <w:pPr>
        <w:ind w:left="525" w:hanging="525" w:hangingChars="25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3.4  进口的货物及其有关服务必须符合原产地和中华人民共和国的设计和制造生产或行业标准。进口的货物须是具有合法的进口手续和途径，并通过了中华人民共和国商检部门的检验。中标人负责办理所有货物的进口及商检手续，并承担相关费用，还应提供原产地证书、报关资料及检验检疫证明、完税证明。</w:t>
      </w:r>
    </w:p>
    <w:p w14:paraId="564F9FA9">
      <w:pPr>
        <w:ind w:left="525" w:hanging="525" w:hangingChars="25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3.5  投标人应保证招标人在中华人民共和国使用货物或货物的任何一部分时，招标人免受第三方提出侵犯其专利权、商标权或其它知识产权的起诉。如果投标人不拥有相应的知识产权，则须在报价中包括合法获取该知识产权的相关费用，并在招标文件中附有相关证明文件。如有违反，造成招标人任何经济损失或其他损失的，由投标人承担全部赔偿责任。</w:t>
      </w:r>
    </w:p>
    <w:p w14:paraId="04AD9E2F">
      <w:pPr>
        <w:ind w:left="525" w:hanging="525" w:hangingChars="25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3.6  无论投标人是否在投标报价表中明示，均视为投标报价已包含所有应支付的对专利权、商标权和版权、设计或其他知识产权而需要向其他方支付的版税和使用费等相关费用。如投标人未依法向第三方支付应缴版税和使用费等相关费用的，造成招标人任何经济损失的，由投标人承担全部赔偿责任。</w:t>
      </w:r>
      <w:bookmarkEnd w:id="90"/>
      <w:bookmarkEnd w:id="91"/>
    </w:p>
    <w:p w14:paraId="7241AFF7">
      <w:pPr>
        <w:rPr>
          <w:rFonts w:hint="eastAsia" w:ascii="宋体" w:hAnsi="宋体" w:eastAsia="宋体" w:cs="宋体"/>
          <w:color w:val="auto"/>
          <w:highlight w:val="none"/>
          <w:lang w:val="zh-CN"/>
        </w:rPr>
      </w:pPr>
    </w:p>
    <w:p w14:paraId="075EED6F">
      <w:pPr>
        <w:pStyle w:val="4"/>
        <w:rPr>
          <w:rFonts w:hint="eastAsia" w:ascii="宋体" w:hAnsi="宋体" w:eastAsia="宋体" w:cs="宋体"/>
          <w:color w:val="auto"/>
          <w:highlight w:val="none"/>
          <w:lang w:val="zh-CN"/>
        </w:rPr>
      </w:pPr>
      <w:bookmarkStart w:id="92" w:name="_Toc172552146"/>
      <w:bookmarkStart w:id="93" w:name="_Toc2623"/>
      <w:bookmarkStart w:id="94" w:name="_Toc142508316"/>
      <w:bookmarkStart w:id="95" w:name="_Toc17031"/>
      <w:bookmarkStart w:id="96" w:name="_Toc176627780"/>
      <w:bookmarkStart w:id="97" w:name="_Toc17025"/>
      <w:bookmarkStart w:id="98" w:name="_Toc178076459"/>
      <w:bookmarkStart w:id="99" w:name="_Toc23293"/>
      <w:bookmarkStart w:id="100" w:name="_Toc9658_WPSOffice_Level3"/>
      <w:bookmarkStart w:id="101" w:name="_Toc27459"/>
      <w:bookmarkStart w:id="102" w:name="_Toc23394"/>
      <w:r>
        <w:rPr>
          <w:rFonts w:hint="eastAsia" w:ascii="宋体" w:hAnsi="宋体" w:eastAsia="宋体" w:cs="宋体"/>
          <w:color w:val="auto"/>
          <w:highlight w:val="none"/>
          <w:lang w:val="zh-CN"/>
        </w:rPr>
        <w:t>4 其它说明</w:t>
      </w:r>
      <w:bookmarkEnd w:id="92"/>
      <w:bookmarkEnd w:id="93"/>
      <w:bookmarkEnd w:id="94"/>
      <w:bookmarkEnd w:id="95"/>
      <w:bookmarkEnd w:id="96"/>
      <w:bookmarkEnd w:id="97"/>
      <w:bookmarkEnd w:id="98"/>
      <w:bookmarkEnd w:id="99"/>
      <w:bookmarkEnd w:id="100"/>
      <w:bookmarkEnd w:id="101"/>
      <w:bookmarkEnd w:id="102"/>
    </w:p>
    <w:p w14:paraId="7DE25256">
      <w:pPr>
        <w:ind w:left="525" w:hanging="525" w:hangingChars="250"/>
        <w:rPr>
          <w:rFonts w:hint="eastAsia" w:ascii="宋体" w:hAnsi="宋体" w:eastAsia="宋体" w:cs="宋体"/>
          <w:color w:val="auto"/>
          <w:highlight w:val="none"/>
          <w:lang w:val="zh-CN"/>
        </w:rPr>
      </w:pPr>
      <w:bookmarkStart w:id="103" w:name="_Toc533708070"/>
      <w:bookmarkStart w:id="104" w:name="_Toc1977670"/>
      <w:r>
        <w:rPr>
          <w:rFonts w:hint="eastAsia" w:ascii="宋体" w:hAnsi="宋体" w:eastAsia="宋体" w:cs="宋体"/>
          <w:color w:val="auto"/>
          <w:highlight w:val="none"/>
          <w:lang w:val="zh-CN"/>
        </w:rPr>
        <w:t>4.1  投标费用</w:t>
      </w:r>
      <w:bookmarkEnd w:id="103"/>
      <w:bookmarkEnd w:id="104"/>
      <w:bookmarkStart w:id="105" w:name="_Toc533708072"/>
      <w:bookmarkStart w:id="106" w:name="_Toc1977672"/>
      <w:r>
        <w:rPr>
          <w:rFonts w:hint="eastAsia" w:ascii="宋体" w:hAnsi="宋体" w:eastAsia="宋体" w:cs="宋体"/>
          <w:color w:val="auto"/>
          <w:highlight w:val="none"/>
          <w:lang w:val="zh-CN"/>
        </w:rPr>
        <w:t>：无论招标过程中的做法和结果如何，投标人须承担所有与编写和递交投标文件有关的费用，招标人和招标代理机构在任何情况下不负担这些费用。</w:t>
      </w:r>
      <w:bookmarkEnd w:id="105"/>
      <w:bookmarkEnd w:id="106"/>
    </w:p>
    <w:p w14:paraId="2664CA04">
      <w:pPr>
        <w:ind w:left="525" w:hanging="525" w:hangingChars="250"/>
        <w:rPr>
          <w:rFonts w:hint="eastAsia" w:ascii="宋体" w:hAnsi="宋体" w:eastAsia="宋体" w:cs="宋体"/>
          <w:color w:val="auto"/>
          <w:highlight w:val="none"/>
          <w:lang w:val="zh-CN"/>
        </w:rPr>
      </w:pPr>
      <w:bookmarkStart w:id="107" w:name="_Toc533708073"/>
      <w:bookmarkStart w:id="108" w:name="_Toc1977673"/>
      <w:r>
        <w:rPr>
          <w:rFonts w:hint="eastAsia" w:ascii="宋体" w:hAnsi="宋体" w:eastAsia="宋体" w:cs="宋体"/>
          <w:color w:val="auto"/>
          <w:highlight w:val="none"/>
          <w:lang w:val="zh-CN"/>
        </w:rPr>
        <w:t>4.2  踏勘现场</w:t>
      </w:r>
      <w:bookmarkEnd w:id="107"/>
      <w:bookmarkEnd w:id="108"/>
    </w:p>
    <w:p w14:paraId="201869FF">
      <w:pPr>
        <w:ind w:left="525" w:hanging="525" w:hangingChars="250"/>
        <w:rPr>
          <w:rFonts w:hint="eastAsia" w:ascii="宋体" w:hAnsi="宋体" w:eastAsia="宋体" w:cs="宋体"/>
          <w:color w:val="auto"/>
          <w:highlight w:val="none"/>
        </w:rPr>
      </w:pPr>
      <w:bookmarkStart w:id="109" w:name="_Toc1977676"/>
      <w:bookmarkStart w:id="110" w:name="_Toc533708076"/>
      <w:r>
        <w:rPr>
          <w:rFonts w:hint="eastAsia" w:ascii="宋体" w:hAnsi="宋体" w:eastAsia="宋体" w:cs="宋体"/>
          <w:color w:val="auto"/>
          <w:highlight w:val="none"/>
        </w:rPr>
        <w:t>（1）本项目不组织集中踏勘现场和答疑，投标人应自行到实地踏勘考察。</w:t>
      </w:r>
    </w:p>
    <w:p w14:paraId="6F86C295">
      <w:pPr>
        <w:ind w:left="525" w:hanging="525" w:hangingChars="250"/>
        <w:rPr>
          <w:rFonts w:hint="eastAsia" w:ascii="宋体" w:hAnsi="宋体" w:eastAsia="宋体" w:cs="宋体"/>
          <w:color w:val="auto"/>
          <w:highlight w:val="none"/>
        </w:rPr>
      </w:pPr>
      <w:r>
        <w:rPr>
          <w:rFonts w:hint="eastAsia" w:ascii="宋体" w:hAnsi="宋体" w:eastAsia="宋体" w:cs="宋体"/>
          <w:color w:val="auto"/>
          <w:highlight w:val="none"/>
        </w:rPr>
        <w:t>（2）潜在投标人应承担踏勘现场自身所发生的费用。</w:t>
      </w:r>
    </w:p>
    <w:p w14:paraId="62C16FD5">
      <w:pPr>
        <w:ind w:left="525" w:hanging="525" w:hangingChars="250"/>
        <w:rPr>
          <w:rFonts w:hint="eastAsia" w:ascii="宋体" w:hAnsi="宋体" w:eastAsia="宋体" w:cs="宋体"/>
          <w:color w:val="auto"/>
          <w:highlight w:val="none"/>
        </w:rPr>
      </w:pPr>
      <w:r>
        <w:rPr>
          <w:rFonts w:hint="eastAsia" w:ascii="宋体" w:hAnsi="宋体" w:eastAsia="宋体" w:cs="宋体"/>
          <w:color w:val="auto"/>
          <w:highlight w:val="none"/>
        </w:rPr>
        <w:t>（3）招标人和招标代理机构在踏勘现场中介绍的有关现场和相关的周边环境情况，供投标人在编制投标文件时参考，招标人不对投标人据此作出的判断和决策负责。</w:t>
      </w:r>
    </w:p>
    <w:p w14:paraId="586C9FD4">
      <w:pPr>
        <w:ind w:left="525" w:hanging="525" w:hangingChars="250"/>
        <w:rPr>
          <w:rFonts w:hint="eastAsia" w:ascii="宋体" w:hAnsi="宋体" w:eastAsia="宋体" w:cs="宋体"/>
          <w:color w:val="auto"/>
          <w:highlight w:val="none"/>
          <w:lang w:val="zh-CN"/>
        </w:rPr>
      </w:pPr>
      <w:r>
        <w:rPr>
          <w:rFonts w:hint="eastAsia" w:ascii="宋体" w:hAnsi="宋体" w:eastAsia="宋体" w:cs="宋体"/>
          <w:color w:val="auto"/>
          <w:highlight w:val="none"/>
        </w:rPr>
        <w:t>（4）潜在投标人可为踏勘需要而进入招标人的项目现场，但潜在投标人不得因此使招标人承担有关的责任和蒙受损失。潜在投标人应承担踏勘现场的责任和风险</w:t>
      </w:r>
      <w:r>
        <w:rPr>
          <w:rFonts w:hint="eastAsia" w:ascii="宋体" w:hAnsi="宋体" w:eastAsia="宋体" w:cs="宋体"/>
          <w:color w:val="auto"/>
          <w:highlight w:val="none"/>
          <w:lang w:val="zh-CN"/>
        </w:rPr>
        <w:t>。</w:t>
      </w:r>
    </w:p>
    <w:p w14:paraId="4979B8FB">
      <w:pPr>
        <w:ind w:left="525" w:hanging="525" w:hangingChars="25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4.3</w:t>
      </w:r>
      <w:r>
        <w:rPr>
          <w:rFonts w:hint="eastAsia" w:ascii="宋体" w:hAnsi="宋体" w:eastAsia="宋体" w:cs="宋体"/>
          <w:color w:val="auto"/>
          <w:highlight w:val="none"/>
          <w:lang w:val="zh-CN"/>
        </w:rPr>
        <w:tab/>
      </w:r>
      <w:r>
        <w:rPr>
          <w:rFonts w:hint="eastAsia" w:ascii="宋体" w:hAnsi="宋体" w:eastAsia="宋体" w:cs="宋体"/>
          <w:color w:val="auto"/>
          <w:highlight w:val="none"/>
          <w:lang w:val="zh-CN"/>
        </w:rPr>
        <w:t>纪律与保密事项</w:t>
      </w:r>
      <w:bookmarkEnd w:id="88"/>
      <w:bookmarkEnd w:id="89"/>
      <w:bookmarkEnd w:id="109"/>
      <w:bookmarkEnd w:id="110"/>
    </w:p>
    <w:p w14:paraId="75F43335">
      <w:pPr>
        <w:ind w:left="525" w:hanging="525" w:hangingChars="250"/>
        <w:rPr>
          <w:rFonts w:hint="eastAsia" w:ascii="宋体" w:hAnsi="宋体" w:eastAsia="宋体" w:cs="宋体"/>
          <w:color w:val="auto"/>
          <w:highlight w:val="none"/>
        </w:rPr>
      </w:pPr>
      <w:r>
        <w:rPr>
          <w:rFonts w:hint="eastAsia" w:ascii="宋体" w:hAnsi="宋体" w:eastAsia="宋体" w:cs="宋体"/>
          <w:color w:val="auto"/>
          <w:highlight w:val="none"/>
        </w:rPr>
        <w:t>（1）获得本招标文件的投标人，不得用作本次投标以外的任何用途。</w:t>
      </w:r>
    </w:p>
    <w:p w14:paraId="1153175C">
      <w:pPr>
        <w:ind w:left="525" w:hanging="525" w:hangingChars="250"/>
        <w:rPr>
          <w:rFonts w:hint="eastAsia" w:ascii="宋体" w:hAnsi="宋体" w:eastAsia="宋体" w:cs="宋体"/>
          <w:color w:val="auto"/>
          <w:highlight w:val="none"/>
        </w:rPr>
      </w:pPr>
      <w:r>
        <w:rPr>
          <w:rFonts w:hint="eastAsia" w:ascii="宋体" w:hAnsi="宋体" w:eastAsia="宋体" w:cs="宋体"/>
          <w:color w:val="auto"/>
          <w:highlight w:val="none"/>
        </w:rPr>
        <w:t>（2）凡参与招标工作的有关人员均应自觉接受有关主管部门的监督，不得向他人透露可能影响公平竞争的情况。</w:t>
      </w:r>
    </w:p>
    <w:p w14:paraId="59473318">
      <w:pPr>
        <w:ind w:left="525" w:hanging="525" w:hangingChars="250"/>
        <w:rPr>
          <w:rFonts w:hint="eastAsia" w:ascii="宋体" w:hAnsi="宋体" w:eastAsia="宋体" w:cs="宋体"/>
          <w:color w:val="auto"/>
          <w:highlight w:val="none"/>
        </w:rPr>
      </w:pPr>
      <w:r>
        <w:rPr>
          <w:rFonts w:hint="eastAsia" w:ascii="宋体" w:hAnsi="宋体" w:eastAsia="宋体" w:cs="宋体"/>
          <w:color w:val="auto"/>
          <w:highlight w:val="none"/>
        </w:rPr>
        <w:t>（3）开标后，直至向中标人授予合同期间，凡与审查、澄清、评价和比较报价的有关资料以及授标意见等，参与评标工作的有关人员均不得向投标人及与评标无关的其他人透露。</w:t>
      </w:r>
    </w:p>
    <w:p w14:paraId="5E90364B">
      <w:pPr>
        <w:ind w:left="525" w:hanging="525" w:hangingChars="250"/>
        <w:rPr>
          <w:rFonts w:hint="eastAsia" w:ascii="宋体" w:hAnsi="宋体" w:eastAsia="宋体" w:cs="宋体"/>
          <w:color w:val="auto"/>
          <w:highlight w:val="none"/>
        </w:rPr>
      </w:pPr>
      <w:r>
        <w:rPr>
          <w:rFonts w:hint="eastAsia" w:ascii="宋体" w:hAnsi="宋体" w:eastAsia="宋体" w:cs="宋体"/>
          <w:color w:val="auto"/>
          <w:highlight w:val="none"/>
        </w:rPr>
        <w:t>（4）除投标人被要求对投标文件进行澄清外，从递交投标文件截止之时起至授予合同期间，投标人不得就与其投标文件有关的事项主动与评标委员会、招标代理机构以及招标人联系。</w:t>
      </w:r>
    </w:p>
    <w:p w14:paraId="0B2CF8E2">
      <w:pPr>
        <w:ind w:left="525" w:hanging="525" w:hangingChars="250"/>
        <w:rPr>
          <w:rFonts w:hint="eastAsia" w:ascii="宋体" w:hAnsi="宋体" w:eastAsia="宋体" w:cs="宋体"/>
          <w:color w:val="auto"/>
          <w:highlight w:val="none"/>
        </w:rPr>
      </w:pPr>
      <w:r>
        <w:rPr>
          <w:rFonts w:hint="eastAsia" w:ascii="宋体" w:hAnsi="宋体" w:eastAsia="宋体" w:cs="宋体"/>
          <w:color w:val="auto"/>
          <w:highlight w:val="none"/>
        </w:rPr>
        <w:t>（5）从开标之日起至授予合同期间，在投标文件的审查、澄清、比较和评价阶段，投标人试图对评标委员会和招标代理机构施加任何影响或对招标人的比较及授予合同的决定产生影响，都可能导致其投标文件被拒绝。</w:t>
      </w:r>
    </w:p>
    <w:p w14:paraId="6AA3A633">
      <w:pPr>
        <w:ind w:left="525" w:hanging="525" w:hangingChars="250"/>
        <w:rPr>
          <w:rFonts w:hint="eastAsia" w:ascii="宋体" w:hAnsi="宋体" w:eastAsia="宋体" w:cs="宋体"/>
          <w:color w:val="auto"/>
          <w:highlight w:val="none"/>
        </w:rPr>
      </w:pPr>
      <w:r>
        <w:rPr>
          <w:rFonts w:hint="eastAsia" w:ascii="宋体" w:hAnsi="宋体" w:eastAsia="宋体" w:cs="宋体"/>
          <w:color w:val="auto"/>
          <w:highlight w:val="none"/>
        </w:rPr>
        <w:t>（6）投标人不得串通作弊，以不正当的手段妨碍、排挤其他投标人，扰乱采购市场，破坏公平竞争原则。</w:t>
      </w:r>
      <w:bookmarkStart w:id="111" w:name="_Toc172552147"/>
      <w:bookmarkStart w:id="112" w:name="_Toc178076460"/>
      <w:bookmarkStart w:id="113" w:name="_Toc1482"/>
      <w:bookmarkStart w:id="114" w:name="_Toc19099"/>
      <w:bookmarkStart w:id="115" w:name="_Toc30507_WPSOffice_Level2"/>
      <w:bookmarkStart w:id="116" w:name="_Toc142508317"/>
      <w:bookmarkStart w:id="117" w:name="_Toc12516"/>
      <w:bookmarkStart w:id="118" w:name="_Toc486167667"/>
      <w:bookmarkStart w:id="119" w:name="_Toc5285"/>
      <w:bookmarkStart w:id="120" w:name="_Toc29979"/>
      <w:bookmarkStart w:id="121" w:name="_Toc29759"/>
      <w:bookmarkStart w:id="122" w:name="_Toc21868"/>
      <w:bookmarkStart w:id="123" w:name="_Toc140596876"/>
      <w:bookmarkStart w:id="124" w:name="_Toc450662853"/>
      <w:bookmarkStart w:id="125" w:name="_Toc176627781"/>
    </w:p>
    <w:p w14:paraId="56313575">
      <w:pPr>
        <w:pStyle w:val="3"/>
        <w:rPr>
          <w:rFonts w:hint="eastAsia" w:ascii="宋体" w:hAnsi="宋体" w:eastAsia="宋体" w:cs="宋体"/>
          <w:color w:val="auto"/>
          <w:highlight w:val="none"/>
          <w:lang w:val="zh-CN"/>
        </w:rPr>
      </w:pPr>
      <w:bookmarkStart w:id="126" w:name="_Toc3328"/>
      <w:bookmarkStart w:id="127" w:name="_Toc12074"/>
      <w:r>
        <w:rPr>
          <w:rFonts w:hint="eastAsia" w:ascii="宋体" w:hAnsi="宋体" w:eastAsia="宋体" w:cs="宋体"/>
          <w:color w:val="auto"/>
          <w:highlight w:val="none"/>
          <w:lang w:val="zh-CN"/>
        </w:rPr>
        <w:t>二、招标文件</w:t>
      </w:r>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p>
    <w:p w14:paraId="325ADAC5">
      <w:pPr>
        <w:pStyle w:val="4"/>
        <w:rPr>
          <w:rFonts w:hint="eastAsia" w:ascii="宋体" w:hAnsi="宋体" w:eastAsia="宋体" w:cs="宋体"/>
          <w:color w:val="auto"/>
          <w:highlight w:val="none"/>
          <w:lang w:val="zh-CN"/>
        </w:rPr>
      </w:pPr>
      <w:bookmarkStart w:id="128" w:name="_Toc26635_WPSOffice_Level3"/>
      <w:bookmarkStart w:id="129" w:name="_Toc178076461"/>
      <w:bookmarkStart w:id="130" w:name="_Toc450662854"/>
      <w:bookmarkStart w:id="131" w:name="_Toc176627782"/>
      <w:bookmarkStart w:id="132" w:name="_Toc8425"/>
      <w:bookmarkStart w:id="133" w:name="_Toc28179"/>
      <w:bookmarkStart w:id="134" w:name="_Toc16414"/>
      <w:bookmarkStart w:id="135" w:name="_Toc14530"/>
      <w:bookmarkStart w:id="136" w:name="_Toc486167668"/>
      <w:bookmarkStart w:id="137" w:name="_Toc142508318"/>
      <w:bookmarkStart w:id="138" w:name="_Toc22871"/>
      <w:bookmarkStart w:id="139" w:name="_Toc172552148"/>
      <w:bookmarkStart w:id="140" w:name="_Toc28415"/>
      <w:r>
        <w:rPr>
          <w:rFonts w:hint="eastAsia" w:ascii="宋体" w:hAnsi="宋体" w:eastAsia="宋体" w:cs="宋体"/>
          <w:color w:val="auto"/>
          <w:highlight w:val="none"/>
          <w:lang w:val="zh-CN"/>
        </w:rPr>
        <w:t>5 招标文件的构成</w:t>
      </w:r>
      <w:bookmarkEnd w:id="128"/>
      <w:bookmarkEnd w:id="129"/>
      <w:bookmarkEnd w:id="130"/>
      <w:bookmarkEnd w:id="131"/>
      <w:bookmarkEnd w:id="132"/>
      <w:bookmarkEnd w:id="133"/>
      <w:bookmarkEnd w:id="134"/>
      <w:bookmarkEnd w:id="135"/>
      <w:bookmarkEnd w:id="136"/>
      <w:bookmarkEnd w:id="137"/>
      <w:bookmarkEnd w:id="138"/>
      <w:bookmarkEnd w:id="139"/>
      <w:bookmarkEnd w:id="140"/>
    </w:p>
    <w:p w14:paraId="50233A2C">
      <w:pPr>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5.1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招标文件包括：</w:t>
      </w:r>
    </w:p>
    <w:p w14:paraId="0C466A3E">
      <w:pPr>
        <w:ind w:left="420" w:leftChars="20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第一篇 招标公告</w:t>
      </w:r>
    </w:p>
    <w:p w14:paraId="648DCC50">
      <w:pPr>
        <w:ind w:left="420" w:leftChars="20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第二篇 投标人须知</w:t>
      </w:r>
    </w:p>
    <w:p w14:paraId="4D007137">
      <w:pPr>
        <w:ind w:left="420" w:leftChars="20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第三篇 用户需求书</w:t>
      </w:r>
    </w:p>
    <w:p w14:paraId="6D815C14">
      <w:pPr>
        <w:ind w:left="420" w:leftChars="200"/>
        <w:rPr>
          <w:rFonts w:hint="eastAsia" w:ascii="宋体" w:hAnsi="宋体" w:eastAsia="宋体" w:cs="宋体"/>
          <w:color w:val="auto"/>
          <w:highlight w:val="none"/>
        </w:rPr>
      </w:pPr>
      <w:r>
        <w:rPr>
          <w:rFonts w:hint="eastAsia" w:ascii="宋体" w:hAnsi="宋体" w:eastAsia="宋体" w:cs="宋体"/>
          <w:color w:val="auto"/>
          <w:highlight w:val="none"/>
          <w:lang w:val="zh-CN"/>
        </w:rPr>
        <w:t>第四篇 合同条款</w:t>
      </w:r>
    </w:p>
    <w:p w14:paraId="58430ABA">
      <w:pPr>
        <w:ind w:left="420" w:leftChars="20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第五篇 相关保函格式</w:t>
      </w:r>
    </w:p>
    <w:p w14:paraId="0D2D364B">
      <w:pPr>
        <w:ind w:left="420" w:leftChars="20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第六篇 投标文件格式</w:t>
      </w:r>
    </w:p>
    <w:p w14:paraId="1BCCBE67">
      <w:pPr>
        <w:ind w:left="420" w:leftChars="20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附件一：评标工作大纲</w:t>
      </w:r>
    </w:p>
    <w:p w14:paraId="2460A84C">
      <w:pPr>
        <w:ind w:left="527" w:hanging="527" w:hangingChars="250"/>
        <w:rPr>
          <w:rFonts w:hint="eastAsia" w:ascii="宋体" w:hAnsi="宋体" w:eastAsia="宋体" w:cs="宋体"/>
          <w:b/>
          <w:bCs/>
          <w:color w:val="auto"/>
          <w:highlight w:val="none"/>
          <w:lang w:val="zh-CN"/>
        </w:rPr>
      </w:pPr>
      <w:r>
        <w:rPr>
          <w:rFonts w:hint="eastAsia" w:ascii="宋体" w:hAnsi="宋体" w:eastAsia="宋体" w:cs="宋体"/>
          <w:b/>
          <w:bCs/>
          <w:color w:val="auto"/>
          <w:highlight w:val="none"/>
          <w:lang w:val="zh-CN"/>
        </w:rPr>
        <w:t>5.2</w:t>
      </w:r>
      <w:r>
        <w:rPr>
          <w:rFonts w:hint="eastAsia" w:ascii="宋体" w:hAnsi="宋体" w:eastAsia="宋体" w:cs="宋体"/>
          <w:b/>
          <w:bCs/>
          <w:color w:val="auto"/>
          <w:highlight w:val="none"/>
          <w:lang w:val="zh-CN"/>
        </w:rPr>
        <w:tab/>
      </w:r>
      <w:r>
        <w:rPr>
          <w:rFonts w:hint="eastAsia" w:ascii="宋体" w:hAnsi="宋体" w:eastAsia="宋体" w:cs="宋体"/>
          <w:b/>
          <w:bCs/>
          <w:color w:val="auto"/>
          <w:highlight w:val="none"/>
          <w:lang w:val="zh-CN"/>
        </w:rPr>
        <w:t>投标人应审阅招标文件中所有须知、格式、条款和规格。投标人未按招标文件要求提供全部资料或提交的投标文件未对招标文件作出实质性响应（★标志的部分为投标人、投标拟供货物必备的条件或重要指示），那么投标人的投标文件将有可能被拒绝接收或评审为无效投标文件。</w:t>
      </w:r>
    </w:p>
    <w:p w14:paraId="19684676">
      <w:pPr>
        <w:rPr>
          <w:rFonts w:hint="eastAsia" w:ascii="宋体" w:hAnsi="宋体" w:eastAsia="宋体" w:cs="宋体"/>
          <w:color w:val="auto"/>
          <w:highlight w:val="none"/>
        </w:rPr>
      </w:pPr>
      <w:r>
        <w:rPr>
          <w:rFonts w:hint="eastAsia" w:ascii="宋体" w:hAnsi="宋体" w:eastAsia="宋体" w:cs="宋体"/>
          <w:color w:val="auto"/>
          <w:highlight w:val="none"/>
          <w:lang w:val="zh-CN"/>
        </w:rPr>
        <w:t>5.3  本招标文件使用的词语有如下定义：</w:t>
      </w:r>
    </w:p>
    <w:p w14:paraId="5B726882">
      <w:pPr>
        <w:ind w:left="525" w:hanging="525" w:hangingChars="250"/>
        <w:rPr>
          <w:rFonts w:hint="eastAsia" w:ascii="宋体" w:hAnsi="宋体" w:eastAsia="宋体" w:cs="宋体"/>
          <w:color w:val="auto"/>
          <w:highlight w:val="none"/>
        </w:rPr>
      </w:pPr>
      <w:r>
        <w:rPr>
          <w:rFonts w:hint="eastAsia" w:ascii="宋体" w:hAnsi="宋体" w:eastAsia="宋体" w:cs="宋体"/>
          <w:color w:val="auto"/>
          <w:highlight w:val="none"/>
        </w:rPr>
        <w:t>（1）“招标人”指</w:t>
      </w:r>
      <w:r>
        <w:rPr>
          <w:rFonts w:hint="eastAsia" w:ascii="宋体" w:hAnsi="宋体" w:eastAsia="宋体" w:cs="宋体"/>
          <w:color w:val="auto"/>
          <w:highlight w:val="none"/>
          <w:lang w:eastAsia="zh-CN"/>
        </w:rPr>
        <w:t>东莞市碧水信息科技有限公司</w:t>
      </w:r>
      <w:r>
        <w:rPr>
          <w:rFonts w:hint="eastAsia" w:ascii="宋体" w:hAnsi="宋体" w:eastAsia="宋体" w:cs="宋体"/>
          <w:color w:val="auto"/>
          <w:highlight w:val="none"/>
        </w:rPr>
        <w:t>；</w:t>
      </w:r>
    </w:p>
    <w:p w14:paraId="242D38FE">
      <w:pPr>
        <w:ind w:left="525" w:hanging="525" w:hangingChars="250"/>
        <w:rPr>
          <w:rFonts w:hint="eastAsia" w:ascii="宋体" w:hAnsi="宋体" w:eastAsia="宋体" w:cs="宋体"/>
          <w:color w:val="auto"/>
          <w:highlight w:val="none"/>
        </w:rPr>
      </w:pPr>
      <w:r>
        <w:rPr>
          <w:rFonts w:hint="eastAsia" w:ascii="宋体" w:hAnsi="宋体" w:eastAsia="宋体" w:cs="宋体"/>
          <w:color w:val="auto"/>
          <w:highlight w:val="none"/>
        </w:rPr>
        <w:t>（2）“招标代理机构”指</w:t>
      </w:r>
      <w:r>
        <w:rPr>
          <w:rFonts w:hint="eastAsia" w:ascii="宋体" w:hAnsi="宋体" w:eastAsia="宋体" w:cs="宋体"/>
          <w:color w:val="auto"/>
          <w:kern w:val="2"/>
          <w:sz w:val="21"/>
          <w:szCs w:val="22"/>
          <w:highlight w:val="none"/>
          <w:lang w:val="en-US" w:eastAsia="zh-CN" w:bidi="ar-SA"/>
        </w:rPr>
        <w:t>广东有德招标采购有限公司</w:t>
      </w:r>
      <w:r>
        <w:rPr>
          <w:rFonts w:hint="eastAsia" w:ascii="宋体" w:hAnsi="宋体" w:eastAsia="宋体" w:cs="宋体"/>
          <w:color w:val="auto"/>
          <w:highlight w:val="none"/>
        </w:rPr>
        <w:t>；</w:t>
      </w:r>
    </w:p>
    <w:p w14:paraId="749A2852">
      <w:pPr>
        <w:ind w:left="525" w:hanging="525" w:hangingChars="25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）“投标人”指参加</w:t>
      </w:r>
      <w:r>
        <w:rPr>
          <w:rFonts w:hint="eastAsia" w:cs="宋体"/>
          <w:color w:val="auto"/>
          <w:kern w:val="2"/>
          <w:sz w:val="21"/>
          <w:szCs w:val="22"/>
          <w:highlight w:val="none"/>
          <w:lang w:val="zh-CN" w:eastAsia="zh-CN" w:bidi="ar-SA"/>
        </w:rPr>
        <w:t>东莞市碧水信息科技有限公司2025年度球墨铸铁阀门采购项目（第三次招标）</w:t>
      </w:r>
      <w:r>
        <w:rPr>
          <w:rFonts w:hint="eastAsia" w:ascii="宋体" w:hAnsi="宋体" w:eastAsia="宋体" w:cs="宋体"/>
          <w:color w:val="auto"/>
          <w:highlight w:val="none"/>
        </w:rPr>
        <w:t>所需的货物及有关服务的投标，并向招标代理机构提交投标文件的当事人；</w:t>
      </w:r>
    </w:p>
    <w:p w14:paraId="332E35FA">
      <w:pPr>
        <w:ind w:left="525" w:hanging="525" w:hangingChars="250"/>
        <w:rPr>
          <w:rFonts w:hint="eastAsia" w:ascii="宋体" w:hAnsi="宋体" w:eastAsia="宋体" w:cs="宋体"/>
          <w:color w:val="auto"/>
          <w:highlight w:val="none"/>
        </w:rPr>
      </w:pPr>
      <w:r>
        <w:rPr>
          <w:rFonts w:hint="eastAsia" w:ascii="宋体" w:hAnsi="宋体" w:eastAsia="宋体" w:cs="宋体"/>
          <w:color w:val="auto"/>
          <w:highlight w:val="none"/>
        </w:rPr>
        <w:t>（4）“评标委员会”是依照《中华人民共和国招标投标法》等法规组建的专门负责本次评标工作的临时性机构；</w:t>
      </w:r>
    </w:p>
    <w:p w14:paraId="24AE5458">
      <w:pPr>
        <w:ind w:left="525" w:hanging="525" w:hangingChars="250"/>
        <w:rPr>
          <w:rFonts w:hint="eastAsia" w:ascii="宋体" w:hAnsi="宋体" w:eastAsia="宋体" w:cs="宋体"/>
          <w:color w:val="auto"/>
          <w:highlight w:val="none"/>
        </w:rPr>
      </w:pPr>
      <w:r>
        <w:rPr>
          <w:rFonts w:hint="eastAsia" w:ascii="宋体" w:hAnsi="宋体" w:eastAsia="宋体" w:cs="宋体"/>
          <w:color w:val="auto"/>
          <w:highlight w:val="none"/>
        </w:rPr>
        <w:t>（5）“中标人”指其投标被招标人接受，并与招标人签订合同的当事人；</w:t>
      </w:r>
    </w:p>
    <w:p w14:paraId="5F0CE219">
      <w:pPr>
        <w:ind w:left="525" w:hanging="525" w:hangingChars="250"/>
        <w:rPr>
          <w:rFonts w:hint="eastAsia" w:ascii="宋体" w:hAnsi="宋体" w:eastAsia="宋体" w:cs="宋体"/>
          <w:color w:val="auto"/>
          <w:highlight w:val="none"/>
        </w:rPr>
      </w:pPr>
      <w:r>
        <w:rPr>
          <w:rFonts w:hint="eastAsia" w:ascii="宋体" w:hAnsi="宋体" w:eastAsia="宋体" w:cs="宋体"/>
          <w:color w:val="auto"/>
          <w:highlight w:val="none"/>
        </w:rPr>
        <w:t>（6）“甲方”指在合同条款中指明的购买货物及有关服务的单位，即</w:t>
      </w:r>
      <w:r>
        <w:rPr>
          <w:rFonts w:hint="eastAsia" w:ascii="宋体" w:hAnsi="宋体" w:eastAsia="宋体" w:cs="宋体"/>
          <w:color w:val="auto"/>
          <w:highlight w:val="none"/>
          <w:lang w:eastAsia="zh-CN"/>
        </w:rPr>
        <w:t>东莞市碧水信息科技有限公司（含其下属子公司）</w:t>
      </w:r>
      <w:r>
        <w:rPr>
          <w:rFonts w:hint="eastAsia" w:ascii="宋体" w:hAnsi="宋体" w:eastAsia="宋体" w:cs="宋体"/>
          <w:color w:val="auto"/>
          <w:highlight w:val="none"/>
        </w:rPr>
        <w:t>；</w:t>
      </w:r>
    </w:p>
    <w:p w14:paraId="4F6FC7BF">
      <w:pPr>
        <w:ind w:left="525" w:hanging="525" w:hangingChars="250"/>
        <w:rPr>
          <w:rFonts w:hint="eastAsia" w:ascii="宋体" w:hAnsi="宋体" w:eastAsia="宋体" w:cs="宋体"/>
          <w:color w:val="auto"/>
          <w:highlight w:val="none"/>
        </w:rPr>
      </w:pPr>
      <w:r>
        <w:rPr>
          <w:rFonts w:hint="eastAsia" w:ascii="宋体" w:hAnsi="宋体" w:eastAsia="宋体" w:cs="宋体"/>
          <w:color w:val="auto"/>
          <w:highlight w:val="none"/>
        </w:rPr>
        <w:t>（7）“乙方”指在合同条款中指明的本合同项下提供货物及有关服务的公司或实体；</w:t>
      </w:r>
    </w:p>
    <w:p w14:paraId="166C4842">
      <w:pPr>
        <w:ind w:left="525" w:hanging="525" w:hangingChars="250"/>
        <w:rPr>
          <w:rFonts w:hint="eastAsia" w:ascii="宋体" w:hAnsi="宋体" w:eastAsia="宋体" w:cs="宋体"/>
          <w:color w:val="auto"/>
          <w:highlight w:val="none"/>
        </w:rPr>
      </w:pPr>
      <w:r>
        <w:rPr>
          <w:rFonts w:hint="eastAsia" w:ascii="宋体" w:hAnsi="宋体" w:eastAsia="宋体" w:cs="宋体"/>
          <w:color w:val="auto"/>
          <w:highlight w:val="none"/>
        </w:rPr>
        <w:t>（8）“招标文件”指包括招标公告和招标文件及其补充、变更和澄清等一系列文件；</w:t>
      </w:r>
    </w:p>
    <w:p w14:paraId="1EA2EC2B">
      <w:pPr>
        <w:ind w:left="525" w:hanging="525" w:hangingChars="250"/>
        <w:rPr>
          <w:rFonts w:hint="eastAsia" w:ascii="宋体" w:hAnsi="宋体" w:eastAsia="宋体" w:cs="宋体"/>
          <w:color w:val="auto"/>
          <w:highlight w:val="none"/>
        </w:rPr>
      </w:pPr>
      <w:r>
        <w:rPr>
          <w:rFonts w:hint="eastAsia" w:ascii="宋体" w:hAnsi="宋体" w:eastAsia="宋体" w:cs="宋体"/>
          <w:color w:val="auto"/>
          <w:highlight w:val="none"/>
        </w:rPr>
        <w:t>（9）“投标文件”指投标人根据本招标文件向招标代理机构提交的全部文件；</w:t>
      </w:r>
    </w:p>
    <w:p w14:paraId="520F6DC3">
      <w:pPr>
        <w:ind w:left="525" w:hanging="525" w:hangingChars="250"/>
        <w:rPr>
          <w:rFonts w:hint="eastAsia" w:ascii="宋体" w:hAnsi="宋体" w:eastAsia="宋体" w:cs="宋体"/>
          <w:color w:val="auto"/>
          <w:highlight w:val="none"/>
        </w:rPr>
      </w:pPr>
      <w:r>
        <w:rPr>
          <w:rFonts w:hint="eastAsia" w:ascii="宋体" w:hAnsi="宋体" w:eastAsia="宋体" w:cs="宋体"/>
          <w:color w:val="auto"/>
          <w:highlight w:val="none"/>
        </w:rPr>
        <w:t>（10）“书面函件”指手写、打字或印刷的函件，包括电传、电报和传真；</w:t>
      </w:r>
    </w:p>
    <w:p w14:paraId="0B41A29D">
      <w:pPr>
        <w:ind w:left="525" w:hanging="525" w:hangingChars="250"/>
        <w:rPr>
          <w:rFonts w:hint="eastAsia" w:ascii="宋体" w:hAnsi="宋体" w:eastAsia="宋体" w:cs="宋体"/>
          <w:color w:val="auto"/>
          <w:highlight w:val="none"/>
        </w:rPr>
      </w:pPr>
      <w:r>
        <w:rPr>
          <w:rFonts w:hint="eastAsia" w:ascii="宋体" w:hAnsi="宋体" w:eastAsia="宋体" w:cs="宋体"/>
          <w:color w:val="auto"/>
          <w:highlight w:val="none"/>
        </w:rPr>
        <w:t>（11）“合同”指由本次招标所产生的合同或合约文件；</w:t>
      </w:r>
    </w:p>
    <w:p w14:paraId="3EF2A7F2">
      <w:pPr>
        <w:ind w:left="525" w:hanging="525" w:hangingChars="250"/>
        <w:rPr>
          <w:rFonts w:hint="eastAsia" w:ascii="宋体" w:hAnsi="宋体" w:eastAsia="宋体" w:cs="宋体"/>
          <w:color w:val="auto"/>
          <w:highlight w:val="none"/>
        </w:rPr>
      </w:pPr>
      <w:r>
        <w:rPr>
          <w:rFonts w:hint="eastAsia" w:ascii="宋体" w:hAnsi="宋体" w:eastAsia="宋体" w:cs="宋体"/>
          <w:color w:val="auto"/>
          <w:highlight w:val="none"/>
        </w:rPr>
        <w:t>（12）“日期”指公历日，“时间”指北京时间；</w:t>
      </w:r>
    </w:p>
    <w:p w14:paraId="54DC1929">
      <w:pPr>
        <w:ind w:left="525" w:hanging="525" w:hangingChars="250"/>
        <w:rPr>
          <w:rFonts w:hint="eastAsia" w:ascii="宋体" w:hAnsi="宋体" w:eastAsia="宋体" w:cs="宋体"/>
          <w:color w:val="auto"/>
          <w:highlight w:val="none"/>
        </w:rPr>
      </w:pPr>
      <w:r>
        <w:rPr>
          <w:rFonts w:hint="eastAsia" w:ascii="宋体" w:hAnsi="宋体" w:eastAsia="宋体" w:cs="宋体"/>
          <w:color w:val="auto"/>
          <w:highlight w:val="none"/>
        </w:rPr>
        <w:t>（13）本招标文件中的“境内”特指中华人民共和国海关关境以内，“境外”特指中华人民共和国海关关境以外；</w:t>
      </w:r>
    </w:p>
    <w:p w14:paraId="35390B2A">
      <w:pPr>
        <w:ind w:left="525" w:hanging="525" w:hangingChars="250"/>
        <w:rPr>
          <w:rFonts w:hint="eastAsia" w:ascii="宋体" w:hAnsi="宋体" w:eastAsia="宋体" w:cs="宋体"/>
          <w:color w:val="auto"/>
          <w:highlight w:val="none"/>
        </w:rPr>
      </w:pPr>
      <w:r>
        <w:rPr>
          <w:rFonts w:hint="eastAsia" w:ascii="宋体" w:hAnsi="宋体" w:eastAsia="宋体" w:cs="宋体"/>
          <w:color w:val="auto"/>
          <w:highlight w:val="none"/>
        </w:rPr>
        <w:t>（14）不含税价，即为</w:t>
      </w:r>
      <w:r>
        <w:rPr>
          <w:rFonts w:hint="eastAsia" w:cs="宋体"/>
          <w:color w:val="auto"/>
          <w:highlight w:val="none"/>
          <w:lang w:eastAsia="zh-CN"/>
        </w:rPr>
        <w:t>《中华人民共和国增值税法》</w:t>
      </w:r>
      <w:r>
        <w:rPr>
          <w:rFonts w:hint="eastAsia" w:ascii="宋体" w:hAnsi="宋体" w:eastAsia="宋体" w:cs="宋体"/>
          <w:color w:val="auto"/>
          <w:highlight w:val="none"/>
        </w:rPr>
        <w:t>规定的销售额。本招标文件所称的不含税价和不含税合同价是指不含本采购项目投标人的销项税额，包含了投标人完成合同义务（含投标人代缴代扣、分包及委外服务</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技术指导</w:t>
      </w:r>
      <w:r>
        <w:rPr>
          <w:rFonts w:hint="eastAsia" w:ascii="宋体" w:hAnsi="宋体" w:eastAsia="宋体" w:cs="宋体"/>
          <w:color w:val="auto"/>
          <w:highlight w:val="none"/>
        </w:rPr>
        <w:t>、采购货物等所产生的价税）的其他全部费用。本采购项目投标人的销项税额由招标人承担，不计入投标报价。</w:t>
      </w:r>
    </w:p>
    <w:p w14:paraId="010AE366">
      <w:pPr>
        <w:rPr>
          <w:rFonts w:hint="eastAsia" w:ascii="宋体" w:hAnsi="宋体" w:eastAsia="宋体" w:cs="宋体"/>
          <w:color w:val="auto"/>
          <w:highlight w:val="none"/>
          <w:lang w:val="zh-CN"/>
        </w:rPr>
      </w:pPr>
    </w:p>
    <w:p w14:paraId="344C1067">
      <w:pPr>
        <w:pStyle w:val="4"/>
        <w:rPr>
          <w:rFonts w:hint="eastAsia" w:ascii="宋体" w:hAnsi="宋体" w:eastAsia="宋体" w:cs="宋体"/>
          <w:color w:val="auto"/>
          <w:highlight w:val="none"/>
          <w:lang w:val="zh-CN"/>
        </w:rPr>
      </w:pPr>
      <w:bookmarkStart w:id="141" w:name="_Toc172552149"/>
      <w:bookmarkStart w:id="142" w:name="_Toc27574"/>
      <w:bookmarkStart w:id="143" w:name="_Toc18382"/>
      <w:bookmarkStart w:id="144" w:name="_Toc8542"/>
      <w:bookmarkStart w:id="145" w:name="_Toc18407"/>
      <w:bookmarkStart w:id="146" w:name="_Toc450662855"/>
      <w:bookmarkStart w:id="147" w:name="_Toc29125_WPSOffice_Level3"/>
      <w:bookmarkStart w:id="148" w:name="_Toc178076462"/>
      <w:bookmarkStart w:id="149" w:name="_Toc1153"/>
      <w:bookmarkStart w:id="150" w:name="_Toc486167669"/>
      <w:bookmarkStart w:id="151" w:name="_Toc19374"/>
      <w:bookmarkStart w:id="152" w:name="_Toc142508319"/>
      <w:bookmarkStart w:id="153" w:name="_Toc176627783"/>
      <w:r>
        <w:rPr>
          <w:rFonts w:hint="eastAsia" w:ascii="宋体" w:hAnsi="宋体" w:eastAsia="宋体" w:cs="宋体"/>
          <w:color w:val="auto"/>
          <w:highlight w:val="none"/>
          <w:lang w:val="zh-CN"/>
        </w:rPr>
        <w:t>6 招标文件的异议</w:t>
      </w:r>
      <w:bookmarkEnd w:id="141"/>
      <w:bookmarkEnd w:id="142"/>
      <w:bookmarkEnd w:id="143"/>
      <w:bookmarkEnd w:id="144"/>
      <w:bookmarkEnd w:id="145"/>
      <w:bookmarkEnd w:id="146"/>
      <w:bookmarkEnd w:id="147"/>
      <w:bookmarkEnd w:id="148"/>
      <w:bookmarkEnd w:id="149"/>
      <w:bookmarkEnd w:id="150"/>
      <w:bookmarkEnd w:id="151"/>
      <w:bookmarkEnd w:id="152"/>
      <w:bookmarkEnd w:id="153"/>
    </w:p>
    <w:p w14:paraId="328A8FD7">
      <w:pPr>
        <w:ind w:left="210" w:leftChars="100"/>
        <w:rPr>
          <w:rFonts w:hint="eastAsia" w:ascii="宋体" w:hAnsi="宋体" w:eastAsia="宋体" w:cs="宋体"/>
          <w:bCs/>
          <w:color w:val="auto"/>
          <w:szCs w:val="21"/>
          <w:highlight w:val="none"/>
          <w:lang w:val="zh-CN"/>
        </w:rPr>
      </w:pPr>
      <w:r>
        <w:rPr>
          <w:rFonts w:hint="eastAsia" w:ascii="宋体" w:hAnsi="宋体" w:eastAsia="宋体" w:cs="宋体"/>
          <w:bCs/>
          <w:color w:val="auto"/>
          <w:szCs w:val="21"/>
          <w:highlight w:val="none"/>
          <w:lang w:val="zh-CN"/>
        </w:rPr>
        <w:t>投标人或者其他利害关系人对招标文件有异议的，应当在投标截止时间10日前以书面形式向招标代理机构提出，并将材料原件送达招标代理机构，逾期则视为对招标文件所有内容无异议。异议书面材料必须加盖投标人法人公章，并注明联系人、联系电话、联系地址。超出提交接收异议截止时间而提出的任何疑问，招标代理机构可不予答复。</w:t>
      </w:r>
      <w:r>
        <w:rPr>
          <w:rFonts w:hint="eastAsia" w:ascii="宋体" w:hAnsi="宋体" w:eastAsia="宋体" w:cs="宋体"/>
          <w:b/>
          <w:bCs/>
          <w:color w:val="auto"/>
          <w:szCs w:val="21"/>
          <w:highlight w:val="none"/>
          <w:u w:val="single"/>
          <w:lang w:val="zh-CN"/>
        </w:rPr>
        <w:t>投标人必须在投标文件中提供投标承诺书（格式详见第六篇投标文件格式）</w:t>
      </w:r>
      <w:r>
        <w:rPr>
          <w:rFonts w:hint="eastAsia" w:ascii="宋体" w:hAnsi="宋体" w:eastAsia="宋体" w:cs="宋体"/>
          <w:b/>
          <w:bCs/>
          <w:color w:val="auto"/>
          <w:szCs w:val="21"/>
          <w:highlight w:val="none"/>
          <w:lang w:val="zh-CN"/>
        </w:rPr>
        <w:t>。</w:t>
      </w:r>
    </w:p>
    <w:p w14:paraId="2AD1F284">
      <w:pPr>
        <w:rPr>
          <w:rFonts w:hint="eastAsia" w:ascii="宋体" w:hAnsi="宋体" w:eastAsia="宋体" w:cs="宋体"/>
          <w:color w:val="auto"/>
          <w:highlight w:val="none"/>
          <w:lang w:val="zh-CN"/>
        </w:rPr>
      </w:pPr>
    </w:p>
    <w:p w14:paraId="728D5136">
      <w:pPr>
        <w:pStyle w:val="4"/>
        <w:rPr>
          <w:rFonts w:hint="eastAsia" w:ascii="宋体" w:hAnsi="宋体" w:eastAsia="宋体" w:cs="宋体"/>
          <w:color w:val="auto"/>
          <w:highlight w:val="none"/>
          <w:lang w:val="zh-CN"/>
        </w:rPr>
      </w:pPr>
      <w:bookmarkStart w:id="154" w:name="_Toc26320"/>
      <w:bookmarkStart w:id="155" w:name="_Toc172552150"/>
      <w:bookmarkStart w:id="156" w:name="_Toc450662856"/>
      <w:bookmarkStart w:id="157" w:name="_Toc25074"/>
      <w:bookmarkStart w:id="158" w:name="_Toc486167670"/>
      <w:bookmarkStart w:id="159" w:name="_Toc20513"/>
      <w:bookmarkStart w:id="160" w:name="_Toc178076463"/>
      <w:bookmarkStart w:id="161" w:name="_Toc142508320"/>
      <w:bookmarkStart w:id="162" w:name="_Toc176627784"/>
      <w:bookmarkStart w:id="163" w:name="_Toc23483_WPSOffice_Level3"/>
      <w:bookmarkStart w:id="164" w:name="_Toc22566"/>
      <w:bookmarkStart w:id="165" w:name="_Toc10574"/>
      <w:bookmarkStart w:id="166" w:name="_Toc773"/>
      <w:r>
        <w:rPr>
          <w:rFonts w:hint="eastAsia" w:ascii="宋体" w:hAnsi="宋体" w:eastAsia="宋体" w:cs="宋体"/>
          <w:color w:val="auto"/>
          <w:highlight w:val="none"/>
          <w:lang w:val="zh-CN"/>
        </w:rPr>
        <w:t>7 招标文件的澄清及修改</w:t>
      </w:r>
      <w:bookmarkEnd w:id="154"/>
      <w:bookmarkEnd w:id="155"/>
      <w:bookmarkEnd w:id="156"/>
      <w:bookmarkEnd w:id="157"/>
      <w:bookmarkEnd w:id="158"/>
      <w:bookmarkEnd w:id="159"/>
      <w:bookmarkEnd w:id="160"/>
      <w:bookmarkEnd w:id="161"/>
      <w:bookmarkEnd w:id="162"/>
      <w:bookmarkEnd w:id="163"/>
      <w:bookmarkEnd w:id="164"/>
      <w:bookmarkEnd w:id="165"/>
      <w:bookmarkEnd w:id="166"/>
    </w:p>
    <w:p w14:paraId="771C6541">
      <w:pPr>
        <w:ind w:left="525" w:hanging="525" w:hangingChars="25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7.1  招标代理机构对已发出的招标文件进行必要澄清或者修改的，将在招标文件要求提交投标文件截止时间15日前，在招标信息发布媒介上发布更正公告，请各投标人密切留意。该澄清或者修改的内容为招标文件的组成部分。</w:t>
      </w:r>
    </w:p>
    <w:p w14:paraId="68B310C7">
      <w:pPr>
        <w:ind w:left="525" w:hanging="525" w:hangingChars="25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7.2</w:t>
      </w:r>
      <w:r>
        <w:rPr>
          <w:rFonts w:hint="eastAsia" w:ascii="宋体" w:hAnsi="宋体" w:eastAsia="宋体" w:cs="宋体"/>
          <w:color w:val="auto"/>
          <w:highlight w:val="none"/>
          <w:lang w:val="zh-CN"/>
        </w:rPr>
        <w:tab/>
      </w:r>
      <w:r>
        <w:rPr>
          <w:rFonts w:hint="eastAsia" w:ascii="宋体" w:hAnsi="宋体" w:eastAsia="宋体" w:cs="宋体"/>
          <w:color w:val="auto"/>
          <w:highlight w:val="none"/>
          <w:lang w:val="zh-CN"/>
        </w:rPr>
        <w:t>项目特定情况下，招标代理机构必须延长投标截止时间和开标时间时，将在招标文件要求提交投标文件的截止时间前，在招标信息发布媒介上发布变更公告。</w:t>
      </w:r>
    </w:p>
    <w:p w14:paraId="5E776D31">
      <w:pPr>
        <w:ind w:left="525" w:hanging="525" w:hangingChars="25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7.3  招标文件的修改、补充通知在</w:t>
      </w:r>
      <w:r>
        <w:rPr>
          <w:rFonts w:hint="eastAsia" w:ascii="宋体" w:hAnsi="宋体" w:eastAsia="宋体" w:cs="宋体"/>
          <w:color w:val="auto"/>
          <w:highlight w:val="none"/>
          <w:lang w:val="zh-CN" w:eastAsia="zh-CN"/>
        </w:rPr>
        <w:t>广东省公共资源交易平台（ygp.gdzwfw.gov.cn）、</w:t>
      </w:r>
      <w:r>
        <w:rPr>
          <w:rFonts w:hint="eastAsia" w:ascii="宋体" w:hAnsi="宋体" w:eastAsia="宋体" w:cs="宋体"/>
          <w:color w:val="auto"/>
          <w:highlight w:val="none"/>
          <w:lang w:val="zh-CN"/>
        </w:rPr>
        <w:t>中国招标投标公共服务平台</w:t>
      </w:r>
      <w:r>
        <w:rPr>
          <w:rFonts w:hint="eastAsia" w:ascii="宋体" w:hAnsi="宋体" w:eastAsia="宋体" w:cs="宋体"/>
          <w:color w:val="auto"/>
          <w:highlight w:val="none"/>
        </w:rPr>
        <w:t>（</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"http://www.cebpubservice.com）、广东省招标投标监管"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www.cebpubservice.com）</w:t>
      </w:r>
      <w:r>
        <w:rPr>
          <w:rFonts w:hint="eastAsia" w:ascii="宋体" w:hAnsi="宋体" w:eastAsia="宋体" w:cs="宋体"/>
          <w:color w:val="auto"/>
          <w:highlight w:val="none"/>
          <w:lang w:val="zh-CN"/>
        </w:rPr>
        <w:t>、</w:t>
      </w:r>
      <w:r>
        <w:rPr>
          <w:rFonts w:hint="eastAsia" w:ascii="宋体" w:hAnsi="宋体" w:eastAsia="宋体" w:cs="宋体"/>
          <w:color w:val="auto"/>
          <w:highlight w:val="none"/>
          <w:lang w:val="zh-CN"/>
        </w:rPr>
        <w:fldChar w:fldCharType="end"/>
      </w:r>
      <w:r>
        <w:rPr>
          <w:rFonts w:hint="eastAsia" w:ascii="宋体" w:hAnsi="宋体" w:eastAsia="宋体" w:cs="宋体"/>
          <w:color w:val="auto"/>
          <w:szCs w:val="21"/>
          <w:highlight w:val="none"/>
          <w:lang w:val="zh-CN"/>
        </w:rPr>
        <w:t>东莞市水务环境投资控股集团有限公司</w:t>
      </w:r>
      <w:r>
        <w:rPr>
          <w:rFonts w:hint="eastAsia" w:ascii="宋体" w:hAnsi="宋体" w:eastAsia="宋体" w:cs="宋体"/>
          <w:color w:val="auto"/>
          <w:highlight w:val="none"/>
          <w:lang w:val="zh-CN"/>
        </w:rPr>
        <w:t>网</w:t>
      </w:r>
      <w:r>
        <w:rPr>
          <w:rFonts w:hint="eastAsia" w:ascii="宋体" w:hAnsi="宋体" w:eastAsia="宋体" w:cs="宋体"/>
          <w:color w:val="auto"/>
          <w:highlight w:val="none"/>
        </w:rPr>
        <w:t>（</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"file:///G:\\公司备份\\东莞市石鼓污水处理有限公司污水处理厂生产运营管理平台建设项目调度指挥中心设备设施采购项目\\www.dgswjt.cn）、招标代理公司网站（http:\\%20%20%20%20%20%20%20%20%20%20%20%20%20%20）" </w:instrText>
      </w:r>
      <w:r>
        <w:rPr>
          <w:rFonts w:hint="eastAsia" w:ascii="宋体" w:hAnsi="宋体" w:eastAsia="宋体" w:cs="宋体"/>
          <w:color w:val="auto"/>
          <w:highlight w:val="none"/>
        </w:rPr>
        <w:fldChar w:fldCharType="separate"/>
      </w:r>
      <w:r>
        <w:rPr>
          <w:rFonts w:hint="eastAsia" w:cs="宋体"/>
          <w:color w:val="auto"/>
          <w:highlight w:val="none"/>
          <w:lang w:eastAsia="zh-CN"/>
        </w:rPr>
        <w:t>www.dgweg.cn</w:t>
      </w:r>
      <w:r>
        <w:rPr>
          <w:rFonts w:hint="eastAsia" w:ascii="宋体" w:hAnsi="宋体" w:eastAsia="宋体" w:cs="宋体"/>
          <w:color w:val="auto"/>
          <w:highlight w:val="none"/>
        </w:rPr>
        <w:t>）</w:t>
      </w:r>
      <w:r>
        <w:rPr>
          <w:rFonts w:hint="eastAsia" w:ascii="宋体" w:hAnsi="宋体" w:eastAsia="宋体" w:cs="宋体"/>
          <w:color w:val="auto"/>
          <w:highlight w:val="none"/>
          <w:lang w:val="zh-CN"/>
        </w:rPr>
        <w:t>、</w:t>
      </w:r>
      <w:r>
        <w:rPr>
          <w:rFonts w:hint="eastAsia" w:ascii="宋体" w:hAnsi="宋体" w:eastAsia="宋体" w:cs="宋体"/>
          <w:color w:val="auto"/>
          <w:highlight w:val="none"/>
        </w:rPr>
        <w:t>招标代理机构网站（</w:t>
      </w:r>
      <w:r>
        <w:rPr>
          <w:rFonts w:hint="eastAsia" w:ascii="宋体" w:hAnsi="宋体" w:eastAsia="宋体" w:cs="宋体"/>
          <w:color w:val="auto"/>
          <w:kern w:val="2"/>
          <w:sz w:val="21"/>
          <w:szCs w:val="22"/>
          <w:highlight w:val="none"/>
          <w:lang w:val="en-US" w:eastAsia="zh-CN" w:bidi="ar-SA"/>
        </w:rPr>
        <w:t>www.youde.net</w:t>
      </w:r>
      <w:r>
        <w:rPr>
          <w:rFonts w:hint="eastAsia" w:ascii="宋体" w:hAnsi="宋体" w:eastAsia="宋体" w:cs="宋体"/>
          <w:color w:val="auto"/>
          <w:highlight w:val="none"/>
        </w:rPr>
        <w:t>）</w:t>
      </w:r>
      <w:r>
        <w:rPr>
          <w:rFonts w:hint="eastAsia" w:ascii="宋体" w:hAnsi="宋体" w:eastAsia="宋体" w:cs="宋体"/>
          <w:color w:val="auto"/>
          <w:highlight w:val="none"/>
        </w:rPr>
        <w:fldChar w:fldCharType="end"/>
      </w:r>
      <w:r>
        <w:rPr>
          <w:rFonts w:hint="eastAsia" w:ascii="宋体" w:hAnsi="宋体" w:eastAsia="宋体" w:cs="宋体"/>
          <w:color w:val="auto"/>
          <w:highlight w:val="none"/>
          <w:lang w:val="zh-CN"/>
        </w:rPr>
        <w:t>公布，请各投标人密切留意。</w:t>
      </w:r>
    </w:p>
    <w:p w14:paraId="3587C2F8">
      <w:pPr>
        <w:rPr>
          <w:rFonts w:hint="eastAsia" w:ascii="宋体" w:hAnsi="宋体" w:eastAsia="宋体" w:cs="宋体"/>
          <w:color w:val="auto"/>
          <w:highlight w:val="none"/>
        </w:rPr>
      </w:pPr>
    </w:p>
    <w:p w14:paraId="6D576DD1">
      <w:pPr>
        <w:pStyle w:val="3"/>
        <w:rPr>
          <w:rFonts w:hint="eastAsia" w:ascii="宋体" w:hAnsi="宋体" w:eastAsia="宋体" w:cs="宋体"/>
          <w:color w:val="auto"/>
          <w:highlight w:val="none"/>
          <w:lang w:val="zh-CN"/>
        </w:rPr>
      </w:pPr>
      <w:bookmarkStart w:id="167" w:name="_Toc596"/>
      <w:bookmarkStart w:id="168" w:name="_Toc28010"/>
      <w:bookmarkStart w:id="169" w:name="_Toc6039"/>
      <w:bookmarkStart w:id="170" w:name="_Toc172552151"/>
      <w:bookmarkStart w:id="171" w:name="_Toc3254"/>
      <w:bookmarkStart w:id="172" w:name="_Toc176627785"/>
      <w:bookmarkStart w:id="173" w:name="_Toc142508321"/>
      <w:bookmarkStart w:id="174" w:name="_Toc5061"/>
      <w:bookmarkStart w:id="175" w:name="_Toc29659_WPSOffice_Level2"/>
      <w:bookmarkStart w:id="176" w:name="_Toc140596880"/>
      <w:bookmarkStart w:id="177" w:name="_Toc450662857"/>
      <w:bookmarkStart w:id="178" w:name="_Toc486167671"/>
      <w:bookmarkStart w:id="179" w:name="_Toc10045"/>
      <w:bookmarkStart w:id="180" w:name="_Toc8202"/>
      <w:bookmarkStart w:id="181" w:name="_Toc178076464"/>
      <w:bookmarkStart w:id="182" w:name="_Toc23780"/>
      <w:bookmarkStart w:id="183" w:name="_Toc30013"/>
      <w:r>
        <w:rPr>
          <w:rFonts w:hint="eastAsia" w:ascii="宋体" w:hAnsi="宋体" w:eastAsia="宋体" w:cs="宋体"/>
          <w:color w:val="auto"/>
          <w:highlight w:val="none"/>
          <w:lang w:val="zh-CN"/>
        </w:rPr>
        <w:t>三、投标文件的编制</w:t>
      </w:r>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14:paraId="0025F850">
      <w:pPr>
        <w:pStyle w:val="4"/>
        <w:rPr>
          <w:rFonts w:hint="eastAsia" w:ascii="宋体" w:hAnsi="宋体" w:eastAsia="宋体" w:cs="宋体"/>
          <w:color w:val="auto"/>
          <w:highlight w:val="none"/>
          <w:lang w:val="zh-CN"/>
        </w:rPr>
      </w:pPr>
      <w:bookmarkStart w:id="184" w:name="_Toc176627786"/>
      <w:bookmarkStart w:id="185" w:name="_Toc25773"/>
      <w:bookmarkStart w:id="186" w:name="_Toc8947"/>
      <w:bookmarkStart w:id="187" w:name="_Toc16279"/>
      <w:bookmarkStart w:id="188" w:name="_Toc31749"/>
      <w:bookmarkStart w:id="189" w:name="_Toc31426"/>
      <w:bookmarkStart w:id="190" w:name="_Toc21838"/>
      <w:bookmarkStart w:id="191" w:name="_Toc142508322"/>
      <w:bookmarkStart w:id="192" w:name="_Toc172552152"/>
      <w:bookmarkStart w:id="193" w:name="_Toc10015_WPSOffice_Level3"/>
      <w:bookmarkStart w:id="194" w:name="_Toc486167672"/>
      <w:bookmarkStart w:id="195" w:name="_Toc450662858"/>
      <w:bookmarkStart w:id="196" w:name="_Toc178076465"/>
      <w:r>
        <w:rPr>
          <w:rFonts w:hint="eastAsia" w:ascii="宋体" w:hAnsi="宋体" w:eastAsia="宋体" w:cs="宋体"/>
          <w:color w:val="auto"/>
          <w:highlight w:val="none"/>
          <w:lang w:val="zh-CN"/>
        </w:rPr>
        <w:t>8 投标使用的文字及度量衡单位</w:t>
      </w:r>
      <w:bookmarkEnd w:id="184"/>
      <w:bookmarkEnd w:id="185"/>
      <w:bookmarkEnd w:id="186"/>
      <w:bookmarkEnd w:id="187"/>
      <w:bookmarkEnd w:id="188"/>
      <w:bookmarkEnd w:id="189"/>
      <w:bookmarkEnd w:id="190"/>
      <w:bookmarkEnd w:id="191"/>
      <w:bookmarkEnd w:id="192"/>
      <w:bookmarkEnd w:id="193"/>
      <w:bookmarkEnd w:id="194"/>
      <w:bookmarkEnd w:id="195"/>
      <w:bookmarkEnd w:id="196"/>
    </w:p>
    <w:p w14:paraId="7837B7B5">
      <w:pPr>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8.1  投标人的投标文件以及投标人与招标代理机构就有关投标的所有往来函电均应使用简体中文。</w:t>
      </w:r>
    </w:p>
    <w:p w14:paraId="0E989C49">
      <w:pPr>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8.2  投标文件使用的度量衡单位采用中华人民共和国法定计量单位。</w:t>
      </w:r>
    </w:p>
    <w:p w14:paraId="421B0348">
      <w:pPr>
        <w:rPr>
          <w:rFonts w:hint="eastAsia" w:ascii="宋体" w:hAnsi="宋体" w:eastAsia="宋体" w:cs="宋体"/>
          <w:color w:val="auto"/>
          <w:highlight w:val="none"/>
          <w:lang w:val="zh-CN"/>
        </w:rPr>
      </w:pPr>
    </w:p>
    <w:p w14:paraId="700D945C">
      <w:pPr>
        <w:pStyle w:val="4"/>
        <w:rPr>
          <w:rFonts w:hint="eastAsia" w:ascii="宋体" w:hAnsi="宋体" w:eastAsia="宋体" w:cs="宋体"/>
          <w:color w:val="auto"/>
          <w:sz w:val="24"/>
          <w:highlight w:val="none"/>
          <w:lang w:val="zh-CN"/>
        </w:rPr>
      </w:pPr>
      <w:bookmarkStart w:id="197" w:name="_Toc240"/>
      <w:bookmarkStart w:id="198" w:name="_Toc24916_WPSOffice_Level3"/>
      <w:bookmarkStart w:id="199" w:name="_Toc31384"/>
      <w:bookmarkStart w:id="200" w:name="_Toc15202"/>
      <w:bookmarkStart w:id="201" w:name="_Toc486167673"/>
      <w:bookmarkStart w:id="202" w:name="_Toc450662859"/>
      <w:bookmarkStart w:id="203" w:name="_Toc172552153"/>
      <w:bookmarkStart w:id="204" w:name="_Toc178076466"/>
      <w:bookmarkStart w:id="205" w:name="_Toc142508323"/>
      <w:bookmarkStart w:id="206" w:name="_Toc12554"/>
      <w:bookmarkStart w:id="207" w:name="_Toc1879"/>
      <w:bookmarkStart w:id="208" w:name="_Toc31973"/>
      <w:bookmarkStart w:id="209" w:name="_Toc176627787"/>
      <w:r>
        <w:rPr>
          <w:rFonts w:hint="eastAsia" w:ascii="宋体" w:hAnsi="宋体" w:eastAsia="宋体" w:cs="宋体"/>
          <w:color w:val="auto"/>
          <w:szCs w:val="21"/>
          <w:highlight w:val="none"/>
          <w:lang w:val="zh-CN"/>
        </w:rPr>
        <w:t>9</w:t>
      </w:r>
      <w:r>
        <w:rPr>
          <w:rFonts w:hint="eastAsia" w:ascii="宋体" w:hAnsi="宋体" w:eastAsia="宋体" w:cs="宋体"/>
          <w:color w:val="auto"/>
          <w:sz w:val="24"/>
          <w:highlight w:val="none"/>
          <w:lang w:val="zh-CN"/>
        </w:rPr>
        <w:t xml:space="preserve"> </w:t>
      </w:r>
      <w:r>
        <w:rPr>
          <w:rFonts w:hint="eastAsia" w:ascii="宋体" w:hAnsi="宋体" w:eastAsia="宋体" w:cs="宋体"/>
          <w:color w:val="auto"/>
          <w:szCs w:val="21"/>
          <w:highlight w:val="none"/>
          <w:lang w:val="zh-CN"/>
        </w:rPr>
        <w:t>投标文件的组成</w:t>
      </w:r>
      <w:bookmarkEnd w:id="197"/>
      <w:bookmarkEnd w:id="198"/>
      <w:bookmarkEnd w:id="199"/>
      <w:bookmarkEnd w:id="200"/>
      <w:bookmarkEnd w:id="201"/>
      <w:bookmarkEnd w:id="202"/>
      <w:bookmarkEnd w:id="203"/>
      <w:bookmarkEnd w:id="204"/>
      <w:bookmarkEnd w:id="205"/>
      <w:bookmarkEnd w:id="206"/>
      <w:bookmarkEnd w:id="207"/>
      <w:bookmarkEnd w:id="208"/>
      <w:bookmarkEnd w:id="209"/>
    </w:p>
    <w:p w14:paraId="050E5F4D">
      <w:pPr>
        <w:ind w:left="525" w:hanging="525" w:hangingChars="250"/>
        <w:rPr>
          <w:rFonts w:hint="eastAsia" w:ascii="宋体" w:hAnsi="宋体" w:eastAsia="宋体" w:cs="宋体"/>
          <w:color w:val="auto"/>
          <w:highlight w:val="none"/>
          <w:u w:val="single"/>
        </w:rPr>
      </w:pPr>
      <w:r>
        <w:rPr>
          <w:rFonts w:hint="eastAsia" w:ascii="宋体" w:hAnsi="宋体" w:eastAsia="宋体" w:cs="宋体"/>
          <w:color w:val="auto"/>
          <w:highlight w:val="none"/>
        </w:rPr>
        <w:t>9.1  投标文件的组成：</w:t>
      </w:r>
      <w:r>
        <w:rPr>
          <w:rFonts w:hint="eastAsia" w:ascii="宋体" w:hAnsi="宋体" w:eastAsia="宋体" w:cs="宋体"/>
          <w:b/>
          <w:bCs/>
          <w:color w:val="auto"/>
          <w:highlight w:val="none"/>
          <w:u w:val="single"/>
        </w:rPr>
        <w:t>商务文件、技术文件由投标人根据各自文件的实际情况决定是否分册装订，招标文件不做限制。</w:t>
      </w:r>
    </w:p>
    <w:p w14:paraId="5866069B">
      <w:pPr>
        <w:rPr>
          <w:rFonts w:hint="eastAsia" w:ascii="宋体" w:hAnsi="宋体" w:eastAsia="宋体" w:cs="宋体"/>
          <w:b/>
          <w:bCs/>
          <w:color w:val="auto"/>
          <w:highlight w:val="none"/>
        </w:rPr>
      </w:pPr>
      <w:r>
        <w:rPr>
          <w:rFonts w:hint="eastAsia" w:ascii="宋体" w:hAnsi="宋体" w:eastAsia="宋体" w:cs="宋体"/>
          <w:b/>
          <w:bCs/>
          <w:color w:val="auto"/>
          <w:highlight w:val="none"/>
        </w:rPr>
        <w:t>9.1.1 商务文件：</w:t>
      </w:r>
    </w:p>
    <w:p w14:paraId="6EE8FA1D">
      <w:pPr>
        <w:ind w:left="420" w:leftChars="200"/>
        <w:rPr>
          <w:rFonts w:hint="eastAsia" w:ascii="宋体" w:hAnsi="宋体" w:eastAsia="宋体" w:cs="宋体"/>
          <w:b/>
          <w:bCs/>
          <w:color w:val="auto"/>
          <w:highlight w:val="none"/>
          <w:lang w:val="zh-CN"/>
        </w:rPr>
      </w:pPr>
      <w:r>
        <w:rPr>
          <w:rFonts w:hint="eastAsia" w:ascii="宋体" w:hAnsi="宋体" w:eastAsia="宋体" w:cs="宋体"/>
          <w:b/>
          <w:bCs/>
          <w:color w:val="auto"/>
          <w:highlight w:val="none"/>
          <w:lang w:val="zh-CN"/>
        </w:rPr>
        <w:t>目录：</w:t>
      </w:r>
    </w:p>
    <w:p w14:paraId="6D5B09E0">
      <w:pPr>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（1）投标函；</w:t>
      </w:r>
    </w:p>
    <w:p w14:paraId="0356F746">
      <w:pPr>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（2）投标承诺书；</w:t>
      </w:r>
    </w:p>
    <w:p w14:paraId="3D6E2F47">
      <w:pPr>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（3）供货及/或提供服务过程承诺函；</w:t>
      </w:r>
    </w:p>
    <w:p w14:paraId="6747DFF1">
      <w:pPr>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w:t>
      </w:r>
      <w:r>
        <w:rPr>
          <w:rFonts w:hint="eastAsia" w:ascii="宋体" w:hAnsi="宋体" w:eastAsia="宋体" w:cs="宋体"/>
          <w:color w:val="auto"/>
          <w:highlight w:val="none"/>
        </w:rPr>
        <w:t>4</w:t>
      </w:r>
      <w:r>
        <w:rPr>
          <w:rFonts w:hint="eastAsia" w:ascii="宋体" w:hAnsi="宋体" w:eastAsia="宋体" w:cs="宋体"/>
          <w:color w:val="auto"/>
          <w:highlight w:val="none"/>
          <w:lang w:val="zh-CN"/>
        </w:rPr>
        <w:t>）投标报价表；</w:t>
      </w:r>
    </w:p>
    <w:p w14:paraId="31AB0CF0">
      <w:pPr>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w:t>
      </w:r>
      <w:r>
        <w:rPr>
          <w:rFonts w:hint="eastAsia" w:ascii="宋体" w:hAnsi="宋体" w:eastAsia="宋体" w:cs="宋体"/>
          <w:color w:val="auto"/>
          <w:highlight w:val="none"/>
        </w:rPr>
        <w:t>5</w:t>
      </w:r>
      <w:r>
        <w:rPr>
          <w:rFonts w:hint="eastAsia" w:ascii="宋体" w:hAnsi="宋体" w:eastAsia="宋体" w:cs="宋体"/>
          <w:color w:val="auto"/>
          <w:highlight w:val="none"/>
          <w:lang w:val="zh-CN"/>
        </w:rPr>
        <w:t>）投标人资格证明文件：</w:t>
      </w:r>
    </w:p>
    <w:p w14:paraId="39B3384C">
      <w:pPr>
        <w:keepNext w:val="0"/>
        <w:keepLines w:val="0"/>
        <w:pageBreakBefore w:val="0"/>
        <w:widowControl w:val="0"/>
        <w:kinsoku/>
        <w:wordWrap/>
        <w:overflowPunct/>
        <w:topLinePunct w:val="0"/>
        <w:autoSpaceDE/>
        <w:autoSpaceDN/>
        <w:bidi w:val="0"/>
        <w:adjustRightInd w:val="0"/>
        <w:snapToGrid w:val="0"/>
        <w:ind w:left="525" w:leftChars="100" w:hanging="315" w:hangingChars="150"/>
        <w:textAlignment w:val="auto"/>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1）多证合一营业执照（或事业单位法人证书）复印件；</w:t>
      </w:r>
    </w:p>
    <w:p w14:paraId="7AFC33C1">
      <w:pPr>
        <w:keepNext w:val="0"/>
        <w:keepLines w:val="0"/>
        <w:pageBreakBefore w:val="0"/>
        <w:widowControl w:val="0"/>
        <w:kinsoku/>
        <w:wordWrap/>
        <w:overflowPunct/>
        <w:topLinePunct w:val="0"/>
        <w:autoSpaceDE/>
        <w:autoSpaceDN/>
        <w:bidi w:val="0"/>
        <w:adjustRightInd w:val="0"/>
        <w:snapToGrid w:val="0"/>
        <w:ind w:left="525" w:leftChars="100" w:hanging="315" w:hangingChars="150"/>
        <w:textAlignment w:val="auto"/>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2）开户许可证复印件（基本存款账户），如投标人企业银行账户开户所在地区已取消企业银行账户许可，投标人应提供基本存款账户开户名称、开户银行、账号、编号等信息及相关备案证明（如有）或其他能证明其为基本存款账户的资料复印件；</w:t>
      </w:r>
    </w:p>
    <w:p w14:paraId="194D045A">
      <w:pPr>
        <w:keepNext w:val="0"/>
        <w:keepLines w:val="0"/>
        <w:pageBreakBefore w:val="0"/>
        <w:widowControl w:val="0"/>
        <w:kinsoku/>
        <w:wordWrap/>
        <w:overflowPunct/>
        <w:topLinePunct w:val="0"/>
        <w:autoSpaceDE/>
        <w:autoSpaceDN/>
        <w:bidi w:val="0"/>
        <w:adjustRightInd w:val="0"/>
        <w:snapToGrid w:val="0"/>
        <w:ind w:left="525" w:leftChars="100" w:hanging="315" w:hangingChars="150"/>
        <w:textAlignment w:val="auto"/>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3）法定代表人身份证明书和法定代表人授权书原件（法定代表人投标时只提供法定代表人身份证明书，委托他人为投标代表时同时提供法定代表人授权书）；</w:t>
      </w:r>
    </w:p>
    <w:p w14:paraId="15E88BFE">
      <w:pPr>
        <w:keepNext w:val="0"/>
        <w:keepLines w:val="0"/>
        <w:pageBreakBefore w:val="0"/>
        <w:widowControl w:val="0"/>
        <w:kinsoku/>
        <w:wordWrap/>
        <w:overflowPunct/>
        <w:topLinePunct w:val="0"/>
        <w:autoSpaceDE/>
        <w:autoSpaceDN/>
        <w:bidi w:val="0"/>
        <w:adjustRightInd w:val="0"/>
        <w:snapToGrid w:val="0"/>
        <w:ind w:left="525" w:leftChars="100" w:hanging="315" w:hangingChars="150"/>
        <w:textAlignment w:val="auto"/>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4）制造商资格声明和制造商售后服务承诺函及独家授权书（若投标人为制造商，必须提供制造商资格声明原件和制造商售后服务承诺函；若投标人为所投产品的经销商，必须提供制造商资格声明原件和投标产品制造商出具的《制造商独家授权书》原件）；</w:t>
      </w:r>
    </w:p>
    <w:p w14:paraId="2809F912">
      <w:pPr>
        <w:keepNext w:val="0"/>
        <w:keepLines w:val="0"/>
        <w:pageBreakBefore w:val="0"/>
        <w:widowControl w:val="0"/>
        <w:kinsoku/>
        <w:wordWrap/>
        <w:overflowPunct/>
        <w:topLinePunct w:val="0"/>
        <w:autoSpaceDE/>
        <w:autoSpaceDN/>
        <w:bidi w:val="0"/>
        <w:adjustRightInd w:val="0"/>
        <w:snapToGrid w:val="0"/>
        <w:ind w:left="525" w:leftChars="100" w:hanging="315" w:hangingChars="150"/>
        <w:textAlignment w:val="auto"/>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5）资格业绩【投标人至少提供一份2022年1月1日以来</w:t>
      </w:r>
      <w:r>
        <w:rPr>
          <w:rFonts w:hint="eastAsia" w:ascii="宋体" w:hAnsi="宋体" w:eastAsia="宋体" w:cs="宋体"/>
          <w:b/>
          <w:bCs/>
          <w:color w:val="auto"/>
          <w:highlight w:val="none"/>
          <w:lang w:val="zh-CN"/>
        </w:rPr>
        <w:t>投标品牌</w:t>
      </w:r>
      <w:r>
        <w:rPr>
          <w:rFonts w:hint="eastAsia" w:ascii="宋体" w:hAnsi="宋体" w:eastAsia="宋体" w:cs="宋体"/>
          <w:b/>
          <w:color w:val="auto"/>
          <w:szCs w:val="21"/>
          <w:highlight w:val="none"/>
          <w:lang w:val="zh-CN"/>
        </w:rPr>
        <w:t>球墨铸铁阀门</w:t>
      </w:r>
      <w:r>
        <w:rPr>
          <w:rFonts w:hint="eastAsia" w:ascii="宋体" w:hAnsi="宋体" w:eastAsia="宋体" w:cs="宋体"/>
          <w:b/>
          <w:bCs/>
          <w:color w:val="auto"/>
          <w:highlight w:val="none"/>
          <w:lang w:val="zh-CN"/>
        </w:rPr>
        <w:t>在国内的销售业绩</w:t>
      </w:r>
      <w:r>
        <w:rPr>
          <w:rFonts w:hint="eastAsia" w:ascii="宋体" w:hAnsi="宋体" w:eastAsia="宋体" w:cs="宋体"/>
          <w:color w:val="auto"/>
          <w:highlight w:val="none"/>
          <w:lang w:val="zh-CN"/>
        </w:rPr>
        <w:t>（合同签订日期为2022年1月1日或以后），资格业绩证明材料提交要求详见招标文件第六篇投标文件格式5.</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lang w:val="zh-CN"/>
        </w:rPr>
        <w:t>】；</w:t>
      </w:r>
    </w:p>
    <w:p w14:paraId="71722EF9">
      <w:pPr>
        <w:keepNext w:val="0"/>
        <w:keepLines w:val="0"/>
        <w:pageBreakBefore w:val="0"/>
        <w:widowControl w:val="0"/>
        <w:kinsoku/>
        <w:wordWrap/>
        <w:overflowPunct/>
        <w:topLinePunct w:val="0"/>
        <w:autoSpaceDE/>
        <w:autoSpaceDN/>
        <w:bidi w:val="0"/>
        <w:adjustRightInd w:val="0"/>
        <w:snapToGrid w:val="0"/>
        <w:ind w:left="525" w:leftChars="100" w:hanging="315" w:hangingChars="150"/>
        <w:textAlignment w:val="auto"/>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6）投标人所供球墨铸铁阀门具有有效的省级以上(含省级)卫生行政主管部门颁发的《涉及饮用水卫生安全产品卫生许可批件》；</w:t>
      </w:r>
    </w:p>
    <w:p w14:paraId="5B67B50A">
      <w:pPr>
        <w:keepNext w:val="0"/>
        <w:keepLines w:val="0"/>
        <w:pageBreakBefore w:val="0"/>
        <w:widowControl w:val="0"/>
        <w:kinsoku/>
        <w:wordWrap/>
        <w:overflowPunct/>
        <w:topLinePunct w:val="0"/>
        <w:autoSpaceDE/>
        <w:autoSpaceDN/>
        <w:bidi w:val="0"/>
        <w:adjustRightInd w:val="0"/>
        <w:snapToGrid w:val="0"/>
        <w:ind w:left="525" w:leftChars="100" w:hanging="315" w:hangingChars="150"/>
        <w:textAlignment w:val="auto"/>
        <w:rPr>
          <w:rFonts w:hint="eastAsia" w:ascii="宋体" w:hAnsi="宋体" w:eastAsia="宋体" w:cs="宋体"/>
          <w:color w:val="auto"/>
          <w:highlight w:val="none"/>
          <w:lang w:val="zh-CN"/>
        </w:rPr>
      </w:pPr>
      <w:r>
        <w:rPr>
          <w:rFonts w:hint="eastAsia" w:ascii="宋体" w:hAnsi="宋体" w:eastAsia="宋体" w:cs="宋体"/>
          <w:color w:val="auto"/>
          <w:highlight w:val="none"/>
          <w:lang w:val="en-US" w:eastAsia="zh-CN"/>
        </w:rPr>
        <w:t>7）</w:t>
      </w:r>
      <w:r>
        <w:rPr>
          <w:rFonts w:hint="eastAsia" w:ascii="宋体" w:hAnsi="宋体" w:eastAsia="宋体" w:cs="宋体"/>
          <w:color w:val="auto"/>
          <w:highlight w:val="none"/>
          <w:lang w:val="zh-CN"/>
        </w:rPr>
        <w:t>最近3年投标人牵涉的其他（失信和违法）处罚说明；</w:t>
      </w:r>
    </w:p>
    <w:p w14:paraId="30BBBA00">
      <w:pPr>
        <w:ind w:left="525" w:hanging="525" w:hangingChars="25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（6）投标人基本情况一览表；</w:t>
      </w:r>
    </w:p>
    <w:p w14:paraId="5CF7519E">
      <w:pPr>
        <w:ind w:left="525" w:hanging="525" w:hangingChars="25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（7）投标人财务状况表；</w:t>
      </w:r>
    </w:p>
    <w:p w14:paraId="2D0D6F16">
      <w:pPr>
        <w:ind w:left="525" w:hanging="525" w:hangingChars="25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（8）合同条款响应程度（合同条款偏离表）；</w:t>
      </w:r>
    </w:p>
    <w:p w14:paraId="4DA6C52B">
      <w:pPr>
        <w:ind w:left="525" w:hanging="525" w:hangingChars="25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（9）业绩表；</w:t>
      </w:r>
    </w:p>
    <w:p w14:paraId="60BCCE99">
      <w:pPr>
        <w:ind w:left="525" w:hanging="525" w:hangingChars="25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（10）</w:t>
      </w:r>
      <w:r>
        <w:rPr>
          <w:rFonts w:hint="eastAsia" w:ascii="宋体" w:hAnsi="宋体" w:eastAsia="宋体" w:cs="宋体"/>
          <w:color w:val="auto"/>
          <w:sz w:val="21"/>
          <w:szCs w:val="22"/>
          <w:highlight w:val="none"/>
          <w:lang w:val="zh-CN"/>
        </w:rPr>
        <w:t>中标服务费承诺书</w:t>
      </w:r>
    </w:p>
    <w:p w14:paraId="768BF2D4">
      <w:pPr>
        <w:ind w:left="525" w:hanging="525" w:hangingChars="25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（11）投标保证金汇入情况说明；</w:t>
      </w:r>
    </w:p>
    <w:p w14:paraId="14AA3B51">
      <w:pPr>
        <w:ind w:left="525" w:hanging="525" w:hangingChars="25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w:t>
      </w:r>
      <w:r>
        <w:rPr>
          <w:rFonts w:hint="eastAsia" w:ascii="宋体" w:hAnsi="宋体" w:eastAsia="宋体" w:cs="宋体"/>
          <w:color w:val="auto"/>
          <w:highlight w:val="none"/>
          <w:lang w:val="en-US" w:eastAsia="zh-CN"/>
        </w:rPr>
        <w:t>12</w:t>
      </w:r>
      <w:r>
        <w:rPr>
          <w:rFonts w:hint="eastAsia" w:ascii="宋体" w:hAnsi="宋体" w:eastAsia="宋体" w:cs="宋体"/>
          <w:color w:val="auto"/>
          <w:highlight w:val="none"/>
          <w:lang w:val="zh-CN"/>
        </w:rPr>
        <w:t>）投标人资格证明文件以外的其他资质证书、知识产权证书及获得的相关获奖、认证证书、社会评价资料证明文件复印件等投标人认为有需要证明其具备为本次招标项目提供货物及有关服务能力的有关其它商务文件（不做强制要求）。</w:t>
      </w:r>
    </w:p>
    <w:p w14:paraId="6118ECAA">
      <w:pPr>
        <w:rPr>
          <w:rFonts w:hint="eastAsia" w:ascii="宋体" w:hAnsi="宋体" w:eastAsia="宋体" w:cs="宋体"/>
          <w:b/>
          <w:bCs/>
          <w:color w:val="auto"/>
          <w:highlight w:val="none"/>
        </w:rPr>
      </w:pPr>
      <w:r>
        <w:rPr>
          <w:rFonts w:hint="eastAsia" w:ascii="宋体" w:hAnsi="宋体" w:eastAsia="宋体" w:cs="宋体"/>
          <w:b/>
          <w:bCs/>
          <w:color w:val="auto"/>
          <w:highlight w:val="none"/>
        </w:rPr>
        <w:t>9.1.2 技术文件：</w:t>
      </w:r>
    </w:p>
    <w:p w14:paraId="2A3C45BD">
      <w:pPr>
        <w:ind w:left="420" w:leftChars="200"/>
        <w:rPr>
          <w:rFonts w:hint="eastAsia" w:ascii="宋体" w:hAnsi="宋体" w:eastAsia="宋体" w:cs="宋体"/>
          <w:b/>
          <w:bCs/>
          <w:color w:val="auto"/>
          <w:highlight w:val="none"/>
          <w:lang w:val="zh-CN"/>
        </w:rPr>
      </w:pPr>
      <w:r>
        <w:rPr>
          <w:rFonts w:hint="eastAsia" w:ascii="宋体" w:hAnsi="宋体" w:eastAsia="宋体" w:cs="宋体"/>
          <w:b/>
          <w:bCs/>
          <w:color w:val="auto"/>
          <w:highlight w:val="none"/>
          <w:lang w:val="zh-CN"/>
        </w:rPr>
        <w:t>目录：</w:t>
      </w:r>
    </w:p>
    <w:p w14:paraId="6F1D98D9">
      <w:pPr>
        <w:rPr>
          <w:rFonts w:hint="eastAsia" w:ascii="宋体" w:hAnsi="宋体" w:eastAsia="宋体" w:cs="宋体"/>
          <w:color w:val="auto"/>
          <w:highlight w:val="none"/>
        </w:rPr>
      </w:pPr>
      <w:r>
        <w:rPr>
          <w:rFonts w:hint="eastAsia" w:ascii="宋体" w:hAnsi="宋体" w:eastAsia="宋体" w:cs="宋体"/>
          <w:color w:val="auto"/>
          <w:highlight w:val="none"/>
        </w:rPr>
        <w:t>（1）用户需求响应程度（即用户需求偏离表格式）；</w:t>
      </w:r>
    </w:p>
    <w:p w14:paraId="31A733BF">
      <w:pPr>
        <w:rPr>
          <w:rFonts w:hint="eastAsia" w:ascii="宋体" w:hAnsi="宋体" w:eastAsia="宋体" w:cs="宋体"/>
          <w:color w:val="auto"/>
          <w:highlight w:val="none"/>
        </w:rPr>
      </w:pPr>
      <w:r>
        <w:rPr>
          <w:rFonts w:hint="eastAsia" w:ascii="宋体" w:hAnsi="宋体" w:eastAsia="宋体" w:cs="宋体"/>
          <w:color w:val="auto"/>
          <w:highlight w:val="none"/>
        </w:rPr>
        <w:t>（2）供货货物清单表；</w:t>
      </w:r>
    </w:p>
    <w:p w14:paraId="1C3637AA">
      <w:pPr>
        <w:rPr>
          <w:rFonts w:hint="eastAsia" w:ascii="宋体" w:hAnsi="宋体" w:eastAsia="宋体" w:cs="宋体"/>
          <w:color w:val="auto"/>
          <w:highlight w:val="none"/>
        </w:rPr>
      </w:pPr>
      <w:r>
        <w:rPr>
          <w:rFonts w:hint="eastAsia" w:ascii="宋体" w:hAnsi="宋体" w:eastAsia="宋体" w:cs="宋体"/>
          <w:color w:val="auto"/>
          <w:highlight w:val="none"/>
        </w:rPr>
        <w:t>（3）所投货物性能质量；</w:t>
      </w:r>
    </w:p>
    <w:p w14:paraId="3E5D0F9C">
      <w:pPr>
        <w:rPr>
          <w:rFonts w:hint="eastAsia" w:ascii="宋体" w:hAnsi="宋体" w:eastAsia="宋体" w:cs="宋体"/>
          <w:color w:val="auto"/>
          <w:highlight w:val="none"/>
        </w:rPr>
      </w:pPr>
      <w:r>
        <w:rPr>
          <w:rFonts w:hint="eastAsia" w:ascii="宋体" w:hAnsi="宋体" w:eastAsia="宋体" w:cs="宋体"/>
          <w:color w:val="auto"/>
          <w:highlight w:val="none"/>
        </w:rPr>
        <w:t>（4）货物质量保障能力；</w:t>
      </w:r>
    </w:p>
    <w:p w14:paraId="165B4A8E">
      <w:pPr>
        <w:rPr>
          <w:rFonts w:hint="eastAsia" w:ascii="宋体" w:hAnsi="宋体" w:eastAsia="宋体" w:cs="宋体"/>
          <w:color w:val="auto"/>
          <w:highlight w:val="none"/>
          <w:lang w:eastAsia="zh-CN"/>
        </w:rPr>
      </w:pPr>
      <w:r>
        <w:rPr>
          <w:rFonts w:hint="eastAsia" w:ascii="宋体" w:hAnsi="宋体" w:eastAsia="宋体" w:cs="宋体"/>
          <w:color w:val="auto"/>
          <w:highlight w:val="none"/>
        </w:rPr>
        <w:t>（5）阀门结构及性能</w:t>
      </w:r>
      <w:r>
        <w:rPr>
          <w:rFonts w:hint="eastAsia" w:ascii="宋体" w:hAnsi="宋体" w:eastAsia="宋体" w:cs="宋体"/>
          <w:color w:val="auto"/>
          <w:highlight w:val="none"/>
          <w:lang w:eastAsia="zh-CN"/>
        </w:rPr>
        <w:t>；</w:t>
      </w:r>
    </w:p>
    <w:p w14:paraId="00EEAB30">
      <w:pPr>
        <w:rPr>
          <w:rFonts w:hint="eastAsia" w:ascii="宋体" w:hAnsi="宋体" w:eastAsia="宋体" w:cs="宋体"/>
          <w:color w:val="auto"/>
          <w:highlight w:val="none"/>
        </w:rPr>
      </w:pPr>
    </w:p>
    <w:p w14:paraId="2628CE28">
      <w:pPr>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6</w:t>
      </w:r>
      <w:r>
        <w:rPr>
          <w:rFonts w:hint="eastAsia" w:ascii="宋体" w:hAnsi="宋体" w:eastAsia="宋体" w:cs="宋体"/>
          <w:color w:val="auto"/>
          <w:highlight w:val="none"/>
          <w:lang w:eastAsia="zh-CN"/>
        </w:rPr>
        <w:t>）质量检测能力；</w:t>
      </w:r>
    </w:p>
    <w:p w14:paraId="62FE432C">
      <w:pPr>
        <w:rPr>
          <w:rFonts w:hint="eastAsia" w:ascii="宋体" w:hAnsi="宋体" w:eastAsia="宋体" w:cs="宋体"/>
          <w:color w:val="auto"/>
          <w:highlight w:val="none"/>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7</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售后服务响应、紧急供货时间承诺；</w:t>
      </w:r>
    </w:p>
    <w:p w14:paraId="28F6E44F">
      <w:pPr>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8</w:t>
      </w:r>
      <w:r>
        <w:rPr>
          <w:rFonts w:hint="eastAsia" w:ascii="宋体" w:hAnsi="宋体" w:eastAsia="宋体" w:cs="宋体"/>
          <w:color w:val="auto"/>
          <w:highlight w:val="none"/>
        </w:rPr>
        <w:t>）投标人认为有必要提供的其他材料（不作强制要求）。</w:t>
      </w:r>
    </w:p>
    <w:p w14:paraId="14EB4F24">
      <w:pPr>
        <w:rPr>
          <w:rFonts w:hint="eastAsia" w:ascii="宋体" w:hAnsi="宋体" w:eastAsia="宋体" w:cs="宋体"/>
          <w:color w:val="auto"/>
          <w:kern w:val="0"/>
          <w:szCs w:val="21"/>
          <w:highlight w:val="none"/>
          <w:lang w:val="zh-CN"/>
        </w:rPr>
      </w:pPr>
      <w:r>
        <w:rPr>
          <w:rFonts w:hint="eastAsia" w:ascii="宋体" w:hAnsi="宋体" w:eastAsia="宋体" w:cs="宋体"/>
          <w:b/>
          <w:color w:val="auto"/>
          <w:kern w:val="0"/>
          <w:szCs w:val="21"/>
          <w:highlight w:val="none"/>
        </w:rPr>
        <w:t xml:space="preserve">9.1.3 </w:t>
      </w:r>
      <w:r>
        <w:rPr>
          <w:rFonts w:hint="eastAsia" w:ascii="宋体" w:hAnsi="宋体" w:eastAsia="宋体" w:cs="宋体"/>
          <w:b/>
          <w:bCs/>
          <w:color w:val="auto"/>
          <w:kern w:val="0"/>
          <w:szCs w:val="21"/>
          <w:highlight w:val="none"/>
          <w:lang w:val="zh-CN"/>
        </w:rPr>
        <w:t>投标文件电子文件</w:t>
      </w:r>
      <w:r>
        <w:rPr>
          <w:rFonts w:hint="eastAsia" w:ascii="宋体" w:hAnsi="宋体" w:eastAsia="宋体" w:cs="宋体"/>
          <w:color w:val="auto"/>
          <w:kern w:val="0"/>
          <w:szCs w:val="21"/>
          <w:highlight w:val="none"/>
          <w:lang w:val="zh-CN"/>
        </w:rPr>
        <w:t>（详细要求见本篇第17.5款）</w:t>
      </w:r>
    </w:p>
    <w:p w14:paraId="01820DB7">
      <w:pPr>
        <w:rPr>
          <w:rFonts w:hint="eastAsia" w:ascii="宋体" w:hAnsi="宋体" w:eastAsia="宋体" w:cs="宋体"/>
          <w:color w:val="auto"/>
          <w:highlight w:val="none"/>
        </w:rPr>
      </w:pPr>
      <w:r>
        <w:rPr>
          <w:rFonts w:hint="eastAsia" w:ascii="宋体" w:hAnsi="宋体" w:eastAsia="宋体" w:cs="宋体"/>
          <w:color w:val="auto"/>
          <w:highlight w:val="none"/>
        </w:rPr>
        <w:t>（1）签字、盖章后的投标文件扫描版PDF格式电子文件。</w:t>
      </w:r>
    </w:p>
    <w:p w14:paraId="1FFAE71E">
      <w:pPr>
        <w:rPr>
          <w:rFonts w:hint="eastAsia" w:ascii="宋体" w:hAnsi="宋体" w:eastAsia="宋体" w:cs="宋体"/>
          <w:b/>
          <w:bCs/>
          <w:color w:val="auto"/>
          <w:highlight w:val="none"/>
          <w:lang w:val="zh-CN"/>
        </w:rPr>
      </w:pPr>
      <w:r>
        <w:rPr>
          <w:rFonts w:hint="eastAsia" w:ascii="宋体" w:hAnsi="宋体" w:eastAsia="宋体" w:cs="宋体"/>
          <w:b/>
          <w:bCs/>
          <w:color w:val="auto"/>
          <w:highlight w:val="none"/>
          <w:lang w:val="zh-CN"/>
        </w:rPr>
        <w:t>9.1.</w:t>
      </w:r>
      <w:r>
        <w:rPr>
          <w:rFonts w:hint="eastAsia" w:ascii="宋体" w:hAnsi="宋体" w:eastAsia="宋体" w:cs="宋体"/>
          <w:b/>
          <w:bCs/>
          <w:color w:val="auto"/>
          <w:highlight w:val="none"/>
        </w:rPr>
        <w:t>4</w:t>
      </w:r>
      <w:r>
        <w:rPr>
          <w:rFonts w:hint="eastAsia" w:ascii="宋体" w:hAnsi="宋体" w:eastAsia="宋体" w:cs="宋体"/>
          <w:b/>
          <w:bCs/>
          <w:color w:val="auto"/>
          <w:highlight w:val="none"/>
          <w:lang w:val="zh-CN"/>
        </w:rPr>
        <w:t xml:space="preserve"> 唱标信封（单独密封）</w:t>
      </w:r>
    </w:p>
    <w:p w14:paraId="2B82BD8A">
      <w:pPr>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（1）投标报价表；</w:t>
      </w:r>
    </w:p>
    <w:p w14:paraId="05B38BC2">
      <w:pPr>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w:t>
      </w:r>
      <w:r>
        <w:rPr>
          <w:rFonts w:hint="eastAsia" w:ascii="宋体" w:hAnsi="宋体" w:eastAsia="宋体" w:cs="宋体"/>
          <w:color w:val="auto"/>
          <w:highlight w:val="none"/>
        </w:rPr>
        <w:t>2</w:t>
      </w:r>
      <w:r>
        <w:rPr>
          <w:rFonts w:hint="eastAsia" w:ascii="宋体" w:hAnsi="宋体" w:eastAsia="宋体" w:cs="宋体"/>
          <w:color w:val="auto"/>
          <w:highlight w:val="none"/>
          <w:lang w:val="zh-CN"/>
        </w:rPr>
        <w:t>）投标保证金汇入情况说明（一式两份）。</w:t>
      </w:r>
    </w:p>
    <w:p w14:paraId="17CC39EC">
      <w:pPr>
        <w:ind w:left="525" w:hanging="525" w:hangingChars="25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9.2  投标人按照投标文件的组成目录编制投标文件应包括上述内容，但不限于上述内容。招标文件提供了相关格式的，严格按照招标文件的要求编制，投标文件未含格式的，投标人自行编制。投标文件编制中要求的复印件、照片可为该资料扫描件的打印件。</w:t>
      </w:r>
    </w:p>
    <w:p w14:paraId="3657ADD4">
      <w:pPr>
        <w:ind w:left="525" w:hanging="525" w:hangingChars="250"/>
        <w:rPr>
          <w:rFonts w:hint="eastAsia" w:ascii="宋体" w:hAnsi="宋体" w:eastAsia="宋体" w:cs="宋体"/>
          <w:b/>
          <w:bCs/>
          <w:color w:val="auto"/>
          <w:highlight w:val="none"/>
          <w:lang w:val="zh-CN"/>
        </w:rPr>
      </w:pPr>
      <w:r>
        <w:rPr>
          <w:rFonts w:hint="eastAsia" w:ascii="宋体" w:hAnsi="宋体" w:eastAsia="宋体" w:cs="宋体"/>
          <w:color w:val="auto"/>
          <w:highlight w:val="none"/>
          <w:lang w:val="zh-CN"/>
        </w:rPr>
        <w:t xml:space="preserve">9.3 </w:t>
      </w:r>
      <w:r>
        <w:rPr>
          <w:rFonts w:hint="eastAsia" w:ascii="宋体" w:hAnsi="宋体" w:eastAsia="宋体" w:cs="宋体"/>
          <w:b/>
          <w:bCs/>
          <w:color w:val="auto"/>
          <w:highlight w:val="none"/>
          <w:lang w:val="zh-CN"/>
        </w:rPr>
        <w:t xml:space="preserve"> </w:t>
      </w:r>
      <w:r>
        <w:rPr>
          <w:rFonts w:hint="eastAsia" w:ascii="宋体" w:hAnsi="宋体" w:eastAsia="宋体" w:cs="宋体"/>
          <w:b/>
          <w:bCs/>
          <w:color w:val="auto"/>
          <w:highlight w:val="none"/>
          <w:u w:val="single"/>
          <w:lang w:val="zh-CN"/>
        </w:rPr>
        <w:t>投标文件中相关证件、证书、合同、发票、照片等证明材料中的原始印章、签名、关键内容必须清晰、可辨认，否则视为无效证明材料；投标文件中存在外文资料的，投标人必须同时提供中文译本，且必须保证中文译本的准确，否则招标人不予认可，视为无效材料；投标人须承担因此对应造成投标无效，或评标时因无效证明材料不得分，或拒绝接受投标的风险。</w:t>
      </w:r>
    </w:p>
    <w:p w14:paraId="19C3C3D9">
      <w:pPr>
        <w:rPr>
          <w:rFonts w:hint="eastAsia" w:ascii="宋体" w:hAnsi="宋体" w:eastAsia="宋体" w:cs="宋体"/>
          <w:color w:val="auto"/>
          <w:highlight w:val="none"/>
          <w:lang w:val="zh-CN"/>
        </w:rPr>
      </w:pPr>
    </w:p>
    <w:p w14:paraId="39A725BA">
      <w:pPr>
        <w:pStyle w:val="4"/>
        <w:rPr>
          <w:rFonts w:hint="eastAsia" w:ascii="宋体" w:hAnsi="宋体" w:eastAsia="宋体" w:cs="宋体"/>
          <w:color w:val="auto"/>
          <w:highlight w:val="none"/>
          <w:lang w:val="zh-CN"/>
        </w:rPr>
      </w:pPr>
      <w:bookmarkStart w:id="210" w:name="_Toc142508324"/>
      <w:bookmarkStart w:id="211" w:name="_Toc13630"/>
      <w:bookmarkStart w:id="212" w:name="_Toc18697"/>
      <w:bookmarkStart w:id="213" w:name="_Toc8675_WPSOffice_Level3"/>
      <w:bookmarkStart w:id="214" w:name="_Toc172552154"/>
      <w:bookmarkStart w:id="215" w:name="_Toc18686"/>
      <w:bookmarkStart w:id="216" w:name="_Toc486167674"/>
      <w:bookmarkStart w:id="217" w:name="_Toc450662860"/>
      <w:bookmarkStart w:id="218" w:name="_Toc16024"/>
      <w:bookmarkStart w:id="219" w:name="_Toc178076467"/>
      <w:bookmarkStart w:id="220" w:name="_Toc176627788"/>
      <w:bookmarkStart w:id="221" w:name="_Toc29596"/>
      <w:bookmarkStart w:id="222" w:name="_Toc7800"/>
      <w:r>
        <w:rPr>
          <w:rFonts w:hint="eastAsia" w:ascii="宋体" w:hAnsi="宋体" w:eastAsia="宋体" w:cs="宋体"/>
          <w:color w:val="auto"/>
          <w:highlight w:val="none"/>
          <w:lang w:val="zh-CN"/>
        </w:rPr>
        <w:t>10 投标函</w:t>
      </w:r>
      <w:bookmarkEnd w:id="210"/>
      <w:bookmarkEnd w:id="211"/>
      <w:bookmarkEnd w:id="212"/>
      <w:bookmarkEnd w:id="213"/>
      <w:bookmarkEnd w:id="214"/>
      <w:bookmarkEnd w:id="215"/>
      <w:bookmarkEnd w:id="216"/>
      <w:bookmarkEnd w:id="217"/>
      <w:bookmarkEnd w:id="218"/>
      <w:bookmarkEnd w:id="219"/>
      <w:bookmarkEnd w:id="220"/>
      <w:bookmarkEnd w:id="221"/>
      <w:bookmarkEnd w:id="222"/>
    </w:p>
    <w:p w14:paraId="2D86C15E">
      <w:pPr>
        <w:ind w:left="315" w:leftChars="15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投标人应完整填写投标文件格式中规定的投标函。</w:t>
      </w:r>
    </w:p>
    <w:p w14:paraId="32A15669">
      <w:pPr>
        <w:rPr>
          <w:rFonts w:hint="eastAsia" w:ascii="宋体" w:hAnsi="宋体" w:eastAsia="宋体" w:cs="宋体"/>
          <w:color w:val="auto"/>
          <w:highlight w:val="none"/>
          <w:lang w:val="zh-CN"/>
        </w:rPr>
      </w:pPr>
    </w:p>
    <w:p w14:paraId="6F69B1E4">
      <w:pPr>
        <w:pStyle w:val="4"/>
        <w:rPr>
          <w:rFonts w:hint="eastAsia" w:ascii="宋体" w:hAnsi="宋体" w:eastAsia="宋体" w:cs="宋体"/>
          <w:color w:val="auto"/>
          <w:highlight w:val="none"/>
          <w:lang w:val="zh-CN"/>
        </w:rPr>
      </w:pPr>
      <w:bookmarkStart w:id="223" w:name="_Toc176627789"/>
      <w:bookmarkStart w:id="224" w:name="_Toc11090"/>
      <w:bookmarkStart w:id="225" w:name="_Toc172552155"/>
      <w:bookmarkStart w:id="226" w:name="_Toc10242"/>
      <w:bookmarkStart w:id="227" w:name="_Toc4944"/>
      <w:bookmarkStart w:id="228" w:name="_Toc178076468"/>
      <w:bookmarkStart w:id="229" w:name="_Toc24135"/>
      <w:bookmarkStart w:id="230" w:name="_Toc142508325"/>
      <w:bookmarkStart w:id="231" w:name="_Toc486167675"/>
      <w:bookmarkStart w:id="232" w:name="_Toc20475"/>
      <w:bookmarkStart w:id="233" w:name="_Toc450662861"/>
      <w:bookmarkStart w:id="234" w:name="_Toc4385_WPSOffice_Level3"/>
      <w:bookmarkStart w:id="235" w:name="_Toc28822"/>
      <w:r>
        <w:rPr>
          <w:rFonts w:hint="eastAsia" w:ascii="宋体" w:hAnsi="宋体" w:eastAsia="宋体" w:cs="宋体"/>
          <w:color w:val="auto"/>
          <w:highlight w:val="none"/>
          <w:lang w:val="zh-CN"/>
        </w:rPr>
        <w:t>11 投标报价</w:t>
      </w:r>
      <w:bookmarkEnd w:id="223"/>
      <w:bookmarkEnd w:id="224"/>
      <w:bookmarkEnd w:id="225"/>
      <w:bookmarkEnd w:id="226"/>
      <w:bookmarkEnd w:id="227"/>
      <w:bookmarkEnd w:id="228"/>
      <w:bookmarkEnd w:id="229"/>
      <w:bookmarkEnd w:id="230"/>
      <w:bookmarkEnd w:id="231"/>
      <w:bookmarkEnd w:id="232"/>
      <w:bookmarkEnd w:id="233"/>
      <w:bookmarkEnd w:id="234"/>
      <w:bookmarkEnd w:id="235"/>
    </w:p>
    <w:p w14:paraId="2098D565">
      <w:pPr>
        <w:ind w:left="525" w:hanging="525" w:hangingChars="250"/>
        <w:rPr>
          <w:rFonts w:hint="eastAsia" w:ascii="宋体" w:hAnsi="宋体" w:eastAsia="宋体" w:cs="宋体"/>
          <w:b/>
          <w:bCs/>
          <w:color w:val="auto"/>
          <w:highlight w:val="none"/>
          <w:u w:val="none"/>
          <w:lang w:val="zh-CN"/>
        </w:rPr>
      </w:pPr>
      <w:r>
        <w:rPr>
          <w:rFonts w:hint="eastAsia" w:ascii="宋体" w:hAnsi="宋体" w:eastAsia="宋体" w:cs="宋体"/>
          <w:color w:val="auto"/>
          <w:highlight w:val="none"/>
          <w:lang w:val="zh-CN"/>
        </w:rPr>
        <w:t>11.1</w:t>
      </w:r>
      <w:r>
        <w:rPr>
          <w:rFonts w:hint="eastAsia" w:ascii="宋体" w:hAnsi="宋体" w:eastAsia="宋体" w:cs="宋体"/>
          <w:color w:val="auto"/>
          <w:highlight w:val="none"/>
          <w:u w:val="none"/>
          <w:lang w:val="zh-CN"/>
        </w:rPr>
        <w:t xml:space="preserve"> </w:t>
      </w:r>
      <w:r>
        <w:rPr>
          <w:rFonts w:hint="eastAsia" w:ascii="宋体" w:hAnsi="宋体" w:eastAsia="宋体" w:cs="宋体"/>
          <w:b/>
          <w:bCs/>
          <w:color w:val="auto"/>
          <w:highlight w:val="none"/>
          <w:u w:val="none"/>
          <w:lang w:val="zh-CN"/>
        </w:rPr>
        <w:t>本项目只允许有一个报价价格，任何有选择的或不是固定价的投标报价将不予接受，作为非实质性响应投标而予以拒绝。投标人不得以低于企业自身成本的价格竞投。</w:t>
      </w:r>
    </w:p>
    <w:p w14:paraId="1F824A2B">
      <w:pPr>
        <w:ind w:left="525" w:leftChars="250" w:firstLine="422" w:firstLineChars="200"/>
        <w:rPr>
          <w:rFonts w:hint="eastAsia" w:ascii="宋体" w:hAnsi="宋体" w:eastAsia="宋体" w:cs="宋体"/>
          <w:b/>
          <w:bCs/>
          <w:color w:val="auto"/>
          <w:highlight w:val="none"/>
          <w:u w:val="none"/>
          <w:lang w:val="zh-CN"/>
        </w:rPr>
      </w:pPr>
      <w:r>
        <w:rPr>
          <w:rFonts w:hint="eastAsia" w:ascii="宋体" w:hAnsi="宋体" w:eastAsia="宋体" w:cs="宋体"/>
          <w:b/>
          <w:bCs/>
          <w:color w:val="auto"/>
          <w:highlight w:val="none"/>
          <w:u w:val="none"/>
          <w:lang w:val="zh-CN"/>
        </w:rPr>
        <w:t>若投标人出现超低报价，有可能影响服务质量和不能诚信履约的，评标委员会将要求该投标人作出书面说明并提供相关证明材料，以确定投标人是否以低于企业成本价报价。若投标人不能合理说明或不能提供相关证明材料的，评标委员会将认定其投标报价低于成本，同时否决其投标。</w:t>
      </w:r>
    </w:p>
    <w:p w14:paraId="3EA02424">
      <w:pPr>
        <w:ind w:left="525" w:leftChars="250" w:firstLine="422" w:firstLineChars="200"/>
        <w:rPr>
          <w:rFonts w:hint="eastAsia" w:ascii="宋体" w:hAnsi="宋体" w:eastAsia="宋体" w:cs="宋体"/>
          <w:color w:val="auto"/>
          <w:highlight w:val="none"/>
          <w:u w:val="none"/>
          <w:lang w:val="zh-CN"/>
        </w:rPr>
      </w:pPr>
      <w:r>
        <w:rPr>
          <w:rFonts w:hint="eastAsia" w:ascii="宋体" w:hAnsi="宋体" w:eastAsia="宋体" w:cs="宋体"/>
          <w:b/>
          <w:bCs/>
          <w:color w:val="auto"/>
          <w:highlight w:val="none"/>
          <w:u w:val="none"/>
          <w:lang w:val="zh-CN"/>
        </w:rPr>
        <w:t>对是否低于企业成本价报价的事宜有争议的投标文件，评标委员会成员将以记名方式表决，根据少数服从多数的原则，获多数表决通过的投标人才有资格进入下一阶段的评审，否则将按无效投标处理。</w:t>
      </w:r>
    </w:p>
    <w:p w14:paraId="03F779AC">
      <w:pPr>
        <w:ind w:left="525" w:hanging="525" w:hangingChars="250"/>
        <w:rPr>
          <w:rFonts w:hint="eastAsia" w:ascii="宋体" w:hAnsi="宋体" w:eastAsia="宋体" w:cs="宋体"/>
          <w:color w:val="auto"/>
          <w:highlight w:val="none"/>
        </w:rPr>
      </w:pPr>
      <w:r>
        <w:rPr>
          <w:rFonts w:hint="eastAsia" w:ascii="宋体" w:hAnsi="宋体" w:eastAsia="宋体" w:cs="宋体"/>
          <w:color w:val="auto"/>
          <w:highlight w:val="none"/>
          <w:u w:val="none"/>
          <w:lang w:val="zh-CN"/>
        </w:rPr>
        <w:t>11.2</w:t>
      </w:r>
      <w:r>
        <w:rPr>
          <w:rFonts w:hint="eastAsia" w:ascii="宋体" w:hAnsi="宋体" w:eastAsia="宋体" w:cs="宋体"/>
          <w:color w:val="auto"/>
          <w:highlight w:val="none"/>
          <w:u w:val="none"/>
          <w:lang w:val="zh-CN"/>
        </w:rPr>
        <w:tab/>
      </w:r>
      <w:r>
        <w:rPr>
          <w:rFonts w:hint="eastAsia" w:ascii="宋体" w:hAnsi="宋体" w:eastAsia="宋体" w:cs="宋体"/>
          <w:b/>
          <w:bCs/>
          <w:color w:val="auto"/>
          <w:highlight w:val="none"/>
          <w:u w:val="none"/>
          <w:lang w:val="zh-CN"/>
        </w:rPr>
        <w:t>本项目的投标报价采用统一折扣系数报价，合同履约过程中，采购清单中的</w:t>
      </w:r>
      <w:r>
        <w:rPr>
          <w:rFonts w:hint="eastAsia" w:ascii="宋体" w:hAnsi="宋体" w:eastAsia="宋体" w:cs="宋体"/>
          <w:b/>
          <w:bCs/>
          <w:color w:val="auto"/>
          <w:highlight w:val="none"/>
          <w:u w:val="none"/>
          <w:lang w:val="en-US" w:eastAsia="zh-CN"/>
        </w:rPr>
        <w:t>阀门</w:t>
      </w:r>
      <w:r>
        <w:rPr>
          <w:rFonts w:hint="eastAsia" w:ascii="宋体" w:hAnsi="宋体" w:eastAsia="宋体" w:cs="宋体"/>
          <w:b/>
          <w:bCs/>
          <w:color w:val="auto"/>
          <w:highlight w:val="none"/>
          <w:u w:val="none"/>
          <w:lang w:val="zh-CN"/>
        </w:rPr>
        <w:t>不含税中标综合单价按以下方式计算：不含税中标综合单价=不含税预算综合单价×中标折扣系数，以实际供货数量进行结算，不含税中标综合单价出现小数点，保留小数点后两位，从小数点后第3位四舍五入。</w:t>
      </w:r>
      <w:r>
        <w:rPr>
          <w:rFonts w:hint="eastAsia" w:ascii="宋体" w:hAnsi="宋体" w:eastAsia="宋体" w:cs="宋体"/>
          <w:b/>
          <w:bCs/>
          <w:color w:val="auto"/>
          <w:highlight w:val="none"/>
          <w:u w:val="single"/>
          <w:lang w:val="zh-CN"/>
        </w:rPr>
        <w:t>本项目的价格为不含税价，即为</w:t>
      </w:r>
      <w:r>
        <w:rPr>
          <w:rFonts w:hint="eastAsia" w:cs="宋体"/>
          <w:b/>
          <w:bCs/>
          <w:color w:val="auto"/>
          <w:highlight w:val="none"/>
          <w:lang w:eastAsia="zh-CN"/>
        </w:rPr>
        <w:t>《中华人民共和国增值税法》</w:t>
      </w:r>
      <w:r>
        <w:rPr>
          <w:rFonts w:hint="eastAsia" w:ascii="宋体" w:hAnsi="宋体" w:eastAsia="宋体" w:cs="宋体"/>
          <w:b/>
          <w:bCs/>
          <w:color w:val="auto"/>
          <w:highlight w:val="none"/>
          <w:u w:val="single"/>
          <w:lang w:val="zh-CN"/>
        </w:rPr>
        <w:t>规定的销售额。</w:t>
      </w:r>
      <w:r>
        <w:rPr>
          <w:rFonts w:hint="eastAsia" w:ascii="宋体" w:hAnsi="宋体" w:eastAsia="宋体" w:cs="宋体"/>
          <w:b w:val="0"/>
          <w:bCs w:val="0"/>
          <w:color w:val="auto"/>
          <w:highlight w:val="none"/>
          <w:u w:val="none"/>
          <w:lang w:val="zh-CN"/>
        </w:rPr>
        <w:t>本招标文件所称的不含税价和不含税暂定合同价是指不含本采购项目投标人的销项税额，包含了投标人完成合同义务（含投标人代缴代扣、分包及委外服务、</w:t>
      </w:r>
      <w:r>
        <w:rPr>
          <w:rFonts w:hint="eastAsia" w:ascii="宋体" w:hAnsi="宋体" w:eastAsia="宋体" w:cs="宋体"/>
          <w:color w:val="auto"/>
          <w:highlight w:val="none"/>
          <w:lang w:val="en-US" w:eastAsia="zh-CN"/>
        </w:rPr>
        <w:t>技术指导、</w:t>
      </w:r>
      <w:r>
        <w:rPr>
          <w:rFonts w:hint="eastAsia" w:ascii="宋体" w:hAnsi="宋体" w:eastAsia="宋体" w:cs="宋体"/>
          <w:b w:val="0"/>
          <w:bCs w:val="0"/>
          <w:color w:val="auto"/>
          <w:highlight w:val="none"/>
          <w:u w:val="none"/>
          <w:lang w:val="zh-CN"/>
        </w:rPr>
        <w:t>采购货物等所产生的价税）的其他全部费用。本采购项目的销项税额由招标人承担，不计入价格。供货价格均包括但不限于以下内容涉及的费用</w:t>
      </w:r>
      <w:r>
        <w:rPr>
          <w:rFonts w:hint="eastAsia" w:ascii="宋体" w:hAnsi="宋体" w:eastAsia="宋体" w:cs="宋体"/>
          <w:b w:val="0"/>
          <w:bCs w:val="0"/>
          <w:color w:val="auto"/>
          <w:highlight w:val="none"/>
          <w:u w:val="none"/>
        </w:rPr>
        <w:t>：</w:t>
      </w:r>
      <w:r>
        <w:rPr>
          <w:rFonts w:hint="eastAsia" w:ascii="宋体" w:hAnsi="宋体" w:eastAsia="宋体" w:cs="宋体"/>
          <w:color w:val="auto"/>
          <w:highlight w:val="none"/>
        </w:rPr>
        <w:t xml:space="preserve"> </w:t>
      </w:r>
    </w:p>
    <w:p w14:paraId="36FD9911">
      <w:pPr>
        <w:ind w:left="525" w:hanging="525" w:hangingChars="250"/>
        <w:rPr>
          <w:rFonts w:hint="eastAsia" w:ascii="宋体" w:hAnsi="宋体" w:eastAsia="宋体" w:cs="宋体"/>
          <w:color w:val="auto"/>
          <w:highlight w:val="none"/>
        </w:rPr>
      </w:pPr>
      <w:r>
        <w:rPr>
          <w:rFonts w:hint="eastAsia" w:ascii="宋体" w:hAnsi="宋体" w:eastAsia="宋体" w:cs="宋体"/>
          <w:color w:val="auto"/>
          <w:highlight w:val="none"/>
        </w:rPr>
        <w:t>（1）货物及其配备的附件、备品备件的采购、制造、检测、试验、送货、装卸（含二次搬运至招标人指定交货或仓储地点）、人工费、材料费、包装费、运费、保险、现场仓储等相关服务的全部费用；</w:t>
      </w:r>
    </w:p>
    <w:p w14:paraId="1978A868">
      <w:pPr>
        <w:ind w:left="525" w:hanging="525" w:hangingChars="250"/>
        <w:rPr>
          <w:rFonts w:hint="eastAsia" w:ascii="宋体" w:hAnsi="宋体" w:eastAsia="宋体" w:cs="宋体"/>
          <w:color w:val="auto"/>
          <w:highlight w:val="none"/>
        </w:rPr>
      </w:pPr>
      <w:r>
        <w:rPr>
          <w:rFonts w:hint="eastAsia" w:ascii="宋体" w:hAnsi="宋体" w:eastAsia="宋体" w:cs="宋体"/>
          <w:color w:val="auto"/>
          <w:highlight w:val="none"/>
        </w:rPr>
        <w:t>（2）免费的质保服务，包括但不限于免费上门提供售后服务</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质量问题处理或更换失效产品；</w:t>
      </w:r>
    </w:p>
    <w:p w14:paraId="57850632">
      <w:pPr>
        <w:ind w:left="525" w:hanging="525" w:hangingChars="25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）合理利润、</w:t>
      </w:r>
      <w:r>
        <w:rPr>
          <w:rFonts w:hint="eastAsia" w:ascii="宋体" w:hAnsi="宋体" w:eastAsia="宋体" w:cs="宋体"/>
          <w:color w:val="auto"/>
          <w:highlight w:val="none"/>
          <w:lang w:eastAsia="zh-CN"/>
        </w:rPr>
        <w:t>投标人</w:t>
      </w:r>
      <w:r>
        <w:rPr>
          <w:rFonts w:hint="eastAsia" w:ascii="宋体" w:hAnsi="宋体" w:eastAsia="宋体" w:cs="宋体"/>
          <w:color w:val="auto"/>
          <w:highlight w:val="none"/>
        </w:rPr>
        <w:t>销项税额以外的税费</w:t>
      </w:r>
      <w:r>
        <w:rPr>
          <w:rFonts w:hint="eastAsia" w:ascii="宋体" w:hAnsi="宋体" w:eastAsia="宋体" w:cs="宋体"/>
          <w:color w:val="auto"/>
          <w:highlight w:val="none"/>
          <w:lang w:eastAsia="zh-CN"/>
        </w:rPr>
        <w:t>、中标服务费</w:t>
      </w:r>
      <w:r>
        <w:rPr>
          <w:rFonts w:hint="eastAsia" w:ascii="宋体" w:hAnsi="宋体" w:eastAsia="宋体" w:cs="宋体"/>
          <w:color w:val="auto"/>
          <w:highlight w:val="none"/>
        </w:rPr>
        <w:t>等；</w:t>
      </w:r>
    </w:p>
    <w:p w14:paraId="0A461129">
      <w:pPr>
        <w:ind w:left="525" w:hanging="525" w:hangingChars="250"/>
        <w:rPr>
          <w:rFonts w:hint="eastAsia" w:ascii="宋体" w:hAnsi="宋体" w:eastAsia="宋体" w:cs="宋体"/>
          <w:color w:val="auto"/>
          <w:highlight w:val="none"/>
          <w:lang w:eastAsia="zh-CN"/>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rPr>
        <w:t>）法律法规、商业公认、招标文件规定由投标人承担的其他直接及间接费用</w:t>
      </w:r>
      <w:r>
        <w:rPr>
          <w:rFonts w:hint="eastAsia" w:cs="宋体"/>
          <w:color w:val="auto"/>
          <w:highlight w:val="none"/>
          <w:lang w:eastAsia="zh-CN"/>
        </w:rPr>
        <w:t>；</w:t>
      </w:r>
    </w:p>
    <w:p w14:paraId="5FED595C">
      <w:pPr>
        <w:ind w:left="525" w:hanging="525" w:hangingChars="250"/>
        <w:rPr>
          <w:rFonts w:hint="eastAsia"/>
          <w:color w:val="auto"/>
          <w:highlight w:val="none"/>
        </w:rPr>
      </w:pPr>
      <w:r>
        <w:rPr>
          <w:rFonts w:hint="eastAsia"/>
          <w:color w:val="auto"/>
          <w:highlight w:val="none"/>
          <w:lang w:eastAsia="zh-CN"/>
        </w:rPr>
        <w:t>（</w:t>
      </w:r>
      <w:r>
        <w:rPr>
          <w:rFonts w:hint="eastAsia"/>
          <w:color w:val="auto"/>
          <w:highlight w:val="none"/>
          <w:lang w:val="en-US" w:eastAsia="zh-CN"/>
        </w:rPr>
        <w:t>5</w:t>
      </w:r>
      <w:r>
        <w:rPr>
          <w:rFonts w:hint="eastAsia"/>
          <w:color w:val="auto"/>
          <w:highlight w:val="none"/>
          <w:lang w:eastAsia="zh-CN"/>
        </w:rPr>
        <w:t>）</w:t>
      </w:r>
      <w:r>
        <w:rPr>
          <w:rFonts w:hint="eastAsia"/>
          <w:color w:val="auto"/>
          <w:highlight w:val="none"/>
        </w:rPr>
        <w:t>货物验收合格前发生的安全事故所产生的一切费用</w:t>
      </w:r>
      <w:r>
        <w:rPr>
          <w:rFonts w:hint="eastAsia"/>
          <w:color w:val="auto"/>
          <w:highlight w:val="none"/>
          <w:lang w:val="en-US" w:eastAsia="zh-CN"/>
        </w:rPr>
        <w:t>。</w:t>
      </w:r>
    </w:p>
    <w:p w14:paraId="278F31DD">
      <w:pPr>
        <w:ind w:left="525" w:hanging="525" w:hangingChars="250"/>
        <w:rPr>
          <w:rFonts w:hint="eastAsia" w:ascii="宋体" w:hAnsi="宋体" w:eastAsia="宋体" w:cs="宋体"/>
          <w:color w:val="auto"/>
          <w:highlight w:val="none"/>
          <w:lang w:val="zh-CN"/>
        </w:rPr>
      </w:pPr>
      <w:r>
        <w:rPr>
          <w:rFonts w:hint="eastAsia" w:ascii="宋体" w:hAnsi="宋体" w:eastAsia="宋体" w:cs="宋体"/>
          <w:color w:val="auto"/>
          <w:highlight w:val="none"/>
        </w:rPr>
        <w:t xml:space="preserve">11.3 </w:t>
      </w:r>
      <w:r>
        <w:rPr>
          <w:rFonts w:hint="eastAsia" w:ascii="宋体" w:hAnsi="宋体" w:eastAsia="宋体" w:cs="宋体"/>
          <w:color w:val="auto"/>
          <w:highlight w:val="none"/>
          <w:lang w:val="zh-CN"/>
        </w:rPr>
        <w:t>投标人根据第11.2款所报的价格分项仅供评标委员会评审时使用；在任何情况下不限制投标人以不同的条件中标的权利。</w:t>
      </w:r>
    </w:p>
    <w:p w14:paraId="004AE80B">
      <w:pPr>
        <w:ind w:left="525" w:hanging="525" w:hangingChars="25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 xml:space="preserve">11.4 在合同期间，投标报价不随国家政策或法规、标准、市场因素及采购数量的变化而进行调整。 </w:t>
      </w:r>
    </w:p>
    <w:p w14:paraId="791BDBB4">
      <w:pPr>
        <w:ind w:left="525" w:hanging="527" w:hangingChars="250"/>
        <w:rPr>
          <w:rFonts w:hint="eastAsia" w:ascii="宋体" w:hAnsi="宋体" w:eastAsia="宋体" w:cs="宋体"/>
          <w:b/>
          <w:bCs/>
          <w:color w:val="auto"/>
          <w:highlight w:val="none"/>
          <w:lang w:val="zh-CN"/>
        </w:rPr>
      </w:pPr>
      <w:r>
        <w:rPr>
          <w:rFonts w:hint="eastAsia" w:ascii="宋体" w:hAnsi="宋体" w:eastAsia="宋体" w:cs="宋体"/>
          <w:b/>
          <w:bCs/>
          <w:color w:val="auto"/>
          <w:highlight w:val="none"/>
          <w:lang w:val="zh-CN"/>
        </w:rPr>
        <w:t>11.5 合同项下，招标人需要的货物及有关服务所需的费用，投标人都应计入投标报价总价。</w:t>
      </w:r>
    </w:p>
    <w:p w14:paraId="6A830D73">
      <w:pPr>
        <w:ind w:left="525" w:hanging="527" w:hangingChars="250"/>
        <w:rPr>
          <w:rFonts w:hint="eastAsia" w:ascii="宋体" w:hAnsi="宋体" w:eastAsia="宋体" w:cs="宋体"/>
          <w:b/>
          <w:bCs/>
          <w:color w:val="auto"/>
          <w:szCs w:val="21"/>
          <w:highlight w:val="none"/>
          <w:lang w:val="zh-CN"/>
        </w:rPr>
      </w:pPr>
      <w:r>
        <w:rPr>
          <w:rFonts w:hint="eastAsia" w:ascii="宋体" w:hAnsi="宋体" w:eastAsia="宋体" w:cs="宋体"/>
          <w:b/>
          <w:bCs/>
          <w:color w:val="auto"/>
          <w:highlight w:val="none"/>
          <w:lang w:val="zh-CN"/>
        </w:rPr>
        <w:t xml:space="preserve">11.6 </w:t>
      </w:r>
      <w:r>
        <w:rPr>
          <w:rFonts w:hint="eastAsia" w:ascii="宋体" w:hAnsi="宋体" w:eastAsia="宋体" w:cs="宋体"/>
          <w:b/>
          <w:bCs/>
          <w:color w:val="auto"/>
          <w:highlight w:val="none"/>
          <w:u w:val="single"/>
          <w:lang w:val="zh-CN"/>
        </w:rPr>
        <w:t>投标人的折扣系数报价不得超过1.00，且不能为0.00或负数，投标人未按招标文件要求进行折扣系数报价的，该投标人的投标文件将被视为无效投标。</w:t>
      </w:r>
      <w:r>
        <w:rPr>
          <w:rFonts w:hint="eastAsia" w:ascii="宋体" w:hAnsi="宋体" w:eastAsia="宋体" w:cs="宋体"/>
          <w:b/>
          <w:bCs/>
          <w:color w:val="auto"/>
          <w:highlight w:val="none"/>
          <w:u w:val="single"/>
          <w:lang w:val="en-US" w:eastAsia="zh-CN"/>
        </w:rPr>
        <w:t>折扣系数报价需保留小数点后两位，否则评标委员会按从小数点后第3位四舍五入的方式进行修正为保留小数点后两位，投标人须接受被修正后的报价（例：如投标折扣系数为0.789，则被修正为0.79；如投标折扣系数为0.7，则被修正为0.70）。</w:t>
      </w:r>
      <w:r>
        <w:rPr>
          <w:rFonts w:hint="eastAsia" w:ascii="宋体" w:hAnsi="宋体" w:eastAsia="宋体" w:cs="宋体"/>
          <w:b/>
          <w:bCs/>
          <w:color w:val="auto"/>
          <w:highlight w:val="none"/>
          <w:u w:val="single"/>
          <w:lang w:val="zh-CN"/>
        </w:rPr>
        <w:t>本项目的</w:t>
      </w:r>
      <w:r>
        <w:rPr>
          <w:rFonts w:hint="eastAsia" w:cs="宋体"/>
          <w:b/>
          <w:bCs/>
          <w:color w:val="auto"/>
          <w:highlight w:val="none"/>
          <w:u w:val="single"/>
          <w:lang w:val="en-US" w:eastAsia="zh-CN"/>
        </w:rPr>
        <w:t>不</w:t>
      </w:r>
      <w:r>
        <w:rPr>
          <w:rFonts w:hint="eastAsia" w:ascii="宋体" w:hAnsi="宋体" w:eastAsia="宋体" w:cs="宋体"/>
          <w:b/>
          <w:bCs/>
          <w:color w:val="auto"/>
          <w:highlight w:val="none"/>
          <w:u w:val="single"/>
          <w:lang w:val="zh-CN"/>
        </w:rPr>
        <w:t>含税暂定采购金额为</w:t>
      </w:r>
      <w:r>
        <w:rPr>
          <w:rFonts w:hint="eastAsia" w:ascii="宋体" w:hAnsi="宋体" w:eastAsia="宋体" w:cs="宋体"/>
          <w:b/>
          <w:bCs/>
          <w:color w:val="auto"/>
          <w:kern w:val="2"/>
          <w:sz w:val="21"/>
          <w:szCs w:val="22"/>
          <w:highlight w:val="none"/>
          <w:u w:val="single"/>
          <w:lang w:val="zh-CN" w:eastAsia="zh-CN" w:bidi="ar-SA"/>
        </w:rPr>
        <w:t>2</w:t>
      </w:r>
      <w:r>
        <w:rPr>
          <w:rFonts w:hint="eastAsia" w:cs="宋体"/>
          <w:b/>
          <w:bCs/>
          <w:color w:val="auto"/>
          <w:kern w:val="2"/>
          <w:sz w:val="21"/>
          <w:szCs w:val="22"/>
          <w:highlight w:val="none"/>
          <w:u w:val="single"/>
          <w:lang w:val="en-US" w:eastAsia="zh-CN" w:bidi="ar-SA"/>
        </w:rPr>
        <w:t>,</w:t>
      </w:r>
      <w:r>
        <w:rPr>
          <w:rFonts w:hint="eastAsia" w:ascii="宋体" w:hAnsi="宋体" w:eastAsia="宋体" w:cs="宋体"/>
          <w:b/>
          <w:bCs/>
          <w:color w:val="auto"/>
          <w:kern w:val="2"/>
          <w:sz w:val="21"/>
          <w:szCs w:val="22"/>
          <w:highlight w:val="none"/>
          <w:u w:val="single"/>
          <w:lang w:val="zh-CN" w:eastAsia="zh-CN" w:bidi="ar-SA"/>
        </w:rPr>
        <w:t>737</w:t>
      </w:r>
      <w:r>
        <w:rPr>
          <w:rFonts w:hint="eastAsia" w:cs="宋体"/>
          <w:b/>
          <w:bCs/>
          <w:color w:val="auto"/>
          <w:kern w:val="2"/>
          <w:sz w:val="21"/>
          <w:szCs w:val="22"/>
          <w:highlight w:val="none"/>
          <w:u w:val="single"/>
          <w:lang w:val="en-US" w:eastAsia="zh-CN" w:bidi="ar-SA"/>
        </w:rPr>
        <w:t>,</w:t>
      </w:r>
      <w:r>
        <w:rPr>
          <w:rFonts w:hint="eastAsia" w:ascii="宋体" w:hAnsi="宋体" w:eastAsia="宋体" w:cs="宋体"/>
          <w:b/>
          <w:bCs/>
          <w:color w:val="auto"/>
          <w:kern w:val="2"/>
          <w:sz w:val="21"/>
          <w:szCs w:val="22"/>
          <w:highlight w:val="none"/>
          <w:u w:val="single"/>
          <w:lang w:val="zh-CN" w:eastAsia="zh-CN" w:bidi="ar-SA"/>
        </w:rPr>
        <w:t>924.33</w:t>
      </w:r>
      <w:r>
        <w:rPr>
          <w:rFonts w:hint="eastAsia" w:ascii="宋体" w:hAnsi="宋体" w:eastAsia="宋体" w:cs="宋体"/>
          <w:b/>
          <w:bCs/>
          <w:color w:val="auto"/>
          <w:highlight w:val="none"/>
          <w:u w:val="single"/>
          <w:lang w:val="zh-CN"/>
        </w:rPr>
        <w:t>元（大写：人民币</w:t>
      </w:r>
      <w:r>
        <w:rPr>
          <w:rFonts w:hint="eastAsia" w:cs="宋体"/>
          <w:b/>
          <w:bCs/>
          <w:color w:val="auto"/>
          <w:highlight w:val="none"/>
          <w:u w:val="single"/>
          <w:lang w:val="en-US" w:eastAsia="zh-CN"/>
        </w:rPr>
        <w:t>贰佰柒拾叁万柒仟玖佰贰拾肆元叁角叁分</w:t>
      </w:r>
      <w:r>
        <w:rPr>
          <w:rFonts w:hint="eastAsia" w:ascii="宋体" w:hAnsi="宋体" w:eastAsia="宋体" w:cs="宋体"/>
          <w:b/>
          <w:bCs/>
          <w:color w:val="auto"/>
          <w:highlight w:val="none"/>
          <w:u w:val="single"/>
          <w:lang w:val="zh-CN"/>
        </w:rPr>
        <w:t>）</w:t>
      </w:r>
      <w:r>
        <w:rPr>
          <w:rFonts w:hint="eastAsia" w:ascii="宋体" w:hAnsi="宋体" w:eastAsia="宋体" w:cs="宋体"/>
          <w:b/>
          <w:bCs/>
          <w:color w:val="auto"/>
          <w:szCs w:val="21"/>
          <w:highlight w:val="none"/>
          <w:u w:val="single"/>
          <w:lang w:val="zh-CN"/>
        </w:rPr>
        <w:t>。</w:t>
      </w:r>
    </w:p>
    <w:p w14:paraId="7A14AD09">
      <w:pPr>
        <w:rPr>
          <w:rFonts w:hint="eastAsia" w:ascii="宋体" w:hAnsi="宋体" w:eastAsia="宋体" w:cs="宋体"/>
          <w:color w:val="auto"/>
          <w:highlight w:val="none"/>
          <w:lang w:val="zh-CN"/>
        </w:rPr>
      </w:pPr>
    </w:p>
    <w:p w14:paraId="357B91BD">
      <w:pPr>
        <w:pStyle w:val="4"/>
        <w:rPr>
          <w:rFonts w:hint="eastAsia" w:ascii="宋体" w:hAnsi="宋体" w:eastAsia="宋体" w:cs="宋体"/>
          <w:color w:val="auto"/>
          <w:highlight w:val="none"/>
          <w:lang w:val="zh-CN"/>
        </w:rPr>
      </w:pPr>
      <w:bookmarkStart w:id="236" w:name="_Toc14068"/>
      <w:bookmarkStart w:id="237" w:name="_Toc7127"/>
      <w:bookmarkStart w:id="238" w:name="_Toc22189"/>
      <w:bookmarkStart w:id="239" w:name="_Toc30042_WPSOffice_Level3"/>
      <w:bookmarkStart w:id="240" w:name="_Toc12196"/>
      <w:bookmarkStart w:id="241" w:name="_Toc486167676"/>
      <w:bookmarkStart w:id="242" w:name="_Toc3675"/>
      <w:bookmarkStart w:id="243" w:name="_Toc172552156"/>
      <w:bookmarkStart w:id="244" w:name="_Toc176627790"/>
      <w:bookmarkStart w:id="245" w:name="_Toc450662862"/>
      <w:bookmarkStart w:id="246" w:name="_Toc29568"/>
      <w:bookmarkStart w:id="247" w:name="_Toc178076469"/>
      <w:bookmarkStart w:id="248" w:name="_Toc142508326"/>
      <w:r>
        <w:rPr>
          <w:rFonts w:hint="eastAsia" w:ascii="宋体" w:hAnsi="宋体" w:eastAsia="宋体" w:cs="宋体"/>
          <w:color w:val="auto"/>
          <w:highlight w:val="none"/>
          <w:lang w:val="zh-CN"/>
        </w:rPr>
        <w:t>12 投标报价货币</w:t>
      </w:r>
      <w:bookmarkEnd w:id="236"/>
      <w:bookmarkEnd w:id="237"/>
      <w:bookmarkEnd w:id="238"/>
      <w:bookmarkEnd w:id="239"/>
      <w:bookmarkEnd w:id="240"/>
      <w:bookmarkEnd w:id="241"/>
      <w:bookmarkEnd w:id="242"/>
      <w:bookmarkEnd w:id="243"/>
      <w:bookmarkEnd w:id="244"/>
      <w:bookmarkEnd w:id="245"/>
      <w:bookmarkEnd w:id="246"/>
      <w:bookmarkEnd w:id="247"/>
      <w:bookmarkEnd w:id="248"/>
    </w:p>
    <w:p w14:paraId="43494290">
      <w:pPr>
        <w:ind w:left="315" w:leftChars="150"/>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投标报价表上的价格须以人民币报价，以其</w:t>
      </w:r>
      <w:r>
        <w:rPr>
          <w:rFonts w:hint="eastAsia" w:ascii="宋体" w:hAnsi="宋体" w:eastAsia="宋体" w:cs="宋体"/>
          <w:b/>
          <w:color w:val="auto"/>
          <w:szCs w:val="21"/>
          <w:highlight w:val="none"/>
        </w:rPr>
        <w:t>他</w:t>
      </w:r>
      <w:r>
        <w:rPr>
          <w:rFonts w:hint="eastAsia" w:ascii="宋体" w:hAnsi="宋体" w:eastAsia="宋体" w:cs="宋体"/>
          <w:b/>
          <w:color w:val="auto"/>
          <w:szCs w:val="21"/>
          <w:highlight w:val="none"/>
          <w:lang w:val="zh-CN"/>
        </w:rPr>
        <w:t>货币标价的投标将予以拒绝。</w:t>
      </w:r>
    </w:p>
    <w:p w14:paraId="785DB7B0">
      <w:pPr>
        <w:rPr>
          <w:rFonts w:hint="eastAsia" w:ascii="宋体" w:hAnsi="宋体" w:eastAsia="宋体" w:cs="宋体"/>
          <w:color w:val="auto"/>
          <w:highlight w:val="none"/>
        </w:rPr>
      </w:pPr>
    </w:p>
    <w:p w14:paraId="57252BB2">
      <w:pPr>
        <w:tabs>
          <w:tab w:val="left" w:pos="570"/>
        </w:tabs>
        <w:ind w:left="525" w:hanging="525" w:hangingChars="250"/>
        <w:jc w:val="left"/>
        <w:outlineLvl w:val="2"/>
        <w:rPr>
          <w:rFonts w:hint="eastAsia" w:ascii="宋体" w:hAnsi="宋体" w:eastAsia="宋体" w:cs="宋体"/>
          <w:color w:val="auto"/>
          <w:szCs w:val="21"/>
          <w:highlight w:val="none"/>
          <w:lang w:val="zh-CN"/>
        </w:rPr>
      </w:pPr>
      <w:bookmarkStart w:id="249" w:name="_Toc142508327"/>
      <w:bookmarkStart w:id="250" w:name="_Toc9411_WPSOffice_Level3"/>
      <w:bookmarkStart w:id="251" w:name="_Toc178076470"/>
      <w:bookmarkStart w:id="252" w:name="_Toc921"/>
      <w:bookmarkStart w:id="253" w:name="_Toc172552157"/>
      <w:bookmarkStart w:id="254" w:name="_Toc176627791"/>
      <w:bookmarkStart w:id="255" w:name="_Toc25596"/>
      <w:bookmarkStart w:id="256" w:name="_Toc450662863"/>
      <w:bookmarkStart w:id="257" w:name="_Toc486167677"/>
      <w:bookmarkStart w:id="258" w:name="_Toc27943"/>
      <w:bookmarkStart w:id="259" w:name="_Toc7059"/>
      <w:bookmarkStart w:id="260" w:name="_Toc11016"/>
      <w:bookmarkStart w:id="261" w:name="_Toc15674"/>
      <w:r>
        <w:rPr>
          <w:rFonts w:hint="eastAsia" w:ascii="宋体" w:hAnsi="宋体" w:eastAsia="宋体" w:cs="宋体"/>
          <w:color w:val="auto"/>
          <w:szCs w:val="21"/>
          <w:highlight w:val="none"/>
          <w:lang w:val="zh-CN"/>
        </w:rPr>
        <w:t>13 证明投标人的合格性和资格的声明文件</w:t>
      </w:r>
      <w:bookmarkEnd w:id="249"/>
      <w:bookmarkEnd w:id="250"/>
      <w:bookmarkEnd w:id="251"/>
      <w:bookmarkEnd w:id="252"/>
      <w:bookmarkEnd w:id="253"/>
      <w:bookmarkEnd w:id="254"/>
      <w:bookmarkEnd w:id="255"/>
      <w:bookmarkEnd w:id="256"/>
      <w:bookmarkEnd w:id="257"/>
      <w:bookmarkEnd w:id="258"/>
      <w:bookmarkEnd w:id="259"/>
      <w:bookmarkEnd w:id="260"/>
      <w:bookmarkEnd w:id="261"/>
    </w:p>
    <w:p w14:paraId="42C81D13">
      <w:pPr>
        <w:ind w:left="525" w:hanging="525" w:hangingChars="2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13.1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根据第2条、第13.2款规定，投标人须提交证明其有资格进行投标和有能力履行合同的文件，作为投标文件的一部分。</w:t>
      </w:r>
    </w:p>
    <w:p w14:paraId="652DACC9">
      <w:pPr>
        <w:ind w:left="525" w:hanging="525" w:hangingChars="2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13.2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投标人提供的履行合同的资格声明文件应符合：</w:t>
      </w:r>
    </w:p>
    <w:p w14:paraId="78E29F2F">
      <w:pPr>
        <w:ind w:left="525" w:hanging="525" w:hangingChars="2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（1）符合《中华人民共和国招标投标法》《中华人民共和国招标投标法实施条例》投标人应当具备的条件；</w:t>
      </w:r>
    </w:p>
    <w:p w14:paraId="0F7D7A1B">
      <w:pPr>
        <w:ind w:left="525" w:hanging="525" w:hangingChars="2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（2）投标人具有履行本项目所必须的证明文件；</w:t>
      </w:r>
    </w:p>
    <w:p w14:paraId="51BC1E13">
      <w:pPr>
        <w:ind w:left="525" w:hanging="525" w:hangingChars="2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（3）投标人证明其相应资格符合或优于招标文件要求的其它文件。</w:t>
      </w:r>
    </w:p>
    <w:p w14:paraId="25A61528">
      <w:pPr>
        <w:ind w:left="525" w:hanging="525" w:hangingChars="2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13.3 投标人根据招标文件载明的货物及有关服务要求的实际情况，拟在中标后将中标项目的非主体、非关键性专业工作交由他人完成的，应当在投标文件中载明，并提供他人的资质、能力证明材料。</w:t>
      </w:r>
    </w:p>
    <w:p w14:paraId="14B1AD2A">
      <w:pPr>
        <w:rPr>
          <w:rFonts w:hint="eastAsia" w:ascii="宋体" w:hAnsi="宋体" w:eastAsia="宋体" w:cs="宋体"/>
          <w:color w:val="auto"/>
          <w:highlight w:val="none"/>
        </w:rPr>
      </w:pPr>
    </w:p>
    <w:p w14:paraId="7E3F4F53">
      <w:pPr>
        <w:pStyle w:val="4"/>
        <w:rPr>
          <w:rFonts w:hint="eastAsia" w:ascii="宋体" w:hAnsi="宋体" w:eastAsia="宋体" w:cs="宋体"/>
          <w:color w:val="auto"/>
          <w:highlight w:val="none"/>
          <w:lang w:val="zh-CN"/>
        </w:rPr>
      </w:pPr>
      <w:bookmarkStart w:id="262" w:name="_Toc12150"/>
      <w:bookmarkStart w:id="263" w:name="_Toc30441"/>
      <w:bookmarkStart w:id="264" w:name="_Toc142508328"/>
      <w:bookmarkStart w:id="265" w:name="_Toc31501"/>
      <w:bookmarkStart w:id="266" w:name="_Toc486167678"/>
      <w:bookmarkStart w:id="267" w:name="_Toc27771_WPSOffice_Level3"/>
      <w:bookmarkStart w:id="268" w:name="_Toc172552158"/>
      <w:bookmarkStart w:id="269" w:name="_Toc176627792"/>
      <w:bookmarkStart w:id="270" w:name="_Toc178076471"/>
      <w:bookmarkStart w:id="271" w:name="_Toc26945"/>
      <w:bookmarkStart w:id="272" w:name="_Toc27934"/>
      <w:bookmarkStart w:id="273" w:name="_Toc450662864"/>
      <w:r>
        <w:rPr>
          <w:rFonts w:hint="eastAsia" w:ascii="宋体" w:hAnsi="宋体" w:eastAsia="宋体" w:cs="宋体"/>
          <w:color w:val="auto"/>
          <w:highlight w:val="none"/>
          <w:lang w:val="zh-CN"/>
        </w:rPr>
        <w:t>14 证明货物的合格性并符合招标文件规定的声明文件</w:t>
      </w:r>
      <w:bookmarkEnd w:id="262"/>
      <w:bookmarkEnd w:id="263"/>
      <w:bookmarkEnd w:id="264"/>
      <w:bookmarkEnd w:id="265"/>
      <w:bookmarkEnd w:id="266"/>
      <w:bookmarkEnd w:id="267"/>
      <w:bookmarkEnd w:id="268"/>
      <w:bookmarkEnd w:id="269"/>
      <w:bookmarkEnd w:id="270"/>
      <w:bookmarkEnd w:id="271"/>
      <w:bookmarkEnd w:id="272"/>
      <w:bookmarkEnd w:id="273"/>
    </w:p>
    <w:p w14:paraId="11492F43">
      <w:pPr>
        <w:ind w:left="525" w:hanging="525" w:hangingChars="25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14.1</w:t>
      </w:r>
      <w:r>
        <w:rPr>
          <w:rFonts w:hint="eastAsia" w:ascii="宋体" w:hAnsi="宋体" w:eastAsia="宋体" w:cs="宋体"/>
          <w:color w:val="auto"/>
          <w:highlight w:val="none"/>
          <w:lang w:val="zh-CN"/>
        </w:rPr>
        <w:tab/>
      </w:r>
      <w:r>
        <w:rPr>
          <w:rFonts w:hint="eastAsia" w:ascii="宋体" w:hAnsi="宋体" w:eastAsia="宋体" w:cs="宋体"/>
          <w:color w:val="auto"/>
          <w:highlight w:val="none"/>
          <w:lang w:val="zh-CN"/>
        </w:rPr>
        <w:t>根据第9条规定，投标人须提交证明其拟供货物的合格性并符合招标文件规定的声明文件，作为投标文件的一部分。</w:t>
      </w:r>
    </w:p>
    <w:p w14:paraId="4BA6E11C">
      <w:pPr>
        <w:ind w:left="525" w:hanging="525" w:hangingChars="25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14.2 证明</w:t>
      </w:r>
      <w:r>
        <w:rPr>
          <w:rFonts w:hint="eastAsia" w:ascii="宋体" w:hAnsi="宋体" w:eastAsia="宋体" w:cs="宋体"/>
          <w:color w:val="auto"/>
          <w:highlight w:val="none"/>
        </w:rPr>
        <w:t>货物及有关服务</w:t>
      </w:r>
      <w:r>
        <w:rPr>
          <w:rFonts w:hint="eastAsia" w:ascii="宋体" w:hAnsi="宋体" w:eastAsia="宋体" w:cs="宋体"/>
          <w:color w:val="auto"/>
          <w:highlight w:val="none"/>
          <w:lang w:val="zh-CN"/>
        </w:rPr>
        <w:t>与招标文件的要求相一致的文件可以是文字资料、图纸和数据资料。</w:t>
      </w:r>
    </w:p>
    <w:p w14:paraId="1308F3E5">
      <w:pPr>
        <w:ind w:left="525" w:hanging="525" w:hangingChars="25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 xml:space="preserve">14.3 </w:t>
      </w:r>
      <w:r>
        <w:rPr>
          <w:rFonts w:hint="eastAsia" w:ascii="宋体" w:hAnsi="宋体" w:eastAsia="宋体" w:cs="宋体"/>
          <w:b/>
          <w:bCs/>
          <w:color w:val="auto"/>
          <w:highlight w:val="none"/>
          <w:lang w:val="zh-CN"/>
        </w:rPr>
        <w:t>为说明第14.2款的规定，投标人应注意本招标文件在《用户需求书》中对货物的性能配置、技术参数、技术要求所描述的特征或说明只是概括性的，不能理解为所需要的全部产品工序的要求，投标人应按行业技术、质量和以往的研究、货物生产制造、售后服务经验，合格优质的完成采购内容和包含的全部服务。用户需求书中所有列出的相关货物技术要求和推荐品牌不是唯一指定，仅作参考，即投标人可就货物提出替代标准，只要相当于(或优于)规定的货物品质和性能等技术参数要求，并提供满足本招标文件要求的证明材料，则视为合格。但凡标有“★”的地方均被视为重要的技术指标要求或性能要求。投标人要特别加以注意，必须对此回答并完全满足这些要求，否则若有一项带“★”的指标未响应或不满足，将按无效投标处理。</w:t>
      </w:r>
    </w:p>
    <w:p w14:paraId="760301E7">
      <w:pPr>
        <w:ind w:left="392" w:leftChars="-100" w:hanging="602" w:hangingChars="251"/>
        <w:rPr>
          <w:rFonts w:hint="eastAsia" w:ascii="宋体" w:hAnsi="宋体" w:eastAsia="宋体" w:cs="宋体"/>
          <w:color w:val="auto"/>
          <w:kern w:val="0"/>
          <w:sz w:val="24"/>
          <w:szCs w:val="24"/>
          <w:highlight w:val="none"/>
        </w:rPr>
      </w:pPr>
    </w:p>
    <w:p w14:paraId="10D59DEF">
      <w:pPr>
        <w:pStyle w:val="4"/>
        <w:rPr>
          <w:rFonts w:hint="eastAsia" w:ascii="宋体" w:hAnsi="宋体" w:eastAsia="宋体" w:cs="宋体"/>
          <w:color w:val="auto"/>
          <w:highlight w:val="none"/>
          <w:lang w:val="zh-CN"/>
        </w:rPr>
      </w:pPr>
      <w:bookmarkStart w:id="274" w:name="_Toc26284"/>
      <w:bookmarkStart w:id="275" w:name="_Toc142508329"/>
      <w:bookmarkStart w:id="276" w:name="_Toc176627793"/>
      <w:bookmarkStart w:id="277" w:name="_Toc25113"/>
      <w:bookmarkStart w:id="278" w:name="_Toc32698"/>
      <w:bookmarkStart w:id="279" w:name="_Toc5356_WPSOffice_Level3"/>
      <w:bookmarkStart w:id="280" w:name="_Toc178076472"/>
      <w:bookmarkStart w:id="281" w:name="_Toc24774"/>
      <w:bookmarkStart w:id="282" w:name="_Toc486167679"/>
      <w:bookmarkStart w:id="283" w:name="_Toc376"/>
      <w:bookmarkStart w:id="284" w:name="_Toc25772"/>
      <w:bookmarkStart w:id="285" w:name="_Toc172552159"/>
      <w:r>
        <w:rPr>
          <w:rFonts w:hint="eastAsia" w:ascii="宋体" w:hAnsi="宋体" w:eastAsia="宋体" w:cs="宋体"/>
          <w:color w:val="auto"/>
          <w:highlight w:val="none"/>
          <w:lang w:val="zh-CN"/>
        </w:rPr>
        <w:t>15 投标保证金</w:t>
      </w:r>
      <w:bookmarkEnd w:id="274"/>
      <w:bookmarkEnd w:id="275"/>
      <w:bookmarkEnd w:id="276"/>
      <w:bookmarkEnd w:id="277"/>
      <w:bookmarkEnd w:id="278"/>
      <w:bookmarkEnd w:id="279"/>
      <w:bookmarkEnd w:id="280"/>
      <w:bookmarkEnd w:id="281"/>
      <w:bookmarkEnd w:id="282"/>
      <w:bookmarkEnd w:id="283"/>
      <w:bookmarkEnd w:id="284"/>
      <w:bookmarkEnd w:id="285"/>
    </w:p>
    <w:p w14:paraId="32DC260E">
      <w:pPr>
        <w:ind w:left="525" w:hanging="525" w:hangingChars="250"/>
        <w:rPr>
          <w:rFonts w:hint="eastAsia" w:ascii="宋体" w:hAnsi="宋体" w:eastAsia="宋体" w:cs="宋体"/>
          <w:b/>
          <w:bCs/>
          <w:color w:val="auto"/>
          <w:highlight w:val="none"/>
          <w:u w:val="single"/>
        </w:rPr>
      </w:pPr>
      <w:r>
        <w:rPr>
          <w:rFonts w:hint="eastAsia" w:ascii="宋体" w:hAnsi="宋体" w:eastAsia="宋体" w:cs="宋体"/>
          <w:color w:val="auto"/>
          <w:highlight w:val="none"/>
          <w:lang w:val="zh-CN"/>
        </w:rPr>
        <w:t xml:space="preserve">15.1 </w:t>
      </w:r>
      <w:r>
        <w:rPr>
          <w:rFonts w:hint="eastAsia" w:ascii="宋体" w:hAnsi="宋体" w:eastAsia="宋体" w:cs="宋体"/>
          <w:b/>
          <w:bCs/>
          <w:color w:val="auto"/>
          <w:highlight w:val="none"/>
          <w:u w:val="single"/>
          <w:lang w:val="zh-CN"/>
        </w:rPr>
        <w:t>投标人投标时须附有投标保证金</w:t>
      </w:r>
      <w:r>
        <w:rPr>
          <w:rFonts w:hint="eastAsia" w:cs="宋体"/>
          <w:b/>
          <w:bCs/>
          <w:color w:val="auto"/>
          <w:highlight w:val="none"/>
          <w:u w:val="single"/>
          <w:lang w:val="en-US" w:eastAsia="zh-CN"/>
        </w:rPr>
        <w:t>54</w:t>
      </w:r>
      <w:r>
        <w:rPr>
          <w:rFonts w:hint="eastAsia" w:ascii="宋体" w:hAnsi="宋体" w:eastAsia="宋体" w:cs="宋体"/>
          <w:b/>
          <w:bCs/>
          <w:color w:val="auto"/>
          <w:kern w:val="2"/>
          <w:sz w:val="21"/>
          <w:szCs w:val="22"/>
          <w:highlight w:val="none"/>
          <w:u w:val="single"/>
          <w:lang w:val="en-US" w:eastAsia="zh-CN" w:bidi="ar-SA"/>
        </w:rPr>
        <w:t>,</w:t>
      </w:r>
      <w:r>
        <w:rPr>
          <w:rFonts w:hint="eastAsia" w:ascii="宋体" w:hAnsi="宋体" w:eastAsia="宋体" w:cs="宋体"/>
          <w:b/>
          <w:bCs/>
          <w:color w:val="auto"/>
          <w:highlight w:val="none"/>
          <w:u w:val="single"/>
          <w:lang w:val="en-US" w:eastAsia="zh-CN"/>
        </w:rPr>
        <w:t>000.00</w:t>
      </w:r>
      <w:r>
        <w:rPr>
          <w:rFonts w:hint="eastAsia" w:ascii="宋体" w:hAnsi="宋体" w:eastAsia="宋体" w:cs="宋体"/>
          <w:b/>
          <w:bCs/>
          <w:color w:val="auto"/>
          <w:highlight w:val="none"/>
          <w:u w:val="single"/>
        </w:rPr>
        <w:t>元（大写：</w:t>
      </w:r>
      <w:r>
        <w:rPr>
          <w:rFonts w:hint="eastAsia" w:cs="宋体"/>
          <w:b/>
          <w:bCs/>
          <w:color w:val="auto"/>
          <w:highlight w:val="none"/>
          <w:u w:val="single"/>
          <w:lang w:val="en-US" w:eastAsia="zh-CN"/>
        </w:rPr>
        <w:t>伍万肆仟元整</w:t>
      </w:r>
      <w:r>
        <w:rPr>
          <w:rFonts w:hint="eastAsia" w:ascii="宋体" w:hAnsi="宋体" w:eastAsia="宋体" w:cs="宋体"/>
          <w:b/>
          <w:bCs/>
          <w:color w:val="auto"/>
          <w:highlight w:val="none"/>
          <w:u w:val="single"/>
        </w:rPr>
        <w:t>）。</w:t>
      </w:r>
    </w:p>
    <w:p w14:paraId="1FF85795">
      <w:pPr>
        <w:ind w:left="525" w:hanging="525" w:hangingChars="250"/>
        <w:rPr>
          <w:rFonts w:hint="eastAsia" w:ascii="宋体" w:hAnsi="宋体" w:eastAsia="宋体" w:cs="宋体"/>
          <w:color w:val="auto"/>
          <w:highlight w:val="none"/>
        </w:rPr>
      </w:pPr>
      <w:r>
        <w:rPr>
          <w:rFonts w:hint="eastAsia" w:ascii="宋体" w:hAnsi="宋体" w:eastAsia="宋体" w:cs="宋体"/>
          <w:color w:val="auto"/>
          <w:highlight w:val="none"/>
          <w:lang w:val="zh-CN"/>
        </w:rPr>
        <w:t xml:space="preserve">15.2 </w:t>
      </w:r>
      <w:r>
        <w:rPr>
          <w:rFonts w:hint="eastAsia" w:ascii="宋体" w:hAnsi="宋体" w:eastAsia="宋体" w:cs="宋体"/>
          <w:b/>
          <w:bCs/>
          <w:color w:val="auto"/>
          <w:highlight w:val="none"/>
          <w:lang w:val="zh-CN"/>
        </w:rPr>
        <w:t>投标人应按要求提交投标保证金，</w:t>
      </w:r>
      <w:r>
        <w:rPr>
          <w:rFonts w:hint="eastAsia" w:ascii="宋体" w:hAnsi="宋体" w:eastAsia="宋体" w:cs="宋体"/>
          <w:b/>
          <w:bCs/>
          <w:color w:val="auto"/>
          <w:highlight w:val="none"/>
          <w:u w:val="single"/>
          <w:lang w:val="zh-CN"/>
        </w:rPr>
        <w:t>投标人必须通过本单位银行基本账户采用银行转账、电汇形式缴交，投标人与交款人名称必须一致，非投标人缴纳的或未通过其基本账户提交的投标保证金无效</w:t>
      </w:r>
      <w:r>
        <w:rPr>
          <w:rFonts w:hint="eastAsia" w:ascii="宋体" w:hAnsi="宋体" w:eastAsia="宋体" w:cs="宋体"/>
          <w:b/>
          <w:bCs/>
          <w:color w:val="auto"/>
          <w:highlight w:val="none"/>
          <w:u w:val="single"/>
        </w:rPr>
        <w:t>。</w:t>
      </w:r>
    </w:p>
    <w:p w14:paraId="66F9D7B4">
      <w:pPr>
        <w:ind w:left="525" w:hanging="525" w:hangingChars="25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15.3 提交保证金时应符合下列规定：</w:t>
      </w:r>
    </w:p>
    <w:p w14:paraId="78C1AA9C">
      <w:pPr>
        <w:ind w:left="525" w:leftChars="250"/>
        <w:rPr>
          <w:rFonts w:hint="eastAsia" w:ascii="宋体" w:hAnsi="宋体" w:eastAsia="宋体" w:cs="宋体"/>
          <w:color w:val="auto"/>
          <w:highlight w:val="none"/>
        </w:rPr>
      </w:pPr>
      <w:r>
        <w:rPr>
          <w:rFonts w:hint="eastAsia" w:ascii="宋体" w:hAnsi="宋体" w:eastAsia="宋体" w:cs="宋体"/>
          <w:color w:val="auto"/>
          <w:highlight w:val="none"/>
        </w:rPr>
        <w:t>必须通过本单位基本账户采用银行转账、电汇方式提交，且在递交投标文件截止时间前到达以下账户上</w:t>
      </w:r>
      <w:r>
        <w:rPr>
          <w:rFonts w:hint="eastAsia" w:ascii="宋体" w:hAnsi="宋体" w:eastAsia="宋体" w:cs="宋体"/>
          <w:b/>
          <w:bCs/>
          <w:color w:val="auto"/>
          <w:highlight w:val="none"/>
        </w:rPr>
        <w:t>并注明</w:t>
      </w:r>
      <w:r>
        <w:rPr>
          <w:rFonts w:hint="eastAsia" w:ascii="宋体" w:hAnsi="宋体" w:eastAsia="宋体" w:cs="宋体"/>
          <w:b/>
          <w:bCs/>
          <w:color w:val="auto"/>
          <w:highlight w:val="none"/>
          <w:lang w:eastAsia="zh-CN"/>
        </w:rPr>
        <w:t>（</w:t>
      </w:r>
      <w:r>
        <w:rPr>
          <w:rFonts w:hint="eastAsia" w:ascii="宋体" w:hAnsi="宋体" w:eastAsia="宋体" w:cs="宋体"/>
          <w:b/>
          <w:bCs/>
          <w:color w:val="auto"/>
          <w:highlight w:val="none"/>
          <w:lang w:val="en-US" w:eastAsia="zh-CN"/>
        </w:rPr>
        <w:t>项目名称/</w:t>
      </w:r>
      <w:r>
        <w:rPr>
          <w:rFonts w:hint="eastAsia" w:ascii="宋体" w:hAnsi="宋体" w:eastAsia="宋体" w:cs="宋体"/>
          <w:b/>
          <w:bCs/>
          <w:color w:val="auto"/>
          <w:highlight w:val="none"/>
        </w:rPr>
        <w:t>招标编号</w:t>
      </w:r>
      <w:r>
        <w:rPr>
          <w:rFonts w:hint="eastAsia" w:ascii="宋体" w:hAnsi="宋体" w:eastAsia="宋体" w:cs="宋体"/>
          <w:b/>
          <w:bCs/>
          <w:color w:val="auto"/>
          <w:highlight w:val="none"/>
          <w:lang w:val="en-US" w:eastAsia="zh-CN"/>
        </w:rPr>
        <w:t>+</w:t>
      </w:r>
      <w:r>
        <w:rPr>
          <w:rFonts w:hint="eastAsia" w:ascii="宋体" w:hAnsi="宋体" w:eastAsia="宋体" w:cs="宋体"/>
          <w:b/>
          <w:bCs/>
          <w:i w:val="0"/>
          <w:iCs w:val="0"/>
          <w:caps w:val="0"/>
          <w:color w:val="auto"/>
          <w:spacing w:val="0"/>
          <w:sz w:val="21"/>
          <w:szCs w:val="22"/>
          <w:highlight w:val="none"/>
          <w:shd w:val="clear"/>
        </w:rPr>
        <w:t>投标保证金</w:t>
      </w:r>
      <w:r>
        <w:rPr>
          <w:rFonts w:hint="eastAsia" w:ascii="宋体" w:hAnsi="宋体" w:eastAsia="宋体" w:cs="宋体"/>
          <w:b/>
          <w:bCs/>
          <w:color w:val="auto"/>
          <w:highlight w:val="none"/>
          <w:lang w:eastAsia="zh-CN"/>
        </w:rPr>
        <w:t>）</w:t>
      </w:r>
      <w:r>
        <w:rPr>
          <w:rFonts w:hint="eastAsia" w:ascii="宋体" w:hAnsi="宋体" w:eastAsia="宋体" w:cs="宋体"/>
          <w:color w:val="auto"/>
          <w:highlight w:val="none"/>
        </w:rPr>
        <w:t>。</w:t>
      </w:r>
    </w:p>
    <w:p w14:paraId="6212B500">
      <w:pPr>
        <w:ind w:left="525" w:leftChars="250"/>
        <w:rPr>
          <w:rFonts w:hint="eastAsia" w:ascii="宋体" w:hAnsi="宋体" w:eastAsia="宋体" w:cs="宋体"/>
          <w:b/>
          <w:bCs/>
          <w:color w:val="auto"/>
          <w:highlight w:val="none"/>
          <w:lang w:val="zh-CN"/>
        </w:rPr>
      </w:pPr>
      <w:r>
        <w:rPr>
          <w:rFonts w:hint="eastAsia" w:ascii="宋体" w:hAnsi="宋体" w:eastAsia="宋体" w:cs="宋体"/>
          <w:b/>
          <w:bCs/>
          <w:color w:val="auto"/>
          <w:highlight w:val="none"/>
          <w:lang w:val="zh-CN"/>
        </w:rPr>
        <w:t>开户名称：东莞市碧水信息科技有限公司</w:t>
      </w:r>
    </w:p>
    <w:p w14:paraId="6D96371F">
      <w:pPr>
        <w:ind w:left="525" w:leftChars="250"/>
        <w:rPr>
          <w:rFonts w:hint="eastAsia" w:ascii="宋体" w:hAnsi="宋体" w:eastAsia="宋体" w:cs="宋体"/>
          <w:b/>
          <w:bCs/>
          <w:color w:val="auto"/>
          <w:highlight w:val="none"/>
          <w:lang w:val="zh-CN"/>
        </w:rPr>
      </w:pPr>
      <w:r>
        <w:rPr>
          <w:rFonts w:hint="eastAsia" w:ascii="宋体" w:hAnsi="宋体" w:eastAsia="宋体" w:cs="宋体"/>
          <w:b/>
          <w:bCs/>
          <w:color w:val="auto"/>
          <w:highlight w:val="none"/>
          <w:lang w:val="zh-CN"/>
        </w:rPr>
        <w:t>开户银行：中国工商银行股份有限公司东莞分行</w:t>
      </w:r>
    </w:p>
    <w:p w14:paraId="7556A0AE">
      <w:pPr>
        <w:ind w:left="525" w:leftChars="250"/>
        <w:rPr>
          <w:rFonts w:hint="eastAsia" w:ascii="宋体" w:hAnsi="宋体" w:eastAsia="宋体" w:cs="宋体"/>
          <w:b/>
          <w:bCs/>
          <w:color w:val="auto"/>
          <w:highlight w:val="none"/>
          <w:lang w:val="zh-CN"/>
        </w:rPr>
      </w:pPr>
      <w:r>
        <w:rPr>
          <w:rFonts w:hint="eastAsia" w:ascii="宋体" w:hAnsi="宋体" w:eastAsia="宋体" w:cs="宋体"/>
          <w:b/>
          <w:bCs/>
          <w:color w:val="auto"/>
          <w:highlight w:val="none"/>
          <w:lang w:val="zh-CN"/>
        </w:rPr>
        <w:t>银行账号：2010021309200572784</w:t>
      </w:r>
    </w:p>
    <w:p w14:paraId="6B7CE6ED">
      <w:pPr>
        <w:ind w:left="525" w:leftChars="250"/>
        <w:rPr>
          <w:rFonts w:hint="eastAsia" w:ascii="宋体" w:hAnsi="宋体" w:eastAsia="宋体" w:cs="宋体"/>
          <w:b/>
          <w:bCs/>
          <w:color w:val="auto"/>
          <w:highlight w:val="none"/>
          <w:u w:val="single"/>
        </w:rPr>
      </w:pPr>
      <w:r>
        <w:rPr>
          <w:rFonts w:hint="eastAsia" w:ascii="宋体" w:hAnsi="宋体" w:eastAsia="宋体" w:cs="宋体"/>
          <w:b/>
          <w:bCs/>
          <w:color w:val="auto"/>
          <w:highlight w:val="none"/>
          <w:u w:val="single"/>
        </w:rPr>
        <w:t>投标保证金未按规定时间到达指定账户或提交金额不足的，将被视为无效投标保证金。</w:t>
      </w:r>
    </w:p>
    <w:p w14:paraId="67879720">
      <w:pPr>
        <w:ind w:left="525" w:hanging="525" w:hangingChars="250"/>
        <w:rPr>
          <w:rFonts w:hint="eastAsia" w:ascii="宋体" w:hAnsi="宋体" w:eastAsia="宋体" w:cs="宋体"/>
          <w:b/>
          <w:bCs/>
          <w:color w:val="auto"/>
          <w:highlight w:val="none"/>
        </w:rPr>
      </w:pPr>
      <w:r>
        <w:rPr>
          <w:rFonts w:hint="eastAsia" w:ascii="宋体" w:hAnsi="宋体" w:eastAsia="宋体" w:cs="宋体"/>
          <w:color w:val="auto"/>
          <w:highlight w:val="none"/>
          <w:lang w:val="zh-CN"/>
        </w:rPr>
        <w:t xml:space="preserve">15.4 </w:t>
      </w:r>
      <w:r>
        <w:rPr>
          <w:rFonts w:hint="eastAsia" w:ascii="宋体" w:hAnsi="宋体" w:eastAsia="宋体" w:cs="宋体"/>
          <w:b/>
          <w:bCs/>
          <w:color w:val="auto"/>
          <w:highlight w:val="none"/>
          <w:u w:val="single"/>
        </w:rPr>
        <w:t>任何未按第15.1款、第15.2款、第15.3款规定提交投标保证金的投标，将被视为无效投标。</w:t>
      </w:r>
    </w:p>
    <w:p w14:paraId="26619E10">
      <w:pPr>
        <w:ind w:left="525" w:hanging="525" w:hangingChars="250"/>
        <w:rPr>
          <w:rFonts w:hint="eastAsia" w:ascii="宋体" w:hAnsi="宋体" w:eastAsia="宋体" w:cs="宋体"/>
          <w:color w:val="auto"/>
          <w:highlight w:val="none"/>
        </w:rPr>
      </w:pPr>
      <w:r>
        <w:rPr>
          <w:rFonts w:hint="eastAsia" w:ascii="宋体" w:hAnsi="宋体" w:eastAsia="宋体" w:cs="宋体"/>
          <w:color w:val="auto"/>
          <w:highlight w:val="none"/>
          <w:lang w:val="zh-CN"/>
        </w:rPr>
        <w:t xml:space="preserve">15.5 </w:t>
      </w:r>
      <w:r>
        <w:rPr>
          <w:rFonts w:hint="eastAsia" w:ascii="宋体" w:hAnsi="宋体" w:eastAsia="宋体" w:cs="宋体"/>
          <w:color w:val="auto"/>
          <w:highlight w:val="none"/>
        </w:rPr>
        <w:t>未中标的投标人的投标保证金，最迟应在本项目的书面合同签订后5日内，按照其投标保证金支付凭证上注明的收款人名称和账号予以退还，除非投标保证金有效期已延长。</w:t>
      </w:r>
    </w:p>
    <w:p w14:paraId="353A7DE2">
      <w:pPr>
        <w:ind w:left="525" w:hanging="525" w:hangingChars="250"/>
        <w:rPr>
          <w:rFonts w:hint="eastAsia" w:ascii="宋体" w:hAnsi="宋体" w:eastAsia="宋体" w:cs="宋体"/>
          <w:color w:val="auto"/>
          <w:highlight w:val="none"/>
        </w:rPr>
      </w:pPr>
      <w:r>
        <w:rPr>
          <w:rFonts w:hint="eastAsia" w:ascii="宋体" w:hAnsi="宋体" w:eastAsia="宋体" w:cs="宋体"/>
          <w:color w:val="auto"/>
          <w:highlight w:val="none"/>
        </w:rPr>
        <w:t>15.6 中标人的投标保证金，满足下列要求，并最迟应在本项目的书面合同签订后5日内退还。</w:t>
      </w:r>
    </w:p>
    <w:p w14:paraId="43AD6644">
      <w:pPr>
        <w:ind w:left="525" w:hanging="525" w:hangingChars="250"/>
        <w:rPr>
          <w:rFonts w:hint="eastAsia" w:ascii="宋体" w:hAnsi="宋体" w:eastAsia="宋体" w:cs="宋体"/>
          <w:color w:val="auto"/>
          <w:highlight w:val="none"/>
        </w:rPr>
      </w:pPr>
      <w:r>
        <w:rPr>
          <w:rFonts w:hint="eastAsia" w:ascii="宋体" w:hAnsi="宋体" w:eastAsia="宋体" w:cs="宋体"/>
          <w:color w:val="auto"/>
          <w:highlight w:val="none"/>
        </w:rPr>
        <w:t>（1）中标人提交了履约担保；</w:t>
      </w:r>
    </w:p>
    <w:p w14:paraId="73B10C9F">
      <w:pPr>
        <w:ind w:left="525" w:hanging="525" w:hangingChars="250"/>
        <w:rPr>
          <w:rFonts w:hint="eastAsia" w:ascii="宋体" w:hAnsi="宋体" w:eastAsia="宋体" w:cs="宋体"/>
          <w:color w:val="auto"/>
          <w:highlight w:val="none"/>
        </w:rPr>
      </w:pPr>
      <w:r>
        <w:rPr>
          <w:rFonts w:hint="eastAsia" w:ascii="宋体" w:hAnsi="宋体" w:eastAsia="宋体" w:cs="宋体"/>
          <w:color w:val="auto"/>
          <w:highlight w:val="none"/>
        </w:rPr>
        <w:t>（2）在投标过程中不存在违反本招标文件或《中华人民共和国招标投标法》及其实施条例等规定的行为。</w:t>
      </w:r>
    </w:p>
    <w:p w14:paraId="012537A1">
      <w:pPr>
        <w:ind w:left="525" w:hanging="525" w:hangingChars="250"/>
        <w:rPr>
          <w:rFonts w:hint="eastAsia" w:ascii="宋体" w:hAnsi="宋体" w:eastAsia="宋体" w:cs="宋体"/>
          <w:color w:val="auto"/>
          <w:highlight w:val="none"/>
        </w:rPr>
      </w:pPr>
      <w:r>
        <w:rPr>
          <w:rFonts w:hint="eastAsia" w:ascii="宋体" w:hAnsi="宋体" w:eastAsia="宋体" w:cs="宋体"/>
          <w:color w:val="auto"/>
          <w:highlight w:val="none"/>
        </w:rPr>
        <w:t>15.7 若发生下列情况，招标人在书面通知投标人（或中标人）后有权不予退还投标保证金：</w:t>
      </w:r>
    </w:p>
    <w:p w14:paraId="61F293E6">
      <w:pPr>
        <w:ind w:left="525" w:hanging="525" w:hangingChars="250"/>
        <w:rPr>
          <w:rFonts w:hint="eastAsia" w:ascii="宋体" w:hAnsi="宋体" w:eastAsia="宋体" w:cs="宋体"/>
          <w:color w:val="auto"/>
          <w:highlight w:val="none"/>
        </w:rPr>
      </w:pPr>
      <w:r>
        <w:rPr>
          <w:rFonts w:hint="eastAsia" w:ascii="宋体" w:hAnsi="宋体" w:eastAsia="宋体" w:cs="宋体"/>
          <w:color w:val="auto"/>
          <w:highlight w:val="none"/>
        </w:rPr>
        <w:t>如果投标人（或中标人）：</w:t>
      </w:r>
    </w:p>
    <w:p w14:paraId="3A1406DB">
      <w:pPr>
        <w:ind w:left="525" w:hanging="525" w:hangingChars="250"/>
        <w:rPr>
          <w:rFonts w:hint="eastAsia" w:ascii="宋体" w:hAnsi="宋体" w:eastAsia="宋体" w:cs="宋体"/>
          <w:color w:val="auto"/>
          <w:highlight w:val="none"/>
        </w:rPr>
      </w:pPr>
      <w:r>
        <w:rPr>
          <w:rFonts w:hint="eastAsia" w:ascii="宋体" w:hAnsi="宋体" w:eastAsia="宋体" w:cs="宋体"/>
          <w:color w:val="auto"/>
          <w:highlight w:val="none"/>
        </w:rPr>
        <w:t>（1）投标人在规定的投标截止时间后至投标有效期满之前撤销或修改其投标文件；</w:t>
      </w:r>
    </w:p>
    <w:p w14:paraId="669D338A">
      <w:pPr>
        <w:ind w:left="525" w:hanging="525" w:hangingChars="250"/>
        <w:rPr>
          <w:rFonts w:hint="eastAsia" w:ascii="宋体" w:hAnsi="宋体" w:eastAsia="宋体" w:cs="宋体"/>
          <w:color w:val="auto"/>
          <w:highlight w:val="none"/>
        </w:rPr>
      </w:pPr>
      <w:r>
        <w:rPr>
          <w:rFonts w:hint="eastAsia" w:ascii="宋体" w:hAnsi="宋体" w:eastAsia="宋体" w:cs="宋体"/>
          <w:color w:val="auto"/>
          <w:highlight w:val="none"/>
        </w:rPr>
        <w:t>（2）中标人未能在规定期限内提交履约担保；</w:t>
      </w:r>
    </w:p>
    <w:p w14:paraId="4DF234FF">
      <w:pPr>
        <w:ind w:left="525" w:hanging="525" w:hangingChars="250"/>
        <w:rPr>
          <w:rFonts w:hint="eastAsia" w:ascii="宋体" w:hAnsi="宋体" w:eastAsia="宋体" w:cs="宋体"/>
          <w:color w:val="auto"/>
          <w:highlight w:val="none"/>
        </w:rPr>
      </w:pPr>
      <w:r>
        <w:rPr>
          <w:rFonts w:hint="eastAsia" w:ascii="宋体" w:hAnsi="宋体" w:eastAsia="宋体" w:cs="宋体"/>
          <w:color w:val="auto"/>
          <w:highlight w:val="none"/>
        </w:rPr>
        <w:t>（3）未根据第34条规定签署合同；</w:t>
      </w:r>
    </w:p>
    <w:p w14:paraId="4727F80E">
      <w:pPr>
        <w:ind w:left="525" w:hanging="525" w:hangingChars="250"/>
        <w:rPr>
          <w:rFonts w:hint="eastAsia" w:ascii="宋体" w:hAnsi="宋体" w:eastAsia="宋体" w:cs="宋体"/>
          <w:color w:val="auto"/>
          <w:highlight w:val="none"/>
        </w:rPr>
      </w:pPr>
      <w:r>
        <w:rPr>
          <w:rFonts w:hint="eastAsia" w:ascii="宋体" w:hAnsi="宋体" w:eastAsia="宋体" w:cs="宋体"/>
          <w:color w:val="auto"/>
          <w:highlight w:val="none"/>
        </w:rPr>
        <w:t>（4）将中标项目转让给他人，或者在投标文件中未说明，且未经招标人同意，将中标项目的合同的权利义务转让给第三方的；</w:t>
      </w:r>
    </w:p>
    <w:p w14:paraId="5C5B13E2">
      <w:pPr>
        <w:ind w:left="525" w:hanging="525" w:hangingChars="250"/>
        <w:rPr>
          <w:rFonts w:hint="eastAsia" w:ascii="宋体" w:hAnsi="宋体" w:eastAsia="宋体" w:cs="宋体"/>
          <w:color w:val="auto"/>
          <w:highlight w:val="none"/>
        </w:rPr>
      </w:pPr>
      <w:r>
        <w:rPr>
          <w:rFonts w:hint="eastAsia" w:ascii="宋体" w:hAnsi="宋体" w:eastAsia="宋体" w:cs="宋体"/>
          <w:color w:val="auto"/>
          <w:highlight w:val="none"/>
        </w:rPr>
        <w:t>（5）提供虚假投标文件或虚假补充文件的，或违反《中华人民共和国招标投标法》等有关法律、法规、规章及招标投标相关规定的行为。</w:t>
      </w:r>
    </w:p>
    <w:p w14:paraId="4FBE8132">
      <w:pPr>
        <w:tabs>
          <w:tab w:val="left" w:pos="1134"/>
        </w:tabs>
        <w:ind w:left="840" w:leftChars="150" w:hanging="525" w:hangingChars="250"/>
        <w:jc w:val="left"/>
        <w:rPr>
          <w:rFonts w:hint="eastAsia" w:ascii="宋体" w:hAnsi="宋体" w:eastAsia="宋体" w:cs="宋体"/>
          <w:color w:val="auto"/>
          <w:kern w:val="0"/>
          <w:szCs w:val="21"/>
          <w:highlight w:val="none"/>
        </w:rPr>
      </w:pPr>
    </w:p>
    <w:p w14:paraId="0A9170B9">
      <w:pPr>
        <w:pStyle w:val="4"/>
        <w:rPr>
          <w:rFonts w:hint="eastAsia" w:ascii="宋体" w:hAnsi="宋体" w:eastAsia="宋体" w:cs="宋体"/>
          <w:color w:val="auto"/>
          <w:highlight w:val="none"/>
          <w:lang w:val="zh-CN"/>
        </w:rPr>
      </w:pPr>
      <w:bookmarkStart w:id="286" w:name="_Toc450662865"/>
      <w:bookmarkStart w:id="287" w:name="_Toc22649_WPSOffice_Level3"/>
      <w:bookmarkStart w:id="288" w:name="_Toc19293"/>
      <w:bookmarkStart w:id="289" w:name="_Toc142508330"/>
      <w:bookmarkStart w:id="290" w:name="_Toc26457"/>
      <w:bookmarkStart w:id="291" w:name="_Toc178076473"/>
      <w:bookmarkStart w:id="292" w:name="_Toc29236"/>
      <w:bookmarkStart w:id="293" w:name="_Toc31793"/>
      <w:bookmarkStart w:id="294" w:name="_Toc10081"/>
      <w:bookmarkStart w:id="295" w:name="_Toc486167680"/>
      <w:bookmarkStart w:id="296" w:name="_Toc10550"/>
      <w:bookmarkStart w:id="297" w:name="_Toc172552160"/>
      <w:bookmarkStart w:id="298" w:name="_Toc176627794"/>
      <w:r>
        <w:rPr>
          <w:rFonts w:hint="eastAsia" w:ascii="宋体" w:hAnsi="宋体" w:eastAsia="宋体" w:cs="宋体"/>
          <w:color w:val="auto"/>
          <w:highlight w:val="none"/>
          <w:lang w:val="zh-CN"/>
        </w:rPr>
        <w:t>16 投标有效期</w:t>
      </w:r>
      <w:bookmarkEnd w:id="286"/>
      <w:bookmarkEnd w:id="287"/>
      <w:bookmarkEnd w:id="288"/>
      <w:bookmarkEnd w:id="289"/>
      <w:bookmarkEnd w:id="290"/>
      <w:bookmarkEnd w:id="291"/>
      <w:bookmarkEnd w:id="292"/>
      <w:bookmarkEnd w:id="293"/>
      <w:bookmarkEnd w:id="294"/>
      <w:bookmarkEnd w:id="295"/>
      <w:bookmarkEnd w:id="296"/>
      <w:bookmarkEnd w:id="297"/>
      <w:bookmarkEnd w:id="298"/>
    </w:p>
    <w:p w14:paraId="5CE652E9">
      <w:pPr>
        <w:ind w:left="525" w:hanging="525" w:hangingChars="250"/>
        <w:rPr>
          <w:rFonts w:hint="eastAsia" w:ascii="宋体" w:hAnsi="宋体" w:eastAsia="宋体" w:cs="宋体"/>
          <w:b/>
          <w:bCs/>
          <w:color w:val="auto"/>
          <w:highlight w:val="none"/>
          <w:lang w:val="zh-CN"/>
        </w:rPr>
      </w:pPr>
      <w:r>
        <w:rPr>
          <w:rFonts w:hint="eastAsia" w:ascii="宋体" w:hAnsi="宋体" w:eastAsia="宋体" w:cs="宋体"/>
          <w:color w:val="auto"/>
          <w:highlight w:val="none"/>
          <w:lang w:val="zh-CN"/>
        </w:rPr>
        <w:t>16.1</w:t>
      </w:r>
      <w:r>
        <w:rPr>
          <w:rFonts w:hint="eastAsia" w:ascii="宋体" w:hAnsi="宋体" w:eastAsia="宋体" w:cs="宋体"/>
          <w:color w:val="auto"/>
          <w:highlight w:val="none"/>
          <w:lang w:val="zh-CN"/>
        </w:rPr>
        <w:tab/>
      </w:r>
      <w:r>
        <w:rPr>
          <w:rFonts w:hint="eastAsia" w:ascii="宋体" w:hAnsi="宋体" w:eastAsia="宋体" w:cs="宋体"/>
          <w:b/>
          <w:bCs/>
          <w:color w:val="auto"/>
          <w:highlight w:val="none"/>
          <w:u w:val="single"/>
          <w:lang w:val="zh-CN"/>
        </w:rPr>
        <w:t>投标文件将在递交投标文件截止时间届满后90日内有效。投标有效期比规定时间短的按无效投标文件处理。</w:t>
      </w:r>
    </w:p>
    <w:p w14:paraId="0E8C054B">
      <w:pPr>
        <w:ind w:left="525" w:hanging="525" w:hangingChars="250"/>
        <w:rPr>
          <w:rFonts w:hint="eastAsia" w:ascii="宋体" w:hAnsi="宋体" w:eastAsia="宋体" w:cs="宋体"/>
          <w:b w:val="0"/>
          <w:bCs w:val="0"/>
          <w:color w:val="auto"/>
          <w:highlight w:val="none"/>
          <w:lang w:val="zh-CN"/>
        </w:rPr>
      </w:pPr>
      <w:r>
        <w:rPr>
          <w:rFonts w:hint="eastAsia" w:ascii="宋体" w:hAnsi="宋体" w:eastAsia="宋体" w:cs="宋体"/>
          <w:b w:val="0"/>
          <w:bCs w:val="0"/>
          <w:color w:val="auto"/>
          <w:highlight w:val="none"/>
          <w:lang w:val="zh-CN"/>
        </w:rPr>
        <w:t>16.2</w:t>
      </w:r>
      <w:r>
        <w:rPr>
          <w:rFonts w:hint="eastAsia" w:ascii="宋体" w:hAnsi="宋体" w:eastAsia="宋体" w:cs="宋体"/>
          <w:b w:val="0"/>
          <w:bCs w:val="0"/>
          <w:color w:val="auto"/>
          <w:highlight w:val="none"/>
          <w:lang w:val="zh-CN"/>
        </w:rPr>
        <w:tab/>
      </w:r>
      <w:r>
        <w:rPr>
          <w:rFonts w:hint="eastAsia" w:ascii="宋体" w:hAnsi="宋体" w:eastAsia="宋体" w:cs="宋体"/>
          <w:b w:val="0"/>
          <w:bCs w:val="0"/>
          <w:color w:val="auto"/>
          <w:highlight w:val="none"/>
          <w:lang w:val="zh-CN"/>
        </w:rPr>
        <w:t>中标人的投标文件作为合同附件，合同失效时同时失效。</w:t>
      </w:r>
    </w:p>
    <w:p w14:paraId="15E61EC8">
      <w:pPr>
        <w:ind w:left="525" w:hanging="525" w:hangingChars="250"/>
        <w:rPr>
          <w:rFonts w:hint="eastAsia" w:ascii="宋体" w:hAnsi="宋体" w:eastAsia="宋体" w:cs="宋体"/>
          <w:b w:val="0"/>
          <w:bCs w:val="0"/>
          <w:color w:val="auto"/>
          <w:highlight w:val="none"/>
          <w:lang w:val="zh-CN"/>
        </w:rPr>
      </w:pPr>
      <w:r>
        <w:rPr>
          <w:rFonts w:hint="eastAsia" w:ascii="宋体" w:hAnsi="宋体" w:eastAsia="宋体" w:cs="宋体"/>
          <w:b w:val="0"/>
          <w:bCs w:val="0"/>
          <w:color w:val="auto"/>
          <w:highlight w:val="none"/>
          <w:lang w:val="zh-CN"/>
        </w:rPr>
        <w:t>16.3</w:t>
      </w:r>
      <w:r>
        <w:rPr>
          <w:rFonts w:hint="eastAsia" w:ascii="宋体" w:hAnsi="宋体" w:eastAsia="宋体" w:cs="宋体"/>
          <w:b w:val="0"/>
          <w:bCs w:val="0"/>
          <w:color w:val="auto"/>
          <w:highlight w:val="none"/>
          <w:lang w:val="zh-CN"/>
        </w:rPr>
        <w:tab/>
      </w:r>
      <w:r>
        <w:rPr>
          <w:rFonts w:hint="eastAsia" w:ascii="宋体" w:hAnsi="宋体" w:eastAsia="宋体" w:cs="宋体"/>
          <w:b w:val="0"/>
          <w:bCs w:val="0"/>
          <w:color w:val="auto"/>
          <w:highlight w:val="none"/>
          <w:lang w:val="zh-CN"/>
        </w:rPr>
        <w:t>在特殊情况下，招标代理机构可于投标有效期满之前要求投标人同意延长投标有效期。要求与答复均应为书面形式往来。投标人可以拒绝上述要求，招标人将退还其投标保证金。对于同意该要求的投标人，既不要求也不允许其修改投标文件，但将要求其相应延长投标保证金的有效期。第15条投标保证金的有关规定在投标保证金延长期内仍适用。</w:t>
      </w:r>
    </w:p>
    <w:p w14:paraId="79E98B99">
      <w:pPr>
        <w:ind w:left="357" w:leftChars="-100" w:hanging="567"/>
        <w:rPr>
          <w:rFonts w:hint="eastAsia" w:ascii="宋体" w:hAnsi="宋体" w:eastAsia="宋体" w:cs="宋体"/>
          <w:color w:val="auto"/>
          <w:szCs w:val="21"/>
          <w:highlight w:val="none"/>
          <w:lang w:val="zh-CN"/>
        </w:rPr>
      </w:pPr>
    </w:p>
    <w:p w14:paraId="50D7B7BA">
      <w:pPr>
        <w:pStyle w:val="4"/>
        <w:rPr>
          <w:rFonts w:hint="eastAsia" w:ascii="宋体" w:hAnsi="宋体" w:eastAsia="宋体" w:cs="宋体"/>
          <w:color w:val="auto"/>
          <w:highlight w:val="none"/>
          <w:lang w:val="zh-CN"/>
        </w:rPr>
      </w:pPr>
      <w:bookmarkStart w:id="299" w:name="_Toc13732"/>
      <w:bookmarkStart w:id="300" w:name="_Toc10338"/>
      <w:bookmarkStart w:id="301" w:name="_Toc178076474"/>
      <w:bookmarkStart w:id="302" w:name="_Toc25637_WPSOffice_Level3"/>
      <w:bookmarkStart w:id="303" w:name="_Toc176627795"/>
      <w:bookmarkStart w:id="304" w:name="_Toc13311"/>
      <w:bookmarkStart w:id="305" w:name="_Toc10508"/>
      <w:bookmarkStart w:id="306" w:name="_Toc172552161"/>
      <w:bookmarkStart w:id="307" w:name="_Toc486167681"/>
      <w:bookmarkStart w:id="308" w:name="_Toc18198"/>
      <w:bookmarkStart w:id="309" w:name="_Toc16578"/>
      <w:bookmarkStart w:id="310" w:name="_Toc450662866"/>
      <w:bookmarkStart w:id="311" w:name="_Toc142508331"/>
      <w:r>
        <w:rPr>
          <w:rFonts w:hint="eastAsia" w:ascii="宋体" w:hAnsi="宋体" w:eastAsia="宋体" w:cs="宋体"/>
          <w:color w:val="auto"/>
          <w:highlight w:val="none"/>
          <w:lang w:val="zh-CN"/>
        </w:rPr>
        <w:t>17 投标文件的式样和签署</w:t>
      </w:r>
      <w:bookmarkEnd w:id="299"/>
      <w:bookmarkEnd w:id="300"/>
      <w:bookmarkEnd w:id="301"/>
      <w:bookmarkEnd w:id="302"/>
      <w:bookmarkEnd w:id="303"/>
      <w:bookmarkEnd w:id="304"/>
      <w:bookmarkEnd w:id="305"/>
      <w:bookmarkEnd w:id="306"/>
      <w:bookmarkEnd w:id="307"/>
      <w:bookmarkEnd w:id="308"/>
      <w:bookmarkEnd w:id="309"/>
      <w:bookmarkEnd w:id="310"/>
      <w:bookmarkEnd w:id="311"/>
    </w:p>
    <w:p w14:paraId="0083F9B6">
      <w:pPr>
        <w:ind w:left="525" w:hanging="525" w:hangingChars="25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17.1</w:t>
      </w:r>
      <w:r>
        <w:rPr>
          <w:rFonts w:hint="eastAsia" w:ascii="宋体" w:hAnsi="宋体" w:eastAsia="宋体" w:cs="宋体"/>
          <w:color w:val="auto"/>
          <w:highlight w:val="none"/>
          <w:lang w:val="zh-CN"/>
        </w:rPr>
        <w:tab/>
      </w:r>
      <w:r>
        <w:rPr>
          <w:rFonts w:hint="eastAsia" w:ascii="宋体" w:hAnsi="宋体" w:eastAsia="宋体" w:cs="宋体"/>
          <w:b/>
          <w:bCs/>
          <w:color w:val="auto"/>
          <w:highlight w:val="none"/>
          <w:u w:val="single"/>
          <w:lang w:val="zh-CN"/>
        </w:rPr>
        <w:t>投标人应准备一份“唱标信封”、一份投标文件电子文件、一份正本和五份副本“投标文件”</w:t>
      </w:r>
      <w:r>
        <w:rPr>
          <w:rFonts w:hint="eastAsia" w:ascii="宋体" w:hAnsi="宋体" w:eastAsia="宋体" w:cs="宋体"/>
          <w:color w:val="auto"/>
          <w:highlight w:val="none"/>
          <w:lang w:val="zh-CN"/>
        </w:rPr>
        <w:t>，在每一份投标文件上编上目录（目录内的页码必须与实际内容对应）、页次，装订成册（不允许使用活页夹），并要明确注明“正本”或“副本”，一旦正本和副本发现差异，以正本为准。</w:t>
      </w:r>
    </w:p>
    <w:p w14:paraId="7F53EF57">
      <w:pPr>
        <w:ind w:left="525" w:hanging="525" w:hangingChars="25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17.2</w:t>
      </w:r>
      <w:r>
        <w:rPr>
          <w:rFonts w:hint="eastAsia" w:ascii="宋体" w:hAnsi="宋体" w:eastAsia="宋体" w:cs="宋体"/>
          <w:color w:val="auto"/>
          <w:highlight w:val="none"/>
          <w:lang w:val="zh-CN"/>
        </w:rPr>
        <w:tab/>
      </w:r>
      <w:r>
        <w:rPr>
          <w:rFonts w:hint="eastAsia" w:ascii="宋体" w:hAnsi="宋体" w:eastAsia="宋体" w:cs="宋体"/>
          <w:color w:val="auto"/>
          <w:highlight w:val="none"/>
          <w:lang w:val="zh-CN"/>
        </w:rPr>
        <w:t>投标文件正本和副本须打印或用不褪色墨水书写，招标文件提供的格式文件或投标文件中明确要求签署的，由投标人法定代表人或其授权代表签字（或盖私章），后者须将“法定代表人授权书”以书面形式附在投标文件中。副本文件可由正本文件复印而成。</w:t>
      </w:r>
    </w:p>
    <w:p w14:paraId="050E8CE2">
      <w:pPr>
        <w:ind w:left="525" w:hanging="525" w:hangingChars="25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17.3</w:t>
      </w:r>
      <w:r>
        <w:rPr>
          <w:rFonts w:hint="eastAsia" w:ascii="宋体" w:hAnsi="宋体" w:eastAsia="宋体" w:cs="宋体"/>
          <w:color w:val="auto"/>
          <w:highlight w:val="none"/>
          <w:lang w:val="zh-CN"/>
        </w:rPr>
        <w:tab/>
      </w:r>
      <w:r>
        <w:rPr>
          <w:rFonts w:hint="eastAsia" w:ascii="宋体" w:hAnsi="宋体" w:eastAsia="宋体" w:cs="宋体"/>
          <w:color w:val="auto"/>
          <w:highlight w:val="none"/>
          <w:lang w:val="zh-CN"/>
        </w:rPr>
        <w:t>除投标人对错处作必要修改外，投标文件中不许有加行、涂抹或改写。若有修改须由签署投标文件的人进行签字（或盖私章），并加盖投标人法人公章。</w:t>
      </w:r>
    </w:p>
    <w:p w14:paraId="47A27889">
      <w:pPr>
        <w:ind w:left="525" w:hanging="525" w:hangingChars="25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17.4</w:t>
      </w:r>
      <w:r>
        <w:rPr>
          <w:rFonts w:hint="eastAsia" w:ascii="宋体" w:hAnsi="宋体" w:eastAsia="宋体" w:cs="宋体"/>
          <w:color w:val="auto"/>
          <w:highlight w:val="none"/>
          <w:lang w:val="zh-CN"/>
        </w:rPr>
        <w:tab/>
      </w:r>
      <w:r>
        <w:rPr>
          <w:rFonts w:hint="eastAsia" w:ascii="宋体" w:hAnsi="宋体" w:eastAsia="宋体" w:cs="宋体"/>
          <w:color w:val="auto"/>
          <w:highlight w:val="none"/>
          <w:lang w:val="zh-CN"/>
        </w:rPr>
        <w:t>投标文件的封面应注明“项目名称、招标编号、投标人名称、投标日期等”。</w:t>
      </w:r>
    </w:p>
    <w:p w14:paraId="3C66D4BA">
      <w:pPr>
        <w:ind w:left="525" w:hanging="525" w:hangingChars="25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17.5</w:t>
      </w:r>
      <w:r>
        <w:rPr>
          <w:rFonts w:hint="eastAsia" w:ascii="宋体" w:hAnsi="宋体" w:eastAsia="宋体" w:cs="宋体"/>
          <w:color w:val="auto"/>
          <w:highlight w:val="none"/>
          <w:lang w:val="zh-CN"/>
        </w:rPr>
        <w:tab/>
      </w:r>
      <w:r>
        <w:rPr>
          <w:rFonts w:hint="eastAsia" w:ascii="宋体" w:hAnsi="宋体" w:eastAsia="宋体" w:cs="宋体"/>
          <w:color w:val="auto"/>
          <w:highlight w:val="none"/>
          <w:lang w:val="zh-CN"/>
        </w:rPr>
        <w:t>电子文件内容包括：电子文件不可设置密码，用DVD或CD-R光盘或U盘储存，可密封于“唱标信封”内（若电子文件单独密封，其包装封面需注明项目名称、招标编号、投标人单位名称，并加盖投标人法人公章）。</w:t>
      </w:r>
    </w:p>
    <w:p w14:paraId="1A13F075">
      <w:pPr>
        <w:ind w:left="525" w:hanging="525" w:hangingChars="25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17.6</w:t>
      </w:r>
      <w:r>
        <w:rPr>
          <w:rFonts w:hint="eastAsia" w:ascii="宋体" w:hAnsi="宋体" w:eastAsia="宋体" w:cs="宋体"/>
          <w:color w:val="auto"/>
          <w:highlight w:val="none"/>
          <w:lang w:val="zh-CN"/>
        </w:rPr>
        <w:tab/>
      </w:r>
      <w:r>
        <w:rPr>
          <w:rFonts w:hint="eastAsia" w:ascii="宋体" w:hAnsi="宋体" w:eastAsia="宋体" w:cs="宋体"/>
          <w:color w:val="auto"/>
          <w:highlight w:val="none"/>
          <w:lang w:val="zh-CN"/>
        </w:rPr>
        <w:t>电报、电传、传真的投标概不接受。</w:t>
      </w:r>
    </w:p>
    <w:p w14:paraId="44E25D1E">
      <w:pPr>
        <w:rPr>
          <w:rFonts w:hint="eastAsia" w:ascii="宋体" w:hAnsi="宋体" w:eastAsia="宋体" w:cs="宋体"/>
          <w:color w:val="auto"/>
          <w:highlight w:val="none"/>
        </w:rPr>
      </w:pPr>
      <w:bookmarkStart w:id="312" w:name="_Toc450662867"/>
    </w:p>
    <w:p w14:paraId="3E3C36D3">
      <w:pPr>
        <w:pStyle w:val="3"/>
        <w:rPr>
          <w:rFonts w:hint="eastAsia" w:ascii="宋体" w:hAnsi="宋体" w:eastAsia="宋体" w:cs="宋体"/>
          <w:color w:val="auto"/>
          <w:highlight w:val="none"/>
        </w:rPr>
      </w:pPr>
      <w:bookmarkStart w:id="313" w:name="_Toc30391"/>
      <w:bookmarkStart w:id="314" w:name="_Toc29889"/>
      <w:bookmarkStart w:id="315" w:name="_Toc22356_WPSOffice_Level2"/>
      <w:bookmarkStart w:id="316" w:name="_Toc178076475"/>
      <w:bookmarkStart w:id="317" w:name="_Toc26020"/>
      <w:bookmarkStart w:id="318" w:name="_Toc20123"/>
      <w:bookmarkStart w:id="319" w:name="_Toc13556"/>
      <w:bookmarkStart w:id="320" w:name="_Toc486167682"/>
      <w:bookmarkStart w:id="321" w:name="_Toc18685"/>
      <w:bookmarkStart w:id="322" w:name="_Toc140596891"/>
      <w:bookmarkStart w:id="323" w:name="_Toc142508332"/>
      <w:bookmarkStart w:id="324" w:name="_Toc23704"/>
      <w:bookmarkStart w:id="325" w:name="_Toc176627796"/>
      <w:bookmarkStart w:id="326" w:name="_Toc172552162"/>
      <w:bookmarkStart w:id="327" w:name="_Toc8143"/>
      <w:bookmarkStart w:id="328" w:name="_Toc17608"/>
      <w:r>
        <w:rPr>
          <w:rFonts w:hint="eastAsia" w:ascii="宋体" w:hAnsi="宋体" w:eastAsia="宋体" w:cs="宋体"/>
          <w:color w:val="auto"/>
          <w:highlight w:val="none"/>
          <w:lang w:val="zh-CN"/>
        </w:rPr>
        <w:t>四、投标文件的递交</w:t>
      </w:r>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p>
    <w:p w14:paraId="0250543C">
      <w:pPr>
        <w:pStyle w:val="4"/>
        <w:rPr>
          <w:rFonts w:hint="eastAsia" w:ascii="宋体" w:hAnsi="宋体" w:eastAsia="宋体" w:cs="宋体"/>
          <w:color w:val="auto"/>
          <w:highlight w:val="none"/>
          <w:lang w:val="zh-CN"/>
        </w:rPr>
      </w:pPr>
      <w:bookmarkStart w:id="329" w:name="_Toc23463"/>
      <w:bookmarkStart w:id="330" w:name="_Toc450662868"/>
      <w:bookmarkStart w:id="331" w:name="_Toc3637"/>
      <w:bookmarkStart w:id="332" w:name="_Toc178076476"/>
      <w:bookmarkStart w:id="333" w:name="_Toc15096"/>
      <w:bookmarkStart w:id="334" w:name="_Toc9900"/>
      <w:bookmarkStart w:id="335" w:name="_Toc12192_WPSOffice_Level3"/>
      <w:bookmarkStart w:id="336" w:name="_Toc486167683"/>
      <w:bookmarkStart w:id="337" w:name="_Toc142508333"/>
      <w:bookmarkStart w:id="338" w:name="_Toc1718"/>
      <w:bookmarkStart w:id="339" w:name="_Toc172552163"/>
      <w:bookmarkStart w:id="340" w:name="_Toc176627797"/>
      <w:bookmarkStart w:id="341" w:name="_Toc11273"/>
      <w:r>
        <w:rPr>
          <w:rFonts w:hint="eastAsia" w:ascii="宋体" w:hAnsi="宋体" w:eastAsia="宋体" w:cs="宋体"/>
          <w:color w:val="auto"/>
          <w:highlight w:val="none"/>
          <w:lang w:val="zh-CN"/>
        </w:rPr>
        <w:t>18 投标文件的密封和标记</w:t>
      </w:r>
      <w:bookmarkEnd w:id="329"/>
      <w:bookmarkEnd w:id="330"/>
      <w:bookmarkEnd w:id="331"/>
      <w:bookmarkEnd w:id="332"/>
      <w:bookmarkEnd w:id="333"/>
      <w:bookmarkEnd w:id="334"/>
      <w:bookmarkEnd w:id="335"/>
      <w:bookmarkEnd w:id="336"/>
      <w:bookmarkEnd w:id="337"/>
      <w:bookmarkEnd w:id="338"/>
      <w:bookmarkEnd w:id="339"/>
      <w:bookmarkEnd w:id="340"/>
      <w:bookmarkEnd w:id="341"/>
    </w:p>
    <w:p w14:paraId="624D495B">
      <w:pPr>
        <w:ind w:left="525" w:hanging="525" w:hangingChars="25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18.1</w:t>
      </w:r>
      <w:r>
        <w:rPr>
          <w:rFonts w:hint="eastAsia" w:ascii="宋体" w:hAnsi="宋体" w:eastAsia="宋体" w:cs="宋体"/>
          <w:color w:val="auto"/>
          <w:highlight w:val="none"/>
          <w:lang w:val="zh-CN"/>
        </w:rPr>
        <w:tab/>
      </w:r>
      <w:r>
        <w:rPr>
          <w:rFonts w:hint="eastAsia" w:ascii="宋体" w:hAnsi="宋体" w:eastAsia="宋体" w:cs="宋体"/>
          <w:color w:val="auto"/>
          <w:highlight w:val="none"/>
          <w:lang w:val="zh-CN"/>
        </w:rPr>
        <w:t>投标人应将正本和副本投标文件（本处不含唱标信封、投标文件电子文件）密封在不透明的外层封装中。</w:t>
      </w:r>
    </w:p>
    <w:p w14:paraId="602F7187">
      <w:pPr>
        <w:ind w:left="525" w:hanging="525" w:hangingChars="25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18.2</w:t>
      </w:r>
      <w:r>
        <w:rPr>
          <w:rFonts w:hint="eastAsia" w:ascii="宋体" w:hAnsi="宋体" w:eastAsia="宋体" w:cs="宋体"/>
          <w:color w:val="auto"/>
          <w:highlight w:val="none"/>
          <w:lang w:val="zh-CN"/>
        </w:rPr>
        <w:tab/>
      </w:r>
      <w:r>
        <w:rPr>
          <w:rFonts w:hint="eastAsia" w:ascii="宋体" w:hAnsi="宋体" w:eastAsia="宋体" w:cs="宋体"/>
          <w:b/>
          <w:bCs/>
          <w:color w:val="auto"/>
          <w:highlight w:val="none"/>
          <w:u w:val="single"/>
          <w:lang w:val="zh-CN"/>
        </w:rPr>
        <w:t>唱标信封应单独密封，与18.1款的投标文件一同提交。</w:t>
      </w:r>
    </w:p>
    <w:p w14:paraId="10060528">
      <w:pPr>
        <w:ind w:left="525" w:hanging="525" w:hangingChars="25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18.3</w:t>
      </w:r>
      <w:r>
        <w:rPr>
          <w:rFonts w:hint="eastAsia" w:ascii="宋体" w:hAnsi="宋体" w:eastAsia="宋体" w:cs="宋体"/>
          <w:color w:val="auto"/>
          <w:highlight w:val="none"/>
          <w:lang w:val="zh-CN"/>
        </w:rPr>
        <w:tab/>
      </w:r>
      <w:r>
        <w:rPr>
          <w:rFonts w:hint="eastAsia" w:ascii="宋体" w:hAnsi="宋体" w:eastAsia="宋体" w:cs="宋体"/>
          <w:color w:val="auto"/>
          <w:highlight w:val="none"/>
          <w:lang w:val="zh-CN"/>
        </w:rPr>
        <w:t>投标文件密封封装标记：</w:t>
      </w:r>
    </w:p>
    <w:p w14:paraId="72C10606">
      <w:pPr>
        <w:ind w:left="525" w:hanging="525" w:hangingChars="25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（1）外层密封封装表面应正确注明项目名称、招标编号、投标人单位名称、并注明投标文件递交截止时间之前不得开封（在封口位置的封条上标注注明），封口位置的封条上须加盖投标人法人公章；</w:t>
      </w:r>
    </w:p>
    <w:p w14:paraId="7B38FD99">
      <w:pPr>
        <w:ind w:left="525" w:hanging="525" w:hangingChars="25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（2）投标文件已密封但不按前述标志封包，由此而引起的提前开封或错放责任由投标人承担；</w:t>
      </w:r>
    </w:p>
    <w:p w14:paraId="46028B8A">
      <w:pPr>
        <w:ind w:left="525" w:hanging="525" w:hangingChars="25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（3）不足以造成投标文件可以从外包装内散出而导致投标文件泄密的，不认定为投标文件未密封。</w:t>
      </w:r>
    </w:p>
    <w:p w14:paraId="2975D853">
      <w:pPr>
        <w:ind w:left="525" w:hanging="525" w:hangingChars="25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18.4</w:t>
      </w:r>
      <w:r>
        <w:rPr>
          <w:rFonts w:hint="eastAsia" w:ascii="宋体" w:hAnsi="宋体" w:eastAsia="宋体" w:cs="宋体"/>
          <w:color w:val="auto"/>
          <w:highlight w:val="none"/>
          <w:lang w:val="zh-CN"/>
        </w:rPr>
        <w:tab/>
      </w:r>
      <w:r>
        <w:rPr>
          <w:rFonts w:hint="eastAsia" w:ascii="宋体" w:hAnsi="宋体" w:eastAsia="宋体" w:cs="宋体"/>
          <w:b/>
          <w:bCs/>
          <w:color w:val="auto"/>
          <w:highlight w:val="none"/>
          <w:u w:val="none"/>
          <w:lang w:val="zh-CN"/>
        </w:rPr>
        <w:t>如果密封封装未按本款规定密封和标记，招标代理机构对投标文件的误投或提前拆封不负责任。对由此造成提前开封的投标文件，招标代理机构予以拒绝，并退回投标人。</w:t>
      </w:r>
    </w:p>
    <w:p w14:paraId="5E777ABD">
      <w:pPr>
        <w:ind w:left="525" w:hanging="525" w:hangingChars="25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18.5 开标前，由投标人代表（第一位递交投标文件的投标人代表及主动自愿参与检查的投标人代表）和招标人代表将对所有的投标文件的密封性进行检查，并签署进行确认。</w:t>
      </w:r>
    </w:p>
    <w:p w14:paraId="306DB2E6">
      <w:pPr>
        <w:rPr>
          <w:rFonts w:hint="eastAsia" w:ascii="宋体" w:hAnsi="宋体" w:eastAsia="宋体" w:cs="宋体"/>
          <w:color w:val="auto"/>
          <w:highlight w:val="none"/>
          <w:lang w:val="zh-CN"/>
        </w:rPr>
      </w:pPr>
    </w:p>
    <w:p w14:paraId="0BDD3AA8">
      <w:pPr>
        <w:pStyle w:val="4"/>
        <w:rPr>
          <w:rFonts w:hint="eastAsia" w:ascii="宋体" w:hAnsi="宋体" w:eastAsia="宋体" w:cs="宋体"/>
          <w:color w:val="auto"/>
          <w:highlight w:val="none"/>
          <w:lang w:val="zh-CN"/>
        </w:rPr>
      </w:pPr>
      <w:bookmarkStart w:id="342" w:name="_Toc486167684"/>
      <w:bookmarkStart w:id="343" w:name="_Toc176627798"/>
      <w:bookmarkStart w:id="344" w:name="_Toc3384"/>
      <w:bookmarkStart w:id="345" w:name="_Toc23542"/>
      <w:bookmarkStart w:id="346" w:name="_Toc450662869"/>
      <w:bookmarkStart w:id="347" w:name="_Toc15483"/>
      <w:bookmarkStart w:id="348" w:name="_Toc20142"/>
      <w:bookmarkStart w:id="349" w:name="_Toc20210"/>
      <w:bookmarkStart w:id="350" w:name="_Toc29665_WPSOffice_Level3"/>
      <w:bookmarkStart w:id="351" w:name="_Toc142508334"/>
      <w:bookmarkStart w:id="352" w:name="_Toc4692"/>
      <w:bookmarkStart w:id="353" w:name="_Toc172552164"/>
      <w:bookmarkStart w:id="354" w:name="_Toc178076477"/>
      <w:r>
        <w:rPr>
          <w:rFonts w:hint="eastAsia" w:ascii="宋体" w:hAnsi="宋体" w:eastAsia="宋体" w:cs="宋体"/>
          <w:color w:val="auto"/>
          <w:highlight w:val="none"/>
          <w:lang w:val="zh-CN"/>
        </w:rPr>
        <w:t>19 递交投标文件的截止日期</w:t>
      </w:r>
      <w:bookmarkEnd w:id="342"/>
      <w:bookmarkEnd w:id="343"/>
      <w:bookmarkEnd w:id="344"/>
      <w:bookmarkEnd w:id="345"/>
      <w:bookmarkEnd w:id="346"/>
      <w:bookmarkEnd w:id="347"/>
      <w:bookmarkEnd w:id="348"/>
      <w:bookmarkEnd w:id="349"/>
      <w:bookmarkEnd w:id="350"/>
      <w:bookmarkEnd w:id="351"/>
      <w:bookmarkEnd w:id="352"/>
      <w:bookmarkEnd w:id="353"/>
      <w:bookmarkEnd w:id="354"/>
    </w:p>
    <w:p w14:paraId="13C7BC22">
      <w:pPr>
        <w:ind w:left="525" w:hanging="525" w:hangingChars="25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19.1</w:t>
      </w:r>
      <w:r>
        <w:rPr>
          <w:rFonts w:hint="eastAsia" w:ascii="宋体" w:hAnsi="宋体" w:eastAsia="宋体" w:cs="宋体"/>
          <w:color w:val="auto"/>
          <w:highlight w:val="none"/>
          <w:lang w:val="zh-CN"/>
        </w:rPr>
        <w:tab/>
      </w:r>
      <w:r>
        <w:rPr>
          <w:rFonts w:hint="eastAsia" w:ascii="宋体" w:hAnsi="宋体" w:eastAsia="宋体" w:cs="宋体"/>
          <w:color w:val="auto"/>
          <w:highlight w:val="none"/>
          <w:lang w:val="zh-CN"/>
        </w:rPr>
        <w:t>招标代理机构收到投标文件的时间不得迟于第一篇“招标公告”中规定的截止时间。</w:t>
      </w:r>
    </w:p>
    <w:p w14:paraId="120B236C">
      <w:pPr>
        <w:ind w:left="525" w:hanging="525" w:hangingChars="25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19.2</w:t>
      </w:r>
      <w:r>
        <w:rPr>
          <w:rFonts w:hint="eastAsia" w:ascii="宋体" w:hAnsi="宋体" w:eastAsia="宋体" w:cs="宋体"/>
          <w:color w:val="auto"/>
          <w:highlight w:val="none"/>
          <w:lang w:val="zh-CN"/>
        </w:rPr>
        <w:tab/>
      </w:r>
      <w:r>
        <w:rPr>
          <w:rFonts w:hint="eastAsia" w:ascii="宋体" w:hAnsi="宋体" w:eastAsia="宋体" w:cs="宋体"/>
          <w:color w:val="auto"/>
          <w:highlight w:val="none"/>
          <w:lang w:val="zh-CN"/>
        </w:rPr>
        <w:t>招标代理机构可按照第7条的规定修改招标文件并酌情延长递交投标文件的截止时间，因此，已规定的招标代理机构和投标人的一切权利和义务将按延期后的递交投标文件截止时间履行。</w:t>
      </w:r>
    </w:p>
    <w:p w14:paraId="7F5C41A8">
      <w:pPr>
        <w:ind w:left="357" w:leftChars="-100" w:hanging="567"/>
        <w:rPr>
          <w:rFonts w:hint="eastAsia" w:ascii="宋体" w:hAnsi="宋体" w:eastAsia="宋体" w:cs="宋体"/>
          <w:color w:val="auto"/>
          <w:szCs w:val="21"/>
          <w:highlight w:val="none"/>
          <w:lang w:val="zh-CN"/>
        </w:rPr>
      </w:pPr>
    </w:p>
    <w:p w14:paraId="2071B1EB">
      <w:pPr>
        <w:pStyle w:val="4"/>
        <w:rPr>
          <w:rFonts w:hint="eastAsia" w:ascii="宋体" w:hAnsi="宋体" w:eastAsia="宋体" w:cs="宋体"/>
          <w:color w:val="auto"/>
          <w:highlight w:val="none"/>
        </w:rPr>
      </w:pPr>
      <w:bookmarkStart w:id="355" w:name="_Toc6684"/>
      <w:bookmarkStart w:id="356" w:name="_Toc178076478"/>
      <w:bookmarkStart w:id="357" w:name="_Toc22306"/>
      <w:bookmarkStart w:id="358" w:name="_Toc14907"/>
      <w:bookmarkStart w:id="359" w:name="_Toc142508335"/>
      <w:bookmarkStart w:id="360" w:name="_Toc22431_WPSOffice_Level3"/>
      <w:bookmarkStart w:id="361" w:name="_Toc3890"/>
      <w:bookmarkStart w:id="362" w:name="_Toc11589"/>
      <w:bookmarkStart w:id="363" w:name="_Toc172552165"/>
      <w:bookmarkStart w:id="364" w:name="_Toc176627799"/>
      <w:bookmarkStart w:id="365" w:name="_Toc30707"/>
      <w:bookmarkStart w:id="366" w:name="_Toc450662870"/>
      <w:bookmarkStart w:id="367" w:name="_Toc486167685"/>
      <w:r>
        <w:rPr>
          <w:rFonts w:hint="eastAsia" w:ascii="宋体" w:hAnsi="宋体" w:eastAsia="宋体" w:cs="宋体"/>
          <w:color w:val="auto"/>
          <w:highlight w:val="none"/>
          <w:lang w:val="zh-CN"/>
        </w:rPr>
        <w:t>20 迟交的投标文件</w:t>
      </w:r>
      <w:bookmarkEnd w:id="355"/>
      <w:bookmarkEnd w:id="356"/>
      <w:bookmarkEnd w:id="357"/>
      <w:bookmarkEnd w:id="358"/>
      <w:bookmarkEnd w:id="359"/>
      <w:bookmarkEnd w:id="360"/>
      <w:bookmarkEnd w:id="361"/>
      <w:bookmarkEnd w:id="362"/>
      <w:bookmarkEnd w:id="363"/>
      <w:bookmarkEnd w:id="364"/>
      <w:bookmarkEnd w:id="365"/>
      <w:bookmarkEnd w:id="366"/>
      <w:bookmarkEnd w:id="367"/>
    </w:p>
    <w:p w14:paraId="0D01FF83">
      <w:pPr>
        <w:ind w:left="315" w:leftChars="15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根据第19条规定，招标代理机构将拒绝任何晚于递交投标文件的截止时间交到的投标文件。</w:t>
      </w:r>
    </w:p>
    <w:p w14:paraId="7E363A6A">
      <w:pPr>
        <w:jc w:val="left"/>
        <w:rPr>
          <w:rFonts w:hint="eastAsia" w:ascii="宋体" w:hAnsi="宋体" w:eastAsia="宋体" w:cs="宋体"/>
          <w:color w:val="auto"/>
          <w:kern w:val="0"/>
          <w:sz w:val="24"/>
          <w:szCs w:val="24"/>
          <w:highlight w:val="none"/>
        </w:rPr>
      </w:pPr>
    </w:p>
    <w:p w14:paraId="08C796FD">
      <w:pPr>
        <w:pStyle w:val="4"/>
        <w:rPr>
          <w:rFonts w:hint="eastAsia" w:ascii="宋体" w:hAnsi="宋体" w:eastAsia="宋体" w:cs="宋体"/>
          <w:color w:val="auto"/>
          <w:highlight w:val="none"/>
          <w:lang w:val="zh-CN"/>
        </w:rPr>
      </w:pPr>
      <w:bookmarkStart w:id="368" w:name="_Toc4883_WPSOffice_Level3"/>
      <w:bookmarkStart w:id="369" w:name="_Toc172552166"/>
      <w:bookmarkStart w:id="370" w:name="_Toc16983"/>
      <w:bookmarkStart w:id="371" w:name="_Toc486167686"/>
      <w:bookmarkStart w:id="372" w:name="_Toc176627800"/>
      <w:bookmarkStart w:id="373" w:name="_Toc6124"/>
      <w:bookmarkStart w:id="374" w:name="_Toc450662871"/>
      <w:bookmarkStart w:id="375" w:name="_Toc142508336"/>
      <w:bookmarkStart w:id="376" w:name="_Toc22747"/>
      <w:bookmarkStart w:id="377" w:name="_Toc9728"/>
      <w:bookmarkStart w:id="378" w:name="_Toc12065"/>
      <w:bookmarkStart w:id="379" w:name="_Toc178076479"/>
      <w:bookmarkStart w:id="380" w:name="_Toc16964"/>
      <w:r>
        <w:rPr>
          <w:rFonts w:hint="eastAsia" w:ascii="宋体" w:hAnsi="宋体" w:eastAsia="宋体" w:cs="宋体"/>
          <w:color w:val="auto"/>
          <w:highlight w:val="none"/>
          <w:lang w:val="zh-CN"/>
        </w:rPr>
        <w:t>21 投标文件的修改和撤回</w:t>
      </w:r>
      <w:bookmarkEnd w:id="368"/>
      <w:bookmarkEnd w:id="369"/>
      <w:bookmarkEnd w:id="370"/>
      <w:bookmarkEnd w:id="371"/>
      <w:bookmarkEnd w:id="372"/>
      <w:bookmarkEnd w:id="373"/>
      <w:bookmarkEnd w:id="374"/>
      <w:bookmarkEnd w:id="375"/>
      <w:bookmarkEnd w:id="376"/>
      <w:bookmarkEnd w:id="377"/>
      <w:bookmarkEnd w:id="378"/>
      <w:bookmarkEnd w:id="379"/>
      <w:bookmarkEnd w:id="380"/>
    </w:p>
    <w:p w14:paraId="3C9C3D36">
      <w:pPr>
        <w:ind w:left="525" w:hanging="525" w:hangingChars="25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21.1</w:t>
      </w:r>
      <w:r>
        <w:rPr>
          <w:rFonts w:hint="eastAsia" w:ascii="宋体" w:hAnsi="宋体" w:eastAsia="宋体" w:cs="宋体"/>
          <w:color w:val="auto"/>
          <w:highlight w:val="none"/>
          <w:lang w:val="zh-CN"/>
        </w:rPr>
        <w:tab/>
      </w:r>
      <w:r>
        <w:rPr>
          <w:rFonts w:hint="eastAsia" w:ascii="宋体" w:hAnsi="宋体" w:eastAsia="宋体" w:cs="宋体"/>
          <w:color w:val="auto"/>
          <w:highlight w:val="none"/>
          <w:lang w:val="zh-CN"/>
        </w:rPr>
        <w:t>投标人在提交投标文件后可对其投标文件进行修改或撤回，但招标代理机构须在提交投标文件截止日期前收到该修改或撤回的书面通知。</w:t>
      </w:r>
    </w:p>
    <w:p w14:paraId="454EE14F">
      <w:pPr>
        <w:ind w:left="525" w:hanging="525" w:hangingChars="25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21.2</w:t>
      </w:r>
      <w:r>
        <w:rPr>
          <w:rFonts w:hint="eastAsia" w:ascii="宋体" w:hAnsi="宋体" w:eastAsia="宋体" w:cs="宋体"/>
          <w:color w:val="auto"/>
          <w:highlight w:val="none"/>
          <w:lang w:val="zh-CN"/>
        </w:rPr>
        <w:tab/>
      </w:r>
      <w:r>
        <w:rPr>
          <w:rFonts w:hint="eastAsia" w:ascii="宋体" w:hAnsi="宋体" w:eastAsia="宋体" w:cs="宋体"/>
          <w:color w:val="auto"/>
          <w:highlight w:val="none"/>
          <w:lang w:val="zh-CN"/>
        </w:rPr>
        <w:t>投标人对投标文件的修改或撤回的通知应按第17条和第18条规定进行准备、密封、标注和递送。</w:t>
      </w:r>
    </w:p>
    <w:p w14:paraId="33714015">
      <w:pPr>
        <w:ind w:left="525" w:hanging="525" w:hangingChars="25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21.3</w:t>
      </w:r>
      <w:r>
        <w:rPr>
          <w:rFonts w:hint="eastAsia" w:ascii="宋体" w:hAnsi="宋体" w:eastAsia="宋体" w:cs="宋体"/>
          <w:color w:val="auto"/>
          <w:highlight w:val="none"/>
          <w:lang w:val="zh-CN"/>
        </w:rPr>
        <w:tab/>
      </w:r>
      <w:r>
        <w:rPr>
          <w:rFonts w:hint="eastAsia" w:ascii="宋体" w:hAnsi="宋体" w:eastAsia="宋体" w:cs="宋体"/>
          <w:color w:val="auto"/>
          <w:highlight w:val="none"/>
          <w:lang w:val="zh-CN"/>
        </w:rPr>
        <w:t>递交投标文件截止时间后不得修改投标文件。</w:t>
      </w:r>
    </w:p>
    <w:p w14:paraId="7F529254">
      <w:pPr>
        <w:ind w:left="525" w:hanging="525" w:hangingChars="25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21.4</w:t>
      </w:r>
      <w:r>
        <w:rPr>
          <w:rFonts w:hint="eastAsia" w:ascii="宋体" w:hAnsi="宋体" w:eastAsia="宋体" w:cs="宋体"/>
          <w:color w:val="auto"/>
          <w:highlight w:val="none"/>
          <w:lang w:val="zh-CN"/>
        </w:rPr>
        <w:tab/>
      </w:r>
      <w:r>
        <w:rPr>
          <w:rFonts w:hint="eastAsia" w:ascii="宋体" w:hAnsi="宋体" w:eastAsia="宋体" w:cs="宋体"/>
          <w:color w:val="auto"/>
          <w:highlight w:val="none"/>
          <w:lang w:val="zh-CN"/>
        </w:rPr>
        <w:t>投标人不得在递交投标文件截止时间起至第16条规定的投标文件有效期期满前撤销投标文件。否则招标</w:t>
      </w:r>
      <w:r>
        <w:rPr>
          <w:rFonts w:hint="eastAsia" w:ascii="宋体" w:hAnsi="宋体" w:eastAsia="宋体" w:cs="宋体"/>
          <w:color w:val="auto"/>
          <w:highlight w:val="none"/>
        </w:rPr>
        <w:t>人</w:t>
      </w:r>
      <w:r>
        <w:rPr>
          <w:rFonts w:hint="eastAsia" w:ascii="宋体" w:hAnsi="宋体" w:eastAsia="宋体" w:cs="宋体"/>
          <w:color w:val="auto"/>
          <w:highlight w:val="none"/>
          <w:lang w:val="zh-CN"/>
        </w:rPr>
        <w:t>将按第15.7款（1）规定不予退还其投标保证金。</w:t>
      </w:r>
    </w:p>
    <w:p w14:paraId="75F8892F">
      <w:pPr>
        <w:rPr>
          <w:rFonts w:hint="eastAsia" w:ascii="宋体" w:hAnsi="宋体" w:eastAsia="宋体" w:cs="宋体"/>
          <w:color w:val="auto"/>
          <w:highlight w:val="none"/>
          <w:lang w:val="zh-CN"/>
        </w:rPr>
      </w:pPr>
      <w:bookmarkStart w:id="381" w:name="_Toc176627801"/>
      <w:bookmarkStart w:id="382" w:name="_Toc486167687"/>
      <w:bookmarkStart w:id="383" w:name="_Toc1049_WPSOffice_Level2"/>
      <w:bookmarkStart w:id="384" w:name="_Toc172552167"/>
      <w:bookmarkStart w:id="385" w:name="_Toc12748"/>
      <w:bookmarkStart w:id="386" w:name="_Toc27648"/>
      <w:bookmarkStart w:id="387" w:name="_Toc142508337"/>
      <w:bookmarkStart w:id="388" w:name="_Toc26366"/>
      <w:bookmarkStart w:id="389" w:name="_Toc450662872"/>
      <w:bookmarkStart w:id="390" w:name="_Toc18597"/>
      <w:bookmarkStart w:id="391" w:name="_Toc22006"/>
      <w:bookmarkStart w:id="392" w:name="_Toc178076480"/>
      <w:bookmarkStart w:id="393" w:name="_Toc140596896"/>
      <w:bookmarkStart w:id="394" w:name="_Toc31520"/>
      <w:bookmarkStart w:id="395" w:name="_Toc28878"/>
    </w:p>
    <w:p w14:paraId="58417FBD">
      <w:pPr>
        <w:pStyle w:val="3"/>
        <w:rPr>
          <w:rFonts w:hint="eastAsia" w:ascii="宋体" w:hAnsi="宋体" w:eastAsia="宋体" w:cs="宋体"/>
          <w:color w:val="auto"/>
          <w:highlight w:val="none"/>
          <w:lang w:val="zh-CN"/>
        </w:rPr>
      </w:pPr>
      <w:bookmarkStart w:id="396" w:name="_Toc22044"/>
      <w:bookmarkStart w:id="397" w:name="_Toc31848"/>
      <w:r>
        <w:rPr>
          <w:rFonts w:hint="eastAsia" w:ascii="宋体" w:hAnsi="宋体" w:eastAsia="宋体" w:cs="宋体"/>
          <w:color w:val="auto"/>
          <w:highlight w:val="none"/>
          <w:lang w:val="zh-CN"/>
        </w:rPr>
        <w:t>五、开标与评标</w:t>
      </w:r>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p>
    <w:p w14:paraId="0D9618F3">
      <w:pPr>
        <w:pStyle w:val="4"/>
        <w:rPr>
          <w:rFonts w:hint="eastAsia" w:ascii="宋体" w:hAnsi="宋体" w:eastAsia="宋体" w:cs="宋体"/>
          <w:color w:val="auto"/>
          <w:highlight w:val="none"/>
          <w:lang w:val="zh-CN"/>
        </w:rPr>
      </w:pPr>
      <w:bookmarkStart w:id="398" w:name="_Toc486167688"/>
      <w:bookmarkStart w:id="399" w:name="_Toc7200"/>
      <w:bookmarkStart w:id="400" w:name="_Toc31375"/>
      <w:bookmarkStart w:id="401" w:name="_Toc13997"/>
      <w:bookmarkStart w:id="402" w:name="_Toc178076481"/>
      <w:bookmarkStart w:id="403" w:name="_Toc27306"/>
      <w:bookmarkStart w:id="404" w:name="_Toc176627802"/>
      <w:bookmarkStart w:id="405" w:name="_Toc142508338"/>
      <w:bookmarkStart w:id="406" w:name="_Toc450662873"/>
      <w:bookmarkStart w:id="407" w:name="_Toc172552168"/>
      <w:bookmarkStart w:id="408" w:name="_Toc144_WPSOffice_Level3"/>
      <w:bookmarkStart w:id="409" w:name="_Toc30304"/>
      <w:bookmarkStart w:id="410" w:name="_Toc24358"/>
      <w:r>
        <w:rPr>
          <w:rFonts w:hint="eastAsia" w:ascii="宋体" w:hAnsi="宋体" w:eastAsia="宋体" w:cs="宋体"/>
          <w:color w:val="auto"/>
          <w:highlight w:val="none"/>
          <w:lang w:val="zh-CN"/>
        </w:rPr>
        <w:t>22 开标</w:t>
      </w:r>
      <w:bookmarkEnd w:id="398"/>
      <w:bookmarkEnd w:id="399"/>
      <w:bookmarkEnd w:id="400"/>
      <w:bookmarkEnd w:id="401"/>
      <w:bookmarkEnd w:id="402"/>
      <w:bookmarkEnd w:id="403"/>
      <w:bookmarkEnd w:id="404"/>
      <w:bookmarkEnd w:id="405"/>
      <w:bookmarkEnd w:id="406"/>
      <w:bookmarkEnd w:id="407"/>
      <w:bookmarkEnd w:id="408"/>
      <w:bookmarkEnd w:id="409"/>
      <w:bookmarkEnd w:id="410"/>
    </w:p>
    <w:p w14:paraId="5EFB52BC">
      <w:pPr>
        <w:ind w:left="525" w:hanging="525" w:hangingChars="25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22.1</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lang w:val="zh-CN"/>
        </w:rPr>
        <w:t>招标代理机构在投标人代表自愿出席的情况下，在第一篇“招标公告”规定的地点和时间开标, 出席代表需登记以示出席。</w:t>
      </w:r>
    </w:p>
    <w:p w14:paraId="11837BBB">
      <w:pPr>
        <w:ind w:left="525" w:hanging="525" w:hangingChars="25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22.2</w:t>
      </w:r>
      <w:r>
        <w:rPr>
          <w:rFonts w:hint="eastAsia" w:ascii="宋体" w:hAnsi="宋体" w:eastAsia="宋体" w:cs="宋体"/>
          <w:color w:val="auto"/>
          <w:highlight w:val="none"/>
          <w:lang w:val="zh-CN"/>
        </w:rPr>
        <w:tab/>
      </w:r>
      <w:r>
        <w:rPr>
          <w:rFonts w:hint="eastAsia" w:ascii="宋体" w:hAnsi="宋体" w:eastAsia="宋体" w:cs="宋体"/>
          <w:color w:val="auto"/>
          <w:highlight w:val="none"/>
          <w:lang w:val="zh-CN"/>
        </w:rPr>
        <w:t>按照第21条规定，提交了可接受的“撤回”通知的投标文件将不予开封。</w:t>
      </w:r>
    </w:p>
    <w:p w14:paraId="787E8AF2">
      <w:pPr>
        <w:ind w:left="525" w:hanging="525" w:hangingChars="25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22.3 开标时，招标代理机构将当众宣读投标人名称、投标报价以及招标代理机构认为合适的其他内容。若招标代理机构宣读的结果与投标文件不符时，投标人有权在开标现场提出异议，经招标人采购活动的监督人员当场核查确认之后，可重新宣读其投标文件相关内容。若投标人现场未提出异议，则视为投标人确认宣读的结果。</w:t>
      </w:r>
    </w:p>
    <w:p w14:paraId="1F5EEC61">
      <w:pPr>
        <w:ind w:left="525" w:hanging="525" w:hangingChars="25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22.4</w:t>
      </w:r>
      <w:r>
        <w:rPr>
          <w:rFonts w:hint="eastAsia" w:ascii="宋体" w:hAnsi="宋体" w:eastAsia="宋体" w:cs="宋体"/>
          <w:color w:val="auto"/>
          <w:highlight w:val="none"/>
          <w:lang w:val="zh-CN"/>
        </w:rPr>
        <w:tab/>
      </w:r>
      <w:r>
        <w:rPr>
          <w:rFonts w:hint="eastAsia" w:ascii="宋体" w:hAnsi="宋体" w:eastAsia="宋体" w:cs="宋体"/>
          <w:color w:val="auto"/>
          <w:highlight w:val="none"/>
          <w:lang w:val="zh-CN"/>
        </w:rPr>
        <w:t>投标报价表内当以数字表示的报价系数与以文字表示的报价系数不一致时，以文字表示的报价系数为准。投标报价表内折扣系数报价最多保留小数点后两位。对不同文字文本投标文件的解释发生异议的，以中文文本为准。</w:t>
      </w:r>
    </w:p>
    <w:p w14:paraId="4709D493">
      <w:pPr>
        <w:ind w:left="525" w:hanging="525" w:hangingChars="25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22.5 投标人对开标有异议的，应当在开标现场提出，招标代理机构应当当场作出答复，并制作记录。投标人法定代表人或其授权代表未出席的，视同认可开标结果。</w:t>
      </w:r>
    </w:p>
    <w:p w14:paraId="456DEBE5">
      <w:pPr>
        <w:ind w:left="525" w:hanging="525" w:hangingChars="25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22.6 招标代理机构将做开标记录，开标记录包括第22.5款发生的异议及答复、按第22.3款的规定在开标时宣读的全部内容。</w:t>
      </w:r>
    </w:p>
    <w:p w14:paraId="1BC6B9EA">
      <w:pPr>
        <w:ind w:left="357" w:leftChars="-100" w:right="15" w:rightChars="7" w:hanging="567"/>
        <w:rPr>
          <w:rFonts w:hint="eastAsia" w:ascii="宋体" w:hAnsi="宋体" w:eastAsia="宋体" w:cs="宋体"/>
          <w:color w:val="auto"/>
          <w:kern w:val="0"/>
          <w:szCs w:val="21"/>
          <w:highlight w:val="none"/>
        </w:rPr>
      </w:pPr>
    </w:p>
    <w:p w14:paraId="5526B12D">
      <w:pPr>
        <w:pStyle w:val="4"/>
        <w:rPr>
          <w:rFonts w:hint="eastAsia" w:ascii="宋体" w:hAnsi="宋体" w:eastAsia="宋体" w:cs="宋体"/>
          <w:color w:val="auto"/>
          <w:highlight w:val="none"/>
          <w:lang w:val="zh-CN"/>
        </w:rPr>
      </w:pPr>
      <w:bookmarkStart w:id="411" w:name="_Toc17779"/>
      <w:bookmarkStart w:id="412" w:name="_Toc176627803"/>
      <w:bookmarkStart w:id="413" w:name="_Toc9024"/>
      <w:bookmarkStart w:id="414" w:name="_Toc2038"/>
      <w:bookmarkStart w:id="415" w:name="_Toc15671"/>
      <w:bookmarkStart w:id="416" w:name="_Toc29304"/>
      <w:bookmarkStart w:id="417" w:name="_Toc20749"/>
      <w:bookmarkStart w:id="418" w:name="_Toc172552169"/>
      <w:bookmarkStart w:id="419" w:name="_Toc450662874"/>
      <w:bookmarkStart w:id="420" w:name="_Toc12165_WPSOffice_Level3"/>
      <w:bookmarkStart w:id="421" w:name="_Toc486167689"/>
      <w:bookmarkStart w:id="422" w:name="_Toc142508339"/>
      <w:bookmarkStart w:id="423" w:name="_Toc178076482"/>
      <w:r>
        <w:rPr>
          <w:rFonts w:hint="eastAsia" w:ascii="宋体" w:hAnsi="宋体" w:eastAsia="宋体" w:cs="宋体"/>
          <w:color w:val="auto"/>
          <w:highlight w:val="none"/>
          <w:lang w:val="zh-CN"/>
        </w:rPr>
        <w:t xml:space="preserve">23 </w:t>
      </w:r>
      <w:r>
        <w:rPr>
          <w:rFonts w:hint="eastAsia" w:ascii="宋体" w:hAnsi="宋体" w:eastAsia="宋体" w:cs="宋体"/>
          <w:color w:val="auto"/>
          <w:highlight w:val="none"/>
        </w:rPr>
        <w:t>评标过程的保密性</w:t>
      </w:r>
      <w:bookmarkEnd w:id="411"/>
      <w:bookmarkEnd w:id="412"/>
      <w:bookmarkEnd w:id="413"/>
      <w:bookmarkEnd w:id="414"/>
      <w:bookmarkEnd w:id="415"/>
      <w:bookmarkEnd w:id="416"/>
      <w:bookmarkEnd w:id="417"/>
      <w:bookmarkEnd w:id="418"/>
      <w:bookmarkEnd w:id="419"/>
      <w:bookmarkEnd w:id="420"/>
      <w:bookmarkEnd w:id="421"/>
      <w:bookmarkEnd w:id="422"/>
      <w:bookmarkEnd w:id="423"/>
    </w:p>
    <w:p w14:paraId="78FF30BB">
      <w:pPr>
        <w:ind w:left="525" w:hanging="525" w:hangingChars="25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23.1</w:t>
      </w:r>
      <w:r>
        <w:rPr>
          <w:rFonts w:hint="eastAsia" w:ascii="宋体" w:hAnsi="宋体" w:eastAsia="宋体" w:cs="宋体"/>
          <w:color w:val="auto"/>
          <w:highlight w:val="none"/>
          <w:lang w:val="zh-CN"/>
        </w:rPr>
        <w:tab/>
      </w:r>
      <w:r>
        <w:rPr>
          <w:rFonts w:hint="eastAsia" w:ascii="宋体" w:hAnsi="宋体" w:eastAsia="宋体" w:cs="宋体"/>
          <w:color w:val="auto"/>
          <w:highlight w:val="none"/>
          <w:lang w:val="zh-CN"/>
        </w:rPr>
        <w:t>递交投标文件后，直至向中标人授予合同期间，凡与审查、澄清、评估和比较投标报价的有关资料以及意见等，均不得向投标人及与评审无关的其他人透露，否则追究有关当事人的法律责任。</w:t>
      </w:r>
    </w:p>
    <w:p w14:paraId="06E4A847">
      <w:pPr>
        <w:ind w:left="525" w:hanging="525" w:hangingChars="25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23.2</w:t>
      </w:r>
      <w:r>
        <w:rPr>
          <w:rFonts w:hint="eastAsia" w:ascii="宋体" w:hAnsi="宋体" w:eastAsia="宋体" w:cs="宋体"/>
          <w:color w:val="auto"/>
          <w:highlight w:val="none"/>
          <w:lang w:val="zh-CN"/>
        </w:rPr>
        <w:tab/>
      </w:r>
      <w:r>
        <w:rPr>
          <w:rFonts w:hint="eastAsia" w:ascii="宋体" w:hAnsi="宋体" w:eastAsia="宋体" w:cs="宋体"/>
          <w:color w:val="auto"/>
          <w:highlight w:val="none"/>
          <w:lang w:val="zh-CN"/>
        </w:rPr>
        <w:t>在评标过程中，如果投标人试图在投标文件审查、澄清、比较及授予合同方面向招标代理机构和招标人施加任何影响，其投标文件将被拒绝。</w:t>
      </w:r>
    </w:p>
    <w:p w14:paraId="50D8845B">
      <w:pPr>
        <w:tabs>
          <w:tab w:val="left" w:pos="567"/>
        </w:tabs>
        <w:ind w:left="357" w:leftChars="-100" w:right="15" w:rightChars="7" w:hanging="567"/>
        <w:rPr>
          <w:rFonts w:hint="eastAsia" w:ascii="宋体" w:hAnsi="宋体" w:eastAsia="宋体" w:cs="宋体"/>
          <w:color w:val="auto"/>
          <w:szCs w:val="21"/>
          <w:highlight w:val="none"/>
          <w:lang w:val="zh-CN"/>
        </w:rPr>
      </w:pPr>
    </w:p>
    <w:p w14:paraId="4F06C021">
      <w:pPr>
        <w:pStyle w:val="4"/>
        <w:rPr>
          <w:rFonts w:hint="eastAsia" w:ascii="宋体" w:hAnsi="宋体" w:eastAsia="宋体" w:cs="宋体"/>
          <w:color w:val="auto"/>
          <w:highlight w:val="none"/>
          <w:lang w:val="zh-CN"/>
        </w:rPr>
      </w:pPr>
      <w:bookmarkStart w:id="424" w:name="_Toc178076483"/>
      <w:bookmarkStart w:id="425" w:name="_Toc142508340"/>
      <w:bookmarkStart w:id="426" w:name="_Toc15565_WPSOffice_Level3"/>
      <w:bookmarkStart w:id="427" w:name="_Toc17102"/>
      <w:bookmarkStart w:id="428" w:name="_Toc172552170"/>
      <w:bookmarkStart w:id="429" w:name="_Toc450662875"/>
      <w:bookmarkStart w:id="430" w:name="_Toc176627804"/>
      <w:bookmarkStart w:id="431" w:name="_Toc486167690"/>
      <w:bookmarkStart w:id="432" w:name="_Toc684"/>
      <w:bookmarkStart w:id="433" w:name="_Toc12320"/>
      <w:bookmarkStart w:id="434" w:name="_Toc5141"/>
      <w:bookmarkStart w:id="435" w:name="_Toc833"/>
      <w:bookmarkStart w:id="436" w:name="_Toc20454"/>
      <w:r>
        <w:rPr>
          <w:rFonts w:hint="eastAsia" w:ascii="宋体" w:hAnsi="宋体" w:eastAsia="宋体" w:cs="宋体"/>
          <w:color w:val="auto"/>
          <w:highlight w:val="none"/>
          <w:lang w:val="zh-CN"/>
        </w:rPr>
        <w:t>24 评标委员会</w:t>
      </w:r>
      <w:bookmarkEnd w:id="424"/>
      <w:bookmarkEnd w:id="425"/>
      <w:bookmarkEnd w:id="426"/>
      <w:bookmarkEnd w:id="427"/>
      <w:bookmarkEnd w:id="428"/>
      <w:bookmarkEnd w:id="429"/>
      <w:bookmarkEnd w:id="430"/>
      <w:bookmarkEnd w:id="431"/>
      <w:bookmarkEnd w:id="432"/>
      <w:bookmarkEnd w:id="433"/>
      <w:bookmarkEnd w:id="434"/>
      <w:bookmarkEnd w:id="435"/>
      <w:bookmarkEnd w:id="436"/>
    </w:p>
    <w:p w14:paraId="6FA1C039">
      <w:pPr>
        <w:ind w:left="525" w:hanging="525" w:hangingChars="25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24.1</w:t>
      </w:r>
      <w:r>
        <w:rPr>
          <w:rFonts w:hint="eastAsia" w:ascii="宋体" w:hAnsi="宋体" w:eastAsia="宋体" w:cs="宋体"/>
          <w:color w:val="auto"/>
          <w:highlight w:val="none"/>
          <w:lang w:val="zh-CN"/>
        </w:rPr>
        <w:tab/>
      </w:r>
      <w:r>
        <w:rPr>
          <w:rFonts w:hint="eastAsia" w:ascii="宋体" w:hAnsi="宋体" w:eastAsia="宋体" w:cs="宋体"/>
          <w:color w:val="auto"/>
          <w:highlight w:val="none"/>
          <w:lang w:val="zh-CN"/>
        </w:rPr>
        <w:t>依法组建评标委员会。评标委员会的成员在评审过程中必须严格遵守国家及地方招标投标的有关规定。</w:t>
      </w:r>
    </w:p>
    <w:p w14:paraId="5B8DFE5D">
      <w:pPr>
        <w:ind w:left="525" w:hanging="525" w:hangingChars="25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24.2</w:t>
      </w:r>
      <w:r>
        <w:rPr>
          <w:rFonts w:hint="eastAsia" w:ascii="宋体" w:hAnsi="宋体" w:eastAsia="宋体" w:cs="宋体"/>
          <w:color w:val="auto"/>
          <w:highlight w:val="none"/>
          <w:lang w:val="zh-CN"/>
        </w:rPr>
        <w:tab/>
      </w:r>
      <w:r>
        <w:rPr>
          <w:rFonts w:hint="eastAsia" w:ascii="宋体" w:hAnsi="宋体" w:eastAsia="宋体" w:cs="宋体"/>
          <w:color w:val="auto"/>
          <w:highlight w:val="none"/>
          <w:lang w:val="zh-CN"/>
        </w:rPr>
        <w:t>评标委员会依法根据招标文件的规定，进行投标文件的评审、得出评审结果，并向招标人推荐中标候选人。</w:t>
      </w:r>
    </w:p>
    <w:p w14:paraId="0EEFB04A">
      <w:pPr>
        <w:rPr>
          <w:rFonts w:hint="eastAsia" w:ascii="宋体" w:hAnsi="宋体" w:eastAsia="宋体" w:cs="宋体"/>
          <w:color w:val="auto"/>
          <w:highlight w:val="none"/>
          <w:lang w:val="zh-CN"/>
        </w:rPr>
      </w:pPr>
    </w:p>
    <w:p w14:paraId="1356EC8A">
      <w:pPr>
        <w:pStyle w:val="4"/>
        <w:rPr>
          <w:rFonts w:hint="eastAsia" w:ascii="宋体" w:hAnsi="宋体" w:eastAsia="宋体" w:cs="宋体"/>
          <w:b/>
          <w:bCs/>
          <w:color w:val="auto"/>
          <w:highlight w:val="none"/>
          <w:lang w:val="zh-CN"/>
        </w:rPr>
      </w:pPr>
      <w:bookmarkStart w:id="437" w:name="_Toc142508341"/>
      <w:bookmarkStart w:id="438" w:name="_Toc172552171"/>
      <w:bookmarkStart w:id="439" w:name="_Toc178076484"/>
      <w:bookmarkStart w:id="440" w:name="_Toc486167691"/>
      <w:bookmarkStart w:id="441" w:name="_Toc450662876"/>
      <w:bookmarkStart w:id="442" w:name="_Toc12772"/>
      <w:bookmarkStart w:id="443" w:name="_Toc23365"/>
      <w:bookmarkStart w:id="444" w:name="_Toc28907"/>
      <w:bookmarkStart w:id="445" w:name="_Toc7505"/>
      <w:bookmarkStart w:id="446" w:name="_Toc31399"/>
      <w:bookmarkStart w:id="447" w:name="_Toc28910_WPSOffice_Level3"/>
      <w:bookmarkStart w:id="448" w:name="_Toc176627805"/>
      <w:bookmarkStart w:id="449" w:name="_Toc26851"/>
      <w:r>
        <w:rPr>
          <w:rFonts w:hint="eastAsia" w:ascii="宋体" w:hAnsi="宋体" w:eastAsia="宋体" w:cs="宋体"/>
          <w:b/>
          <w:bCs/>
          <w:color w:val="auto"/>
          <w:highlight w:val="none"/>
          <w:lang w:val="zh-CN"/>
        </w:rPr>
        <w:t>25 投标文件的初审</w:t>
      </w:r>
      <w:bookmarkEnd w:id="437"/>
      <w:bookmarkEnd w:id="438"/>
      <w:bookmarkEnd w:id="439"/>
      <w:bookmarkEnd w:id="440"/>
      <w:bookmarkEnd w:id="441"/>
      <w:bookmarkEnd w:id="442"/>
      <w:bookmarkEnd w:id="443"/>
      <w:bookmarkEnd w:id="444"/>
      <w:bookmarkEnd w:id="445"/>
      <w:bookmarkEnd w:id="446"/>
      <w:bookmarkEnd w:id="447"/>
      <w:bookmarkEnd w:id="448"/>
      <w:bookmarkEnd w:id="449"/>
    </w:p>
    <w:p w14:paraId="1076B6D7">
      <w:pPr>
        <w:ind w:left="527" w:hanging="527" w:hangingChars="250"/>
        <w:rPr>
          <w:rFonts w:hint="eastAsia" w:ascii="宋体" w:hAnsi="宋体" w:eastAsia="宋体" w:cs="宋体"/>
          <w:b/>
          <w:bCs/>
          <w:color w:val="auto"/>
          <w:highlight w:val="none"/>
        </w:rPr>
      </w:pPr>
      <w:r>
        <w:rPr>
          <w:rFonts w:hint="eastAsia" w:ascii="宋体" w:hAnsi="宋体" w:eastAsia="宋体" w:cs="宋体"/>
          <w:b/>
          <w:bCs/>
          <w:color w:val="auto"/>
          <w:highlight w:val="none"/>
          <w:lang w:val="zh-CN"/>
        </w:rPr>
        <w:t>25.1 资格性检查：依据法律法规和招标文件的规定，对投标文件中的资格证明、投标保证金等进行审查，以确定投标人是否具备投标资格。</w:t>
      </w:r>
    </w:p>
    <w:p w14:paraId="766889DD">
      <w:pPr>
        <w:ind w:left="527" w:hanging="527" w:hangingChars="250"/>
        <w:rPr>
          <w:rFonts w:hint="eastAsia" w:ascii="宋体" w:hAnsi="宋体" w:eastAsia="宋体" w:cs="宋体"/>
          <w:b/>
          <w:bCs/>
          <w:color w:val="auto"/>
          <w:highlight w:val="none"/>
          <w:lang w:val="zh-CN"/>
        </w:rPr>
      </w:pPr>
      <w:r>
        <w:rPr>
          <w:rFonts w:hint="eastAsia" w:ascii="宋体" w:hAnsi="宋体" w:eastAsia="宋体" w:cs="宋体"/>
          <w:b/>
          <w:bCs/>
          <w:color w:val="auto"/>
          <w:highlight w:val="none"/>
          <w:lang w:val="zh-CN"/>
        </w:rPr>
        <w:t>25.2 符合性检查：依据招标文件的规定，从投标文件的有效性、完整性和对招标文件的响应程度进行审查，以确定是否对招标文件的实质性要求作出响应。</w:t>
      </w:r>
    </w:p>
    <w:p w14:paraId="1F2D3165">
      <w:pPr>
        <w:ind w:left="330" w:leftChars="-100" w:hanging="540"/>
        <w:rPr>
          <w:rFonts w:hint="eastAsia" w:ascii="宋体" w:hAnsi="宋体" w:eastAsia="宋体" w:cs="宋体"/>
          <w:b/>
          <w:color w:val="auto"/>
          <w:szCs w:val="21"/>
          <w:highlight w:val="none"/>
          <w:lang w:val="zh-CN"/>
        </w:rPr>
      </w:pPr>
    </w:p>
    <w:p w14:paraId="4E90220A">
      <w:pPr>
        <w:pStyle w:val="4"/>
        <w:rPr>
          <w:rFonts w:hint="eastAsia" w:ascii="宋体" w:hAnsi="宋体" w:eastAsia="宋体" w:cs="宋体"/>
          <w:color w:val="auto"/>
          <w:highlight w:val="none"/>
          <w:lang w:val="zh-CN"/>
        </w:rPr>
      </w:pPr>
      <w:bookmarkStart w:id="450" w:name="_Toc3901"/>
      <w:bookmarkStart w:id="451" w:name="_Toc176627806"/>
      <w:bookmarkStart w:id="452" w:name="_Toc22161"/>
      <w:bookmarkStart w:id="453" w:name="_Toc8584"/>
      <w:bookmarkStart w:id="454" w:name="_Toc13422"/>
      <w:bookmarkStart w:id="455" w:name="_Toc338_WPSOffice_Level3"/>
      <w:bookmarkStart w:id="456" w:name="_Toc10130"/>
      <w:bookmarkStart w:id="457" w:name="_Toc172552172"/>
      <w:bookmarkStart w:id="458" w:name="_Toc3043"/>
      <w:bookmarkStart w:id="459" w:name="_Toc486167692"/>
      <w:bookmarkStart w:id="460" w:name="_Toc450662877"/>
      <w:bookmarkStart w:id="461" w:name="_Toc178076485"/>
      <w:bookmarkStart w:id="462" w:name="_Toc142508342"/>
      <w:r>
        <w:rPr>
          <w:rFonts w:hint="eastAsia" w:ascii="宋体" w:hAnsi="宋体" w:eastAsia="宋体" w:cs="宋体"/>
          <w:color w:val="auto"/>
          <w:highlight w:val="none"/>
          <w:lang w:val="zh-CN"/>
        </w:rPr>
        <w:t>26 投标文件的澄清</w:t>
      </w:r>
      <w:bookmarkEnd w:id="450"/>
      <w:bookmarkEnd w:id="451"/>
      <w:bookmarkEnd w:id="452"/>
      <w:bookmarkEnd w:id="453"/>
      <w:bookmarkEnd w:id="454"/>
      <w:bookmarkEnd w:id="455"/>
      <w:bookmarkEnd w:id="456"/>
      <w:bookmarkEnd w:id="457"/>
      <w:bookmarkEnd w:id="458"/>
      <w:bookmarkEnd w:id="459"/>
      <w:bookmarkEnd w:id="460"/>
      <w:bookmarkEnd w:id="461"/>
      <w:bookmarkEnd w:id="462"/>
    </w:p>
    <w:p w14:paraId="42F9EF25">
      <w:pPr>
        <w:ind w:left="525" w:hanging="525" w:hangingChars="25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26.1 对投标文件中含义不明确、同类问题表述不一致或者有明显文字和计算错误的内容，评标委员会可以书面形式（应当由评标委员会专家签字）要求投标人作出必要的澄清、说明或者纠正。投标人的澄清、说明或者补正应当采用书面形式，由其授权的代表签字，并不得超出投标文件的范围或者改变投标文件的实质性内容。</w:t>
      </w:r>
    </w:p>
    <w:p w14:paraId="49025DE4">
      <w:pPr>
        <w:ind w:left="525" w:hanging="525" w:hangingChars="250"/>
        <w:rPr>
          <w:rFonts w:hint="eastAsia" w:ascii="宋体" w:hAnsi="宋体" w:eastAsia="宋体" w:cs="宋体"/>
          <w:color w:val="auto"/>
          <w:highlight w:val="none"/>
          <w:lang w:val="zh-CN"/>
        </w:rPr>
      </w:pPr>
      <w:bookmarkStart w:id="463" w:name="_Toc450662879"/>
      <w:r>
        <w:rPr>
          <w:rFonts w:hint="eastAsia" w:ascii="宋体" w:hAnsi="宋体" w:eastAsia="宋体" w:cs="宋体"/>
          <w:color w:val="auto"/>
          <w:highlight w:val="none"/>
          <w:lang w:val="zh-CN"/>
        </w:rPr>
        <w:t xml:space="preserve">26.2 </w:t>
      </w:r>
      <w:r>
        <w:rPr>
          <w:rFonts w:hint="eastAsia" w:ascii="宋体" w:hAnsi="宋体" w:eastAsia="宋体" w:cs="宋体"/>
          <w:color w:val="auto"/>
          <w:highlight w:val="none"/>
        </w:rPr>
        <w:t>开标当天，投标人法定代表人或法定代表人授权书列明的被授权人的联系电话应保持开机状态，以便在评标期间，评标委员会要求投标人对投标文件进行澄清时能够收到有关通知，否则视为投标人放弃澄清的权利，对评标委员会就该项内容的评审意见无异议</w:t>
      </w:r>
      <w:r>
        <w:rPr>
          <w:rFonts w:hint="eastAsia" w:ascii="宋体" w:hAnsi="宋体" w:eastAsia="宋体" w:cs="宋体"/>
          <w:color w:val="auto"/>
          <w:highlight w:val="none"/>
          <w:lang w:val="zh-CN"/>
        </w:rPr>
        <w:t>。</w:t>
      </w:r>
    </w:p>
    <w:bookmarkEnd w:id="463"/>
    <w:p w14:paraId="162067F7">
      <w:pPr>
        <w:tabs>
          <w:tab w:val="left" w:pos="525"/>
        </w:tabs>
        <w:ind w:left="357" w:leftChars="-100" w:hanging="567"/>
        <w:jc w:val="left"/>
        <w:rPr>
          <w:rFonts w:hint="eastAsia" w:ascii="宋体" w:hAnsi="宋体" w:eastAsia="宋体" w:cs="宋体"/>
          <w:color w:val="auto"/>
          <w:szCs w:val="21"/>
          <w:highlight w:val="none"/>
          <w:lang w:val="zh-CN"/>
        </w:rPr>
      </w:pPr>
      <w:bookmarkStart w:id="464" w:name="_Toc521918096"/>
      <w:bookmarkStart w:id="465" w:name="_Toc522047355"/>
      <w:bookmarkStart w:id="466" w:name="_Toc18368_WPSOffice_Level3"/>
      <w:bookmarkStart w:id="467" w:name="_Toc142508343"/>
    </w:p>
    <w:p w14:paraId="151067FF">
      <w:pPr>
        <w:pStyle w:val="4"/>
        <w:rPr>
          <w:rFonts w:hint="eastAsia" w:ascii="宋体" w:hAnsi="宋体" w:eastAsia="宋体" w:cs="宋体"/>
          <w:color w:val="auto"/>
          <w:highlight w:val="none"/>
          <w:lang w:val="zh-CN"/>
        </w:rPr>
      </w:pPr>
      <w:bookmarkStart w:id="468" w:name="_Toc10428"/>
      <w:bookmarkStart w:id="469" w:name="_Toc14292"/>
      <w:bookmarkStart w:id="470" w:name="_Toc176627807"/>
      <w:bookmarkStart w:id="471" w:name="_Toc15022"/>
      <w:bookmarkStart w:id="472" w:name="_Toc178076486"/>
      <w:bookmarkStart w:id="473" w:name="_Toc6370"/>
      <w:bookmarkStart w:id="474" w:name="_Toc11547"/>
      <w:bookmarkStart w:id="475" w:name="_Toc11721"/>
      <w:bookmarkStart w:id="476" w:name="_Toc172552173"/>
      <w:r>
        <w:rPr>
          <w:rFonts w:hint="eastAsia" w:ascii="宋体" w:hAnsi="宋体" w:eastAsia="宋体" w:cs="宋体"/>
          <w:color w:val="auto"/>
          <w:highlight w:val="none"/>
          <w:lang w:val="zh-CN"/>
        </w:rPr>
        <w:t>27 对投标文件的比较和评价</w:t>
      </w:r>
      <w:bookmarkEnd w:id="464"/>
      <w:bookmarkEnd w:id="465"/>
      <w:bookmarkEnd w:id="466"/>
      <w:bookmarkEnd w:id="467"/>
      <w:bookmarkEnd w:id="468"/>
      <w:bookmarkEnd w:id="469"/>
      <w:bookmarkEnd w:id="470"/>
      <w:bookmarkEnd w:id="471"/>
      <w:bookmarkEnd w:id="472"/>
      <w:bookmarkEnd w:id="473"/>
      <w:bookmarkEnd w:id="474"/>
      <w:bookmarkEnd w:id="475"/>
      <w:bookmarkEnd w:id="476"/>
    </w:p>
    <w:p w14:paraId="5BFB18DE">
      <w:pPr>
        <w:ind w:left="525" w:hanging="525" w:hangingChars="25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27.1</w:t>
      </w:r>
      <w:r>
        <w:rPr>
          <w:rFonts w:hint="eastAsia" w:ascii="宋体" w:hAnsi="宋体" w:eastAsia="宋体" w:cs="宋体"/>
          <w:color w:val="auto"/>
          <w:highlight w:val="none"/>
          <w:lang w:val="zh-CN"/>
        </w:rPr>
        <w:tab/>
      </w:r>
      <w:r>
        <w:rPr>
          <w:rFonts w:hint="eastAsia" w:ascii="宋体" w:hAnsi="宋体" w:eastAsia="宋体" w:cs="宋体"/>
          <w:color w:val="auto"/>
          <w:highlight w:val="none"/>
          <w:lang w:val="zh-CN"/>
        </w:rPr>
        <w:t>评标委员会将对资格性检查和符合性检查合格的投标文件进行比较和评价，包括商务、技术和价格的详细评审。</w:t>
      </w:r>
    </w:p>
    <w:p w14:paraId="6D2C1523">
      <w:pPr>
        <w:ind w:left="525" w:hanging="525" w:hangingChars="25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27.2</w:t>
      </w:r>
      <w:r>
        <w:rPr>
          <w:rFonts w:hint="eastAsia" w:ascii="宋体" w:hAnsi="宋体" w:eastAsia="宋体" w:cs="宋体"/>
          <w:color w:val="auto"/>
          <w:highlight w:val="none"/>
          <w:lang w:val="zh-CN"/>
        </w:rPr>
        <w:tab/>
      </w:r>
      <w:r>
        <w:rPr>
          <w:rFonts w:hint="eastAsia" w:ascii="宋体" w:hAnsi="宋体" w:eastAsia="宋体" w:cs="宋体"/>
          <w:color w:val="auto"/>
          <w:highlight w:val="none"/>
          <w:lang w:val="zh-CN"/>
        </w:rPr>
        <w:t>对投标文件商务的评审详见评标工作大纲。</w:t>
      </w:r>
    </w:p>
    <w:p w14:paraId="2719A753">
      <w:pPr>
        <w:ind w:left="525" w:hanging="525" w:hangingChars="25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27.3</w:t>
      </w:r>
      <w:r>
        <w:rPr>
          <w:rFonts w:hint="eastAsia" w:ascii="宋体" w:hAnsi="宋体" w:eastAsia="宋体" w:cs="宋体"/>
          <w:color w:val="auto"/>
          <w:highlight w:val="none"/>
          <w:lang w:val="zh-CN"/>
        </w:rPr>
        <w:tab/>
      </w:r>
      <w:r>
        <w:rPr>
          <w:rFonts w:hint="eastAsia" w:ascii="宋体" w:hAnsi="宋体" w:eastAsia="宋体" w:cs="宋体"/>
          <w:color w:val="auto"/>
          <w:highlight w:val="none"/>
          <w:lang w:val="zh-CN"/>
        </w:rPr>
        <w:t>对投标文件技术的评审详见评标工作大纲。</w:t>
      </w:r>
    </w:p>
    <w:p w14:paraId="1BB0FA0C">
      <w:pPr>
        <w:ind w:left="525" w:hanging="525" w:hangingChars="25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27.4</w:t>
      </w:r>
      <w:r>
        <w:rPr>
          <w:rFonts w:hint="eastAsia" w:ascii="宋体" w:hAnsi="宋体" w:eastAsia="宋体" w:cs="宋体"/>
          <w:color w:val="auto"/>
          <w:highlight w:val="none"/>
          <w:lang w:val="zh-CN"/>
        </w:rPr>
        <w:tab/>
      </w:r>
      <w:r>
        <w:rPr>
          <w:rFonts w:hint="eastAsia" w:ascii="宋体" w:hAnsi="宋体" w:eastAsia="宋体" w:cs="宋体"/>
          <w:color w:val="auto"/>
          <w:highlight w:val="none"/>
          <w:lang w:val="zh-CN"/>
        </w:rPr>
        <w:t>对投标价格的评审详见评标工作大纲。</w:t>
      </w:r>
    </w:p>
    <w:p w14:paraId="7FFBC24C">
      <w:pPr>
        <w:ind w:left="525" w:hanging="525" w:hangingChars="25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27.5</w:t>
      </w:r>
      <w:r>
        <w:rPr>
          <w:rFonts w:hint="eastAsia" w:ascii="宋体" w:hAnsi="宋体" w:eastAsia="宋体" w:cs="宋体"/>
          <w:color w:val="auto"/>
          <w:highlight w:val="none"/>
          <w:lang w:val="zh-CN"/>
        </w:rPr>
        <w:tab/>
      </w:r>
      <w:r>
        <w:rPr>
          <w:rFonts w:hint="eastAsia" w:ascii="宋体" w:hAnsi="宋体" w:eastAsia="宋体" w:cs="宋体"/>
          <w:color w:val="auto"/>
          <w:highlight w:val="none"/>
          <w:lang w:val="zh-CN"/>
        </w:rPr>
        <w:t>本次评标的评分权重详见评标工作大纲。</w:t>
      </w:r>
    </w:p>
    <w:p w14:paraId="30266B1C">
      <w:pPr>
        <w:ind w:left="525" w:hanging="525" w:hangingChars="25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27.6</w:t>
      </w:r>
      <w:r>
        <w:rPr>
          <w:rFonts w:hint="eastAsia" w:ascii="宋体" w:hAnsi="宋体" w:eastAsia="宋体" w:cs="宋体"/>
          <w:color w:val="auto"/>
          <w:highlight w:val="none"/>
          <w:lang w:val="zh-CN"/>
        </w:rPr>
        <w:tab/>
      </w:r>
      <w:r>
        <w:rPr>
          <w:rFonts w:hint="eastAsia" w:ascii="宋体" w:hAnsi="宋体" w:eastAsia="宋体" w:cs="宋体"/>
          <w:color w:val="auto"/>
          <w:highlight w:val="none"/>
          <w:lang w:val="zh-CN"/>
        </w:rPr>
        <w:t>根据上述商务、技术及价格综合评价的权重分配计算出各投标人的综合得分。</w:t>
      </w:r>
    </w:p>
    <w:p w14:paraId="7EF436D5">
      <w:pPr>
        <w:rPr>
          <w:rFonts w:hint="eastAsia" w:ascii="宋体" w:hAnsi="宋体" w:eastAsia="宋体" w:cs="宋体"/>
          <w:color w:val="auto"/>
          <w:highlight w:val="none"/>
          <w:lang w:val="zh-CN"/>
        </w:rPr>
      </w:pPr>
      <w:bookmarkStart w:id="477" w:name="_Toc521918097"/>
      <w:bookmarkStart w:id="478" w:name="_Toc522047356"/>
    </w:p>
    <w:p w14:paraId="67E2237E">
      <w:pPr>
        <w:pStyle w:val="4"/>
        <w:rPr>
          <w:rFonts w:hint="eastAsia" w:ascii="宋体" w:hAnsi="宋体" w:eastAsia="宋体" w:cs="宋体"/>
          <w:color w:val="auto"/>
          <w:highlight w:val="none"/>
          <w:lang w:val="zh-CN"/>
        </w:rPr>
      </w:pPr>
      <w:bookmarkStart w:id="479" w:name="_Toc31279"/>
      <w:bookmarkStart w:id="480" w:name="_Toc17831"/>
      <w:bookmarkStart w:id="481" w:name="_Toc32408"/>
      <w:bookmarkStart w:id="482" w:name="_Toc172552174"/>
      <w:bookmarkStart w:id="483" w:name="_Toc176627808"/>
      <w:bookmarkStart w:id="484" w:name="_Toc26884"/>
      <w:bookmarkStart w:id="485" w:name="_Toc178076487"/>
      <w:bookmarkStart w:id="486" w:name="_Toc21460_WPSOffice_Level3"/>
      <w:bookmarkStart w:id="487" w:name="_Toc25988"/>
      <w:bookmarkStart w:id="488" w:name="_Toc142508344"/>
      <w:bookmarkStart w:id="489" w:name="_Toc29581"/>
      <w:r>
        <w:rPr>
          <w:rFonts w:hint="eastAsia" w:ascii="宋体" w:hAnsi="宋体" w:eastAsia="宋体" w:cs="宋体"/>
          <w:color w:val="auto"/>
          <w:highlight w:val="none"/>
          <w:lang w:val="zh-CN"/>
        </w:rPr>
        <w:t>28 评标原则及方法</w:t>
      </w:r>
      <w:bookmarkEnd w:id="477"/>
      <w:bookmarkEnd w:id="478"/>
      <w:bookmarkEnd w:id="479"/>
      <w:bookmarkEnd w:id="480"/>
      <w:bookmarkEnd w:id="481"/>
      <w:bookmarkEnd w:id="482"/>
      <w:bookmarkEnd w:id="483"/>
      <w:bookmarkEnd w:id="484"/>
      <w:bookmarkEnd w:id="485"/>
      <w:bookmarkEnd w:id="486"/>
      <w:bookmarkEnd w:id="487"/>
      <w:bookmarkEnd w:id="488"/>
      <w:bookmarkEnd w:id="489"/>
    </w:p>
    <w:p w14:paraId="6E22060A">
      <w:pPr>
        <w:ind w:left="525" w:hanging="525" w:hangingChars="25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28.1</w:t>
      </w:r>
      <w:r>
        <w:rPr>
          <w:rFonts w:hint="eastAsia" w:ascii="宋体" w:hAnsi="宋体" w:eastAsia="宋体" w:cs="宋体"/>
          <w:color w:val="auto"/>
          <w:highlight w:val="none"/>
          <w:lang w:val="zh-CN"/>
        </w:rPr>
        <w:tab/>
      </w:r>
      <w:r>
        <w:rPr>
          <w:rFonts w:hint="eastAsia" w:ascii="宋体" w:hAnsi="宋体" w:eastAsia="宋体" w:cs="宋体"/>
          <w:color w:val="auto"/>
          <w:highlight w:val="none"/>
          <w:lang w:val="zh-CN"/>
        </w:rPr>
        <w:t>对所有投标文件的评审，都采用相同的程序和标准。按步骤先进行初步评审，再进行商务、技术、价格评审。</w:t>
      </w:r>
    </w:p>
    <w:p w14:paraId="1859AE6E">
      <w:pPr>
        <w:ind w:left="525" w:hanging="525" w:hangingChars="25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28.2 评标严格按照招标文件的要求和条件进行。</w:t>
      </w:r>
    </w:p>
    <w:p w14:paraId="4D9C7D18">
      <w:pPr>
        <w:ind w:left="525" w:leftChars="25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在评标时将根据第27条，采用综合评分法的评审方法，对所有实质响应性投标文件进行综合打分。</w:t>
      </w:r>
    </w:p>
    <w:p w14:paraId="5F473BAC">
      <w:pPr>
        <w:ind w:left="525" w:hanging="525" w:hangingChars="250"/>
        <w:rPr>
          <w:rFonts w:hint="eastAsia"/>
          <w:b/>
          <w:bCs/>
          <w:color w:val="auto"/>
          <w:highlight w:val="none"/>
          <w:lang w:val="zh-CN"/>
        </w:rPr>
      </w:pPr>
      <w:r>
        <w:rPr>
          <w:rFonts w:hint="eastAsia" w:ascii="宋体" w:hAnsi="宋体" w:eastAsia="宋体" w:cs="宋体"/>
          <w:color w:val="auto"/>
          <w:highlight w:val="none"/>
          <w:lang w:val="zh-CN"/>
        </w:rPr>
        <w:t xml:space="preserve">28.3 </w:t>
      </w:r>
      <w:r>
        <w:rPr>
          <w:rFonts w:hint="eastAsia" w:cs="宋体"/>
          <w:b/>
          <w:bCs/>
          <w:color w:val="auto"/>
          <w:highlight w:val="none"/>
          <w:lang w:val="zh-CN"/>
        </w:rPr>
        <w:t>（</w:t>
      </w:r>
      <w:r>
        <w:rPr>
          <w:rFonts w:hint="eastAsia" w:cs="宋体"/>
          <w:b/>
          <w:bCs/>
          <w:color w:val="auto"/>
          <w:highlight w:val="none"/>
          <w:lang w:val="en-US" w:eastAsia="zh-CN"/>
        </w:rPr>
        <w:t>1</w:t>
      </w:r>
      <w:r>
        <w:rPr>
          <w:rFonts w:hint="eastAsia" w:cs="宋体"/>
          <w:b/>
          <w:bCs/>
          <w:color w:val="auto"/>
          <w:highlight w:val="none"/>
          <w:lang w:val="zh-CN"/>
        </w:rPr>
        <w:t>）</w:t>
      </w:r>
      <w:r>
        <w:rPr>
          <w:rFonts w:hint="eastAsia"/>
          <w:b/>
          <w:bCs/>
          <w:color w:val="auto"/>
          <w:highlight w:val="none"/>
          <w:lang w:val="zh-CN"/>
        </w:rPr>
        <w:t>若本次招标过程中，参与投标的投标人不足3个时，本项目公开招标失败。</w:t>
      </w:r>
    </w:p>
    <w:p w14:paraId="08207BEB">
      <w:pPr>
        <w:ind w:left="420" w:leftChars="200" w:firstLine="105" w:firstLineChars="50"/>
        <w:rPr>
          <w:rFonts w:hint="eastAsia" w:ascii="宋体" w:hAnsi="宋体" w:eastAsia="宋体" w:cs="宋体"/>
          <w:b/>
          <w:bCs/>
          <w:color w:val="auto"/>
          <w:highlight w:val="none"/>
          <w:lang w:val="zh-CN"/>
        </w:rPr>
      </w:pPr>
      <w:r>
        <w:rPr>
          <w:rFonts w:hint="eastAsia"/>
          <w:b/>
          <w:bCs/>
          <w:color w:val="auto"/>
          <w:highlight w:val="none"/>
          <w:lang w:val="zh-CN"/>
        </w:rPr>
        <w:t>（</w:t>
      </w:r>
      <w:r>
        <w:rPr>
          <w:rFonts w:hint="eastAsia"/>
          <w:b/>
          <w:bCs/>
          <w:color w:val="auto"/>
          <w:highlight w:val="none"/>
          <w:lang w:val="en-US" w:eastAsia="zh-CN"/>
        </w:rPr>
        <w:t>2</w:t>
      </w:r>
      <w:r>
        <w:rPr>
          <w:rFonts w:hint="eastAsia"/>
          <w:b/>
          <w:bCs/>
          <w:color w:val="auto"/>
          <w:highlight w:val="none"/>
          <w:lang w:val="zh-CN"/>
        </w:rPr>
        <w:t>）经评标委员会评审，当有效投标人只有2个时，经评标委员会论证，招标文件没有不合理条款、招标程序符合规定的，本项目将根据招标文件附件一 评标工作大纲的要求继续进行评审；当有效投标人只有1个时，本项目公开招标失败。</w:t>
      </w:r>
    </w:p>
    <w:p w14:paraId="59C2ED9F">
      <w:pPr>
        <w:tabs>
          <w:tab w:val="left" w:pos="360"/>
        </w:tabs>
        <w:ind w:left="330" w:leftChars="-100" w:right="44" w:rightChars="21" w:hanging="540"/>
        <w:rPr>
          <w:rFonts w:hint="eastAsia" w:ascii="宋体" w:hAnsi="宋体" w:eastAsia="宋体" w:cs="宋体"/>
          <w:color w:val="auto"/>
          <w:szCs w:val="21"/>
          <w:highlight w:val="none"/>
          <w:lang w:val="zh-CN"/>
        </w:rPr>
      </w:pPr>
    </w:p>
    <w:p w14:paraId="05B7DF62">
      <w:pPr>
        <w:pStyle w:val="4"/>
        <w:rPr>
          <w:rFonts w:hint="eastAsia" w:ascii="宋体" w:hAnsi="宋体" w:eastAsia="宋体" w:cs="宋体"/>
          <w:color w:val="auto"/>
          <w:szCs w:val="21"/>
          <w:highlight w:val="none"/>
          <w:lang w:val="zh-CN"/>
        </w:rPr>
      </w:pPr>
      <w:bookmarkStart w:id="490" w:name="_Toc172552175"/>
      <w:bookmarkStart w:id="491" w:name="_Toc176627809"/>
      <w:bookmarkStart w:id="492" w:name="_Toc32498_WPSOffice_Level3"/>
      <w:bookmarkStart w:id="493" w:name="_Toc27517"/>
      <w:bookmarkStart w:id="494" w:name="_Toc12060"/>
      <w:bookmarkStart w:id="495" w:name="_Toc28244"/>
      <w:bookmarkStart w:id="496" w:name="_Toc10748"/>
      <w:bookmarkStart w:id="497" w:name="_Toc466882017"/>
      <w:bookmarkStart w:id="498" w:name="_Toc15841"/>
      <w:bookmarkStart w:id="499" w:name="_Toc142508345"/>
      <w:bookmarkStart w:id="500" w:name="_Toc178076488"/>
      <w:bookmarkStart w:id="501" w:name="_Toc486167694"/>
      <w:bookmarkStart w:id="502" w:name="_Toc465358969"/>
      <w:bookmarkStart w:id="503" w:name="_Toc24575"/>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 xml:space="preserve">9 </w:t>
      </w:r>
      <w:bookmarkEnd w:id="490"/>
      <w:bookmarkEnd w:id="491"/>
      <w:bookmarkEnd w:id="492"/>
      <w:bookmarkEnd w:id="493"/>
      <w:bookmarkEnd w:id="494"/>
      <w:bookmarkEnd w:id="495"/>
      <w:bookmarkEnd w:id="496"/>
      <w:bookmarkEnd w:id="497"/>
      <w:bookmarkEnd w:id="498"/>
      <w:bookmarkEnd w:id="499"/>
      <w:bookmarkEnd w:id="500"/>
      <w:bookmarkEnd w:id="501"/>
      <w:bookmarkEnd w:id="502"/>
      <w:r>
        <w:rPr>
          <w:rFonts w:hint="eastAsia" w:ascii="宋体" w:hAnsi="宋体" w:eastAsia="宋体" w:cs="宋体"/>
          <w:color w:val="auto"/>
          <w:szCs w:val="21"/>
          <w:highlight w:val="none"/>
          <w:lang w:val="zh-CN"/>
        </w:rPr>
        <w:t>评标结果公示及异议、投诉</w:t>
      </w:r>
      <w:bookmarkEnd w:id="503"/>
    </w:p>
    <w:p w14:paraId="4DCF496A">
      <w:pPr>
        <w:ind w:left="525" w:hanging="525" w:hangingChars="25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2</w:t>
      </w:r>
      <w:r>
        <w:rPr>
          <w:rFonts w:hint="eastAsia" w:ascii="宋体" w:hAnsi="宋体" w:eastAsia="宋体" w:cs="宋体"/>
          <w:color w:val="auto"/>
          <w:highlight w:val="none"/>
        </w:rPr>
        <w:t>9</w:t>
      </w:r>
      <w:r>
        <w:rPr>
          <w:rFonts w:hint="eastAsia" w:ascii="宋体" w:hAnsi="宋体" w:eastAsia="宋体" w:cs="宋体"/>
          <w:color w:val="auto"/>
          <w:highlight w:val="none"/>
          <w:lang w:val="zh-CN"/>
        </w:rPr>
        <w:t>.1 招标代理机构在招标公告发布媒介公示中标候选人，公示期为3日，公示期不得少于3日（最后一日是节假日或公休日的，应顺延到节假日或公休日后第一个工作日）。投标人或者其他利害关系人对评标结果有异议的，应当在评标结果公示期间向招标代理机构以书面的形式提出，并将完整的异议书面材料原件送达招标代理机构，逾期则视为对评标结果无异议。超出提交异议截止时间而提出的任何疑问，招标代理机构可不予答复。</w:t>
      </w:r>
    </w:p>
    <w:p w14:paraId="170E3215">
      <w:pPr>
        <w:ind w:left="525" w:leftChars="250" w:firstLine="420" w:firstLineChars="20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招标代理机构将拒收未能提供完整异议书面材料的异议，完整的异议书面材料必须同时包含：异议书（加盖法人公章，并注明联系人、联系电话、联系地址）、授权提交异议的法定代表人授权书原件、反映异议人主体资格的营业执照复印件（加盖法人公章），以及合法来源的证据证明材料。</w:t>
      </w:r>
    </w:p>
    <w:p w14:paraId="0207DD45">
      <w:pPr>
        <w:ind w:left="525" w:hanging="525" w:hangingChars="250"/>
        <w:rPr>
          <w:rFonts w:hint="eastAsia" w:ascii="宋体" w:hAnsi="宋体" w:eastAsia="宋体" w:cs="宋体"/>
          <w:b/>
          <w:bCs/>
          <w:color w:val="auto"/>
          <w:highlight w:val="none"/>
          <w:lang w:val="zh-CN"/>
        </w:rPr>
      </w:pPr>
      <w:r>
        <w:rPr>
          <w:rFonts w:hint="eastAsia" w:ascii="宋体" w:hAnsi="宋体" w:eastAsia="宋体" w:cs="宋体"/>
          <w:color w:val="auto"/>
          <w:highlight w:val="none"/>
        </w:rPr>
        <w:t xml:space="preserve">29.2 </w:t>
      </w:r>
      <w:r>
        <w:rPr>
          <w:rFonts w:hint="eastAsia" w:ascii="宋体" w:hAnsi="宋体" w:eastAsia="宋体" w:cs="宋体"/>
          <w:b/>
          <w:bCs/>
          <w:color w:val="auto"/>
          <w:highlight w:val="none"/>
          <w:lang w:val="zh-CN"/>
        </w:rPr>
        <w:t>结果公示后，招标人有权要求中标候选人在结果公示之日起3日（最后一日是节假日或公休日的，应顺延到节假日或公休日后第一个工作日）内提交投标文件中所提供的资格证明文件、业绩证明文件、对招标文件实质性条款响应文件、履约能力证明文件的原件供招标人核查。招标人如有需要，中标候选人有义务提供投标文件外其他相关证明资料原件（包括但不限于业绩合同对应的发票等）供招标人核查。招标人如发现投标人提供虚假证明文件、虚假响应文件等弄虚作假行为骗取中标的，招标人将取消其中标资格，不予退还其投标保证金。涉嫌违法犯罪的，将移交司法机关处理。</w:t>
      </w:r>
    </w:p>
    <w:p w14:paraId="4B69E259">
      <w:pPr>
        <w:ind w:left="525" w:leftChars="250" w:firstLine="422" w:firstLineChars="200"/>
        <w:rPr>
          <w:rFonts w:hint="eastAsia" w:ascii="宋体" w:hAnsi="宋体" w:eastAsia="宋体" w:cs="宋体"/>
          <w:b/>
          <w:bCs/>
          <w:color w:val="auto"/>
          <w:highlight w:val="none"/>
          <w:lang w:val="zh-CN"/>
        </w:rPr>
      </w:pPr>
      <w:r>
        <w:rPr>
          <w:rFonts w:hint="eastAsia" w:ascii="宋体" w:hAnsi="宋体" w:eastAsia="宋体" w:cs="宋体"/>
          <w:b/>
          <w:bCs/>
          <w:color w:val="auto"/>
          <w:highlight w:val="none"/>
          <w:lang w:val="zh-CN"/>
        </w:rPr>
        <w:t>当招标人（或其委托的招标代理机构）向中标候选人发出提供上述投标文件或投标文件外其他相关（包括但不限于业绩合同对应的发票等）的证明资料原件进行核查的书面通知后，第一中标候选人未能在招标人（或其委托的招标代理机构) 书面要求的时间(一般不少于三个工作日) 内提供完整的材料原件进行核查的，视为其无法提供真实的资料，招标人有权取消其中标候选人资格。</w:t>
      </w:r>
    </w:p>
    <w:p w14:paraId="199D8EEC">
      <w:pPr>
        <w:ind w:left="525" w:hanging="525" w:hangingChars="25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2</w:t>
      </w:r>
      <w:r>
        <w:rPr>
          <w:rFonts w:hint="eastAsia" w:ascii="宋体" w:hAnsi="宋体" w:eastAsia="宋体" w:cs="宋体"/>
          <w:color w:val="auto"/>
          <w:highlight w:val="none"/>
        </w:rPr>
        <w:t>9</w:t>
      </w:r>
      <w:r>
        <w:rPr>
          <w:rFonts w:hint="eastAsia" w:ascii="宋体" w:hAnsi="宋体" w:eastAsia="宋体" w:cs="宋体"/>
          <w:color w:val="auto"/>
          <w:highlight w:val="none"/>
          <w:lang w:val="zh-CN"/>
        </w:rPr>
        <w:t>.3 投标人或者其他利害关系人认为招标投标活动不符合法律、行政法规规定的，可以自知道或者应当知道之日起10日内，按程序向招标人采购活动的监督部门投诉。投诉应当提供纸质投诉书及必要的证明材料。投诉书应当包括下列内容：</w:t>
      </w:r>
    </w:p>
    <w:p w14:paraId="55AF9936">
      <w:pPr>
        <w:ind w:left="525" w:leftChars="25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（一）投诉人和被投诉人的姓名或者名称、通讯地址、邮编、联系人及联系电话；</w:t>
      </w:r>
    </w:p>
    <w:p w14:paraId="3E67A678">
      <w:pPr>
        <w:ind w:left="525" w:leftChars="25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（二）异议和异议答复情况说明及相关证明材料；</w:t>
      </w:r>
    </w:p>
    <w:p w14:paraId="4CE75DD4">
      <w:pPr>
        <w:ind w:left="525" w:leftChars="25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（三）具体、明确的投诉事项和与投诉事项相关的投诉请求；</w:t>
      </w:r>
    </w:p>
    <w:p w14:paraId="23F03ED2">
      <w:pPr>
        <w:ind w:left="525" w:leftChars="25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（四）事实依据；</w:t>
      </w:r>
    </w:p>
    <w:p w14:paraId="6C4419FA">
      <w:pPr>
        <w:ind w:left="525" w:leftChars="25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（五）法律依据；</w:t>
      </w:r>
    </w:p>
    <w:p w14:paraId="55FFAD67">
      <w:pPr>
        <w:ind w:left="525" w:leftChars="25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（六）提起投诉的日期。</w:t>
      </w:r>
    </w:p>
    <w:p w14:paraId="7D2C4D3F">
      <w:pPr>
        <w:ind w:left="525" w:leftChars="25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投诉人为法人或者其他组织的，应当由法定代表人、主要负责人，或者其授权代表签字或者盖章，并加盖公章。</w:t>
      </w:r>
    </w:p>
    <w:p w14:paraId="0B16E6D7">
      <w:pPr>
        <w:ind w:left="525" w:leftChars="25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投诉人投诉的事项不得超出已异议事项的范围，但基于异议答复内容提出的投诉事项除外。</w:t>
      </w:r>
    </w:p>
    <w:p w14:paraId="3421E268">
      <w:pPr>
        <w:ind w:left="525" w:leftChars="25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监督部门：</w:t>
      </w:r>
      <w:r>
        <w:rPr>
          <w:rFonts w:hint="eastAsia" w:ascii="宋体" w:hAnsi="宋体" w:eastAsia="宋体" w:cs="宋体"/>
          <w:color w:val="auto"/>
          <w:szCs w:val="21"/>
          <w:highlight w:val="none"/>
          <w:lang w:val="zh-CN"/>
        </w:rPr>
        <w:t>东莞市水务环境投资控股集团有限公司</w:t>
      </w:r>
      <w:r>
        <w:rPr>
          <w:rFonts w:hint="eastAsia" w:ascii="宋体" w:hAnsi="宋体" w:eastAsia="宋体" w:cs="宋体"/>
          <w:color w:val="auto"/>
          <w:highlight w:val="none"/>
          <w:lang w:val="zh-CN"/>
        </w:rPr>
        <w:t>，联系人：</w:t>
      </w:r>
      <w:r>
        <w:rPr>
          <w:rFonts w:hint="eastAsia" w:cs="宋体"/>
          <w:color w:val="auto"/>
          <w:highlight w:val="none"/>
          <w:lang w:val="zh-CN"/>
        </w:rPr>
        <w:t>邓先生</w:t>
      </w:r>
      <w:r>
        <w:rPr>
          <w:rFonts w:hint="eastAsia" w:ascii="宋体" w:hAnsi="宋体" w:eastAsia="宋体" w:cs="宋体"/>
          <w:color w:val="auto"/>
          <w:highlight w:val="none"/>
          <w:lang w:val="zh-CN"/>
        </w:rPr>
        <w:t>，联系电话：0769-28823251。</w:t>
      </w:r>
    </w:p>
    <w:p w14:paraId="132101B6">
      <w:pPr>
        <w:rPr>
          <w:rFonts w:hint="eastAsia" w:ascii="宋体" w:hAnsi="宋体" w:eastAsia="宋体" w:cs="宋体"/>
          <w:color w:val="auto"/>
          <w:highlight w:val="none"/>
          <w:lang w:val="zh-CN"/>
        </w:rPr>
      </w:pPr>
    </w:p>
    <w:p w14:paraId="4C27094B">
      <w:pPr>
        <w:pStyle w:val="4"/>
        <w:rPr>
          <w:rFonts w:hint="eastAsia" w:ascii="宋体" w:hAnsi="宋体" w:eastAsia="宋体" w:cs="宋体"/>
          <w:b/>
          <w:bCs/>
          <w:color w:val="auto"/>
          <w:highlight w:val="none"/>
          <w:lang w:val="zh-CN"/>
        </w:rPr>
      </w:pPr>
      <w:bookmarkStart w:id="504" w:name="_Toc8637"/>
      <w:bookmarkStart w:id="505" w:name="_Toc176627810"/>
      <w:bookmarkStart w:id="506" w:name="_Toc466882018"/>
      <w:bookmarkStart w:id="507" w:name="_Toc486167695"/>
      <w:bookmarkStart w:id="508" w:name="_Toc465358970"/>
      <w:bookmarkStart w:id="509" w:name="_Toc26138"/>
      <w:bookmarkStart w:id="510" w:name="_Toc18979"/>
      <w:bookmarkStart w:id="511" w:name="_Toc4606"/>
      <w:bookmarkStart w:id="512" w:name="_Toc1848_WPSOffice_Level3"/>
      <w:bookmarkStart w:id="513" w:name="_Toc7868"/>
      <w:bookmarkStart w:id="514" w:name="_Toc17052"/>
      <w:bookmarkStart w:id="515" w:name="_Toc172552176"/>
      <w:bookmarkStart w:id="516" w:name="_Toc178076489"/>
      <w:bookmarkStart w:id="517" w:name="_Toc142508346"/>
      <w:r>
        <w:rPr>
          <w:rFonts w:hint="eastAsia" w:ascii="宋体" w:hAnsi="宋体" w:eastAsia="宋体" w:cs="宋体"/>
          <w:b/>
          <w:bCs/>
          <w:color w:val="auto"/>
          <w:highlight w:val="none"/>
        </w:rPr>
        <w:t>30</w:t>
      </w:r>
      <w:r>
        <w:rPr>
          <w:rFonts w:hint="eastAsia" w:ascii="宋体" w:hAnsi="宋体" w:eastAsia="宋体" w:cs="宋体"/>
          <w:b/>
          <w:bCs/>
          <w:color w:val="auto"/>
          <w:highlight w:val="none"/>
          <w:lang w:val="zh-CN"/>
        </w:rPr>
        <w:t xml:space="preserve"> 真实性审查</w:t>
      </w:r>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p>
    <w:p w14:paraId="5D2B30DA">
      <w:pPr>
        <w:ind w:left="527" w:hanging="527" w:hangingChars="250"/>
        <w:rPr>
          <w:rFonts w:hint="eastAsia" w:ascii="宋体" w:hAnsi="宋体" w:eastAsia="宋体" w:cs="宋体"/>
          <w:b/>
          <w:bCs/>
          <w:color w:val="auto"/>
          <w:highlight w:val="none"/>
          <w:u w:val="none"/>
        </w:rPr>
      </w:pPr>
      <w:r>
        <w:rPr>
          <w:rFonts w:hint="eastAsia" w:ascii="宋体" w:hAnsi="宋体" w:eastAsia="宋体" w:cs="宋体"/>
          <w:b/>
          <w:bCs/>
          <w:color w:val="auto"/>
          <w:highlight w:val="none"/>
        </w:rPr>
        <w:t xml:space="preserve">30.1 </w:t>
      </w:r>
      <w:r>
        <w:rPr>
          <w:rFonts w:hint="eastAsia" w:ascii="宋体" w:hAnsi="宋体" w:eastAsia="宋体" w:cs="宋体"/>
          <w:b/>
          <w:bCs/>
          <w:color w:val="auto"/>
          <w:highlight w:val="none"/>
          <w:u w:val="none"/>
        </w:rPr>
        <w:t>在授予合同前，招标人（或其委托的招标代理机构）或评标委员会有权组织对投标人的真实性审查。包括对投标人的资格证明文件、业绩证明文件、对招标文件实质性条款响应文件、履约能力证明文件的原件真实性进行核查。招标人如有需要，投标人有义务提供投标文件外其他相关证明资料原件（包括但不限于业绩合同对应的发票等）供招标人核查。若发现投标人提供虚假证明文件、虚假响应文件等弄虚作假行为的，或经审查确认其经营、财务状况发生较大变化（或者存在违法行为）导致无法按照投标文件的承诺履约的，或其明确表示不按照投标文件承诺履约的，等影响中标结果的行为，招标人有权按照评标委员会提出的中标候选人名单排序依次确定其他中标候选人为中标人或重新招标。</w:t>
      </w:r>
    </w:p>
    <w:p w14:paraId="7FAD57D5">
      <w:pPr>
        <w:ind w:left="527" w:hanging="527" w:hangingChars="250"/>
        <w:rPr>
          <w:rFonts w:hint="eastAsia" w:ascii="宋体" w:hAnsi="宋体" w:eastAsia="宋体" w:cs="宋体"/>
          <w:b/>
          <w:bCs/>
          <w:color w:val="auto"/>
          <w:highlight w:val="none"/>
          <w:u w:val="none"/>
        </w:rPr>
      </w:pPr>
      <w:r>
        <w:rPr>
          <w:rFonts w:hint="eastAsia" w:ascii="宋体" w:hAnsi="宋体" w:eastAsia="宋体" w:cs="宋体"/>
          <w:b/>
          <w:bCs/>
          <w:color w:val="auto"/>
          <w:highlight w:val="none"/>
          <w:u w:val="none"/>
        </w:rPr>
        <w:t>30.2 投标人在招标人（或其委托的招标代理机构）或评标委员会通知其提供上述投标文件或投标文件外其他相关（包括但不限于业绩合同对应的发票等）的证明资料原件进行核查的要求后，未能在约定的时间内提供原件进行核查的，视为投标人无法提供真实的资料，招标人有权按照评标委员会提出的中标候选人名单排序依次确定其他中标候选人为中标人或重新招标。</w:t>
      </w:r>
    </w:p>
    <w:p w14:paraId="26028CB2">
      <w:pPr>
        <w:ind w:left="527" w:hanging="527" w:hangingChars="250"/>
        <w:rPr>
          <w:rFonts w:hint="eastAsia" w:ascii="宋体" w:hAnsi="宋体" w:eastAsia="宋体" w:cs="宋体"/>
          <w:b/>
          <w:bCs/>
          <w:color w:val="auto"/>
          <w:highlight w:val="none"/>
          <w:u w:val="none"/>
        </w:rPr>
      </w:pPr>
      <w:r>
        <w:rPr>
          <w:rFonts w:hint="eastAsia" w:ascii="宋体" w:hAnsi="宋体" w:eastAsia="宋体" w:cs="宋体"/>
          <w:b/>
          <w:bCs/>
          <w:color w:val="auto"/>
          <w:highlight w:val="none"/>
          <w:u w:val="none"/>
        </w:rPr>
        <w:t>30.3 若投标人在投标或履约过程中存在提供虚假材料、虚假响应招标文件要求等弄虚作假行为，或未能根据本须知29.2款约定按时提供原件进行核查的，或不按照投标文件承诺履约或撤回投标或放弃中标资格或不按要求与招标人签订合同等影响中标结果的行为，因此导致投标人无法参与</w:t>
      </w:r>
      <w:r>
        <w:rPr>
          <w:rFonts w:hint="eastAsia" w:ascii="宋体" w:hAnsi="宋体" w:eastAsia="宋体" w:cs="宋体"/>
          <w:b/>
          <w:bCs/>
          <w:color w:val="auto"/>
          <w:szCs w:val="21"/>
          <w:highlight w:val="none"/>
          <w:lang w:val="zh-CN"/>
        </w:rPr>
        <w:t>东莞市水务环境投资控股集团有限公司</w:t>
      </w:r>
      <w:r>
        <w:rPr>
          <w:rFonts w:hint="eastAsia" w:ascii="宋体" w:hAnsi="宋体" w:eastAsia="宋体" w:cs="宋体"/>
          <w:b/>
          <w:bCs/>
          <w:color w:val="auto"/>
          <w:highlight w:val="none"/>
          <w:u w:val="none"/>
        </w:rPr>
        <w:t>相关招标采购等活动的，由投标人自行承担全部后果。</w:t>
      </w:r>
    </w:p>
    <w:p w14:paraId="6E8AB0AA">
      <w:pPr>
        <w:jc w:val="left"/>
        <w:rPr>
          <w:rFonts w:hint="eastAsia" w:ascii="宋体" w:hAnsi="宋体" w:eastAsia="宋体" w:cs="宋体"/>
          <w:color w:val="auto"/>
          <w:szCs w:val="21"/>
          <w:highlight w:val="none"/>
        </w:rPr>
      </w:pPr>
      <w:bookmarkStart w:id="518" w:name="_Toc466882019"/>
      <w:bookmarkStart w:id="519" w:name="_Toc465358971"/>
    </w:p>
    <w:p w14:paraId="68371389">
      <w:pPr>
        <w:pStyle w:val="4"/>
        <w:rPr>
          <w:rFonts w:hint="eastAsia" w:ascii="宋体" w:hAnsi="宋体" w:eastAsia="宋体" w:cs="宋体"/>
          <w:color w:val="auto"/>
          <w:highlight w:val="none"/>
          <w:lang w:val="zh-CN"/>
        </w:rPr>
      </w:pPr>
      <w:bookmarkStart w:id="520" w:name="_Toc10867_WPSOffice_Level3"/>
      <w:bookmarkStart w:id="521" w:name="_Toc178076490"/>
      <w:bookmarkStart w:id="522" w:name="_Toc486167696"/>
      <w:bookmarkStart w:id="523" w:name="_Toc32747"/>
      <w:bookmarkStart w:id="524" w:name="_Toc176627811"/>
      <w:bookmarkStart w:id="525" w:name="_Toc32298"/>
      <w:bookmarkStart w:id="526" w:name="_Toc24174"/>
      <w:bookmarkStart w:id="527" w:name="_Toc9986"/>
      <w:bookmarkStart w:id="528" w:name="_Toc142508347"/>
      <w:bookmarkStart w:id="529" w:name="_Toc26035"/>
      <w:bookmarkStart w:id="530" w:name="_Toc31954"/>
      <w:bookmarkStart w:id="531" w:name="_Toc172552177"/>
      <w:r>
        <w:rPr>
          <w:rFonts w:hint="eastAsia" w:ascii="宋体" w:hAnsi="宋体" w:eastAsia="宋体" w:cs="宋体"/>
          <w:color w:val="auto"/>
          <w:highlight w:val="none"/>
        </w:rPr>
        <w:t>31</w:t>
      </w:r>
      <w:r>
        <w:rPr>
          <w:rFonts w:hint="eastAsia" w:ascii="宋体" w:hAnsi="宋体" w:eastAsia="宋体" w:cs="宋体"/>
          <w:color w:val="auto"/>
          <w:highlight w:val="none"/>
          <w:lang w:val="zh-CN"/>
        </w:rPr>
        <w:t xml:space="preserve"> 评标委员会和招标人接受或拒绝任何投标或所有投标的权利</w:t>
      </w:r>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p>
    <w:p w14:paraId="2F645A44">
      <w:pPr>
        <w:ind w:left="315" w:leftChars="150"/>
        <w:rPr>
          <w:rFonts w:hint="eastAsia" w:ascii="宋体" w:hAnsi="宋体" w:eastAsia="宋体" w:cs="宋体"/>
          <w:color w:val="auto"/>
          <w:highlight w:val="none"/>
        </w:rPr>
      </w:pPr>
      <w:r>
        <w:rPr>
          <w:rFonts w:hint="eastAsia" w:ascii="宋体" w:hAnsi="宋体" w:eastAsia="宋体" w:cs="宋体"/>
          <w:color w:val="auto"/>
          <w:highlight w:val="none"/>
        </w:rPr>
        <w:t>在授予合同前的任何时候，招标人仍保留接受或拒绝任何投标，宣布招标程序无效或拒绝所有投标的权利，无需向受影响的投标人承担任何责任。</w:t>
      </w:r>
    </w:p>
    <w:p w14:paraId="7071F87C">
      <w:pPr>
        <w:ind w:left="436" w:leftChars="-158" w:hanging="768" w:hangingChars="320"/>
        <w:jc w:val="left"/>
        <w:rPr>
          <w:rFonts w:hint="eastAsia" w:ascii="宋体" w:hAnsi="宋体" w:eastAsia="宋体" w:cs="宋体"/>
          <w:color w:val="auto"/>
          <w:kern w:val="44"/>
          <w:sz w:val="24"/>
          <w:szCs w:val="24"/>
          <w:highlight w:val="none"/>
          <w:lang w:val="zh-CN"/>
        </w:rPr>
      </w:pPr>
      <w:bookmarkStart w:id="532" w:name="_Toc450662880"/>
    </w:p>
    <w:p w14:paraId="4DD39BA3">
      <w:pPr>
        <w:pStyle w:val="3"/>
        <w:rPr>
          <w:rFonts w:hint="eastAsia" w:ascii="宋体" w:hAnsi="宋体" w:eastAsia="宋体" w:cs="宋体"/>
          <w:color w:val="auto"/>
          <w:highlight w:val="none"/>
          <w:lang w:val="zh-CN"/>
        </w:rPr>
      </w:pPr>
      <w:bookmarkStart w:id="533" w:name="_Toc18316"/>
      <w:bookmarkStart w:id="534" w:name="_Toc140596907"/>
      <w:bookmarkStart w:id="535" w:name="_Toc176627812"/>
      <w:bookmarkStart w:id="536" w:name="_Toc14600"/>
      <w:bookmarkStart w:id="537" w:name="_Toc178076491"/>
      <w:bookmarkStart w:id="538" w:name="_Toc2250"/>
      <w:bookmarkStart w:id="539" w:name="_Toc486167697"/>
      <w:bookmarkStart w:id="540" w:name="_Toc16848_WPSOffice_Level2"/>
      <w:bookmarkStart w:id="541" w:name="_Toc14028"/>
      <w:bookmarkStart w:id="542" w:name="_Toc16150"/>
      <w:bookmarkStart w:id="543" w:name="_Toc27933"/>
      <w:bookmarkStart w:id="544" w:name="_Toc7427"/>
      <w:bookmarkStart w:id="545" w:name="_Toc25470"/>
      <w:bookmarkStart w:id="546" w:name="_Toc24297"/>
      <w:bookmarkStart w:id="547" w:name="_Toc172552178"/>
      <w:bookmarkStart w:id="548" w:name="_Toc142508348"/>
      <w:r>
        <w:rPr>
          <w:rFonts w:hint="eastAsia" w:ascii="宋体" w:hAnsi="宋体" w:eastAsia="宋体" w:cs="宋体"/>
          <w:color w:val="auto"/>
          <w:highlight w:val="none"/>
          <w:lang w:val="zh-CN"/>
        </w:rPr>
        <w:t>六、授予合同</w:t>
      </w:r>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p>
    <w:p w14:paraId="1DE8F219">
      <w:pPr>
        <w:pStyle w:val="4"/>
        <w:rPr>
          <w:rFonts w:hint="eastAsia" w:ascii="宋体" w:hAnsi="宋体" w:eastAsia="宋体" w:cs="宋体"/>
          <w:color w:val="auto"/>
          <w:highlight w:val="none"/>
          <w:lang w:val="zh-CN"/>
        </w:rPr>
      </w:pPr>
      <w:bookmarkStart w:id="549" w:name="_Toc1475"/>
      <w:bookmarkStart w:id="550" w:name="_Toc142508349"/>
      <w:bookmarkStart w:id="551" w:name="_Toc172552179"/>
      <w:bookmarkStart w:id="552" w:name="_Toc450662881"/>
      <w:bookmarkStart w:id="553" w:name="_Toc6401_WPSOffice_Level3"/>
      <w:bookmarkStart w:id="554" w:name="_Toc178076492"/>
      <w:bookmarkStart w:id="555" w:name="_Toc25540"/>
      <w:bookmarkStart w:id="556" w:name="_Toc12972"/>
      <w:bookmarkStart w:id="557" w:name="_Toc176627813"/>
      <w:bookmarkStart w:id="558" w:name="_Toc13171"/>
      <w:bookmarkStart w:id="559" w:name="_Toc486167698"/>
      <w:bookmarkStart w:id="560" w:name="_Toc26642"/>
      <w:bookmarkStart w:id="561" w:name="_Toc7932"/>
      <w:r>
        <w:rPr>
          <w:rFonts w:hint="eastAsia" w:ascii="宋体" w:hAnsi="宋体" w:eastAsia="宋体" w:cs="宋体"/>
          <w:color w:val="auto"/>
          <w:highlight w:val="none"/>
        </w:rPr>
        <w:t>32</w:t>
      </w:r>
      <w:r>
        <w:rPr>
          <w:rFonts w:hint="eastAsia" w:ascii="宋体" w:hAnsi="宋体" w:eastAsia="宋体" w:cs="宋体"/>
          <w:color w:val="auto"/>
          <w:highlight w:val="none"/>
          <w:lang w:val="zh-CN"/>
        </w:rPr>
        <w:t xml:space="preserve"> 授予合同的准则</w:t>
      </w:r>
      <w:bookmarkEnd w:id="549"/>
      <w:bookmarkEnd w:id="550"/>
      <w:bookmarkEnd w:id="551"/>
      <w:bookmarkEnd w:id="552"/>
      <w:bookmarkEnd w:id="553"/>
      <w:bookmarkEnd w:id="554"/>
      <w:bookmarkEnd w:id="555"/>
      <w:bookmarkEnd w:id="556"/>
      <w:bookmarkEnd w:id="557"/>
      <w:bookmarkEnd w:id="558"/>
      <w:bookmarkEnd w:id="559"/>
      <w:bookmarkEnd w:id="560"/>
      <w:bookmarkEnd w:id="561"/>
    </w:p>
    <w:p w14:paraId="5FB1A305">
      <w:pPr>
        <w:ind w:left="525" w:hanging="525" w:hangingChars="250"/>
        <w:rPr>
          <w:rFonts w:hint="eastAsia" w:ascii="宋体" w:hAnsi="宋体" w:eastAsia="宋体" w:cs="宋体"/>
          <w:color w:val="auto"/>
          <w:highlight w:val="none"/>
          <w:lang w:val="zh-CN"/>
        </w:rPr>
      </w:pPr>
      <w:r>
        <w:rPr>
          <w:rFonts w:hint="eastAsia" w:ascii="宋体" w:hAnsi="宋体" w:eastAsia="宋体" w:cs="宋体"/>
          <w:color w:val="auto"/>
          <w:highlight w:val="none"/>
        </w:rPr>
        <w:t>32</w:t>
      </w:r>
      <w:r>
        <w:rPr>
          <w:rFonts w:hint="eastAsia" w:ascii="宋体" w:hAnsi="宋体" w:eastAsia="宋体" w:cs="宋体"/>
          <w:color w:val="auto"/>
          <w:highlight w:val="none"/>
          <w:lang w:val="zh-CN"/>
        </w:rPr>
        <w:t>.1</w:t>
      </w:r>
      <w:r>
        <w:rPr>
          <w:rFonts w:hint="eastAsia" w:ascii="宋体" w:hAnsi="宋体" w:eastAsia="宋体" w:cs="宋体"/>
          <w:color w:val="auto"/>
          <w:highlight w:val="none"/>
          <w:lang w:val="zh-CN"/>
        </w:rPr>
        <w:tab/>
      </w:r>
      <w:r>
        <w:rPr>
          <w:rFonts w:hint="eastAsia" w:ascii="宋体" w:hAnsi="宋体" w:eastAsia="宋体" w:cs="宋体"/>
          <w:color w:val="auto"/>
          <w:highlight w:val="none"/>
          <w:lang w:val="zh-CN"/>
        </w:rPr>
        <w:t>除第29条、30条</w:t>
      </w:r>
      <w:r>
        <w:rPr>
          <w:rFonts w:hint="eastAsia" w:ascii="宋体" w:hAnsi="宋体" w:eastAsia="宋体" w:cs="宋体"/>
          <w:color w:val="auto"/>
          <w:highlight w:val="none"/>
        </w:rPr>
        <w:t>、31</w:t>
      </w:r>
      <w:r>
        <w:rPr>
          <w:rFonts w:hint="eastAsia" w:ascii="宋体" w:hAnsi="宋体" w:eastAsia="宋体" w:cs="宋体"/>
          <w:color w:val="auto"/>
          <w:highlight w:val="none"/>
          <w:lang w:val="zh-CN"/>
        </w:rPr>
        <w:t>条规定外，招标人将合同授予其投标文件符合招标文件要求，并且能承诺履行合同，对招标人最为有利的投标人。</w:t>
      </w:r>
    </w:p>
    <w:p w14:paraId="56000C6B">
      <w:pPr>
        <w:ind w:left="525" w:hanging="525" w:hangingChars="25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32.2 招标人依法</w:t>
      </w:r>
      <w:r>
        <w:rPr>
          <w:rFonts w:hint="eastAsia" w:ascii="宋体" w:hAnsi="宋体" w:eastAsia="宋体" w:cs="宋体"/>
          <w:color w:val="auto"/>
          <w:highlight w:val="none"/>
        </w:rPr>
        <w:t>按照评标报告中推荐的中标候选人顺序</w:t>
      </w:r>
      <w:r>
        <w:rPr>
          <w:rFonts w:hint="eastAsia" w:ascii="宋体" w:hAnsi="宋体" w:eastAsia="宋体" w:cs="宋体"/>
          <w:color w:val="auto"/>
          <w:highlight w:val="none"/>
          <w:lang w:val="zh-CN"/>
        </w:rPr>
        <w:t>确定中标人。</w:t>
      </w:r>
    </w:p>
    <w:p w14:paraId="1E334B1A">
      <w:pPr>
        <w:ind w:left="525" w:hanging="525" w:hangingChars="250"/>
        <w:rPr>
          <w:rFonts w:hint="eastAsia" w:ascii="宋体" w:hAnsi="宋体" w:eastAsia="宋体" w:cs="宋体"/>
          <w:color w:val="auto"/>
          <w:highlight w:val="none"/>
        </w:rPr>
      </w:pPr>
      <w:r>
        <w:rPr>
          <w:rFonts w:hint="eastAsia" w:ascii="宋体" w:hAnsi="宋体" w:eastAsia="宋体" w:cs="宋体"/>
          <w:color w:val="auto"/>
          <w:highlight w:val="none"/>
          <w:lang w:val="zh-CN"/>
        </w:rPr>
        <w:t>32</w:t>
      </w:r>
      <w:r>
        <w:rPr>
          <w:rFonts w:hint="eastAsia" w:ascii="宋体" w:hAnsi="宋体" w:eastAsia="宋体" w:cs="宋体"/>
          <w:color w:val="auto"/>
          <w:highlight w:val="none"/>
        </w:rPr>
        <w:t>.3 因不可抗力或自身原因不能履行合同的、不按要求与招标人签订合同、中标人放弃中标、中标资格被依法确认无效的，招标人可以按照评标委员会提出的中标候选人名单排序依次确定其他中标候选人为中标人或重新招标。</w:t>
      </w:r>
    </w:p>
    <w:p w14:paraId="621D1519">
      <w:pPr>
        <w:rPr>
          <w:rFonts w:hint="eastAsia" w:ascii="宋体" w:hAnsi="宋体" w:eastAsia="宋体" w:cs="宋体"/>
          <w:color w:val="auto"/>
          <w:highlight w:val="none"/>
          <w:lang w:val="zh-CN"/>
        </w:rPr>
      </w:pPr>
      <w:bookmarkStart w:id="562" w:name="_Toc450662885"/>
    </w:p>
    <w:p w14:paraId="390EAC66">
      <w:pPr>
        <w:pStyle w:val="4"/>
        <w:rPr>
          <w:rFonts w:hint="eastAsia" w:ascii="宋体" w:hAnsi="宋体" w:eastAsia="宋体" w:cs="宋体"/>
          <w:color w:val="auto"/>
          <w:highlight w:val="none"/>
          <w:lang w:val="zh-CN"/>
        </w:rPr>
      </w:pPr>
      <w:bookmarkStart w:id="563" w:name="_Toc10822"/>
      <w:bookmarkStart w:id="564" w:name="_Toc3240"/>
      <w:bookmarkStart w:id="565" w:name="_Toc1070"/>
      <w:bookmarkStart w:id="566" w:name="_Toc176627814"/>
      <w:bookmarkStart w:id="567" w:name="_Toc30042"/>
      <w:bookmarkStart w:id="568" w:name="_Toc178076493"/>
      <w:bookmarkStart w:id="569" w:name="_Toc6726_WPSOffice_Level3"/>
      <w:bookmarkStart w:id="570" w:name="_Toc142508350"/>
      <w:bookmarkStart w:id="571" w:name="_Toc486167699"/>
      <w:bookmarkStart w:id="572" w:name="_Toc4501"/>
      <w:bookmarkStart w:id="573" w:name="_Toc24266"/>
      <w:bookmarkStart w:id="574" w:name="_Toc172552180"/>
      <w:r>
        <w:rPr>
          <w:rFonts w:hint="eastAsia" w:ascii="宋体" w:hAnsi="宋体" w:eastAsia="宋体" w:cs="宋体"/>
          <w:color w:val="auto"/>
          <w:highlight w:val="none"/>
          <w:lang w:val="zh-CN"/>
        </w:rPr>
        <w:t>33 中标通知</w:t>
      </w:r>
      <w:bookmarkEnd w:id="562"/>
      <w:bookmarkEnd w:id="563"/>
      <w:bookmarkEnd w:id="564"/>
      <w:bookmarkEnd w:id="565"/>
      <w:bookmarkEnd w:id="566"/>
      <w:bookmarkEnd w:id="567"/>
      <w:bookmarkEnd w:id="568"/>
      <w:bookmarkEnd w:id="569"/>
      <w:bookmarkEnd w:id="570"/>
      <w:bookmarkEnd w:id="571"/>
      <w:bookmarkEnd w:id="572"/>
      <w:bookmarkEnd w:id="573"/>
      <w:bookmarkEnd w:id="574"/>
    </w:p>
    <w:p w14:paraId="7A359BD9">
      <w:pPr>
        <w:ind w:left="525" w:hanging="525" w:hangingChars="250"/>
        <w:rPr>
          <w:rFonts w:hint="eastAsia" w:ascii="宋体" w:hAnsi="宋体" w:eastAsia="宋体" w:cs="宋体"/>
          <w:color w:val="auto"/>
          <w:highlight w:val="none"/>
          <w:lang w:val="zh-CN"/>
        </w:rPr>
      </w:pPr>
      <w:bookmarkStart w:id="575" w:name="_Toc450662886"/>
      <w:r>
        <w:rPr>
          <w:rFonts w:hint="eastAsia" w:ascii="宋体" w:hAnsi="宋体" w:eastAsia="宋体" w:cs="宋体"/>
          <w:color w:val="auto"/>
          <w:highlight w:val="none"/>
          <w:lang w:val="zh-CN"/>
        </w:rPr>
        <w:t>33.1</w:t>
      </w:r>
      <w:r>
        <w:rPr>
          <w:rFonts w:hint="eastAsia" w:ascii="宋体" w:hAnsi="宋体" w:eastAsia="宋体" w:cs="宋体"/>
          <w:color w:val="auto"/>
          <w:highlight w:val="none"/>
          <w:lang w:val="zh-CN"/>
        </w:rPr>
        <w:tab/>
      </w:r>
      <w:r>
        <w:rPr>
          <w:rFonts w:hint="eastAsia" w:ascii="宋体" w:hAnsi="宋体" w:eastAsia="宋体" w:cs="宋体"/>
          <w:color w:val="auto"/>
          <w:highlight w:val="none"/>
          <w:lang w:val="zh-CN"/>
        </w:rPr>
        <w:t>招标代理机构向中标人发出书面通知，中标通知书是合同的一个组成部分。</w:t>
      </w:r>
    </w:p>
    <w:p w14:paraId="5FE7082B">
      <w:pPr>
        <w:ind w:left="525" w:hanging="525" w:hangingChars="25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33.2</w:t>
      </w:r>
      <w:r>
        <w:rPr>
          <w:rFonts w:hint="eastAsia" w:ascii="宋体" w:hAnsi="宋体" w:eastAsia="宋体" w:cs="宋体"/>
          <w:color w:val="auto"/>
          <w:highlight w:val="none"/>
          <w:lang w:val="zh-CN"/>
        </w:rPr>
        <w:tab/>
      </w:r>
      <w:r>
        <w:rPr>
          <w:rFonts w:hint="eastAsia" w:ascii="宋体" w:hAnsi="宋体" w:eastAsia="宋体" w:cs="宋体"/>
          <w:color w:val="auto"/>
          <w:highlight w:val="none"/>
          <w:lang w:val="zh-CN"/>
        </w:rPr>
        <w:t>招标代理机构向中标人发出书面通知的同时，招标代理机构通知落选的投标人其投标文件未被接受而不提原因。</w:t>
      </w:r>
    </w:p>
    <w:p w14:paraId="24D9EC3A">
      <w:pPr>
        <w:ind w:left="315" w:leftChars="-100" w:hanging="525" w:hangingChars="250"/>
        <w:jc w:val="left"/>
        <w:rPr>
          <w:rFonts w:hint="eastAsia" w:ascii="宋体" w:hAnsi="宋体" w:eastAsia="宋体" w:cs="宋体"/>
          <w:color w:val="auto"/>
          <w:szCs w:val="21"/>
          <w:highlight w:val="none"/>
          <w:lang w:val="zh-CN"/>
        </w:rPr>
      </w:pPr>
    </w:p>
    <w:p w14:paraId="78942057">
      <w:pPr>
        <w:pStyle w:val="4"/>
        <w:rPr>
          <w:rFonts w:hint="eastAsia" w:ascii="宋体" w:hAnsi="宋体" w:eastAsia="宋体" w:cs="宋体"/>
          <w:color w:val="auto"/>
          <w:szCs w:val="21"/>
          <w:highlight w:val="none"/>
          <w:lang w:val="zh-CN"/>
        </w:rPr>
      </w:pPr>
      <w:bookmarkStart w:id="576" w:name="_Toc30576"/>
      <w:bookmarkStart w:id="577" w:name="_Toc23021"/>
      <w:bookmarkStart w:id="578" w:name="_Toc11937"/>
      <w:bookmarkStart w:id="579" w:name="_Toc176627815"/>
      <w:bookmarkStart w:id="580" w:name="_Toc29106"/>
      <w:bookmarkStart w:id="581" w:name="_Toc172552181"/>
      <w:bookmarkStart w:id="582" w:name="_Toc9694_WPSOffice_Level3"/>
      <w:bookmarkStart w:id="583" w:name="_Toc32732"/>
      <w:bookmarkStart w:id="584" w:name="_Toc15846"/>
      <w:bookmarkStart w:id="585" w:name="_Toc486167700"/>
      <w:bookmarkStart w:id="586" w:name="_Toc178076494"/>
      <w:bookmarkStart w:id="587" w:name="_Toc142508351"/>
      <w:r>
        <w:rPr>
          <w:rFonts w:hint="eastAsia" w:ascii="宋体" w:hAnsi="宋体" w:eastAsia="宋体" w:cs="宋体"/>
          <w:color w:val="auto"/>
          <w:szCs w:val="21"/>
          <w:highlight w:val="none"/>
        </w:rPr>
        <w:t>34</w:t>
      </w:r>
      <w:r>
        <w:rPr>
          <w:rFonts w:hint="eastAsia" w:ascii="宋体" w:hAnsi="宋体" w:eastAsia="宋体" w:cs="宋体"/>
          <w:color w:val="auto"/>
          <w:szCs w:val="21"/>
          <w:highlight w:val="none"/>
          <w:lang w:val="zh-CN"/>
        </w:rPr>
        <w:t xml:space="preserve"> 签署合同</w:t>
      </w:r>
      <w:bookmarkEnd w:id="575"/>
      <w:bookmarkEnd w:id="576"/>
      <w:bookmarkEnd w:id="577"/>
      <w:bookmarkEnd w:id="578"/>
      <w:bookmarkEnd w:id="579"/>
      <w:bookmarkEnd w:id="580"/>
      <w:bookmarkEnd w:id="581"/>
      <w:bookmarkEnd w:id="582"/>
      <w:bookmarkEnd w:id="583"/>
      <w:bookmarkEnd w:id="584"/>
      <w:bookmarkEnd w:id="585"/>
      <w:bookmarkEnd w:id="586"/>
      <w:bookmarkEnd w:id="587"/>
    </w:p>
    <w:p w14:paraId="146D7199">
      <w:pPr>
        <w:ind w:left="525" w:hanging="525" w:hangingChars="250"/>
        <w:rPr>
          <w:rFonts w:hint="eastAsia" w:ascii="宋体" w:hAnsi="宋体" w:eastAsia="宋体" w:cs="宋体"/>
          <w:color w:val="auto"/>
          <w:highlight w:val="none"/>
          <w:lang w:val="zh-CN"/>
        </w:rPr>
      </w:pPr>
      <w:r>
        <w:rPr>
          <w:rFonts w:hint="eastAsia" w:ascii="宋体" w:hAnsi="宋体" w:eastAsia="宋体" w:cs="宋体"/>
          <w:color w:val="auto"/>
          <w:highlight w:val="none"/>
        </w:rPr>
        <w:t xml:space="preserve">34.1 </w:t>
      </w:r>
      <w:r>
        <w:rPr>
          <w:rFonts w:hint="eastAsia" w:ascii="宋体" w:hAnsi="宋体" w:eastAsia="宋体" w:cs="宋体"/>
          <w:b/>
          <w:bCs/>
          <w:color w:val="auto"/>
          <w:highlight w:val="none"/>
          <w:u w:val="single"/>
          <w:lang w:val="zh-CN"/>
        </w:rPr>
        <w:t>中标人在自中标通知书发出之日起30日内，按照招标文件和中标人的投标文件的约定，与招标人签订书面合同，具体签订方式以招标人通知为准。否则招标人有权取消中标资格并按招标文件及法律、法规的规定进行处理。</w:t>
      </w:r>
    </w:p>
    <w:p w14:paraId="5C0588BF">
      <w:pPr>
        <w:ind w:left="525" w:hanging="525" w:hangingChars="25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34.</w:t>
      </w:r>
      <w:r>
        <w:rPr>
          <w:rFonts w:hint="eastAsia" w:ascii="宋体" w:hAnsi="宋体" w:eastAsia="宋体" w:cs="宋体"/>
          <w:color w:val="auto"/>
          <w:highlight w:val="none"/>
        </w:rPr>
        <w:t>2</w:t>
      </w:r>
      <w:r>
        <w:rPr>
          <w:rFonts w:hint="eastAsia" w:ascii="宋体" w:hAnsi="宋体" w:eastAsia="宋体" w:cs="宋体"/>
          <w:color w:val="auto"/>
          <w:highlight w:val="none"/>
          <w:lang w:val="zh-CN"/>
        </w:rPr>
        <w:t xml:space="preserve"> 在签署合同前，招标人可对中标人投标报价明细及附表内的算术性错误进行修正，修正原则为：</w:t>
      </w:r>
    </w:p>
    <w:p w14:paraId="4315BADB">
      <w:pPr>
        <w:ind w:left="525" w:leftChars="250"/>
        <w:rPr>
          <w:rFonts w:hint="eastAsia" w:ascii="宋体" w:hAnsi="宋体" w:eastAsia="宋体" w:cs="宋体"/>
          <w:color w:val="auto"/>
          <w:sz w:val="21"/>
          <w:highlight w:val="none"/>
          <w:lang w:val="zh-CN"/>
        </w:rPr>
      </w:pPr>
      <w:r>
        <w:rPr>
          <w:rFonts w:hint="eastAsia" w:ascii="宋体" w:hAnsi="宋体" w:eastAsia="宋体" w:cs="宋体"/>
          <w:color w:val="auto"/>
          <w:sz w:val="21"/>
          <w:highlight w:val="none"/>
          <w:lang w:val="zh-CN"/>
        </w:rPr>
        <w:t>（1）当以数字表示的报价系数与以文字表示的报价系数不一致时，以文字表示的报价系数为准。</w:t>
      </w:r>
    </w:p>
    <w:p w14:paraId="692A74AF">
      <w:pPr>
        <w:ind w:left="525" w:leftChars="250"/>
        <w:rPr>
          <w:rFonts w:hint="eastAsia" w:ascii="宋体" w:hAnsi="宋体" w:eastAsia="宋体" w:cs="宋体"/>
          <w:color w:val="auto"/>
          <w:sz w:val="21"/>
          <w:highlight w:val="none"/>
          <w:lang w:val="zh-CN"/>
        </w:rPr>
      </w:pPr>
      <w:r>
        <w:rPr>
          <w:rFonts w:hint="eastAsia" w:ascii="宋体" w:hAnsi="宋体" w:eastAsia="宋体" w:cs="宋体"/>
          <w:color w:val="auto"/>
          <w:sz w:val="21"/>
          <w:highlight w:val="none"/>
          <w:lang w:val="zh-CN"/>
        </w:rPr>
        <w:t>（2）按前述修正原则排序依次进行修正至唯一值后的报价表经双方确认后，作为合同文件的组成部分。</w:t>
      </w:r>
    </w:p>
    <w:p w14:paraId="0B5F1E29">
      <w:pPr>
        <w:rPr>
          <w:rFonts w:hint="eastAsia" w:ascii="宋体" w:hAnsi="宋体" w:eastAsia="宋体" w:cs="宋体"/>
          <w:color w:val="auto"/>
          <w:highlight w:val="none"/>
        </w:rPr>
      </w:pPr>
      <w:bookmarkStart w:id="588" w:name="_Toc142508352"/>
      <w:bookmarkStart w:id="589" w:name="_Toc10513_WPSOffice_Level3"/>
      <w:bookmarkStart w:id="590" w:name="_Toc450662887"/>
      <w:bookmarkStart w:id="591" w:name="_Toc486167701"/>
    </w:p>
    <w:p w14:paraId="774048E6">
      <w:pPr>
        <w:pStyle w:val="4"/>
        <w:rPr>
          <w:rFonts w:hint="eastAsia" w:ascii="宋体" w:hAnsi="宋体" w:eastAsia="宋体" w:cs="宋体"/>
          <w:color w:val="auto"/>
          <w:szCs w:val="21"/>
          <w:highlight w:val="none"/>
          <w:lang w:val="zh-CN"/>
        </w:rPr>
      </w:pPr>
      <w:bookmarkStart w:id="592" w:name="_Toc172552182"/>
      <w:bookmarkStart w:id="593" w:name="_Toc29763"/>
      <w:bookmarkStart w:id="594" w:name="_Toc32569"/>
      <w:bookmarkStart w:id="595" w:name="_Toc8873"/>
      <w:bookmarkStart w:id="596" w:name="_Toc178076495"/>
      <w:bookmarkStart w:id="597" w:name="_Toc176627816"/>
      <w:bookmarkStart w:id="598" w:name="_Toc18588"/>
      <w:bookmarkStart w:id="599" w:name="_Toc28475"/>
      <w:bookmarkStart w:id="600" w:name="_Toc31263"/>
      <w:r>
        <w:rPr>
          <w:rFonts w:hint="eastAsia" w:ascii="宋体" w:hAnsi="宋体" w:eastAsia="宋体" w:cs="宋体"/>
          <w:color w:val="auto"/>
          <w:szCs w:val="21"/>
          <w:highlight w:val="none"/>
        </w:rPr>
        <w:t xml:space="preserve">35 </w:t>
      </w:r>
      <w:r>
        <w:rPr>
          <w:rFonts w:hint="eastAsia" w:ascii="宋体" w:hAnsi="宋体" w:eastAsia="宋体" w:cs="宋体"/>
          <w:color w:val="auto"/>
          <w:szCs w:val="21"/>
          <w:highlight w:val="none"/>
          <w:lang w:val="zh-CN"/>
        </w:rPr>
        <w:t>履约担保</w:t>
      </w:r>
      <w:bookmarkEnd w:id="588"/>
      <w:bookmarkEnd w:id="589"/>
      <w:bookmarkEnd w:id="590"/>
      <w:bookmarkEnd w:id="591"/>
      <w:bookmarkEnd w:id="592"/>
      <w:bookmarkEnd w:id="593"/>
      <w:bookmarkEnd w:id="594"/>
      <w:bookmarkEnd w:id="595"/>
      <w:bookmarkEnd w:id="596"/>
      <w:bookmarkEnd w:id="597"/>
      <w:bookmarkEnd w:id="598"/>
      <w:bookmarkEnd w:id="599"/>
      <w:bookmarkEnd w:id="600"/>
    </w:p>
    <w:p w14:paraId="775C7B0A">
      <w:pPr>
        <w:ind w:left="525" w:hanging="525" w:hangingChars="250"/>
        <w:rPr>
          <w:rFonts w:hint="eastAsia" w:ascii="宋体" w:hAnsi="宋体" w:eastAsia="宋体" w:cs="宋体"/>
          <w:color w:val="auto"/>
          <w:highlight w:val="none"/>
          <w:lang w:val="zh-CN"/>
        </w:rPr>
      </w:pPr>
      <w:bookmarkStart w:id="601" w:name="_Toc466882025"/>
      <w:bookmarkStart w:id="602" w:name="_Toc465358977"/>
      <w:r>
        <w:rPr>
          <w:rFonts w:hint="eastAsia" w:ascii="宋体" w:hAnsi="宋体" w:eastAsia="宋体" w:cs="宋体"/>
          <w:color w:val="auto"/>
          <w:highlight w:val="none"/>
        </w:rPr>
        <w:t>35</w:t>
      </w:r>
      <w:r>
        <w:rPr>
          <w:rFonts w:hint="eastAsia" w:ascii="宋体" w:hAnsi="宋体" w:eastAsia="宋体" w:cs="宋体"/>
          <w:color w:val="auto"/>
          <w:highlight w:val="none"/>
          <w:lang w:val="zh-CN"/>
        </w:rPr>
        <w:t xml:space="preserve">.1 </w:t>
      </w:r>
      <w:r>
        <w:rPr>
          <w:rFonts w:hint="eastAsia" w:ascii="宋体" w:hAnsi="宋体" w:eastAsia="宋体" w:cs="宋体"/>
          <w:b/>
          <w:bCs/>
          <w:color w:val="auto"/>
          <w:highlight w:val="none"/>
          <w:u w:val="single"/>
          <w:lang w:val="zh-CN"/>
        </w:rPr>
        <w:t>中标人应在签订合同前，按本招标文件规定金额及形式要求，向招标人提交不可撤销银行履约保函（或履约保证金或履约保证保险或担保公司履约担保书），作为履约担保（所需费用由中标人自行承担），否则招标人可取消中标人的中标资格，不予退还其投标保证金。其中，采用履约保证金（银行转账形式）的金额为</w:t>
      </w:r>
      <w:r>
        <w:rPr>
          <w:rFonts w:hint="eastAsia" w:ascii="宋体" w:hAnsi="宋体" w:eastAsia="宋体" w:cs="宋体"/>
          <w:b/>
          <w:bCs/>
          <w:color w:val="auto"/>
          <w:szCs w:val="21"/>
          <w:highlight w:val="none"/>
          <w:u w:val="single"/>
        </w:rPr>
        <w:t>暂定含税合同总价</w:t>
      </w:r>
      <w:r>
        <w:rPr>
          <w:rFonts w:hint="eastAsia" w:ascii="宋体" w:hAnsi="宋体" w:eastAsia="宋体" w:cs="宋体"/>
          <w:b/>
          <w:bCs/>
          <w:color w:val="auto"/>
          <w:highlight w:val="none"/>
          <w:u w:val="single"/>
          <w:lang w:val="zh-CN"/>
        </w:rPr>
        <w:t>的5%，采用不可撤销银行履约保函形式的金额为</w:t>
      </w:r>
      <w:r>
        <w:rPr>
          <w:rFonts w:hint="eastAsia" w:ascii="宋体" w:hAnsi="宋体" w:eastAsia="宋体" w:cs="宋体"/>
          <w:b/>
          <w:bCs/>
          <w:color w:val="auto"/>
          <w:szCs w:val="21"/>
          <w:highlight w:val="none"/>
          <w:u w:val="single"/>
        </w:rPr>
        <w:t>暂定含税合同总价</w:t>
      </w:r>
      <w:r>
        <w:rPr>
          <w:rFonts w:hint="eastAsia" w:ascii="宋体" w:hAnsi="宋体" w:eastAsia="宋体" w:cs="宋体"/>
          <w:b/>
          <w:bCs/>
          <w:color w:val="auto"/>
          <w:highlight w:val="none"/>
          <w:u w:val="single"/>
          <w:lang w:val="zh-CN"/>
        </w:rPr>
        <w:t>的8%，采用履约保证保险形式的金额为</w:t>
      </w:r>
      <w:r>
        <w:rPr>
          <w:rFonts w:hint="eastAsia" w:ascii="宋体" w:hAnsi="宋体" w:eastAsia="宋体" w:cs="宋体"/>
          <w:b/>
          <w:bCs/>
          <w:color w:val="auto"/>
          <w:szCs w:val="21"/>
          <w:highlight w:val="none"/>
          <w:u w:val="single"/>
        </w:rPr>
        <w:t>暂定合同含税总价</w:t>
      </w:r>
      <w:r>
        <w:rPr>
          <w:rFonts w:hint="eastAsia" w:ascii="宋体" w:hAnsi="宋体" w:eastAsia="宋体" w:cs="宋体"/>
          <w:b/>
          <w:bCs/>
          <w:color w:val="auto"/>
          <w:highlight w:val="none"/>
          <w:u w:val="single"/>
          <w:lang w:val="zh-CN"/>
        </w:rPr>
        <w:t>的8%，采用担保公司履约担保书形式的金额为</w:t>
      </w:r>
      <w:r>
        <w:rPr>
          <w:rFonts w:hint="eastAsia" w:ascii="宋体" w:hAnsi="宋体" w:eastAsia="宋体" w:cs="宋体"/>
          <w:b/>
          <w:bCs/>
          <w:color w:val="auto"/>
          <w:szCs w:val="21"/>
          <w:highlight w:val="none"/>
          <w:u w:val="single"/>
        </w:rPr>
        <w:t>暂定含税合同总价</w:t>
      </w:r>
      <w:r>
        <w:rPr>
          <w:rFonts w:hint="eastAsia" w:ascii="宋体" w:hAnsi="宋体" w:eastAsia="宋体" w:cs="宋体"/>
          <w:b/>
          <w:bCs/>
          <w:color w:val="auto"/>
          <w:highlight w:val="none"/>
          <w:u w:val="single"/>
          <w:lang w:val="zh-CN"/>
        </w:rPr>
        <w:t>的10%。</w:t>
      </w:r>
      <w:r>
        <w:rPr>
          <w:rFonts w:hint="eastAsia" w:ascii="宋体" w:hAnsi="宋体" w:eastAsia="宋体" w:cs="宋体"/>
          <w:b/>
          <w:bCs/>
          <w:color w:val="auto"/>
          <w:highlight w:val="none"/>
          <w:lang w:val="zh-CN"/>
        </w:rPr>
        <w:t>合同履行过程中，中标人给招标人造成的损失超过履约担保数额的，中标人还应当对超过部分予以赔偿，招标人并依法追究中标人的相应责任</w:t>
      </w:r>
      <w:r>
        <w:rPr>
          <w:rFonts w:hint="eastAsia" w:ascii="宋体" w:hAnsi="宋体" w:eastAsia="宋体" w:cs="宋体"/>
          <w:b/>
          <w:bCs/>
          <w:color w:val="auto"/>
          <w:highlight w:val="none"/>
        </w:rPr>
        <w:t>。</w:t>
      </w:r>
    </w:p>
    <w:p w14:paraId="23C2D348">
      <w:pPr>
        <w:ind w:left="525" w:hanging="525" w:hangingChars="250"/>
        <w:rPr>
          <w:rFonts w:hint="eastAsia" w:ascii="宋体" w:hAnsi="宋体" w:eastAsia="宋体" w:cs="宋体"/>
          <w:color w:val="auto"/>
          <w:highlight w:val="none"/>
        </w:rPr>
      </w:pPr>
      <w:r>
        <w:rPr>
          <w:rFonts w:hint="eastAsia" w:ascii="宋体" w:hAnsi="宋体" w:eastAsia="宋体" w:cs="宋体"/>
          <w:color w:val="auto"/>
          <w:highlight w:val="none"/>
        </w:rPr>
        <w:t>35.2 履约担保用于补偿招标人因中标人不能完全履行其合同义务而蒙受的损失或其他合同约定的事项。如发生下列任一情况时，招标人有权依合同追究违约责任外，同时有权提取履约担保并进行相应处理：</w:t>
      </w:r>
    </w:p>
    <w:p w14:paraId="653624F9">
      <w:pPr>
        <w:ind w:left="525" w:hanging="525" w:hangingChars="250"/>
        <w:rPr>
          <w:rFonts w:hint="eastAsia" w:ascii="宋体" w:hAnsi="宋体" w:eastAsia="宋体" w:cs="宋体"/>
          <w:color w:val="auto"/>
          <w:highlight w:val="none"/>
        </w:rPr>
      </w:pPr>
      <w:r>
        <w:rPr>
          <w:rFonts w:hint="eastAsia" w:ascii="宋体" w:hAnsi="宋体" w:eastAsia="宋体" w:cs="宋体"/>
          <w:color w:val="auto"/>
          <w:highlight w:val="none"/>
        </w:rPr>
        <w:t>（1）中标人将合同项下中标人的权利义务全部转让给第三方，或未经招标人书面同意将部分权利义务转让给第三方的，招标人有权没收其履约担保。</w:t>
      </w:r>
    </w:p>
    <w:p w14:paraId="305B2BE6">
      <w:pPr>
        <w:ind w:left="525" w:hanging="525" w:hangingChars="25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cs="宋体"/>
          <w:color w:val="auto"/>
          <w:highlight w:val="none"/>
          <w:lang w:val="en-US" w:eastAsia="zh-CN"/>
        </w:rPr>
        <w:t>2</w:t>
      </w:r>
      <w:r>
        <w:rPr>
          <w:rFonts w:hint="eastAsia" w:ascii="宋体" w:hAnsi="宋体" w:eastAsia="宋体" w:cs="宋体"/>
          <w:color w:val="auto"/>
          <w:highlight w:val="none"/>
        </w:rPr>
        <w:t>）在合同履行期间，因中标人货物、服务质量问题造成损害、侵权损失（包括但不限于招标人经济损失、第三人人身财产损失等）、拖欠原材料供应商货款或与其所雇用员工发生劳资纠纷、上访、闹事或其他影响招标人生产经营等情况而其未及时妥善处理的，招标人有权使用履约担保予以支付或作出相应处理，由此产生的一切法律后果由中标人承担。</w:t>
      </w:r>
    </w:p>
    <w:p w14:paraId="5B9EE692">
      <w:pPr>
        <w:ind w:left="525" w:hanging="525" w:hangingChars="25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cs="宋体"/>
          <w:color w:val="auto"/>
          <w:highlight w:val="none"/>
          <w:lang w:val="en-US" w:eastAsia="zh-CN"/>
        </w:rPr>
        <w:t>3</w:t>
      </w:r>
      <w:r>
        <w:rPr>
          <w:rFonts w:hint="eastAsia" w:ascii="宋体" w:hAnsi="宋体" w:eastAsia="宋体" w:cs="宋体"/>
          <w:color w:val="auto"/>
          <w:highlight w:val="none"/>
        </w:rPr>
        <w:t>）在合同履行期间，中标人违约产生的违约金、赔偿、罚款或其他应付费用等款项，招标人有权直接从未付款项中直接扣除或启用履约担保予以支付。</w:t>
      </w:r>
    </w:p>
    <w:p w14:paraId="62011DE0">
      <w:pPr>
        <w:ind w:left="525" w:hanging="525" w:hangingChars="25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cs="宋体"/>
          <w:color w:val="auto"/>
          <w:highlight w:val="none"/>
          <w:lang w:val="en-US" w:eastAsia="zh-CN"/>
        </w:rPr>
        <w:t>4</w:t>
      </w:r>
      <w:r>
        <w:rPr>
          <w:rFonts w:hint="eastAsia" w:ascii="宋体" w:hAnsi="宋体" w:eastAsia="宋体" w:cs="宋体"/>
          <w:color w:val="auto"/>
          <w:highlight w:val="none"/>
        </w:rPr>
        <w:t>）合同期内，中标人不能及时完成合同某项义务的，招标人有权提取履约担保用于处理该项工作。</w:t>
      </w:r>
    </w:p>
    <w:p w14:paraId="50676645">
      <w:pPr>
        <w:ind w:left="525" w:hanging="525" w:hangingChars="25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cs="宋体"/>
          <w:color w:val="auto"/>
          <w:highlight w:val="none"/>
          <w:lang w:val="en-US" w:eastAsia="zh-CN"/>
        </w:rPr>
        <w:t>5</w:t>
      </w:r>
      <w:r>
        <w:rPr>
          <w:rFonts w:hint="eastAsia" w:ascii="宋体" w:hAnsi="宋体" w:eastAsia="宋体" w:cs="宋体"/>
          <w:color w:val="auto"/>
          <w:highlight w:val="none"/>
        </w:rPr>
        <w:t>）其他根据本合同约定或法律规定，招标人可启用履约担保的情形。</w:t>
      </w:r>
    </w:p>
    <w:p w14:paraId="179F5A5B">
      <w:pPr>
        <w:ind w:left="525" w:hanging="525" w:hangingChars="250"/>
        <w:rPr>
          <w:rFonts w:hint="eastAsia" w:ascii="宋体" w:hAnsi="宋体" w:eastAsia="宋体" w:cs="宋体"/>
          <w:color w:val="auto"/>
          <w:highlight w:val="none"/>
        </w:rPr>
      </w:pPr>
      <w:r>
        <w:rPr>
          <w:rFonts w:hint="eastAsia" w:ascii="宋体" w:hAnsi="宋体" w:eastAsia="宋体" w:cs="宋体"/>
          <w:color w:val="auto"/>
          <w:highlight w:val="none"/>
        </w:rPr>
        <w:t>35.3 履约担保应符合如下规定：</w:t>
      </w:r>
    </w:p>
    <w:p w14:paraId="2E8FF336">
      <w:pPr>
        <w:ind w:left="525" w:hanging="525" w:hangingChars="250"/>
        <w:rPr>
          <w:rFonts w:hint="eastAsia" w:ascii="宋体" w:hAnsi="宋体" w:eastAsia="宋体" w:cs="宋体"/>
          <w:color w:val="auto"/>
          <w:highlight w:val="none"/>
        </w:rPr>
      </w:pPr>
      <w:r>
        <w:rPr>
          <w:rFonts w:hint="eastAsia" w:ascii="宋体" w:hAnsi="宋体" w:eastAsia="宋体" w:cs="宋体"/>
          <w:color w:val="auto"/>
          <w:highlight w:val="none"/>
        </w:rPr>
        <w:t>（1）出具履约保函的银行必须是境内支行一级以上机构，并经招标人同意，执行本款时所发生的费用由中标人承担。</w:t>
      </w:r>
    </w:p>
    <w:p w14:paraId="057A7AE4">
      <w:pPr>
        <w:ind w:left="525" w:hanging="525" w:hangingChars="250"/>
        <w:rPr>
          <w:rFonts w:hint="eastAsia" w:ascii="宋体" w:hAnsi="宋体" w:eastAsia="宋体" w:cs="宋体"/>
          <w:color w:val="auto"/>
          <w:highlight w:val="none"/>
        </w:rPr>
      </w:pPr>
      <w:r>
        <w:rPr>
          <w:rFonts w:hint="eastAsia" w:ascii="宋体" w:hAnsi="宋体" w:eastAsia="宋体" w:cs="宋体"/>
          <w:color w:val="auto"/>
          <w:highlight w:val="none"/>
        </w:rPr>
        <w:t>（2）履约担保格式应采用招标文件中提供的（格式参见第五篇），投标人如以履约保函（或履约保证保险或担保公司履约担保书）形式提供履约担保的，投标前应当自行向其拟申请开具保函的银行（或保险或担保）机构落实履约保函（或履约保证保险或担保公司履约担保书）格式情况，以确保能按本招标文件规定的格式提供保函。如使用其他格式的履约保函（或履约保证保险或担保公司履约担保书），须事先经招标人的书面同意。</w:t>
      </w:r>
    </w:p>
    <w:p w14:paraId="33042206">
      <w:pPr>
        <w:ind w:left="525" w:hanging="525" w:hangingChars="250"/>
        <w:rPr>
          <w:rFonts w:hint="eastAsia" w:ascii="宋体" w:hAnsi="宋体" w:eastAsia="宋体" w:cs="宋体"/>
          <w:color w:val="auto"/>
          <w:highlight w:val="none"/>
        </w:rPr>
      </w:pPr>
      <w:r>
        <w:rPr>
          <w:rFonts w:hint="eastAsia" w:ascii="宋体" w:hAnsi="宋体" w:eastAsia="宋体" w:cs="宋体"/>
          <w:color w:val="auto"/>
          <w:highlight w:val="none"/>
        </w:rPr>
        <w:t>（3）提供担保的担保机构经济性质须为国有企业，或政府性融资担保机构（中标人须提供能证明其属于政府性融资担保机构的证明文件），并经招标人同意，执行本款时所发生的费用由中标人承担。如招标人合同条款接受担保公司预付款担保函的，对担保机构要求参照本条执行。</w:t>
      </w:r>
    </w:p>
    <w:p w14:paraId="4EB38003">
      <w:pPr>
        <w:ind w:left="525" w:hanging="525" w:hangingChars="250"/>
        <w:rPr>
          <w:rFonts w:hint="eastAsia" w:ascii="宋体" w:hAnsi="宋体" w:eastAsia="宋体" w:cs="宋体"/>
          <w:color w:val="auto"/>
          <w:highlight w:val="none"/>
        </w:rPr>
      </w:pPr>
      <w:r>
        <w:rPr>
          <w:rFonts w:hint="eastAsia" w:ascii="宋体" w:hAnsi="宋体" w:eastAsia="宋体" w:cs="宋体"/>
          <w:color w:val="auto"/>
          <w:highlight w:val="none"/>
        </w:rPr>
        <w:t>（4）如果中标人提交的履约担保的有效期届满时间先于招标文件、合同文件要求的，中标人应在原提交的履约担保有效期届满前15日内，无条件办理符合招标人要求的履约担保延期手续，否则视为中标人违约，招标人有权在不可撤销银行履约保函或履约保证保险或担保公司履约担保书到期前向出具履约担保的机构提取履约担保金。在不可撤销银行履约保函（或履约保证保险或担保公司履约担保书）到期后中标人未按招标人要求重新提供的，招标人有权要求中标人以履约担保金额为限承担违约金，违约金可直接从未付采购合同费用中扣除。</w:t>
      </w:r>
    </w:p>
    <w:p w14:paraId="7CE85190">
      <w:pPr>
        <w:ind w:left="525" w:hanging="525" w:hangingChars="250"/>
        <w:rPr>
          <w:rFonts w:hint="eastAsia" w:ascii="宋体" w:hAnsi="宋体" w:eastAsia="宋体" w:cs="宋体"/>
          <w:color w:val="auto"/>
          <w:highlight w:val="none"/>
        </w:rPr>
      </w:pPr>
      <w:r>
        <w:rPr>
          <w:rFonts w:hint="eastAsia" w:ascii="宋体" w:hAnsi="宋体" w:eastAsia="宋体" w:cs="宋体"/>
          <w:color w:val="auto"/>
          <w:highlight w:val="none"/>
        </w:rPr>
        <w:t>（5）在合同履行过程中，不论何种原因导致履约担保金数额不符合招标文件要求的，中标人应当在5日内予以补足。逾期不予补足的，招标人有权按需补足的金额要求中标人承担违约金，并要求限期补足。如中标人仍不补足的，招标人有权单方解除合同，违约金可直接从未付合同款或履约担保中扣除。</w:t>
      </w:r>
    </w:p>
    <w:p w14:paraId="397F2BB2">
      <w:pPr>
        <w:ind w:left="525" w:hanging="525" w:hangingChars="250"/>
        <w:rPr>
          <w:rFonts w:hint="eastAsia" w:ascii="宋体" w:hAnsi="宋体" w:eastAsia="宋体" w:cs="宋体"/>
          <w:color w:val="auto"/>
          <w:highlight w:val="none"/>
        </w:rPr>
      </w:pPr>
      <w:r>
        <w:rPr>
          <w:rFonts w:hint="eastAsia" w:ascii="宋体" w:hAnsi="宋体" w:eastAsia="宋体" w:cs="宋体"/>
          <w:color w:val="auto"/>
          <w:highlight w:val="none"/>
        </w:rPr>
        <w:t>（6）不可撤销银行履约保函（或履约保证保险或担保公司履约担保书）应从合同签订之日起至合同期限届满并全部供货经验收合格及履行完毕相关服务义务且结算完毕之后二十八（28）日内保持有效。</w:t>
      </w:r>
    </w:p>
    <w:p w14:paraId="40AF7B01">
      <w:pPr>
        <w:ind w:left="525" w:hanging="525" w:hangingChars="250"/>
        <w:rPr>
          <w:rFonts w:hint="eastAsia" w:ascii="宋体" w:hAnsi="宋体" w:eastAsia="宋体" w:cs="宋体"/>
          <w:color w:val="auto"/>
          <w:highlight w:val="none"/>
        </w:rPr>
      </w:pPr>
      <w:r>
        <w:rPr>
          <w:rFonts w:hint="eastAsia" w:ascii="宋体" w:hAnsi="宋体" w:eastAsia="宋体" w:cs="宋体"/>
          <w:color w:val="auto"/>
          <w:highlight w:val="none"/>
        </w:rPr>
        <w:t>35.4 履约保证金应用本合同货币。</w:t>
      </w:r>
    </w:p>
    <w:p w14:paraId="7E898B14">
      <w:pPr>
        <w:ind w:left="525" w:hanging="525" w:hangingChars="250"/>
        <w:rPr>
          <w:rFonts w:hint="eastAsia" w:ascii="宋体" w:hAnsi="宋体" w:eastAsia="宋体" w:cs="宋体"/>
          <w:color w:val="auto"/>
          <w:highlight w:val="none"/>
        </w:rPr>
      </w:pPr>
      <w:r>
        <w:rPr>
          <w:rFonts w:hint="eastAsia" w:ascii="宋体" w:hAnsi="宋体" w:eastAsia="宋体" w:cs="宋体"/>
          <w:color w:val="auto"/>
          <w:highlight w:val="none"/>
        </w:rPr>
        <w:t>35.5 中标人也可以按招标文件约定的额度和时间，向招标人交纳同等数额的履约保证金作为履约担保。如中标人提交的履约保证金是其分支机构以转账形式转入的，要提交中标人的法</w:t>
      </w:r>
      <w:r>
        <w:rPr>
          <w:rFonts w:hint="eastAsia" w:ascii="宋体" w:hAnsi="宋体" w:eastAsia="宋体" w:cs="宋体"/>
          <w:color w:val="auto"/>
          <w:highlight w:val="none"/>
          <w:lang w:eastAsia="zh-CN"/>
        </w:rPr>
        <w:t>定代表</w:t>
      </w:r>
      <w:r>
        <w:rPr>
          <w:rFonts w:hint="eastAsia" w:ascii="宋体" w:hAnsi="宋体" w:eastAsia="宋体" w:cs="宋体"/>
          <w:color w:val="auto"/>
          <w:highlight w:val="none"/>
        </w:rPr>
        <w:t>人书面授权，不接受由私人账户和其它单位转入的保证金，也不接受现金形式提交。履约保证金应以存入招标人指定的以下银行账户为准</w:t>
      </w:r>
      <w:r>
        <w:rPr>
          <w:rFonts w:hint="eastAsia" w:ascii="宋体" w:hAnsi="宋体" w:eastAsia="宋体" w:cs="宋体"/>
          <w:color w:val="auto"/>
          <w:highlight w:val="none"/>
          <w:lang w:eastAsia="zh-CN"/>
        </w:rPr>
        <w:t>，</w:t>
      </w:r>
    </w:p>
    <w:p w14:paraId="3D10F077">
      <w:pPr>
        <w:tabs>
          <w:tab w:val="left" w:pos="360"/>
          <w:tab w:val="left" w:pos="4725"/>
        </w:tabs>
        <w:autoSpaceDE w:val="0"/>
        <w:autoSpaceDN w:val="0"/>
        <w:adjustRightInd w:val="0"/>
        <w:spacing w:line="360" w:lineRule="auto"/>
        <w:ind w:firstLine="632" w:firstLineChars="300"/>
        <w:jc w:val="left"/>
        <w:rPr>
          <w:rFonts w:hint="eastAsia" w:ascii="宋体" w:hAnsi="宋体" w:eastAsia="宋体" w:cs="宋体"/>
          <w:b/>
          <w:i w:val="0"/>
          <w:iCs w:val="0"/>
          <w:color w:val="auto"/>
          <w:kern w:val="0"/>
          <w:szCs w:val="21"/>
          <w:highlight w:val="none"/>
        </w:rPr>
      </w:pPr>
      <w:r>
        <w:rPr>
          <w:rFonts w:hint="eastAsia" w:ascii="宋体" w:hAnsi="宋体" w:eastAsia="宋体" w:cs="宋体"/>
          <w:b/>
          <w:i w:val="0"/>
          <w:iCs w:val="0"/>
          <w:color w:val="auto"/>
          <w:kern w:val="0"/>
          <w:szCs w:val="21"/>
          <w:highlight w:val="none"/>
        </w:rPr>
        <w:t>履约保证金账户：</w:t>
      </w:r>
      <w:r>
        <w:rPr>
          <w:rFonts w:hint="eastAsia" w:ascii="宋体" w:hAnsi="宋体" w:eastAsia="宋体" w:cs="宋体"/>
          <w:b/>
          <w:i w:val="0"/>
          <w:iCs w:val="0"/>
          <w:color w:val="auto"/>
          <w:kern w:val="0"/>
          <w:szCs w:val="21"/>
          <w:highlight w:val="none"/>
          <w:u w:val="single"/>
        </w:rPr>
        <w:t>（特别提醒，本账户非投标保证金账户）</w:t>
      </w:r>
    </w:p>
    <w:p w14:paraId="4330FFE6">
      <w:pPr>
        <w:autoSpaceDE w:val="0"/>
        <w:autoSpaceDN w:val="0"/>
        <w:adjustRightInd w:val="0"/>
        <w:snapToGrid w:val="0"/>
        <w:spacing w:line="360" w:lineRule="auto"/>
        <w:ind w:firstLine="632" w:firstLineChars="300"/>
        <w:jc w:val="left"/>
        <w:rPr>
          <w:rFonts w:hint="eastAsia" w:ascii="宋体" w:hAnsi="宋体" w:eastAsia="宋体" w:cs="宋体"/>
          <w:b/>
          <w:i w:val="0"/>
          <w:iCs w:val="0"/>
          <w:color w:val="auto"/>
          <w:kern w:val="0"/>
          <w:szCs w:val="21"/>
          <w:highlight w:val="none"/>
          <w:lang w:eastAsia="zh-CN"/>
        </w:rPr>
      </w:pPr>
      <w:r>
        <w:rPr>
          <w:rFonts w:hint="eastAsia" w:ascii="宋体" w:hAnsi="宋体" w:eastAsia="宋体" w:cs="宋体"/>
          <w:b/>
          <w:i w:val="0"/>
          <w:iCs w:val="0"/>
          <w:color w:val="auto"/>
          <w:kern w:val="0"/>
          <w:szCs w:val="21"/>
          <w:highlight w:val="none"/>
          <w:lang w:eastAsia="zh-CN"/>
        </w:rPr>
        <w:t>东莞市碧水信息科技有限公司</w:t>
      </w:r>
    </w:p>
    <w:p w14:paraId="6DC9D2D3">
      <w:pPr>
        <w:autoSpaceDE w:val="0"/>
        <w:autoSpaceDN w:val="0"/>
        <w:adjustRightInd w:val="0"/>
        <w:snapToGrid w:val="0"/>
        <w:spacing w:line="360" w:lineRule="auto"/>
        <w:ind w:firstLine="632" w:firstLineChars="300"/>
        <w:jc w:val="left"/>
        <w:rPr>
          <w:rFonts w:hint="eastAsia" w:ascii="宋体" w:hAnsi="宋体" w:eastAsia="宋体" w:cs="宋体"/>
          <w:b/>
          <w:i w:val="0"/>
          <w:iCs w:val="0"/>
          <w:color w:val="auto"/>
          <w:kern w:val="0"/>
          <w:szCs w:val="21"/>
          <w:highlight w:val="none"/>
          <w:lang w:eastAsia="zh-CN"/>
        </w:rPr>
      </w:pPr>
      <w:r>
        <w:rPr>
          <w:rFonts w:hint="eastAsia" w:ascii="宋体" w:hAnsi="宋体" w:eastAsia="宋体" w:cs="宋体"/>
          <w:b/>
          <w:i w:val="0"/>
          <w:iCs w:val="0"/>
          <w:color w:val="auto"/>
          <w:kern w:val="0"/>
          <w:szCs w:val="21"/>
          <w:highlight w:val="none"/>
        </w:rPr>
        <w:t>开户名称：</w:t>
      </w:r>
      <w:r>
        <w:rPr>
          <w:rFonts w:hint="eastAsia" w:ascii="宋体" w:hAnsi="宋体" w:eastAsia="宋体" w:cs="宋体"/>
          <w:b/>
          <w:i w:val="0"/>
          <w:iCs w:val="0"/>
          <w:color w:val="auto"/>
          <w:kern w:val="0"/>
          <w:szCs w:val="21"/>
          <w:highlight w:val="none"/>
          <w:lang w:eastAsia="zh-CN"/>
        </w:rPr>
        <w:t>东莞市碧水信息科技有限公司</w:t>
      </w:r>
    </w:p>
    <w:p w14:paraId="6EBA8D56">
      <w:pPr>
        <w:autoSpaceDE w:val="0"/>
        <w:autoSpaceDN w:val="0"/>
        <w:adjustRightInd w:val="0"/>
        <w:snapToGrid w:val="0"/>
        <w:spacing w:line="360" w:lineRule="auto"/>
        <w:ind w:firstLine="632" w:firstLineChars="300"/>
        <w:jc w:val="left"/>
        <w:rPr>
          <w:rFonts w:hint="eastAsia" w:ascii="宋体" w:hAnsi="宋体" w:eastAsia="宋体" w:cs="宋体"/>
          <w:b/>
          <w:i w:val="0"/>
          <w:iCs w:val="0"/>
          <w:color w:val="auto"/>
          <w:kern w:val="0"/>
          <w:szCs w:val="21"/>
          <w:highlight w:val="none"/>
        </w:rPr>
      </w:pPr>
      <w:r>
        <w:rPr>
          <w:rFonts w:hint="eastAsia" w:ascii="宋体" w:hAnsi="宋体" w:eastAsia="宋体" w:cs="宋体"/>
          <w:b/>
          <w:i w:val="0"/>
          <w:iCs w:val="0"/>
          <w:color w:val="auto"/>
          <w:kern w:val="0"/>
          <w:szCs w:val="21"/>
          <w:highlight w:val="none"/>
        </w:rPr>
        <w:t>银行账号：2010021309200572784</w:t>
      </w:r>
    </w:p>
    <w:p w14:paraId="67CD9D78">
      <w:pPr>
        <w:autoSpaceDE w:val="0"/>
        <w:autoSpaceDN w:val="0"/>
        <w:adjustRightInd w:val="0"/>
        <w:snapToGrid w:val="0"/>
        <w:spacing w:line="360" w:lineRule="auto"/>
        <w:ind w:firstLine="632" w:firstLineChars="300"/>
        <w:jc w:val="left"/>
        <w:rPr>
          <w:rFonts w:hint="eastAsia" w:ascii="宋体" w:hAnsi="宋体" w:eastAsia="宋体" w:cs="宋体"/>
          <w:b/>
          <w:i w:val="0"/>
          <w:iCs w:val="0"/>
          <w:color w:val="auto"/>
          <w:kern w:val="0"/>
          <w:szCs w:val="21"/>
          <w:highlight w:val="none"/>
        </w:rPr>
      </w:pPr>
      <w:r>
        <w:rPr>
          <w:rFonts w:hint="eastAsia" w:ascii="宋体" w:hAnsi="宋体" w:eastAsia="宋体" w:cs="宋体"/>
          <w:b/>
          <w:i w:val="0"/>
          <w:iCs w:val="0"/>
          <w:color w:val="auto"/>
          <w:kern w:val="0"/>
          <w:szCs w:val="21"/>
          <w:highlight w:val="none"/>
        </w:rPr>
        <w:t>开户银行：中国工商银行股份有限公司东莞分行</w:t>
      </w:r>
    </w:p>
    <w:p w14:paraId="24F9DBC1">
      <w:pPr>
        <w:autoSpaceDE w:val="0"/>
        <w:autoSpaceDN w:val="0"/>
        <w:ind w:firstLine="632" w:firstLineChars="300"/>
        <w:jc w:val="left"/>
        <w:rPr>
          <w:rFonts w:hint="eastAsia" w:ascii="宋体" w:hAnsi="宋体" w:eastAsia="宋体" w:cs="宋体"/>
          <w:color w:val="auto"/>
          <w:highlight w:val="none"/>
        </w:rPr>
      </w:pPr>
      <w:r>
        <w:rPr>
          <w:rFonts w:hint="eastAsia" w:ascii="宋体" w:hAnsi="宋体" w:eastAsia="宋体" w:cs="宋体"/>
          <w:b/>
          <w:color w:val="auto"/>
          <w:kern w:val="0"/>
          <w:szCs w:val="21"/>
          <w:highlight w:val="none"/>
        </w:rPr>
        <w:t>[</w:t>
      </w:r>
      <w:r>
        <w:rPr>
          <w:rFonts w:hint="eastAsia" w:ascii="宋体" w:hAnsi="宋体" w:eastAsia="宋体" w:cs="宋体"/>
          <w:b/>
          <w:color w:val="auto"/>
          <w:kern w:val="0"/>
          <w:szCs w:val="21"/>
          <w:highlight w:val="none"/>
          <w:lang w:val="en-US" w:eastAsia="zh-CN"/>
        </w:rPr>
        <w:t>中标人</w:t>
      </w:r>
      <w:r>
        <w:rPr>
          <w:rFonts w:hint="eastAsia" w:ascii="宋体" w:hAnsi="宋体" w:eastAsia="宋体" w:cs="宋体"/>
          <w:b/>
          <w:color w:val="auto"/>
          <w:kern w:val="0"/>
          <w:szCs w:val="21"/>
          <w:highlight w:val="none"/>
        </w:rPr>
        <w:t>转账时务必备注清楚转账用途（采购项目/招标编号+</w:t>
      </w:r>
      <w:r>
        <w:rPr>
          <w:rFonts w:hint="eastAsia" w:ascii="宋体" w:hAnsi="宋体" w:eastAsia="宋体" w:cs="宋体"/>
          <w:b/>
          <w:color w:val="auto"/>
          <w:kern w:val="0"/>
          <w:szCs w:val="21"/>
          <w:highlight w:val="none"/>
          <w:lang w:val="en-US" w:eastAsia="zh-CN"/>
        </w:rPr>
        <w:t>履约</w:t>
      </w:r>
      <w:r>
        <w:rPr>
          <w:rFonts w:hint="eastAsia" w:ascii="宋体" w:hAnsi="宋体" w:eastAsia="宋体" w:cs="宋体"/>
          <w:b/>
          <w:color w:val="auto"/>
          <w:kern w:val="0"/>
          <w:szCs w:val="21"/>
          <w:highlight w:val="none"/>
        </w:rPr>
        <w:t>保证金）]</w:t>
      </w:r>
    </w:p>
    <w:p w14:paraId="6F2D7241">
      <w:pPr>
        <w:ind w:left="525" w:hanging="525" w:hangingChars="250"/>
        <w:rPr>
          <w:rFonts w:hint="eastAsia" w:ascii="宋体" w:hAnsi="宋体" w:eastAsia="宋体" w:cs="宋体"/>
          <w:color w:val="auto"/>
          <w:highlight w:val="none"/>
        </w:rPr>
      </w:pPr>
      <w:r>
        <w:rPr>
          <w:rFonts w:hint="eastAsia" w:ascii="宋体" w:hAnsi="宋体" w:eastAsia="宋体" w:cs="宋体"/>
          <w:color w:val="auto"/>
          <w:highlight w:val="none"/>
        </w:rPr>
        <w:t>35.6 中标单位提交了履约担保后，当履约保证金转达招标人履约保证金账户后，中标人将履约保证金的汇款凭证用A4纸复印件（注明招标编号）一式二份并加盖中标人的公章送招标代理机构，[或当中标人采取不可撤销银行履约保函（或履约保证保险或担保公司履约担保书）的方式缴纳履约担保时，中标人将不可撤销银行履约保函（或履约保证保险或担保公司履约担保书）原件交给招标人，由招标人在履约保函一式两份复印件上注明“原件已收”及签收人、日期后，中标人在每份复印件上加盖中标人的公章，送招标代理机构]。</w:t>
      </w:r>
    </w:p>
    <w:p w14:paraId="075397B5">
      <w:pPr>
        <w:ind w:left="525" w:hanging="525" w:hangingChars="250"/>
        <w:rPr>
          <w:rFonts w:hint="eastAsia" w:ascii="宋体" w:hAnsi="宋体" w:eastAsia="宋体" w:cs="宋体"/>
          <w:color w:val="auto"/>
          <w:highlight w:val="none"/>
        </w:rPr>
      </w:pPr>
      <w:r>
        <w:rPr>
          <w:rFonts w:hint="eastAsia" w:ascii="宋体" w:hAnsi="宋体" w:eastAsia="宋体" w:cs="宋体"/>
          <w:color w:val="auto"/>
          <w:highlight w:val="none"/>
        </w:rPr>
        <w:t>35.7 中标人以履约保证金（银行转账形式）提供履约担保的，在合同期限届满并全部供货经验收合格及履行完毕相关服务义务且结算完毕之后二十八（28）日后，经招标人确认，中标人可向招标人提交退回履约担保的申请。招标人审核无异议后，办理履约担保退还手续，退回时一律以银行转账的形式无息退回到中标人的账户。</w:t>
      </w:r>
    </w:p>
    <w:p w14:paraId="4BF75112">
      <w:pPr>
        <w:ind w:left="315" w:leftChars="-100" w:hanging="525" w:hangingChars="250"/>
        <w:jc w:val="left"/>
        <w:rPr>
          <w:rFonts w:hint="eastAsia" w:ascii="宋体" w:hAnsi="宋体" w:eastAsia="宋体" w:cs="宋体"/>
          <w:color w:val="auto"/>
          <w:szCs w:val="21"/>
          <w:highlight w:val="none"/>
        </w:rPr>
      </w:pPr>
    </w:p>
    <w:p w14:paraId="2CBF58B3">
      <w:pPr>
        <w:pStyle w:val="4"/>
        <w:rPr>
          <w:rFonts w:hint="eastAsia" w:ascii="宋体" w:hAnsi="宋体" w:eastAsia="宋体" w:cs="宋体"/>
          <w:color w:val="auto"/>
          <w:highlight w:val="none"/>
          <w:lang w:val="zh-CN"/>
        </w:rPr>
      </w:pPr>
      <w:bookmarkStart w:id="603" w:name="_Toc30597"/>
      <w:bookmarkStart w:id="604" w:name="_Toc142508353"/>
      <w:bookmarkStart w:id="605" w:name="_Toc172552183"/>
      <w:bookmarkStart w:id="606" w:name="_Toc176627817"/>
      <w:bookmarkStart w:id="607" w:name="_Toc178076496"/>
      <w:bookmarkStart w:id="608" w:name="_Toc486167702"/>
      <w:bookmarkStart w:id="609" w:name="_Toc2422"/>
      <w:bookmarkStart w:id="610" w:name="_Toc3888"/>
      <w:bookmarkStart w:id="611" w:name="_Toc12443"/>
      <w:bookmarkStart w:id="612" w:name="_Toc24403"/>
      <w:bookmarkStart w:id="613" w:name="_Toc13033"/>
      <w:r>
        <w:rPr>
          <w:rFonts w:hint="eastAsia" w:ascii="宋体" w:hAnsi="宋体" w:eastAsia="宋体" w:cs="宋体"/>
          <w:color w:val="auto"/>
          <w:highlight w:val="none"/>
        </w:rPr>
        <w:t>36</w:t>
      </w:r>
      <w:r>
        <w:rPr>
          <w:rFonts w:hint="eastAsia" w:ascii="宋体" w:hAnsi="宋体" w:eastAsia="宋体" w:cs="宋体"/>
          <w:color w:val="auto"/>
          <w:highlight w:val="none"/>
          <w:lang w:val="zh-CN"/>
        </w:rPr>
        <w:t xml:space="preserve"> 在合同履行中变更采购范围的权利</w:t>
      </w:r>
      <w:bookmarkEnd w:id="601"/>
      <w:bookmarkEnd w:id="602"/>
      <w:bookmarkEnd w:id="603"/>
      <w:bookmarkEnd w:id="604"/>
      <w:bookmarkEnd w:id="605"/>
      <w:bookmarkEnd w:id="606"/>
      <w:bookmarkEnd w:id="607"/>
      <w:bookmarkEnd w:id="608"/>
      <w:bookmarkEnd w:id="609"/>
      <w:bookmarkEnd w:id="610"/>
      <w:bookmarkEnd w:id="611"/>
      <w:bookmarkEnd w:id="612"/>
      <w:bookmarkEnd w:id="613"/>
    </w:p>
    <w:p w14:paraId="31E2489F">
      <w:pPr>
        <w:ind w:left="525" w:hanging="525" w:hangingChars="250"/>
        <w:rPr>
          <w:rFonts w:hint="eastAsia" w:ascii="宋体" w:hAnsi="宋体" w:eastAsia="宋体" w:cs="宋体"/>
          <w:color w:val="auto"/>
          <w:highlight w:val="none"/>
        </w:rPr>
      </w:pPr>
      <w:r>
        <w:rPr>
          <w:rFonts w:hint="eastAsia" w:ascii="宋体" w:hAnsi="宋体" w:eastAsia="宋体" w:cs="宋体"/>
          <w:color w:val="auto"/>
          <w:highlight w:val="none"/>
        </w:rPr>
        <w:t>36.1 合同履行中，招标人在合同约定的范围内，招标人有权根据项目实际情况及有关法律法规、政策的规定对采购范围进行变更调整，变更采购范围后，投标人应遵照执行。</w:t>
      </w:r>
    </w:p>
    <w:p w14:paraId="403F3124">
      <w:pPr>
        <w:ind w:left="315" w:leftChars="-100" w:hanging="525" w:hangingChars="250"/>
        <w:jc w:val="left"/>
        <w:rPr>
          <w:rFonts w:hint="eastAsia" w:ascii="宋体" w:hAnsi="宋体" w:eastAsia="宋体" w:cs="宋体"/>
          <w:color w:val="auto"/>
          <w:szCs w:val="21"/>
          <w:highlight w:val="none"/>
          <w:lang w:val="zh-CN"/>
        </w:rPr>
      </w:pPr>
      <w:bookmarkStart w:id="614" w:name="_Toc450662888"/>
    </w:p>
    <w:p w14:paraId="2DB7D88F">
      <w:pPr>
        <w:pStyle w:val="4"/>
        <w:rPr>
          <w:rFonts w:hint="eastAsia" w:ascii="宋体" w:hAnsi="宋体" w:eastAsia="宋体" w:cs="宋体"/>
          <w:color w:val="auto"/>
          <w:szCs w:val="21"/>
          <w:highlight w:val="none"/>
          <w:lang w:val="zh-CN"/>
        </w:rPr>
      </w:pPr>
      <w:bookmarkStart w:id="615" w:name="_Toc14372"/>
      <w:bookmarkStart w:id="616" w:name="_Toc12754"/>
      <w:bookmarkStart w:id="617" w:name="_Toc178076497"/>
      <w:bookmarkStart w:id="618" w:name="_Toc172552184"/>
      <w:bookmarkStart w:id="619" w:name="_Toc7255"/>
      <w:bookmarkStart w:id="620" w:name="_Toc486167703"/>
      <w:bookmarkStart w:id="621" w:name="_Toc142508354"/>
      <w:bookmarkStart w:id="622" w:name="_Toc16022"/>
      <w:bookmarkStart w:id="623" w:name="_Toc9798"/>
      <w:bookmarkStart w:id="624" w:name="_Toc28921_WPSOffice_Level3"/>
      <w:bookmarkStart w:id="625" w:name="_Toc176627818"/>
      <w:bookmarkStart w:id="626" w:name="_Toc13275"/>
      <w:r>
        <w:rPr>
          <w:rFonts w:hint="eastAsia" w:ascii="宋体" w:hAnsi="宋体" w:eastAsia="宋体" w:cs="宋体"/>
          <w:color w:val="auto"/>
          <w:szCs w:val="21"/>
          <w:highlight w:val="none"/>
        </w:rPr>
        <w:t>37</w:t>
      </w:r>
      <w:r>
        <w:rPr>
          <w:rFonts w:hint="eastAsia" w:ascii="宋体" w:hAnsi="宋体" w:eastAsia="宋体" w:cs="宋体"/>
          <w:color w:val="auto"/>
          <w:szCs w:val="21"/>
          <w:highlight w:val="none"/>
          <w:lang w:val="zh-CN"/>
        </w:rPr>
        <w:t xml:space="preserve"> 中标服务费</w:t>
      </w:r>
      <w:bookmarkEnd w:id="614"/>
      <w:bookmarkEnd w:id="615"/>
      <w:bookmarkEnd w:id="616"/>
      <w:bookmarkEnd w:id="617"/>
      <w:bookmarkEnd w:id="618"/>
      <w:bookmarkEnd w:id="619"/>
      <w:bookmarkEnd w:id="620"/>
      <w:bookmarkEnd w:id="621"/>
      <w:bookmarkEnd w:id="622"/>
      <w:bookmarkEnd w:id="623"/>
      <w:bookmarkEnd w:id="624"/>
      <w:bookmarkEnd w:id="625"/>
      <w:bookmarkEnd w:id="626"/>
    </w:p>
    <w:p w14:paraId="5EC1944E">
      <w:pPr>
        <w:ind w:left="525" w:hanging="525" w:hangingChars="25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37.1 中标人应按37.2款规定在领取《中标通知书》原件之前向招标代理机构一次性交纳中标服务费（中标服务费参照国家计委《关于印发〈招标代理服务收费管理暂行办法〉的通知》（计价格〔2002〕1980号）及《国家发展改革委关于降低部分建设项目收费标准规范收费行为等有关问题的通知》（发改价格〔2011〕534号）等标准的80%计算。以本项目的中标折扣系数计算得出的暂定含税合同总价为计费额，本项目业务性质：按货物类招标代理服务收费）。</w:t>
      </w:r>
    </w:p>
    <w:p w14:paraId="4C389254">
      <w:pPr>
        <w:ind w:left="525" w:hanging="525" w:hangingChars="25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37.2 中标人收到中标通知后，须在15日内向招标代理机构交纳中标服务费用及领取《中标通知书》原件，否则视为放弃中标权利和义务。</w:t>
      </w:r>
    </w:p>
    <w:p w14:paraId="7F8F6D94">
      <w:pPr>
        <w:ind w:left="525" w:hanging="525" w:hangingChars="25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37.3 中标服务费以银行转账、电汇</w:t>
      </w:r>
      <w:r>
        <w:rPr>
          <w:rFonts w:hint="eastAsia" w:ascii="宋体" w:hAnsi="宋体" w:eastAsia="宋体" w:cs="宋体"/>
          <w:color w:val="auto"/>
          <w:highlight w:val="none"/>
        </w:rPr>
        <w:t>等</w:t>
      </w:r>
      <w:r>
        <w:rPr>
          <w:rFonts w:hint="eastAsia" w:ascii="宋体" w:hAnsi="宋体" w:eastAsia="宋体" w:cs="宋体"/>
          <w:color w:val="auto"/>
          <w:highlight w:val="none"/>
          <w:lang w:val="zh-CN"/>
        </w:rPr>
        <w:t>方式交纳。</w:t>
      </w:r>
    </w:p>
    <w:p w14:paraId="0646124F">
      <w:pPr>
        <w:ind w:left="525" w:hanging="525" w:hangingChars="25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 xml:space="preserve">     中标服务费汇入账号（特别提醒，本账户非投标保证金汇入账户)：</w:t>
      </w:r>
    </w:p>
    <w:p w14:paraId="1433F66E">
      <w:pPr>
        <w:ind w:left="1050" w:leftChars="250" w:hanging="525" w:hangingChars="250"/>
        <w:rPr>
          <w:rFonts w:hint="eastAsia" w:ascii="宋体" w:hAnsi="宋体" w:eastAsia="宋体" w:cs="宋体"/>
          <w:color w:val="auto"/>
          <w:highlight w:val="none"/>
        </w:rPr>
      </w:pPr>
      <w:r>
        <w:rPr>
          <w:rFonts w:hint="eastAsia" w:ascii="宋体" w:hAnsi="宋体" w:eastAsia="宋体" w:cs="宋体"/>
          <w:color w:val="auto"/>
          <w:highlight w:val="none"/>
        </w:rPr>
        <w:t>开户名称：</w:t>
      </w:r>
      <w:r>
        <w:rPr>
          <w:rFonts w:hint="eastAsia" w:ascii="宋体" w:hAnsi="宋体" w:eastAsia="宋体" w:cs="宋体"/>
          <w:color w:val="auto"/>
          <w:szCs w:val="21"/>
          <w:highlight w:val="none"/>
          <w:lang w:val="zh-CN"/>
        </w:rPr>
        <w:t>广东有德招标采购有限公司东莞分公司</w:t>
      </w:r>
    </w:p>
    <w:p w14:paraId="1C3AB08D">
      <w:pPr>
        <w:ind w:left="1050" w:leftChars="250" w:hanging="525" w:hangingChars="250"/>
        <w:rPr>
          <w:rFonts w:hint="eastAsia" w:ascii="宋体" w:hAnsi="宋体" w:eastAsia="宋体" w:cs="宋体"/>
          <w:color w:val="auto"/>
          <w:highlight w:val="none"/>
        </w:rPr>
      </w:pPr>
      <w:r>
        <w:rPr>
          <w:rFonts w:hint="eastAsia" w:ascii="宋体" w:hAnsi="宋体" w:eastAsia="宋体" w:cs="宋体"/>
          <w:color w:val="auto"/>
          <w:highlight w:val="none"/>
        </w:rPr>
        <w:t>开户银行：</w:t>
      </w:r>
      <w:r>
        <w:rPr>
          <w:rFonts w:hint="eastAsia" w:ascii="宋体" w:hAnsi="宋体" w:eastAsia="宋体" w:cs="宋体"/>
          <w:color w:val="auto"/>
          <w:szCs w:val="21"/>
          <w:highlight w:val="none"/>
          <w:lang w:val="zh-CN"/>
        </w:rPr>
        <w:t>建行东莞南城支行</w:t>
      </w:r>
    </w:p>
    <w:p w14:paraId="4C408412">
      <w:pPr>
        <w:ind w:left="1050" w:leftChars="250" w:hanging="525" w:hangingChars="250"/>
        <w:rPr>
          <w:rFonts w:hint="eastAsia" w:ascii="宋体" w:hAnsi="宋体" w:eastAsia="宋体" w:cs="宋体"/>
          <w:color w:val="auto"/>
          <w:highlight w:val="none"/>
          <w:lang w:val="zh-CN"/>
        </w:rPr>
      </w:pPr>
      <w:r>
        <w:rPr>
          <w:rFonts w:hint="eastAsia" w:ascii="宋体" w:hAnsi="宋体" w:eastAsia="宋体" w:cs="宋体"/>
          <w:color w:val="auto"/>
          <w:highlight w:val="none"/>
        </w:rPr>
        <w:t>银行账号：</w:t>
      </w:r>
      <w:r>
        <w:rPr>
          <w:rFonts w:hint="eastAsia" w:ascii="宋体" w:hAnsi="宋体" w:eastAsia="宋体" w:cs="宋体"/>
          <w:color w:val="auto"/>
          <w:szCs w:val="21"/>
          <w:highlight w:val="none"/>
          <w:lang w:val="zh-CN"/>
        </w:rPr>
        <w:t>44001776040053011261</w:t>
      </w:r>
    </w:p>
    <w:p w14:paraId="1122188B">
      <w:pPr>
        <w:ind w:left="525" w:hanging="525" w:hangingChars="25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37.4 中标人如未按第37.1款、第37.2款规定办理，将不予退还其投标保证金。</w:t>
      </w:r>
    </w:p>
    <w:p w14:paraId="3294C366">
      <w:pPr>
        <w:rPr>
          <w:rFonts w:hint="eastAsia" w:ascii="宋体" w:hAnsi="宋体" w:eastAsia="宋体" w:cs="宋体"/>
          <w:color w:val="auto"/>
          <w:highlight w:val="none"/>
        </w:rPr>
      </w:pPr>
      <w:bookmarkStart w:id="627" w:name="_Toc26549"/>
      <w:bookmarkStart w:id="628" w:name="_Toc29404"/>
      <w:bookmarkStart w:id="629" w:name="_Toc6764_WPSOffice_Level3"/>
      <w:bookmarkStart w:id="630" w:name="_Toc142508355"/>
      <w:bookmarkStart w:id="631" w:name="_Toc178076498"/>
      <w:bookmarkStart w:id="632" w:name="_Toc176627819"/>
      <w:bookmarkStart w:id="633" w:name="_Toc26292"/>
      <w:bookmarkStart w:id="634" w:name="_Toc172552185"/>
      <w:bookmarkStart w:id="635" w:name="_Toc450662889"/>
      <w:bookmarkStart w:id="636" w:name="_Toc17659"/>
      <w:bookmarkStart w:id="637" w:name="_Toc486167704"/>
    </w:p>
    <w:p w14:paraId="1E2EAD37">
      <w:pPr>
        <w:pStyle w:val="4"/>
        <w:rPr>
          <w:rFonts w:hint="eastAsia" w:ascii="宋体" w:hAnsi="宋体" w:eastAsia="宋体" w:cs="宋体"/>
          <w:color w:val="auto"/>
          <w:szCs w:val="21"/>
          <w:highlight w:val="none"/>
          <w:lang w:val="zh-CN"/>
        </w:rPr>
      </w:pPr>
      <w:bookmarkStart w:id="638" w:name="_Toc18404"/>
      <w:bookmarkStart w:id="639" w:name="_Toc17641"/>
      <w:r>
        <w:rPr>
          <w:rFonts w:hint="eastAsia" w:ascii="宋体" w:hAnsi="宋体" w:eastAsia="宋体" w:cs="宋体"/>
          <w:color w:val="auto"/>
          <w:szCs w:val="21"/>
          <w:highlight w:val="none"/>
        </w:rPr>
        <w:t>38</w:t>
      </w:r>
      <w:r>
        <w:rPr>
          <w:rFonts w:hint="eastAsia" w:ascii="宋体" w:hAnsi="宋体" w:eastAsia="宋体" w:cs="宋体"/>
          <w:color w:val="auto"/>
          <w:szCs w:val="21"/>
          <w:highlight w:val="none"/>
          <w:lang w:val="zh-CN"/>
        </w:rPr>
        <w:t xml:space="preserve"> 发票</w:t>
      </w:r>
      <w:bookmarkEnd w:id="627"/>
      <w:bookmarkEnd w:id="628"/>
      <w:bookmarkEnd w:id="629"/>
      <w:bookmarkEnd w:id="630"/>
      <w:bookmarkEnd w:id="631"/>
      <w:bookmarkEnd w:id="632"/>
      <w:bookmarkEnd w:id="633"/>
      <w:bookmarkEnd w:id="634"/>
      <w:bookmarkEnd w:id="635"/>
      <w:bookmarkEnd w:id="636"/>
      <w:bookmarkEnd w:id="637"/>
      <w:bookmarkEnd w:id="638"/>
      <w:bookmarkEnd w:id="639"/>
    </w:p>
    <w:p w14:paraId="08F2D16F">
      <w:pPr>
        <w:ind w:left="525" w:hanging="525" w:hangingChars="2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38</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该项目获得中标的中标人在执行合同过程中，向招标人（含其下属子公司）出具的发票必须是由中标人开具，不得以其他单位或个人名义出具，本项目中标人向招标人（含其下属子公司）出具的发票类型为增值税专用发票。</w:t>
      </w:r>
      <w:bookmarkStart w:id="640" w:name="_Toc31106_WPSOffice_Level3"/>
      <w:bookmarkStart w:id="641" w:name="_Toc486167705"/>
    </w:p>
    <w:p w14:paraId="2225E716">
      <w:pPr>
        <w:ind w:left="315" w:leftChars="-100" w:hanging="525" w:hangingChars="250"/>
        <w:jc w:val="left"/>
        <w:rPr>
          <w:rFonts w:hint="eastAsia" w:ascii="宋体" w:hAnsi="宋体" w:eastAsia="宋体" w:cs="宋体"/>
          <w:color w:val="auto"/>
          <w:szCs w:val="21"/>
          <w:highlight w:val="none"/>
        </w:rPr>
      </w:pPr>
    </w:p>
    <w:p w14:paraId="068308E7">
      <w:pPr>
        <w:pStyle w:val="4"/>
        <w:rPr>
          <w:rFonts w:hint="eastAsia" w:ascii="宋体" w:hAnsi="宋体" w:eastAsia="宋体" w:cs="宋体"/>
          <w:b/>
          <w:bCs/>
          <w:color w:val="auto"/>
          <w:highlight w:val="none"/>
        </w:rPr>
      </w:pPr>
      <w:bookmarkStart w:id="642" w:name="_Toc176627820"/>
      <w:bookmarkStart w:id="643" w:name="_Toc178076499"/>
      <w:bookmarkStart w:id="644" w:name="_Toc172552186"/>
      <w:bookmarkStart w:id="645" w:name="_Toc25853"/>
      <w:bookmarkStart w:id="646" w:name="_Toc1748"/>
      <w:bookmarkStart w:id="647" w:name="_Toc17204"/>
      <w:bookmarkStart w:id="648" w:name="_Toc16304"/>
      <w:bookmarkStart w:id="649" w:name="_Toc8961"/>
      <w:bookmarkStart w:id="650" w:name="_Toc7695"/>
      <w:bookmarkStart w:id="651" w:name="_Toc142508356"/>
      <w:r>
        <w:rPr>
          <w:rFonts w:hint="eastAsia" w:ascii="宋体" w:hAnsi="宋体" w:eastAsia="宋体" w:cs="宋体"/>
          <w:b/>
          <w:bCs/>
          <w:color w:val="auto"/>
          <w:highlight w:val="none"/>
        </w:rPr>
        <w:t>39 招标相关补充约定</w:t>
      </w:r>
      <w:bookmarkEnd w:id="642"/>
      <w:bookmarkEnd w:id="643"/>
      <w:bookmarkEnd w:id="644"/>
      <w:bookmarkEnd w:id="645"/>
      <w:bookmarkEnd w:id="646"/>
      <w:bookmarkEnd w:id="647"/>
      <w:bookmarkEnd w:id="648"/>
      <w:bookmarkEnd w:id="649"/>
      <w:bookmarkEnd w:id="650"/>
      <w:bookmarkEnd w:id="651"/>
    </w:p>
    <w:p w14:paraId="116E22A3">
      <w:pPr>
        <w:ind w:left="527" w:hanging="527" w:hangingChars="250"/>
        <w:rPr>
          <w:rFonts w:hint="eastAsia" w:ascii="宋体" w:hAnsi="宋体" w:eastAsia="宋体" w:cs="宋体"/>
          <w:b/>
          <w:bCs/>
          <w:color w:val="auto"/>
          <w:highlight w:val="none"/>
        </w:rPr>
      </w:pPr>
      <w:r>
        <w:rPr>
          <w:rFonts w:hint="eastAsia" w:ascii="宋体" w:hAnsi="宋体" w:eastAsia="宋体" w:cs="宋体"/>
          <w:b/>
          <w:bCs/>
          <w:color w:val="auto"/>
          <w:highlight w:val="none"/>
        </w:rPr>
        <w:t>39.1</w:t>
      </w:r>
      <w:r>
        <w:rPr>
          <w:rFonts w:hint="eastAsia" w:ascii="宋体" w:hAnsi="宋体" w:eastAsia="宋体" w:cs="宋体"/>
          <w:b/>
          <w:bCs/>
          <w:color w:val="auto"/>
          <w:highlight w:val="none"/>
        </w:rPr>
        <w:tab/>
      </w:r>
      <w:r>
        <w:rPr>
          <w:rFonts w:hint="eastAsia" w:ascii="宋体" w:hAnsi="宋体" w:eastAsia="宋体" w:cs="宋体"/>
          <w:b/>
          <w:bCs/>
          <w:color w:val="auto"/>
          <w:highlight w:val="none"/>
        </w:rPr>
        <w:t>本项目投标人须知第2条所述行政处罚信息，以开标当天在“信用中国”网站（www.creditchina.gov.cn）查询结果为准，或以司法、仲裁机构等出具的生效文件予以认定,时间以认定文件的落款时间为准。开标结束后，有关投标单位的行政处罚信息，以开标当天查询结果为准；结果公示期间，如投标人对有关投标单位的行政处罚信息存在异议，但不涉及第一中标候选人的，视为对中标结果没有造成实质影响。</w:t>
      </w:r>
    </w:p>
    <w:p w14:paraId="538F399F">
      <w:pPr>
        <w:ind w:left="315" w:leftChars="-100" w:hanging="525" w:hangingChars="250"/>
        <w:jc w:val="left"/>
        <w:rPr>
          <w:rFonts w:hint="eastAsia" w:ascii="宋体" w:hAnsi="宋体" w:eastAsia="宋体" w:cs="宋体"/>
          <w:color w:val="auto"/>
          <w:szCs w:val="21"/>
          <w:highlight w:val="none"/>
        </w:rPr>
      </w:pPr>
    </w:p>
    <w:p w14:paraId="12ACA08F">
      <w:pPr>
        <w:pStyle w:val="4"/>
        <w:rPr>
          <w:rFonts w:hint="eastAsia" w:ascii="宋体" w:hAnsi="宋体" w:eastAsia="宋体" w:cs="宋体"/>
          <w:color w:val="auto"/>
          <w:highlight w:val="none"/>
        </w:rPr>
      </w:pPr>
      <w:bookmarkStart w:id="652" w:name="_Toc172552187"/>
      <w:bookmarkStart w:id="653" w:name="_Toc23909"/>
      <w:bookmarkStart w:id="654" w:name="_Toc24305"/>
      <w:bookmarkStart w:id="655" w:name="_Toc1055"/>
      <w:bookmarkStart w:id="656" w:name="_Toc178076500"/>
      <w:bookmarkStart w:id="657" w:name="_Toc29450"/>
      <w:bookmarkStart w:id="658" w:name="_Toc26725"/>
      <w:bookmarkStart w:id="659" w:name="_Toc13149"/>
      <w:bookmarkStart w:id="660" w:name="_Toc142508357"/>
      <w:bookmarkStart w:id="661" w:name="_Toc176627821"/>
      <w:r>
        <w:rPr>
          <w:rFonts w:hint="eastAsia" w:ascii="宋体" w:hAnsi="宋体" w:eastAsia="宋体" w:cs="宋体"/>
          <w:color w:val="auto"/>
          <w:highlight w:val="none"/>
        </w:rPr>
        <w:t>40 本次招标活动的最终解释权归招标代理机构及招标人所有。</w:t>
      </w:r>
      <w:bookmarkEnd w:id="640"/>
      <w:bookmarkEnd w:id="641"/>
      <w:bookmarkEnd w:id="652"/>
      <w:bookmarkEnd w:id="653"/>
      <w:bookmarkEnd w:id="654"/>
      <w:bookmarkEnd w:id="655"/>
      <w:bookmarkEnd w:id="656"/>
      <w:bookmarkEnd w:id="657"/>
      <w:bookmarkEnd w:id="658"/>
      <w:bookmarkEnd w:id="659"/>
      <w:bookmarkEnd w:id="660"/>
      <w:bookmarkEnd w:id="661"/>
    </w:p>
    <w:p w14:paraId="0D91D774">
      <w:pPr>
        <w:rPr>
          <w:rFonts w:hint="eastAsia" w:ascii="宋体" w:hAnsi="宋体" w:eastAsia="宋体" w:cs="宋体"/>
          <w:color w:val="auto"/>
          <w:highlight w:val="none"/>
          <w:lang w:val="zh-CN"/>
        </w:rPr>
      </w:pPr>
      <w:bookmarkStart w:id="662" w:name="_Toc27939_WPSOffice_Level1"/>
      <w:bookmarkStart w:id="663" w:name="_Toc32092"/>
      <w:bookmarkStart w:id="664" w:name="_Toc176627822"/>
      <w:bookmarkStart w:id="665" w:name="_Toc17327"/>
      <w:bookmarkStart w:id="666" w:name="_Toc142508358"/>
      <w:bookmarkStart w:id="667" w:name="_Toc28218"/>
      <w:bookmarkStart w:id="668" w:name="_Toc486167706"/>
      <w:bookmarkStart w:id="669" w:name="_Toc172552188"/>
      <w:bookmarkStart w:id="670" w:name="_Toc9876"/>
      <w:bookmarkStart w:id="671" w:name="_Toc26458"/>
      <w:bookmarkStart w:id="672" w:name="_Toc9813"/>
      <w:bookmarkStart w:id="673" w:name="_Toc10470"/>
      <w:bookmarkStart w:id="674" w:name="_Toc178076501"/>
      <w:bookmarkStart w:id="675" w:name="_Toc450662891"/>
      <w:r>
        <w:rPr>
          <w:rFonts w:hint="eastAsia" w:ascii="宋体" w:hAnsi="宋体" w:eastAsia="宋体" w:cs="宋体"/>
          <w:color w:val="auto"/>
          <w:highlight w:val="none"/>
          <w:lang w:val="zh-CN"/>
        </w:rPr>
        <w:br w:type="page"/>
      </w:r>
    </w:p>
    <w:p w14:paraId="5704C19C">
      <w:pPr>
        <w:pStyle w:val="2"/>
        <w:rPr>
          <w:rFonts w:hint="eastAsia" w:ascii="宋体" w:hAnsi="宋体" w:eastAsia="宋体" w:cs="宋体"/>
          <w:color w:val="auto"/>
          <w:highlight w:val="none"/>
          <w:lang w:val="zh-CN"/>
        </w:rPr>
      </w:pPr>
      <w:bookmarkStart w:id="676" w:name="_Toc26657"/>
      <w:bookmarkStart w:id="677" w:name="_Toc11394"/>
      <w:r>
        <w:rPr>
          <w:rFonts w:hint="eastAsia" w:ascii="宋体" w:hAnsi="宋体" w:eastAsia="宋体" w:cs="宋体"/>
          <w:color w:val="auto"/>
          <w:highlight w:val="none"/>
          <w:lang w:val="zh-CN"/>
        </w:rPr>
        <w:t>第三篇 用户需求书</w:t>
      </w:r>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p>
    <w:p w14:paraId="083CFCB2">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80" w:lineRule="exact"/>
        <w:ind w:left="0" w:leftChars="0" w:firstLine="422" w:firstLineChars="200"/>
        <w:jc w:val="both"/>
        <w:textAlignment w:val="auto"/>
        <w:outlineLvl w:val="1"/>
        <w:rPr>
          <w:rFonts w:hint="eastAsia" w:ascii="宋体" w:hAnsi="宋体" w:eastAsia="宋体" w:cs="宋体"/>
          <w:b/>
          <w:bCs/>
          <w:color w:val="auto"/>
          <w:kern w:val="2"/>
          <w:sz w:val="21"/>
          <w:szCs w:val="21"/>
          <w:highlight w:val="none"/>
          <w:lang w:val="en-US" w:eastAsia="zh-CN" w:bidi="ar-SA"/>
        </w:rPr>
      </w:pPr>
      <w:bookmarkStart w:id="678" w:name="_Toc12899"/>
      <w:bookmarkStart w:id="679" w:name="_Toc30284"/>
      <w:bookmarkStart w:id="680" w:name="_Toc15610"/>
      <w:bookmarkStart w:id="681" w:name="_Toc11756"/>
      <w:bookmarkStart w:id="682" w:name="_Toc26628"/>
      <w:bookmarkStart w:id="683" w:name="_Toc12769"/>
      <w:bookmarkStart w:id="684" w:name="_Toc176627926"/>
      <w:bookmarkStart w:id="685" w:name="_Toc172552209"/>
      <w:bookmarkStart w:id="686" w:name="_Toc178076605"/>
      <w:bookmarkStart w:id="687" w:name="_Toc11489"/>
      <w:bookmarkStart w:id="688" w:name="_Toc17922"/>
      <w:bookmarkStart w:id="689" w:name="_Toc14142"/>
      <w:bookmarkStart w:id="690" w:name="_Toc19477"/>
      <w:bookmarkStart w:id="691" w:name="_Toc142508359"/>
      <w:bookmarkStart w:id="692" w:name="_Toc11281_WPSOffice_Level1"/>
      <w:bookmarkStart w:id="693" w:name="_Toc450662892"/>
      <w:bookmarkStart w:id="694" w:name="_Toc486167707"/>
      <w:r>
        <w:rPr>
          <w:rFonts w:hint="eastAsia" w:ascii="宋体" w:hAnsi="宋体" w:eastAsia="宋体" w:cs="宋体"/>
          <w:b/>
          <w:bCs/>
          <w:color w:val="auto"/>
          <w:kern w:val="2"/>
          <w:sz w:val="21"/>
          <w:szCs w:val="21"/>
          <w:highlight w:val="none"/>
          <w:lang w:val="en-US" w:eastAsia="zh-CN" w:bidi="ar-SA"/>
        </w:rPr>
        <w:t>一、项目信息</w:t>
      </w:r>
    </w:p>
    <w:p w14:paraId="431A3409">
      <w:pPr>
        <w:keepNext w:val="0"/>
        <w:keepLines w:val="0"/>
        <w:pageBreakBefore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1.项目名称：</w:t>
      </w:r>
      <w:r>
        <w:rPr>
          <w:rFonts w:hint="eastAsia" w:cs="宋体"/>
          <w:b w:val="0"/>
          <w:bCs w:val="0"/>
          <w:color w:val="auto"/>
          <w:kern w:val="2"/>
          <w:sz w:val="21"/>
          <w:szCs w:val="21"/>
          <w:highlight w:val="none"/>
          <w:lang w:val="en-US" w:eastAsia="zh-CN" w:bidi="ar-SA"/>
        </w:rPr>
        <w:t>东莞市碧水信息科技有限公司2025年度球墨铸铁阀门采购项目（第三次招标）</w:t>
      </w:r>
    </w:p>
    <w:p w14:paraId="52275329">
      <w:pPr>
        <w:keepNext w:val="0"/>
        <w:keepLines w:val="0"/>
        <w:pageBreakBefore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2.采购不含税最高限价：</w:t>
      </w:r>
      <w:r>
        <w:rPr>
          <w:rFonts w:hint="eastAsia" w:ascii="宋体" w:hAnsi="宋体" w:eastAsia="宋体" w:cs="宋体"/>
          <w:b w:val="0"/>
          <w:bCs w:val="0"/>
          <w:color w:val="auto"/>
          <w:kern w:val="2"/>
          <w:sz w:val="21"/>
          <w:szCs w:val="22"/>
          <w:highlight w:val="none"/>
          <w:u w:val="single"/>
          <w:lang w:val="zh-CN" w:eastAsia="zh-CN" w:bidi="ar-SA"/>
        </w:rPr>
        <w:t>2</w:t>
      </w:r>
      <w:r>
        <w:rPr>
          <w:rFonts w:hint="eastAsia" w:cs="宋体"/>
          <w:b w:val="0"/>
          <w:bCs w:val="0"/>
          <w:color w:val="auto"/>
          <w:kern w:val="2"/>
          <w:sz w:val="21"/>
          <w:szCs w:val="22"/>
          <w:highlight w:val="none"/>
          <w:u w:val="single"/>
          <w:lang w:val="en-US" w:eastAsia="zh-CN" w:bidi="ar-SA"/>
        </w:rPr>
        <w:t>,</w:t>
      </w:r>
      <w:r>
        <w:rPr>
          <w:rFonts w:hint="eastAsia" w:ascii="宋体" w:hAnsi="宋体" w:eastAsia="宋体" w:cs="宋体"/>
          <w:b w:val="0"/>
          <w:bCs w:val="0"/>
          <w:color w:val="auto"/>
          <w:kern w:val="2"/>
          <w:sz w:val="21"/>
          <w:szCs w:val="22"/>
          <w:highlight w:val="none"/>
          <w:u w:val="single"/>
          <w:lang w:val="zh-CN" w:eastAsia="zh-CN" w:bidi="ar-SA"/>
        </w:rPr>
        <w:t>737</w:t>
      </w:r>
      <w:r>
        <w:rPr>
          <w:rFonts w:hint="eastAsia" w:cs="宋体"/>
          <w:b w:val="0"/>
          <w:bCs w:val="0"/>
          <w:color w:val="auto"/>
          <w:kern w:val="2"/>
          <w:sz w:val="21"/>
          <w:szCs w:val="22"/>
          <w:highlight w:val="none"/>
          <w:u w:val="single"/>
          <w:lang w:val="en-US" w:eastAsia="zh-CN" w:bidi="ar-SA"/>
        </w:rPr>
        <w:t>,</w:t>
      </w:r>
      <w:r>
        <w:rPr>
          <w:rFonts w:hint="eastAsia" w:ascii="宋体" w:hAnsi="宋体" w:eastAsia="宋体" w:cs="宋体"/>
          <w:b w:val="0"/>
          <w:bCs w:val="0"/>
          <w:color w:val="auto"/>
          <w:kern w:val="2"/>
          <w:sz w:val="21"/>
          <w:szCs w:val="22"/>
          <w:highlight w:val="none"/>
          <w:u w:val="single"/>
          <w:lang w:val="zh-CN" w:eastAsia="zh-CN" w:bidi="ar-SA"/>
        </w:rPr>
        <w:t>924.33</w:t>
      </w:r>
      <w:r>
        <w:rPr>
          <w:rFonts w:hint="eastAsia" w:ascii="宋体" w:hAnsi="宋体" w:eastAsia="宋体" w:cs="宋体"/>
          <w:b w:val="0"/>
          <w:bCs w:val="0"/>
          <w:color w:val="auto"/>
          <w:kern w:val="2"/>
          <w:sz w:val="21"/>
          <w:szCs w:val="21"/>
          <w:highlight w:val="none"/>
          <w:lang w:val="en-US" w:eastAsia="zh-CN" w:bidi="ar-SA"/>
        </w:rPr>
        <w:t>元</w:t>
      </w:r>
    </w:p>
    <w:p w14:paraId="007505DF">
      <w:pPr>
        <w:keepNext w:val="0"/>
        <w:keepLines w:val="0"/>
        <w:pageBreakBefore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3.供货期自合同签订之日起至2026年12月31日或累计结算金额（不含税）达到</w:t>
      </w:r>
      <w:r>
        <w:rPr>
          <w:rFonts w:hint="eastAsia" w:cs="宋体"/>
          <w:color w:val="auto"/>
          <w:sz w:val="21"/>
          <w:szCs w:val="21"/>
          <w:highlight w:val="none"/>
          <w:u w:val="none"/>
          <w:lang w:val="en-US" w:eastAsia="zh-CN"/>
        </w:rPr>
        <w:t>不含税</w:t>
      </w:r>
      <w:r>
        <w:rPr>
          <w:rFonts w:hint="eastAsia" w:ascii="宋体" w:hAnsi="宋体" w:eastAsia="宋体" w:cs="宋体"/>
          <w:color w:val="auto"/>
          <w:sz w:val="21"/>
          <w:szCs w:val="21"/>
          <w:highlight w:val="none"/>
          <w:u w:val="none"/>
        </w:rPr>
        <w:t>暂定合同价</w:t>
      </w:r>
      <w:r>
        <w:rPr>
          <w:rFonts w:hint="eastAsia" w:ascii="宋体" w:hAnsi="宋体" w:eastAsia="宋体" w:cs="宋体"/>
          <w:b w:val="0"/>
          <w:bCs w:val="0"/>
          <w:color w:val="auto"/>
          <w:kern w:val="2"/>
          <w:sz w:val="21"/>
          <w:szCs w:val="21"/>
          <w:highlight w:val="none"/>
          <w:lang w:val="en-US" w:eastAsia="zh-CN" w:bidi="ar-SA"/>
        </w:rPr>
        <w:t>时，采购合同终止，以先到者为准。</w:t>
      </w:r>
    </w:p>
    <w:p w14:paraId="3A145E0D">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2" w:firstLineChars="200"/>
        <w:jc w:val="both"/>
        <w:textAlignment w:val="auto"/>
        <w:outlineLvl w:val="1"/>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二、货物采购需求</w:t>
      </w:r>
    </w:p>
    <w:p w14:paraId="4F920DA7">
      <w:pPr>
        <w:keepNext w:val="0"/>
        <w:keepLines w:val="0"/>
        <w:pageBreakBefore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1.采购货物情况，具体详见附件一：《采购材料清单》。</w:t>
      </w:r>
    </w:p>
    <w:p w14:paraId="32E1A620">
      <w:pPr>
        <w:keepNext w:val="0"/>
        <w:keepLines w:val="0"/>
        <w:pageBreakBefore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2.上述阀门预计用量仅为方便合计总报价使用，不作为招标人最终采购量的保证，</w:t>
      </w:r>
      <w:r>
        <w:rPr>
          <w:rFonts w:hint="eastAsia" w:ascii="宋体" w:hAnsi="宋体" w:eastAsia="宋体" w:cs="宋体"/>
          <w:color w:val="auto"/>
          <w:szCs w:val="21"/>
          <w:highlight w:val="none"/>
          <w:lang w:eastAsia="zh-CN"/>
        </w:rPr>
        <w:t>中</w:t>
      </w:r>
      <w:r>
        <w:rPr>
          <w:rFonts w:hint="eastAsia" w:ascii="宋体" w:hAnsi="宋体" w:eastAsia="宋体" w:cs="宋体"/>
          <w:b w:val="0"/>
          <w:bCs w:val="0"/>
          <w:color w:val="auto"/>
          <w:kern w:val="2"/>
          <w:sz w:val="21"/>
          <w:szCs w:val="21"/>
          <w:highlight w:val="none"/>
          <w:lang w:val="en-US" w:eastAsia="zh-CN" w:bidi="ar-SA"/>
        </w:rPr>
        <w:t>标人不得因招标人实际采购量的减少或增加而要求提供任何形式的补偿或赔偿，实际采购量以招标人实际需求量为准。</w:t>
      </w:r>
    </w:p>
    <w:p w14:paraId="1756EA53">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2" w:firstLineChars="200"/>
        <w:jc w:val="both"/>
        <w:textAlignment w:val="auto"/>
        <w:outlineLvl w:val="1"/>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三、交货要求</w:t>
      </w:r>
    </w:p>
    <w:p w14:paraId="40FCFDB6">
      <w:pPr>
        <w:keepNext w:val="0"/>
        <w:keepLines w:val="0"/>
        <w:pageBreakBefore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1.送货要求：</w:t>
      </w:r>
    </w:p>
    <w:p w14:paraId="6B8679F8">
      <w:pPr>
        <w:keepNext w:val="0"/>
        <w:keepLines w:val="0"/>
        <w:pageBreakBefore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（1）供货期内，</w:t>
      </w:r>
      <w:r>
        <w:rPr>
          <w:rFonts w:hint="eastAsia" w:ascii="宋体" w:hAnsi="宋体" w:eastAsia="宋体" w:cs="宋体"/>
          <w:color w:val="auto"/>
          <w:szCs w:val="21"/>
          <w:highlight w:val="none"/>
          <w:lang w:eastAsia="zh-CN"/>
        </w:rPr>
        <w:t>中</w:t>
      </w:r>
      <w:r>
        <w:rPr>
          <w:rFonts w:hint="eastAsia" w:ascii="宋体" w:hAnsi="宋体" w:eastAsia="宋体" w:cs="宋体"/>
          <w:b w:val="0"/>
          <w:bCs w:val="0"/>
          <w:color w:val="auto"/>
          <w:kern w:val="2"/>
          <w:sz w:val="21"/>
          <w:szCs w:val="21"/>
          <w:highlight w:val="none"/>
          <w:lang w:val="en-US" w:eastAsia="zh-CN" w:bidi="ar-SA"/>
        </w:rPr>
        <w:t>标人根据招标人的需求进行分批次供货，对于部分货源不充足需要订购的材料，</w:t>
      </w:r>
      <w:r>
        <w:rPr>
          <w:rFonts w:hint="eastAsia" w:ascii="宋体" w:hAnsi="宋体" w:eastAsia="宋体" w:cs="宋体"/>
          <w:color w:val="auto"/>
          <w:szCs w:val="21"/>
          <w:highlight w:val="none"/>
          <w:lang w:eastAsia="zh-CN"/>
        </w:rPr>
        <w:t>中</w:t>
      </w:r>
      <w:r>
        <w:rPr>
          <w:rFonts w:hint="eastAsia" w:ascii="宋体" w:hAnsi="宋体" w:eastAsia="宋体" w:cs="宋体"/>
          <w:b w:val="0"/>
          <w:bCs w:val="0"/>
          <w:color w:val="auto"/>
          <w:kern w:val="2"/>
          <w:sz w:val="21"/>
          <w:szCs w:val="21"/>
          <w:highlight w:val="none"/>
          <w:lang w:val="en-US" w:eastAsia="zh-CN" w:bidi="ar-SA"/>
        </w:rPr>
        <w:t>标人需跟招标人进行沟通并经招标人书面同意后，可延长交货期。</w:t>
      </w:r>
    </w:p>
    <w:p w14:paraId="26707309">
      <w:pPr>
        <w:keepNext w:val="0"/>
        <w:keepLines w:val="0"/>
        <w:pageBreakBefore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（2）阀门在招标人零库存情况下，无论何时，只要招标人有需求，</w:t>
      </w:r>
      <w:r>
        <w:rPr>
          <w:rFonts w:hint="eastAsia" w:ascii="宋体" w:hAnsi="宋体" w:eastAsia="宋体" w:cs="宋体"/>
          <w:color w:val="auto"/>
          <w:szCs w:val="21"/>
          <w:highlight w:val="none"/>
          <w:lang w:eastAsia="zh-CN"/>
        </w:rPr>
        <w:t>中</w:t>
      </w:r>
      <w:r>
        <w:rPr>
          <w:rFonts w:hint="eastAsia" w:ascii="宋体" w:hAnsi="宋体" w:eastAsia="宋体" w:cs="宋体"/>
          <w:b w:val="0"/>
          <w:bCs w:val="0"/>
          <w:color w:val="auto"/>
          <w:kern w:val="2"/>
          <w:sz w:val="21"/>
          <w:szCs w:val="21"/>
          <w:highlight w:val="none"/>
          <w:lang w:val="en-US" w:eastAsia="zh-CN" w:bidi="ar-SA"/>
        </w:rPr>
        <w:t>标人必须在招标人规定时间内将阀门送达交货现场。</w:t>
      </w:r>
    </w:p>
    <w:p w14:paraId="769B6409">
      <w:pPr>
        <w:adjustRightInd/>
        <w:snapToGrid/>
        <w:ind w:firstLine="420" w:firstLineChars="200"/>
        <w:rPr>
          <w:rFonts w:hint="eastAsia" w:ascii="宋体" w:hAnsi="宋体" w:eastAsia="宋体" w:cs="宋体"/>
          <w:snapToGrid w:val="0"/>
          <w:color w:val="auto"/>
          <w:kern w:val="0"/>
          <w:szCs w:val="21"/>
          <w:highlight w:val="none"/>
          <w:lang w:bidi="ar"/>
        </w:rPr>
      </w:pPr>
      <w:r>
        <w:rPr>
          <w:rFonts w:hint="eastAsia" w:ascii="宋体" w:hAnsi="宋体" w:eastAsia="宋体" w:cs="宋体"/>
          <w:b w:val="0"/>
          <w:bCs w:val="0"/>
          <w:color w:val="auto"/>
          <w:kern w:val="2"/>
          <w:sz w:val="21"/>
          <w:szCs w:val="21"/>
          <w:highlight w:val="none"/>
          <w:lang w:val="en-US" w:eastAsia="zh-CN" w:bidi="ar-SA"/>
        </w:rPr>
        <w:t>（</w:t>
      </w:r>
      <w:r>
        <w:rPr>
          <w:rFonts w:hint="eastAsia" w:cs="宋体"/>
          <w:b w:val="0"/>
          <w:bCs w:val="0"/>
          <w:color w:val="auto"/>
          <w:kern w:val="2"/>
          <w:sz w:val="21"/>
          <w:szCs w:val="21"/>
          <w:highlight w:val="none"/>
          <w:lang w:val="en-US" w:eastAsia="zh-CN" w:bidi="ar-SA"/>
        </w:rPr>
        <w:t>3</w:t>
      </w:r>
      <w:r>
        <w:rPr>
          <w:rFonts w:hint="eastAsia" w:ascii="宋体" w:hAnsi="宋体" w:eastAsia="宋体" w:cs="宋体"/>
          <w:b w:val="0"/>
          <w:bCs w:val="0"/>
          <w:color w:val="auto"/>
          <w:kern w:val="2"/>
          <w:sz w:val="21"/>
          <w:szCs w:val="21"/>
          <w:highlight w:val="none"/>
          <w:lang w:val="en-US" w:eastAsia="zh-CN" w:bidi="ar-SA"/>
        </w:rPr>
        <w:t>）</w:t>
      </w:r>
      <w:r>
        <w:rPr>
          <w:rFonts w:hint="eastAsia" w:ascii="宋体" w:hAnsi="宋体" w:eastAsia="宋体" w:cs="宋体"/>
          <w:color w:val="auto"/>
          <w:szCs w:val="21"/>
          <w:highlight w:val="none"/>
          <w:lang w:eastAsia="zh-CN"/>
        </w:rPr>
        <w:t>中</w:t>
      </w:r>
      <w:r>
        <w:rPr>
          <w:rFonts w:hint="eastAsia" w:ascii="宋体" w:hAnsi="宋体" w:eastAsia="宋体" w:cs="宋体"/>
          <w:b w:val="0"/>
          <w:bCs w:val="0"/>
          <w:color w:val="auto"/>
          <w:kern w:val="2"/>
          <w:sz w:val="21"/>
          <w:szCs w:val="21"/>
          <w:highlight w:val="none"/>
          <w:lang w:val="en-US" w:eastAsia="zh-CN" w:bidi="ar-SA"/>
        </w:rPr>
        <w:t>标人</w:t>
      </w:r>
      <w:r>
        <w:rPr>
          <w:rFonts w:hint="eastAsia" w:ascii="宋体" w:hAnsi="宋体" w:eastAsia="宋体" w:cs="宋体"/>
          <w:snapToGrid w:val="0"/>
          <w:color w:val="auto"/>
          <w:kern w:val="0"/>
          <w:szCs w:val="21"/>
          <w:highlight w:val="none"/>
          <w:lang w:bidi="ar"/>
        </w:rPr>
        <w:t>应指定专人负责配送，按照</w:t>
      </w:r>
      <w:r>
        <w:rPr>
          <w:rFonts w:hint="eastAsia" w:ascii="宋体" w:hAnsi="宋体" w:eastAsia="宋体" w:cs="宋体"/>
          <w:snapToGrid w:val="0"/>
          <w:color w:val="auto"/>
          <w:kern w:val="0"/>
          <w:szCs w:val="21"/>
          <w:highlight w:val="none"/>
          <w:lang w:val="en-US" w:eastAsia="zh-CN" w:bidi="ar"/>
        </w:rPr>
        <w:t>招标人</w:t>
      </w:r>
      <w:r>
        <w:rPr>
          <w:rFonts w:hint="eastAsia" w:ascii="宋体" w:hAnsi="宋体" w:eastAsia="宋体" w:cs="宋体"/>
          <w:snapToGrid w:val="0"/>
          <w:color w:val="auto"/>
          <w:kern w:val="0"/>
          <w:szCs w:val="21"/>
          <w:highlight w:val="none"/>
          <w:lang w:bidi="ar"/>
        </w:rPr>
        <w:t>每批次订单注明的品种、数量、质量及时间要求（以合同及采购订单为准），在7日内将货物送达指定地点；对于紧急采购需求，须在5日内完成送达。每次交货时，</w:t>
      </w:r>
      <w:r>
        <w:rPr>
          <w:rFonts w:hint="eastAsia" w:ascii="宋体" w:hAnsi="宋体" w:eastAsia="宋体" w:cs="宋体"/>
          <w:color w:val="auto"/>
          <w:szCs w:val="21"/>
          <w:highlight w:val="none"/>
          <w:lang w:eastAsia="zh-CN"/>
        </w:rPr>
        <w:t>中</w:t>
      </w:r>
      <w:r>
        <w:rPr>
          <w:rFonts w:hint="eastAsia" w:ascii="宋体" w:hAnsi="宋体" w:eastAsia="宋体" w:cs="宋体"/>
          <w:b w:val="0"/>
          <w:bCs w:val="0"/>
          <w:color w:val="auto"/>
          <w:kern w:val="2"/>
          <w:sz w:val="21"/>
          <w:szCs w:val="21"/>
          <w:highlight w:val="none"/>
          <w:lang w:val="en-US" w:eastAsia="zh-CN" w:bidi="ar-SA"/>
        </w:rPr>
        <w:t>标人</w:t>
      </w:r>
      <w:r>
        <w:rPr>
          <w:rFonts w:hint="eastAsia" w:ascii="宋体" w:hAnsi="宋体" w:eastAsia="宋体" w:cs="宋体"/>
          <w:snapToGrid w:val="0"/>
          <w:color w:val="auto"/>
          <w:kern w:val="0"/>
          <w:szCs w:val="21"/>
          <w:highlight w:val="none"/>
          <w:lang w:bidi="ar"/>
        </w:rPr>
        <w:t>需随货提供一式两份《送货清单》，由</w:t>
      </w:r>
      <w:r>
        <w:rPr>
          <w:rFonts w:hint="eastAsia" w:ascii="宋体" w:hAnsi="宋体" w:eastAsia="宋体" w:cs="宋体"/>
          <w:snapToGrid w:val="0"/>
          <w:color w:val="auto"/>
          <w:kern w:val="0"/>
          <w:szCs w:val="21"/>
          <w:highlight w:val="none"/>
          <w:lang w:val="en-US" w:eastAsia="zh-CN" w:bidi="ar"/>
        </w:rPr>
        <w:t>招标人、中标人</w:t>
      </w:r>
      <w:r>
        <w:rPr>
          <w:rFonts w:hint="eastAsia" w:ascii="宋体" w:hAnsi="宋体" w:eastAsia="宋体" w:cs="宋体"/>
          <w:snapToGrid w:val="0"/>
          <w:color w:val="auto"/>
          <w:kern w:val="0"/>
          <w:szCs w:val="21"/>
          <w:highlight w:val="none"/>
          <w:lang w:bidi="ar"/>
        </w:rPr>
        <w:t>双方共同验</w:t>
      </w:r>
      <w:r>
        <w:rPr>
          <w:rFonts w:hint="eastAsia" w:ascii="宋体" w:hAnsi="宋体" w:eastAsia="宋体" w:cs="宋体"/>
          <w:snapToGrid w:val="0"/>
          <w:color w:val="auto"/>
          <w:kern w:val="0"/>
          <w:szCs w:val="21"/>
          <w:highlight w:val="none"/>
          <w:lang w:val="en-US" w:eastAsia="zh-CN" w:bidi="ar"/>
        </w:rPr>
        <w:t>收</w:t>
      </w:r>
      <w:r>
        <w:rPr>
          <w:rFonts w:hint="eastAsia" w:ascii="宋体" w:hAnsi="宋体" w:eastAsia="宋体" w:cs="宋体"/>
          <w:snapToGrid w:val="0"/>
          <w:color w:val="auto"/>
          <w:kern w:val="0"/>
          <w:szCs w:val="21"/>
          <w:highlight w:val="none"/>
          <w:lang w:bidi="ar"/>
        </w:rPr>
        <w:t>签字确认后各执一份，作为送收货凭证。</w:t>
      </w:r>
    </w:p>
    <w:p w14:paraId="7E843593">
      <w:pPr>
        <w:keepNext w:val="0"/>
        <w:keepLines w:val="0"/>
        <w:pageBreakBefore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snapToGrid w:val="0"/>
          <w:color w:val="auto"/>
          <w:kern w:val="0"/>
          <w:szCs w:val="21"/>
          <w:highlight w:val="none"/>
          <w:lang w:eastAsia="zh-CN" w:bidi="ar"/>
        </w:rPr>
        <w:t>（</w:t>
      </w:r>
      <w:r>
        <w:rPr>
          <w:rFonts w:hint="eastAsia" w:cs="宋体"/>
          <w:snapToGrid w:val="0"/>
          <w:color w:val="auto"/>
          <w:kern w:val="0"/>
          <w:szCs w:val="21"/>
          <w:highlight w:val="none"/>
          <w:lang w:val="en-US" w:eastAsia="zh-CN" w:bidi="ar"/>
        </w:rPr>
        <w:t>4</w:t>
      </w:r>
      <w:r>
        <w:rPr>
          <w:rFonts w:hint="eastAsia" w:ascii="宋体" w:hAnsi="宋体" w:eastAsia="宋体" w:cs="宋体"/>
          <w:snapToGrid w:val="0"/>
          <w:color w:val="auto"/>
          <w:kern w:val="0"/>
          <w:szCs w:val="21"/>
          <w:highlight w:val="none"/>
          <w:lang w:eastAsia="zh-CN" w:bidi="ar"/>
        </w:rPr>
        <w:t>）</w:t>
      </w:r>
      <w:r>
        <w:rPr>
          <w:rFonts w:hint="eastAsia" w:ascii="宋体" w:hAnsi="宋体" w:eastAsia="宋体" w:cs="宋体"/>
          <w:snapToGrid w:val="0"/>
          <w:color w:val="auto"/>
          <w:kern w:val="0"/>
          <w:szCs w:val="21"/>
          <w:highlight w:val="none"/>
          <w:lang w:bidi="ar"/>
        </w:rPr>
        <w:t>所有货物必须到指定的交货现场（</w:t>
      </w:r>
      <w:r>
        <w:rPr>
          <w:rFonts w:hint="eastAsia" w:ascii="宋体" w:hAnsi="宋体" w:eastAsia="宋体" w:cs="宋体"/>
          <w:snapToGrid w:val="0"/>
          <w:color w:val="auto"/>
          <w:kern w:val="0"/>
          <w:szCs w:val="21"/>
          <w:highlight w:val="none"/>
          <w:lang w:val="en-US" w:eastAsia="zh-CN" w:bidi="ar"/>
        </w:rPr>
        <w:t>招标人</w:t>
      </w:r>
      <w:r>
        <w:rPr>
          <w:rFonts w:hint="eastAsia" w:ascii="宋体" w:hAnsi="宋体" w:eastAsia="宋体" w:cs="宋体"/>
          <w:snapToGrid w:val="0"/>
          <w:color w:val="auto"/>
          <w:kern w:val="0"/>
          <w:szCs w:val="21"/>
          <w:highlight w:val="none"/>
          <w:lang w:bidi="ar"/>
        </w:rPr>
        <w:t>指定地点）后才能拆封。在开箱检验时必须完好，无破损，配置与装箱单相符。货物外观清洁，标记编号以及字体清晰、明确</w:t>
      </w:r>
      <w:r>
        <w:rPr>
          <w:rFonts w:hint="eastAsia" w:ascii="宋体" w:hAnsi="宋体" w:eastAsia="宋体" w:cs="宋体"/>
          <w:snapToGrid w:val="0"/>
          <w:color w:val="auto"/>
          <w:kern w:val="0"/>
          <w:szCs w:val="21"/>
          <w:highlight w:val="none"/>
          <w:lang w:eastAsia="zh-CN" w:bidi="ar"/>
        </w:rPr>
        <w:t>。</w:t>
      </w:r>
    </w:p>
    <w:p w14:paraId="7B9F3459">
      <w:pPr>
        <w:keepNext w:val="0"/>
        <w:keepLines w:val="0"/>
        <w:pageBreakBefore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color w:val="auto"/>
          <w:szCs w:val="21"/>
          <w:highlight w:val="none"/>
          <w:lang w:eastAsia="zh-CN"/>
        </w:rPr>
        <w:t>中</w:t>
      </w:r>
      <w:r>
        <w:rPr>
          <w:rFonts w:hint="eastAsia" w:ascii="宋体" w:hAnsi="宋体" w:eastAsia="宋体" w:cs="宋体"/>
          <w:b w:val="0"/>
          <w:bCs w:val="0"/>
          <w:color w:val="auto"/>
          <w:kern w:val="2"/>
          <w:sz w:val="21"/>
          <w:szCs w:val="21"/>
          <w:highlight w:val="none"/>
          <w:lang w:val="en-US" w:eastAsia="zh-CN" w:bidi="ar-SA"/>
        </w:rPr>
        <w:t>标人应具备合理的应急供货能力，包括但不限于库存管理、物流配送等。如果</w:t>
      </w:r>
      <w:r>
        <w:rPr>
          <w:rFonts w:hint="eastAsia" w:ascii="宋体" w:hAnsi="宋体" w:eastAsia="宋体" w:cs="宋体"/>
          <w:color w:val="auto"/>
          <w:szCs w:val="21"/>
          <w:highlight w:val="none"/>
          <w:lang w:eastAsia="zh-CN"/>
        </w:rPr>
        <w:t>中</w:t>
      </w:r>
      <w:r>
        <w:rPr>
          <w:rFonts w:hint="eastAsia" w:ascii="宋体" w:hAnsi="宋体" w:eastAsia="宋体" w:cs="宋体"/>
          <w:b w:val="0"/>
          <w:bCs w:val="0"/>
          <w:color w:val="auto"/>
          <w:kern w:val="2"/>
          <w:sz w:val="21"/>
          <w:szCs w:val="21"/>
          <w:highlight w:val="none"/>
          <w:lang w:val="en-US" w:eastAsia="zh-CN" w:bidi="ar-SA"/>
        </w:rPr>
        <w:t>标人在零库存情况下，因为自身管理不善（如没有合理的库存预警机制、物流配送不及时等）导致无法按时供货，则属于违约行为。</w:t>
      </w:r>
    </w:p>
    <w:p w14:paraId="0A71696B">
      <w:pPr>
        <w:keepNext w:val="0"/>
        <w:keepLines w:val="0"/>
        <w:pageBreakBefore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如果遇到不可抗力（如自然灾害、交通管制等）导致无法按时供货，</w:t>
      </w:r>
      <w:r>
        <w:rPr>
          <w:rFonts w:hint="eastAsia" w:ascii="宋体" w:hAnsi="宋体" w:eastAsia="宋体" w:cs="宋体"/>
          <w:color w:val="auto"/>
          <w:szCs w:val="21"/>
          <w:highlight w:val="none"/>
          <w:lang w:eastAsia="zh-CN"/>
        </w:rPr>
        <w:t>中</w:t>
      </w:r>
      <w:r>
        <w:rPr>
          <w:rFonts w:hint="eastAsia" w:ascii="宋体" w:hAnsi="宋体" w:eastAsia="宋体" w:cs="宋体"/>
          <w:b w:val="0"/>
          <w:bCs w:val="0"/>
          <w:color w:val="auto"/>
          <w:kern w:val="2"/>
          <w:sz w:val="21"/>
          <w:szCs w:val="21"/>
          <w:highlight w:val="none"/>
          <w:lang w:val="en-US" w:eastAsia="zh-CN" w:bidi="ar-SA"/>
        </w:rPr>
        <w:t>标人应及时通知招标人，并提供相应的证明。在这种情况下，双方应协商解决。</w:t>
      </w:r>
    </w:p>
    <w:p w14:paraId="767AE69D">
      <w:pPr>
        <w:keepNext w:val="0"/>
        <w:keepLines w:val="0"/>
        <w:pageBreakBefore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2.对于不在集中采购品类的规格型号清单的，双方可通过协商方式下单。</w:t>
      </w:r>
    </w:p>
    <w:p w14:paraId="3A42B8F1">
      <w:pPr>
        <w:keepNext w:val="0"/>
        <w:keepLines w:val="0"/>
        <w:pageBreakBefore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3.交货地点：</w:t>
      </w:r>
    </w:p>
    <w:tbl>
      <w:tblPr>
        <w:tblStyle w:val="20"/>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1"/>
        <w:gridCol w:w="1874"/>
        <w:gridCol w:w="4356"/>
        <w:gridCol w:w="3123"/>
      </w:tblGrid>
      <w:tr w14:paraId="1811E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457" w:type="pct"/>
            <w:noWrap/>
            <w:vAlign w:val="center"/>
          </w:tcPr>
          <w:p w14:paraId="3271258B">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910" w:type="pct"/>
            <w:noWrap w:val="0"/>
            <w:vAlign w:val="center"/>
          </w:tcPr>
          <w:p w14:paraId="6DE46AEA">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交货地点</w:t>
            </w:r>
          </w:p>
        </w:tc>
        <w:tc>
          <w:tcPr>
            <w:tcW w:w="2115" w:type="pct"/>
            <w:noWrap w:val="0"/>
            <w:vAlign w:val="center"/>
          </w:tcPr>
          <w:p w14:paraId="7679FEB6">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详细地址</w:t>
            </w:r>
          </w:p>
        </w:tc>
        <w:tc>
          <w:tcPr>
            <w:tcW w:w="1516" w:type="pct"/>
            <w:noWrap w:val="0"/>
            <w:vAlign w:val="center"/>
          </w:tcPr>
          <w:p w14:paraId="5A7188D1">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备注</w:t>
            </w:r>
          </w:p>
        </w:tc>
      </w:tr>
      <w:tr w14:paraId="7F24D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457" w:type="pct"/>
            <w:shd w:val="clear" w:color="auto" w:fill="auto"/>
            <w:noWrap/>
            <w:vAlign w:val="center"/>
          </w:tcPr>
          <w:p w14:paraId="451268B6">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w:t>
            </w:r>
          </w:p>
        </w:tc>
        <w:tc>
          <w:tcPr>
            <w:tcW w:w="910" w:type="pct"/>
            <w:tcBorders>
              <w:right w:val="single" w:color="auto" w:sz="4" w:space="0"/>
            </w:tcBorders>
            <w:shd w:val="clear" w:color="auto" w:fill="auto"/>
            <w:noWrap w:val="0"/>
            <w:vAlign w:val="center"/>
          </w:tcPr>
          <w:p w14:paraId="159E113F">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东莞市内</w:t>
            </w:r>
          </w:p>
        </w:tc>
        <w:tc>
          <w:tcPr>
            <w:tcW w:w="2115" w:type="pct"/>
            <w:shd w:val="clear" w:color="auto" w:fill="auto"/>
            <w:noWrap w:val="0"/>
            <w:vAlign w:val="center"/>
          </w:tcPr>
          <w:p w14:paraId="5416B97E">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以采购方具体通知为准</w:t>
            </w:r>
          </w:p>
        </w:tc>
        <w:tc>
          <w:tcPr>
            <w:tcW w:w="1516" w:type="pct"/>
            <w:shd w:val="clear" w:color="auto" w:fill="auto"/>
            <w:noWrap w:val="0"/>
            <w:vAlign w:val="center"/>
          </w:tcPr>
          <w:p w14:paraId="4D6975C6">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b w:val="0"/>
                <w:bCs w:val="0"/>
                <w:color w:val="auto"/>
                <w:sz w:val="21"/>
                <w:szCs w:val="21"/>
                <w:highlight w:val="none"/>
                <w:lang w:val="en-US" w:eastAsia="zh-CN"/>
              </w:rPr>
            </w:pPr>
          </w:p>
        </w:tc>
      </w:tr>
    </w:tbl>
    <w:p w14:paraId="70C4BBBB">
      <w:pPr>
        <w:keepNext w:val="0"/>
        <w:keepLines w:val="0"/>
        <w:pageBreakBefore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（1）在货物移交给招标人并经招标人验收合格前，货物的损耗、毁损、灭失的风险和责任均由</w:t>
      </w:r>
      <w:r>
        <w:rPr>
          <w:rFonts w:hint="eastAsia" w:ascii="宋体" w:hAnsi="宋体" w:eastAsia="宋体" w:cs="宋体"/>
          <w:color w:val="auto"/>
          <w:szCs w:val="21"/>
          <w:highlight w:val="none"/>
          <w:lang w:eastAsia="zh-CN"/>
        </w:rPr>
        <w:t>中</w:t>
      </w:r>
      <w:r>
        <w:rPr>
          <w:rFonts w:hint="eastAsia" w:ascii="宋体" w:hAnsi="宋体" w:eastAsia="宋体" w:cs="宋体"/>
          <w:b w:val="0"/>
          <w:bCs w:val="0"/>
          <w:color w:val="auto"/>
          <w:kern w:val="2"/>
          <w:sz w:val="21"/>
          <w:szCs w:val="21"/>
          <w:highlight w:val="none"/>
          <w:lang w:val="en-US" w:eastAsia="zh-CN" w:bidi="ar-SA"/>
        </w:rPr>
        <w:t>标人自行承担。</w:t>
      </w:r>
    </w:p>
    <w:p w14:paraId="78D89B55">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（2）招标人有权修改、变更货物数量，具体供货数量以招标人通知为准，最终双方根据实际供货情况据实结算。</w:t>
      </w:r>
    </w:p>
    <w:p w14:paraId="352C6951">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（3）必须提供生产厂家营业执照、供货单、出厂合格证、检验合格报告等资料证明。</w:t>
      </w:r>
    </w:p>
    <w:p w14:paraId="1827E544">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2" w:firstLineChars="200"/>
        <w:jc w:val="both"/>
        <w:textAlignment w:val="auto"/>
        <w:outlineLvl w:val="1"/>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四、技术参数要求</w:t>
      </w:r>
    </w:p>
    <w:p w14:paraId="029B0B92">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1.球墨铸铁软密封法兰闸阀</w:t>
      </w:r>
    </w:p>
    <w:p w14:paraId="6042404F">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1.1 基本技术要求</w:t>
      </w:r>
    </w:p>
    <w:p w14:paraId="2BA9B87D">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（1）闸阀采用弹性座封软密封闸阀，其主要由阀体、闸板、阀杆、阀盖、止推轴承、压盖等部件组成。</w:t>
      </w:r>
    </w:p>
    <w:p w14:paraId="5B5B8D24">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（2）闸阀主要技术参数</w:t>
      </w:r>
    </w:p>
    <w:p w14:paraId="5DB3E693">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公称压力：1.0Mpa</w:t>
      </w:r>
    </w:p>
    <w:p w14:paraId="1AF87352">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强度试验：1.5倍公称压力</w:t>
      </w:r>
    </w:p>
    <w:p w14:paraId="177C8934">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密封试验：1.1倍公称压力</w:t>
      </w:r>
    </w:p>
    <w:p w14:paraId="0B577A5B">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适用介质：空气、河水、自来水、弱腐蚀性流体</w:t>
      </w:r>
    </w:p>
    <w:p w14:paraId="7B5B8516">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适用温度：0℃～+80℃</w:t>
      </w:r>
    </w:p>
    <w:p w14:paraId="378A65F0">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适用pH值：4～9</w:t>
      </w:r>
    </w:p>
    <w:p w14:paraId="6697345C">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漏失率：0</w:t>
      </w:r>
    </w:p>
    <w:p w14:paraId="28E17B8F">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1.2 主要结构及材质要求</w:t>
      </w:r>
    </w:p>
    <w:p w14:paraId="36444EE9">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（1）阀体、阀盖、闸板</w:t>
      </w:r>
    </w:p>
    <w:p w14:paraId="35E04FC1">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a）阀体、阀盖、闸板骨架的材质均为球墨铸铁QT450-10或相近、更优材质，符合GB/T 12227-2005规定的技术条件。阀体、阀盖、闸板均进行热处理以消除内应力，商标及材质牌号整体压铸在阀体上。</w:t>
      </w:r>
    </w:p>
    <w:p w14:paraId="4B1D120E">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highlight w:val="none"/>
        </w:rPr>
      </w:pPr>
      <w:r>
        <w:rPr>
          <w:rFonts w:hint="eastAsia" w:ascii="宋体" w:hAnsi="宋体" w:eastAsia="宋体" w:cs="宋体"/>
          <w:b w:val="0"/>
          <w:bCs w:val="0"/>
          <w:color w:val="auto"/>
          <w:kern w:val="2"/>
          <w:sz w:val="21"/>
          <w:szCs w:val="21"/>
          <w:highlight w:val="none"/>
          <w:lang w:val="en-US" w:eastAsia="zh-CN" w:bidi="ar-SA"/>
        </w:rPr>
        <w:t>b）以球墨铸铁为骨架的闸板，利用最新的硫化技术内外表面完全包覆丁腈橡胶NBR或三元乙丙烯橡胶EPDM，包胶贴合紧密、几何尺寸精确，密封弹性佳，彻底将闸板金属与流体隔离。按GB/T 11211-2009测定时其粘合强度不小于1.725MPa，按GB/T 15254-2014测定时与金属粘接180度剥离强度不小于9.3kg/m，提供2023年1月1日后省级及以上第三方检测机构出具的闸板橡胶粘合强度及剥离强度检验报告。提供2021年1月1日后省级及以上卫生疾控部门出具的满足《生活饮用水输配水设备及防护材料卫生安全评价规范》的卫生检验报告，提供橡胶卫生许可批件及第三方检测机构出具的EPDM橡胶的硬度、力学性能、压缩永久变形、抗老化性能的检测报告。</w:t>
      </w:r>
    </w:p>
    <w:p w14:paraId="4B237627">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c）法兰的材质与阀体一致，均为球墨铸铁QT450-10或相近、更优材质，法兰与阀体铸为一体，法兰的连接尺寸按照GB/T 17241-2024的有关规定执行。</w:t>
      </w:r>
    </w:p>
    <w:p w14:paraId="0F58DC38">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d）阀体采用全流域直通式设计，即平底式阀座，不易堆积杂物，密封可靠。</w:t>
      </w:r>
    </w:p>
    <w:p w14:paraId="3D3515DF">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e）阀体与阀盖之间为法兰式连接，阀体和阀盖采用精密铸造而成，保证铸件精确的几何尺寸和密封面的表面质量，使密封面无需任何精加工即可保证密封性能。</w:t>
      </w:r>
    </w:p>
    <w:p w14:paraId="164F279A">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f）阀体的最小壁厚保证在1.5倍的壳体试验下，所有的部件不发生变形。</w:t>
      </w:r>
    </w:p>
    <w:p w14:paraId="2F3B9D08">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（2）阀杆</w:t>
      </w:r>
    </w:p>
    <w:p w14:paraId="190E7AD8">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a）阀杆材质为不锈钢（20Cr13或304）或相近、更优，符合GB/T 1220-2007规定的技术条件。</w:t>
      </w:r>
    </w:p>
    <w:p w14:paraId="5A5AD1C9">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b）阀杆螺母的材质为铜合金或相近、更优，阀杆螺母与闸板的连接为嵌入式或嵌入活块式连接。闸板的铜螺母与球墨铸铁骨架采用特种工艺紧密连接为一体。保证阀杆螺母与闸板两者之间的连接牢固，长期水流冲击下和操作时阀杆螺母不松动、阀板无脱落。</w:t>
      </w:r>
    </w:p>
    <w:p w14:paraId="060A43D3">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c）软密封闸阀为暗杆式，即阀杆在开启或关闭的过程中不升降。</w:t>
      </w:r>
    </w:p>
    <w:p w14:paraId="50EBE73C">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（3）轴承</w:t>
      </w:r>
    </w:p>
    <w:p w14:paraId="3323E6A4">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采用止推轴承，材料采用铜合金或以上。</w:t>
      </w:r>
    </w:p>
    <w:p w14:paraId="6A743629">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（4）密封</w:t>
      </w:r>
    </w:p>
    <w:p w14:paraId="5C8B1068">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a）阀体与阀盖的密封：采用丁晴橡胶NBR或三元乙丙烯橡胶EPDM。</w:t>
      </w:r>
    </w:p>
    <w:p w14:paraId="79FA8DE5">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b）阀杆与阀盖的密封：采用3道“O”形橡胶密封圈密封，密封紧密，摩擦阻力小。</w:t>
      </w:r>
    </w:p>
    <w:p w14:paraId="5775C53E">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c）阀体与闸板、阀体与阀盖、阀杆与阀盖的密封试验均符合GB/T 13927-2022的规定。</w:t>
      </w:r>
    </w:p>
    <w:p w14:paraId="1E746BD5">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（5）阀门传动机构</w:t>
      </w:r>
    </w:p>
    <w:p w14:paraId="2CA51E00">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a) 手轮采用球墨铸铁QT450-10及以上制造，手轮是可卸式的。手轮安装在阀门顶部，操作设计成水平方向运转，操作方向顺时针为关闭，逆时针为开启。手轮注明开启和关门方向。手轮的表面光滑、没有毛刺、凹坑、凸起等表面质量缺陷。</w:t>
      </w:r>
    </w:p>
    <w:p w14:paraId="41D2261E">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b）所有传动机构的受力部件能经受2倍的额定力矩而无任何损伤。</w:t>
      </w:r>
    </w:p>
    <w:p w14:paraId="158B6AA5">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c) 所有室外阀门手轮必须尽量贴近地面以便于人员操作。</w:t>
      </w:r>
    </w:p>
    <w:p w14:paraId="1D4F3166">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（6）涂层</w:t>
      </w:r>
    </w:p>
    <w:p w14:paraId="621F1A3C">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防腐前的阀体与阀盖内、外表面进行喷砂除锈，达到Sa2.5级，之后将铸件加热至175℃后才进行静电喷涂环氧树脂粉末工艺，最后烘干固化，内外烤漆，涂层厚度为：内涂层不小于0.25mm，外涂层不小于0.15mm。保证涂层厚度均匀、色泽均一，涂层表面保持光洁，无流痕。阀门外观颜色均采用蓝色。防腐粉末涂料符合《生活饮用水输配水设备及防护材料的安全性评价标准》GB/T 17219-1998要求，应提供2021年1月1日后省级及以上疾控中心出具的环氧树脂粉末涂料卫生检验报告。</w:t>
      </w:r>
    </w:p>
    <w:p w14:paraId="317F0AC2">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（7）其他要求</w:t>
      </w:r>
    </w:p>
    <w:p w14:paraId="3CAD648D">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a）运至现场的密封圈没有任何损坏现象，并且在阀门安装、使用过程中没有松动，脱落、渗漏现象。</w:t>
      </w:r>
    </w:p>
    <w:p w14:paraId="5D1423E4">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b）闸阀的结构长度符合 GB/T 12221-2005 规定的技术条件。</w:t>
      </w:r>
    </w:p>
    <w:p w14:paraId="29EE49C5">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c）所有材质卫生要求符合 GB/T 17219-1998 《生活饮用水输配水设备及防护材料的安全性评价标准》的规定。</w:t>
      </w:r>
    </w:p>
    <w:p w14:paraId="16063E6C">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1.3 球墨铸铁软密封法兰闸阀材质要求</w:t>
      </w:r>
    </w:p>
    <w:tbl>
      <w:tblPr>
        <w:tblStyle w:val="20"/>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8"/>
        <w:gridCol w:w="2228"/>
        <w:gridCol w:w="6038"/>
      </w:tblGrid>
      <w:tr w14:paraId="426F8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85" w:type="pct"/>
            <w:tcBorders>
              <w:top w:val="single" w:color="auto" w:sz="4" w:space="0"/>
              <w:left w:val="single" w:color="auto" w:sz="4" w:space="0"/>
              <w:bottom w:val="single" w:color="auto" w:sz="4" w:space="0"/>
              <w:right w:val="single" w:color="auto" w:sz="4" w:space="0"/>
            </w:tcBorders>
            <w:vAlign w:val="center"/>
          </w:tcPr>
          <w:p w14:paraId="397ED7BE">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00" w:lineRule="exact"/>
              <w:ind w:firstLine="0" w:firstLineChars="0"/>
              <w:jc w:val="center"/>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序号</w:t>
            </w:r>
          </w:p>
        </w:tc>
        <w:tc>
          <w:tcPr>
            <w:tcW w:w="1082" w:type="pct"/>
            <w:tcBorders>
              <w:top w:val="single" w:color="auto" w:sz="4" w:space="0"/>
              <w:left w:val="single" w:color="auto" w:sz="4" w:space="0"/>
              <w:bottom w:val="single" w:color="auto" w:sz="4" w:space="0"/>
              <w:right w:val="single" w:color="auto" w:sz="4" w:space="0"/>
            </w:tcBorders>
            <w:vAlign w:val="center"/>
          </w:tcPr>
          <w:p w14:paraId="71743267">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00" w:lineRule="exact"/>
              <w:ind w:left="0" w:leftChars="0" w:firstLine="0" w:firstLineChars="0"/>
              <w:jc w:val="center"/>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名称</w:t>
            </w:r>
          </w:p>
        </w:tc>
        <w:tc>
          <w:tcPr>
            <w:tcW w:w="2932" w:type="pct"/>
            <w:tcBorders>
              <w:top w:val="single" w:color="auto" w:sz="4" w:space="0"/>
              <w:left w:val="single" w:color="auto" w:sz="4" w:space="0"/>
              <w:bottom w:val="single" w:color="auto" w:sz="4" w:space="0"/>
              <w:right w:val="single" w:color="auto" w:sz="4" w:space="0"/>
            </w:tcBorders>
            <w:vAlign w:val="center"/>
          </w:tcPr>
          <w:p w14:paraId="525A02C9">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00" w:lineRule="exact"/>
              <w:ind w:left="0" w:leftChars="0" w:firstLine="0" w:firstLineChars="0"/>
              <w:jc w:val="center"/>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材质</w:t>
            </w:r>
          </w:p>
        </w:tc>
      </w:tr>
      <w:tr w14:paraId="0D5C3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85" w:type="pct"/>
            <w:tcBorders>
              <w:top w:val="single" w:color="auto" w:sz="4" w:space="0"/>
              <w:left w:val="single" w:color="auto" w:sz="4" w:space="0"/>
              <w:bottom w:val="single" w:color="auto" w:sz="4" w:space="0"/>
              <w:right w:val="single" w:color="auto" w:sz="4" w:space="0"/>
            </w:tcBorders>
            <w:vAlign w:val="center"/>
          </w:tcPr>
          <w:p w14:paraId="5F54EA1C">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00" w:lineRule="exact"/>
              <w:ind w:left="0" w:leftChars="0" w:firstLine="0" w:firstLineChars="0"/>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1</w:t>
            </w:r>
          </w:p>
        </w:tc>
        <w:tc>
          <w:tcPr>
            <w:tcW w:w="1082" w:type="pct"/>
            <w:tcBorders>
              <w:top w:val="single" w:color="auto" w:sz="4" w:space="0"/>
              <w:left w:val="single" w:color="auto" w:sz="4" w:space="0"/>
              <w:bottom w:val="single" w:color="auto" w:sz="4" w:space="0"/>
              <w:right w:val="single" w:color="auto" w:sz="4" w:space="0"/>
            </w:tcBorders>
            <w:vAlign w:val="center"/>
          </w:tcPr>
          <w:p w14:paraId="75E2178C">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00" w:lineRule="exact"/>
              <w:ind w:left="0" w:leftChars="0" w:firstLine="0" w:firstLineChars="0"/>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阀体</w:t>
            </w:r>
          </w:p>
        </w:tc>
        <w:tc>
          <w:tcPr>
            <w:tcW w:w="2932" w:type="pct"/>
            <w:tcBorders>
              <w:top w:val="single" w:color="auto" w:sz="4" w:space="0"/>
              <w:left w:val="single" w:color="auto" w:sz="4" w:space="0"/>
              <w:bottom w:val="single" w:color="auto" w:sz="4" w:space="0"/>
              <w:right w:val="single" w:color="auto" w:sz="4" w:space="0"/>
            </w:tcBorders>
            <w:vAlign w:val="center"/>
          </w:tcPr>
          <w:p w14:paraId="16F9A963">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00" w:lineRule="exact"/>
              <w:ind w:left="0" w:leftChars="0" w:firstLine="0" w:firstLineChars="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球墨铸铁QT450-10或</w:t>
            </w:r>
            <w:r>
              <w:rPr>
                <w:rFonts w:hint="eastAsia" w:ascii="宋体" w:hAnsi="宋体" w:eastAsia="宋体" w:cs="宋体"/>
                <w:b w:val="0"/>
                <w:bCs w:val="0"/>
                <w:i w:val="0"/>
                <w:iCs w:val="0"/>
                <w:color w:val="auto"/>
                <w:sz w:val="21"/>
                <w:szCs w:val="21"/>
                <w:highlight w:val="none"/>
                <w:u w:val="none"/>
                <w:lang w:val="en-US" w:eastAsia="zh-CN"/>
              </w:rPr>
              <w:t>相近、更优</w:t>
            </w:r>
          </w:p>
        </w:tc>
      </w:tr>
      <w:tr w14:paraId="312AE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85" w:type="pct"/>
            <w:tcBorders>
              <w:top w:val="single" w:color="auto" w:sz="4" w:space="0"/>
              <w:left w:val="single" w:color="auto" w:sz="4" w:space="0"/>
              <w:bottom w:val="single" w:color="auto" w:sz="4" w:space="0"/>
              <w:right w:val="single" w:color="auto" w:sz="4" w:space="0"/>
            </w:tcBorders>
            <w:vAlign w:val="center"/>
          </w:tcPr>
          <w:p w14:paraId="47B41CD1">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00" w:lineRule="exact"/>
              <w:ind w:left="0" w:leftChars="0" w:firstLine="0" w:firstLineChars="0"/>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2</w:t>
            </w:r>
          </w:p>
        </w:tc>
        <w:tc>
          <w:tcPr>
            <w:tcW w:w="1082" w:type="pct"/>
            <w:tcBorders>
              <w:top w:val="single" w:color="auto" w:sz="4" w:space="0"/>
              <w:left w:val="single" w:color="auto" w:sz="4" w:space="0"/>
              <w:bottom w:val="single" w:color="auto" w:sz="4" w:space="0"/>
              <w:right w:val="single" w:color="auto" w:sz="4" w:space="0"/>
            </w:tcBorders>
            <w:vAlign w:val="center"/>
          </w:tcPr>
          <w:p w14:paraId="78EE8F3F">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00" w:lineRule="exact"/>
              <w:ind w:left="0" w:leftChars="0" w:firstLine="0" w:firstLineChars="0"/>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阀盖</w:t>
            </w:r>
          </w:p>
        </w:tc>
        <w:tc>
          <w:tcPr>
            <w:tcW w:w="2932" w:type="pct"/>
            <w:tcBorders>
              <w:top w:val="single" w:color="auto" w:sz="4" w:space="0"/>
              <w:left w:val="single" w:color="auto" w:sz="4" w:space="0"/>
              <w:bottom w:val="single" w:color="auto" w:sz="4" w:space="0"/>
              <w:right w:val="single" w:color="auto" w:sz="4" w:space="0"/>
            </w:tcBorders>
            <w:vAlign w:val="center"/>
          </w:tcPr>
          <w:p w14:paraId="7F605A05">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00" w:lineRule="exact"/>
              <w:ind w:left="0" w:leftChars="0" w:firstLine="0" w:firstLineChars="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球墨铸铁QT450-10或</w:t>
            </w:r>
            <w:r>
              <w:rPr>
                <w:rFonts w:hint="eastAsia" w:ascii="宋体" w:hAnsi="宋体" w:eastAsia="宋体" w:cs="宋体"/>
                <w:b w:val="0"/>
                <w:bCs w:val="0"/>
                <w:i w:val="0"/>
                <w:iCs w:val="0"/>
                <w:color w:val="auto"/>
                <w:sz w:val="21"/>
                <w:szCs w:val="21"/>
                <w:highlight w:val="none"/>
                <w:u w:val="none"/>
                <w:lang w:val="en-US" w:eastAsia="zh-CN"/>
              </w:rPr>
              <w:t>相近、更优</w:t>
            </w:r>
          </w:p>
        </w:tc>
      </w:tr>
      <w:tr w14:paraId="78133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85" w:type="pct"/>
            <w:tcBorders>
              <w:top w:val="single" w:color="auto" w:sz="4" w:space="0"/>
              <w:left w:val="single" w:color="auto" w:sz="4" w:space="0"/>
              <w:bottom w:val="single" w:color="auto" w:sz="4" w:space="0"/>
              <w:right w:val="single" w:color="auto" w:sz="4" w:space="0"/>
            </w:tcBorders>
            <w:vAlign w:val="center"/>
          </w:tcPr>
          <w:p w14:paraId="315763B6">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00" w:lineRule="exact"/>
              <w:ind w:left="0" w:leftChars="0" w:firstLine="0" w:firstLineChars="0"/>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3</w:t>
            </w:r>
          </w:p>
        </w:tc>
        <w:tc>
          <w:tcPr>
            <w:tcW w:w="1082" w:type="pct"/>
            <w:tcBorders>
              <w:top w:val="single" w:color="auto" w:sz="4" w:space="0"/>
              <w:left w:val="single" w:color="auto" w:sz="4" w:space="0"/>
              <w:bottom w:val="single" w:color="auto" w:sz="4" w:space="0"/>
              <w:right w:val="single" w:color="auto" w:sz="4" w:space="0"/>
            </w:tcBorders>
            <w:vAlign w:val="center"/>
          </w:tcPr>
          <w:p w14:paraId="7C850B1B">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00" w:lineRule="exact"/>
              <w:ind w:left="0" w:leftChars="0" w:firstLine="0" w:firstLineChars="0"/>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闸板骨架</w:t>
            </w:r>
          </w:p>
        </w:tc>
        <w:tc>
          <w:tcPr>
            <w:tcW w:w="2932" w:type="pct"/>
            <w:tcBorders>
              <w:top w:val="single" w:color="auto" w:sz="4" w:space="0"/>
              <w:left w:val="single" w:color="auto" w:sz="4" w:space="0"/>
              <w:bottom w:val="single" w:color="auto" w:sz="4" w:space="0"/>
              <w:right w:val="single" w:color="auto" w:sz="4" w:space="0"/>
            </w:tcBorders>
            <w:vAlign w:val="center"/>
          </w:tcPr>
          <w:p w14:paraId="6F17F22E">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00" w:lineRule="exact"/>
              <w:ind w:left="0" w:leftChars="0" w:firstLine="0" w:firstLineChars="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球墨铸铁QT450-10或</w:t>
            </w:r>
            <w:r>
              <w:rPr>
                <w:rFonts w:hint="eastAsia" w:ascii="宋体" w:hAnsi="宋体" w:eastAsia="宋体" w:cs="宋体"/>
                <w:b w:val="0"/>
                <w:bCs w:val="0"/>
                <w:i w:val="0"/>
                <w:iCs w:val="0"/>
                <w:color w:val="auto"/>
                <w:sz w:val="21"/>
                <w:szCs w:val="21"/>
                <w:highlight w:val="none"/>
                <w:u w:val="none"/>
                <w:lang w:val="en-US" w:eastAsia="zh-CN"/>
              </w:rPr>
              <w:t>相近、更优</w:t>
            </w:r>
          </w:p>
        </w:tc>
      </w:tr>
      <w:tr w14:paraId="5E27A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85" w:type="pct"/>
            <w:tcBorders>
              <w:top w:val="single" w:color="auto" w:sz="4" w:space="0"/>
              <w:left w:val="single" w:color="auto" w:sz="4" w:space="0"/>
              <w:bottom w:val="single" w:color="auto" w:sz="4" w:space="0"/>
              <w:right w:val="single" w:color="auto" w:sz="4" w:space="0"/>
            </w:tcBorders>
            <w:vAlign w:val="center"/>
          </w:tcPr>
          <w:p w14:paraId="34B58FBF">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00" w:lineRule="exact"/>
              <w:ind w:left="0" w:leftChars="0" w:firstLine="0" w:firstLineChars="0"/>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4</w:t>
            </w:r>
          </w:p>
        </w:tc>
        <w:tc>
          <w:tcPr>
            <w:tcW w:w="1082" w:type="pct"/>
            <w:tcBorders>
              <w:top w:val="single" w:color="auto" w:sz="4" w:space="0"/>
              <w:left w:val="single" w:color="auto" w:sz="4" w:space="0"/>
              <w:bottom w:val="single" w:color="auto" w:sz="4" w:space="0"/>
              <w:right w:val="single" w:color="auto" w:sz="4" w:space="0"/>
            </w:tcBorders>
            <w:vAlign w:val="center"/>
          </w:tcPr>
          <w:p w14:paraId="0CB9A606">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00" w:lineRule="exact"/>
              <w:ind w:left="0" w:leftChars="0" w:firstLine="0" w:firstLineChars="0"/>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闸板橡胶</w:t>
            </w:r>
          </w:p>
        </w:tc>
        <w:tc>
          <w:tcPr>
            <w:tcW w:w="2932" w:type="pct"/>
            <w:tcBorders>
              <w:top w:val="single" w:color="auto" w:sz="4" w:space="0"/>
              <w:left w:val="single" w:color="auto" w:sz="4" w:space="0"/>
              <w:bottom w:val="single" w:color="auto" w:sz="4" w:space="0"/>
              <w:right w:val="single" w:color="auto" w:sz="4" w:space="0"/>
            </w:tcBorders>
            <w:vAlign w:val="center"/>
          </w:tcPr>
          <w:p w14:paraId="10C97E6A">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00" w:lineRule="exact"/>
              <w:ind w:left="0" w:leftChars="0" w:firstLine="0" w:firstLineChars="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丁腈橡胶NBR或三元乙丙橡胶EPDM</w:t>
            </w:r>
          </w:p>
        </w:tc>
      </w:tr>
      <w:tr w14:paraId="29DF2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85" w:type="pct"/>
            <w:tcBorders>
              <w:top w:val="single" w:color="auto" w:sz="4" w:space="0"/>
              <w:left w:val="single" w:color="auto" w:sz="4" w:space="0"/>
              <w:bottom w:val="single" w:color="auto" w:sz="4" w:space="0"/>
              <w:right w:val="single" w:color="auto" w:sz="4" w:space="0"/>
            </w:tcBorders>
            <w:vAlign w:val="center"/>
          </w:tcPr>
          <w:p w14:paraId="44881109">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00" w:lineRule="exact"/>
              <w:ind w:left="0" w:leftChars="0" w:firstLine="0" w:firstLineChars="0"/>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5</w:t>
            </w:r>
          </w:p>
        </w:tc>
        <w:tc>
          <w:tcPr>
            <w:tcW w:w="1082" w:type="pct"/>
            <w:tcBorders>
              <w:top w:val="single" w:color="auto" w:sz="4" w:space="0"/>
              <w:left w:val="single" w:color="auto" w:sz="4" w:space="0"/>
              <w:bottom w:val="single" w:color="auto" w:sz="4" w:space="0"/>
              <w:right w:val="single" w:color="auto" w:sz="4" w:space="0"/>
            </w:tcBorders>
            <w:vAlign w:val="center"/>
          </w:tcPr>
          <w:p w14:paraId="6D85699A">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00" w:lineRule="exact"/>
              <w:ind w:left="0" w:leftChars="0" w:firstLine="0" w:firstLineChars="0"/>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阀杆</w:t>
            </w:r>
          </w:p>
        </w:tc>
        <w:tc>
          <w:tcPr>
            <w:tcW w:w="2932" w:type="pct"/>
            <w:tcBorders>
              <w:top w:val="single" w:color="auto" w:sz="4" w:space="0"/>
              <w:left w:val="single" w:color="auto" w:sz="4" w:space="0"/>
              <w:bottom w:val="single" w:color="auto" w:sz="4" w:space="0"/>
              <w:right w:val="single" w:color="auto" w:sz="4" w:space="0"/>
            </w:tcBorders>
            <w:vAlign w:val="center"/>
          </w:tcPr>
          <w:p w14:paraId="5FDB20D1">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00" w:lineRule="exact"/>
              <w:ind w:left="0" w:leftChars="0" w:firstLine="0" w:firstLineChars="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不锈钢2Cr13或</w:t>
            </w:r>
            <w:r>
              <w:rPr>
                <w:rFonts w:hint="eastAsia" w:ascii="宋体" w:hAnsi="宋体" w:eastAsia="宋体" w:cs="宋体"/>
                <w:b w:val="0"/>
                <w:bCs w:val="0"/>
                <w:i w:val="0"/>
                <w:iCs w:val="0"/>
                <w:color w:val="auto"/>
                <w:sz w:val="21"/>
                <w:szCs w:val="21"/>
                <w:highlight w:val="none"/>
                <w:u w:val="none"/>
                <w:lang w:val="en-US" w:eastAsia="zh-CN"/>
              </w:rPr>
              <w:t>相近、更优</w:t>
            </w:r>
          </w:p>
        </w:tc>
      </w:tr>
      <w:tr w14:paraId="35958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85" w:type="pct"/>
            <w:tcBorders>
              <w:top w:val="single" w:color="auto" w:sz="4" w:space="0"/>
              <w:left w:val="single" w:color="auto" w:sz="4" w:space="0"/>
              <w:bottom w:val="single" w:color="auto" w:sz="4" w:space="0"/>
              <w:right w:val="single" w:color="auto" w:sz="4" w:space="0"/>
            </w:tcBorders>
            <w:vAlign w:val="center"/>
          </w:tcPr>
          <w:p w14:paraId="01B99401">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00" w:lineRule="exact"/>
              <w:ind w:left="0" w:leftChars="0" w:firstLine="0" w:firstLineChars="0"/>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6</w:t>
            </w:r>
          </w:p>
        </w:tc>
        <w:tc>
          <w:tcPr>
            <w:tcW w:w="1082" w:type="pct"/>
            <w:tcBorders>
              <w:top w:val="single" w:color="auto" w:sz="4" w:space="0"/>
              <w:left w:val="single" w:color="auto" w:sz="4" w:space="0"/>
              <w:bottom w:val="single" w:color="auto" w:sz="4" w:space="0"/>
              <w:right w:val="single" w:color="auto" w:sz="4" w:space="0"/>
            </w:tcBorders>
            <w:vAlign w:val="center"/>
          </w:tcPr>
          <w:p w14:paraId="7146FF4A">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00" w:lineRule="exact"/>
              <w:ind w:left="0" w:leftChars="0" w:firstLine="0" w:firstLineChars="0"/>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闸板螺母</w:t>
            </w:r>
          </w:p>
        </w:tc>
        <w:tc>
          <w:tcPr>
            <w:tcW w:w="2932" w:type="pct"/>
            <w:tcBorders>
              <w:top w:val="single" w:color="auto" w:sz="4" w:space="0"/>
              <w:left w:val="single" w:color="auto" w:sz="4" w:space="0"/>
              <w:bottom w:val="single" w:color="auto" w:sz="4" w:space="0"/>
              <w:right w:val="single" w:color="auto" w:sz="4" w:space="0"/>
            </w:tcBorders>
            <w:vAlign w:val="center"/>
          </w:tcPr>
          <w:p w14:paraId="4D4B00A8">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00" w:lineRule="exact"/>
              <w:ind w:left="0" w:leftChars="0" w:firstLine="0" w:firstLineChars="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铜合金或</w:t>
            </w:r>
            <w:r>
              <w:rPr>
                <w:rFonts w:hint="eastAsia" w:ascii="宋体" w:hAnsi="宋体" w:eastAsia="宋体" w:cs="宋体"/>
                <w:b w:val="0"/>
                <w:bCs w:val="0"/>
                <w:i w:val="0"/>
                <w:iCs w:val="0"/>
                <w:color w:val="auto"/>
                <w:sz w:val="21"/>
                <w:szCs w:val="21"/>
                <w:highlight w:val="none"/>
                <w:u w:val="none"/>
                <w:lang w:val="en-US" w:eastAsia="zh-CN"/>
              </w:rPr>
              <w:t>相近、更优</w:t>
            </w:r>
            <w:r>
              <w:rPr>
                <w:rFonts w:hint="eastAsia" w:ascii="宋体" w:hAnsi="宋体" w:eastAsia="宋体" w:cs="宋体"/>
                <w:b w:val="0"/>
                <w:bCs w:val="0"/>
                <w:color w:val="auto"/>
                <w:kern w:val="2"/>
                <w:sz w:val="21"/>
                <w:szCs w:val="21"/>
                <w:highlight w:val="none"/>
                <w:lang w:val="en-US" w:eastAsia="zh-CN" w:bidi="ar-SA"/>
              </w:rPr>
              <w:t>上</w:t>
            </w:r>
          </w:p>
        </w:tc>
      </w:tr>
      <w:tr w14:paraId="6C6B4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85" w:type="pct"/>
            <w:tcBorders>
              <w:top w:val="single" w:color="auto" w:sz="4" w:space="0"/>
              <w:left w:val="single" w:color="auto" w:sz="4" w:space="0"/>
              <w:bottom w:val="single" w:color="auto" w:sz="4" w:space="0"/>
              <w:right w:val="single" w:color="auto" w:sz="4" w:space="0"/>
            </w:tcBorders>
            <w:shd w:val="clear" w:color="auto" w:fill="auto"/>
            <w:vAlign w:val="center"/>
          </w:tcPr>
          <w:p w14:paraId="3EDD278C">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00" w:lineRule="exact"/>
              <w:ind w:left="0" w:leftChars="0" w:firstLine="0" w:firstLineChars="0"/>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7</w:t>
            </w:r>
          </w:p>
        </w:tc>
        <w:tc>
          <w:tcPr>
            <w:tcW w:w="1082" w:type="pct"/>
            <w:tcBorders>
              <w:top w:val="single" w:color="auto" w:sz="4" w:space="0"/>
              <w:left w:val="single" w:color="auto" w:sz="4" w:space="0"/>
              <w:bottom w:val="single" w:color="auto" w:sz="4" w:space="0"/>
              <w:right w:val="single" w:color="auto" w:sz="4" w:space="0"/>
            </w:tcBorders>
            <w:shd w:val="clear" w:color="auto" w:fill="auto"/>
            <w:vAlign w:val="center"/>
          </w:tcPr>
          <w:p w14:paraId="6D0C71E4">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00" w:lineRule="exact"/>
              <w:ind w:left="0" w:leftChars="0" w:firstLine="0" w:firstLineChars="0"/>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止推轴承</w:t>
            </w:r>
          </w:p>
        </w:tc>
        <w:tc>
          <w:tcPr>
            <w:tcW w:w="2932" w:type="pct"/>
            <w:tcBorders>
              <w:top w:val="single" w:color="auto" w:sz="4" w:space="0"/>
              <w:left w:val="single" w:color="auto" w:sz="4" w:space="0"/>
              <w:bottom w:val="single" w:color="auto" w:sz="4" w:space="0"/>
              <w:right w:val="single" w:color="auto" w:sz="4" w:space="0"/>
            </w:tcBorders>
            <w:shd w:val="clear" w:color="auto" w:fill="auto"/>
            <w:vAlign w:val="center"/>
          </w:tcPr>
          <w:p w14:paraId="7615DA94">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00" w:lineRule="exact"/>
              <w:ind w:left="0" w:leftChars="0" w:firstLine="0" w:firstLineChars="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铜合金或</w:t>
            </w:r>
            <w:r>
              <w:rPr>
                <w:rFonts w:hint="eastAsia" w:ascii="宋体" w:hAnsi="宋体" w:eastAsia="宋体" w:cs="宋体"/>
                <w:b w:val="0"/>
                <w:bCs w:val="0"/>
                <w:i w:val="0"/>
                <w:iCs w:val="0"/>
                <w:color w:val="auto"/>
                <w:sz w:val="21"/>
                <w:szCs w:val="21"/>
                <w:highlight w:val="none"/>
                <w:u w:val="none"/>
                <w:lang w:val="en-US" w:eastAsia="zh-CN"/>
              </w:rPr>
              <w:t>相近、更优</w:t>
            </w:r>
          </w:p>
        </w:tc>
      </w:tr>
      <w:tr w14:paraId="313FE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85" w:type="pct"/>
            <w:tcBorders>
              <w:top w:val="single" w:color="auto" w:sz="4" w:space="0"/>
              <w:left w:val="single" w:color="auto" w:sz="4" w:space="0"/>
              <w:bottom w:val="single" w:color="auto" w:sz="4" w:space="0"/>
              <w:right w:val="single" w:color="auto" w:sz="4" w:space="0"/>
            </w:tcBorders>
            <w:shd w:val="clear" w:color="auto" w:fill="auto"/>
            <w:vAlign w:val="center"/>
          </w:tcPr>
          <w:p w14:paraId="61618863">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00" w:lineRule="exact"/>
              <w:ind w:left="0" w:leftChars="0" w:firstLine="0" w:firstLineChars="0"/>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8</w:t>
            </w:r>
          </w:p>
        </w:tc>
        <w:tc>
          <w:tcPr>
            <w:tcW w:w="1082" w:type="pct"/>
            <w:tcBorders>
              <w:top w:val="single" w:color="auto" w:sz="4" w:space="0"/>
              <w:left w:val="single" w:color="auto" w:sz="4" w:space="0"/>
              <w:bottom w:val="single" w:color="auto" w:sz="4" w:space="0"/>
              <w:right w:val="single" w:color="auto" w:sz="4" w:space="0"/>
            </w:tcBorders>
            <w:shd w:val="clear" w:color="auto" w:fill="auto"/>
            <w:vAlign w:val="center"/>
          </w:tcPr>
          <w:p w14:paraId="0CDD47C4">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00" w:lineRule="exact"/>
              <w:ind w:left="0" w:leftChars="0" w:firstLine="0" w:firstLineChars="0"/>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压盖</w:t>
            </w:r>
          </w:p>
        </w:tc>
        <w:tc>
          <w:tcPr>
            <w:tcW w:w="2932" w:type="pct"/>
            <w:tcBorders>
              <w:top w:val="single" w:color="auto" w:sz="4" w:space="0"/>
              <w:left w:val="single" w:color="auto" w:sz="4" w:space="0"/>
              <w:bottom w:val="single" w:color="auto" w:sz="4" w:space="0"/>
              <w:right w:val="single" w:color="auto" w:sz="4" w:space="0"/>
            </w:tcBorders>
            <w:shd w:val="clear" w:color="auto" w:fill="auto"/>
            <w:vAlign w:val="center"/>
          </w:tcPr>
          <w:p w14:paraId="659910A4">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00" w:lineRule="exact"/>
              <w:ind w:left="0" w:leftChars="0" w:firstLine="0" w:firstLineChars="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球墨铸铁QT450-10或</w:t>
            </w:r>
            <w:r>
              <w:rPr>
                <w:rFonts w:hint="eastAsia" w:ascii="宋体" w:hAnsi="宋体" w:eastAsia="宋体" w:cs="宋体"/>
                <w:b w:val="0"/>
                <w:bCs w:val="0"/>
                <w:i w:val="0"/>
                <w:iCs w:val="0"/>
                <w:color w:val="auto"/>
                <w:sz w:val="21"/>
                <w:szCs w:val="21"/>
                <w:highlight w:val="none"/>
                <w:u w:val="none"/>
                <w:lang w:val="en-US" w:eastAsia="zh-CN"/>
              </w:rPr>
              <w:t>相近、更优</w:t>
            </w:r>
          </w:p>
        </w:tc>
      </w:tr>
      <w:tr w14:paraId="05B6C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85" w:type="pct"/>
            <w:tcBorders>
              <w:top w:val="single" w:color="auto" w:sz="4" w:space="0"/>
              <w:left w:val="single" w:color="auto" w:sz="4" w:space="0"/>
              <w:bottom w:val="single" w:color="auto" w:sz="4" w:space="0"/>
              <w:right w:val="single" w:color="auto" w:sz="4" w:space="0"/>
            </w:tcBorders>
            <w:shd w:val="clear" w:color="auto" w:fill="auto"/>
            <w:vAlign w:val="center"/>
          </w:tcPr>
          <w:p w14:paraId="21275A28">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00" w:lineRule="exact"/>
              <w:ind w:left="0" w:leftChars="0" w:firstLine="0" w:firstLineChars="0"/>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9</w:t>
            </w:r>
          </w:p>
        </w:tc>
        <w:tc>
          <w:tcPr>
            <w:tcW w:w="1082" w:type="pct"/>
            <w:tcBorders>
              <w:top w:val="single" w:color="auto" w:sz="4" w:space="0"/>
              <w:left w:val="single" w:color="auto" w:sz="4" w:space="0"/>
              <w:bottom w:val="single" w:color="auto" w:sz="4" w:space="0"/>
              <w:right w:val="single" w:color="auto" w:sz="4" w:space="0"/>
            </w:tcBorders>
            <w:shd w:val="clear" w:color="auto" w:fill="auto"/>
            <w:vAlign w:val="center"/>
          </w:tcPr>
          <w:p w14:paraId="23CF7FAA">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00" w:lineRule="exact"/>
              <w:ind w:left="0" w:leftChars="0" w:firstLine="0" w:firstLineChars="0"/>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O型密封圈</w:t>
            </w:r>
          </w:p>
        </w:tc>
        <w:tc>
          <w:tcPr>
            <w:tcW w:w="2932" w:type="pct"/>
            <w:tcBorders>
              <w:top w:val="single" w:color="auto" w:sz="4" w:space="0"/>
              <w:left w:val="single" w:color="auto" w:sz="4" w:space="0"/>
              <w:bottom w:val="single" w:color="auto" w:sz="4" w:space="0"/>
              <w:right w:val="single" w:color="auto" w:sz="4" w:space="0"/>
            </w:tcBorders>
            <w:shd w:val="clear" w:color="auto" w:fill="auto"/>
            <w:vAlign w:val="center"/>
          </w:tcPr>
          <w:p w14:paraId="4A91A259">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00" w:lineRule="exact"/>
              <w:ind w:left="0" w:leftChars="0" w:firstLine="0" w:firstLineChars="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丁腈橡胶NBR或三元乙丙橡胶EPDM</w:t>
            </w:r>
          </w:p>
        </w:tc>
      </w:tr>
      <w:tr w14:paraId="447D2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85" w:type="pct"/>
            <w:tcBorders>
              <w:top w:val="single" w:color="auto" w:sz="4" w:space="0"/>
              <w:left w:val="single" w:color="auto" w:sz="4" w:space="0"/>
              <w:bottom w:val="single" w:color="auto" w:sz="4" w:space="0"/>
              <w:right w:val="single" w:color="auto" w:sz="4" w:space="0"/>
            </w:tcBorders>
            <w:shd w:val="clear" w:color="auto" w:fill="auto"/>
            <w:vAlign w:val="center"/>
          </w:tcPr>
          <w:p w14:paraId="0CE2E1F3">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00" w:lineRule="exact"/>
              <w:ind w:left="0" w:leftChars="0" w:firstLine="0" w:firstLineChars="0"/>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10</w:t>
            </w:r>
          </w:p>
        </w:tc>
        <w:tc>
          <w:tcPr>
            <w:tcW w:w="1082" w:type="pct"/>
            <w:tcBorders>
              <w:top w:val="single" w:color="auto" w:sz="4" w:space="0"/>
              <w:left w:val="single" w:color="auto" w:sz="4" w:space="0"/>
              <w:bottom w:val="single" w:color="auto" w:sz="4" w:space="0"/>
              <w:right w:val="single" w:color="auto" w:sz="4" w:space="0"/>
            </w:tcBorders>
            <w:shd w:val="clear" w:color="auto" w:fill="auto"/>
            <w:vAlign w:val="center"/>
          </w:tcPr>
          <w:p w14:paraId="59246391">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00" w:lineRule="exact"/>
              <w:ind w:left="0" w:leftChars="0" w:firstLine="0" w:firstLineChars="0"/>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手轮</w:t>
            </w:r>
          </w:p>
        </w:tc>
        <w:tc>
          <w:tcPr>
            <w:tcW w:w="2932" w:type="pct"/>
            <w:tcBorders>
              <w:top w:val="single" w:color="auto" w:sz="4" w:space="0"/>
              <w:left w:val="single" w:color="auto" w:sz="4" w:space="0"/>
              <w:bottom w:val="single" w:color="auto" w:sz="4" w:space="0"/>
              <w:right w:val="single" w:color="auto" w:sz="4" w:space="0"/>
            </w:tcBorders>
            <w:shd w:val="clear" w:color="auto" w:fill="auto"/>
            <w:vAlign w:val="center"/>
          </w:tcPr>
          <w:p w14:paraId="7F8F59AD">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00" w:lineRule="exact"/>
              <w:ind w:left="0" w:leftChars="0" w:firstLine="0" w:firstLineChars="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球墨铸铁QT450-10或</w:t>
            </w:r>
            <w:r>
              <w:rPr>
                <w:rFonts w:hint="eastAsia" w:ascii="宋体" w:hAnsi="宋体" w:eastAsia="宋体" w:cs="宋体"/>
                <w:b w:val="0"/>
                <w:bCs w:val="0"/>
                <w:i w:val="0"/>
                <w:iCs w:val="0"/>
                <w:color w:val="auto"/>
                <w:sz w:val="21"/>
                <w:szCs w:val="21"/>
                <w:highlight w:val="none"/>
                <w:u w:val="none"/>
                <w:lang w:val="en-US" w:eastAsia="zh-CN"/>
              </w:rPr>
              <w:t>相近、更优</w:t>
            </w:r>
          </w:p>
        </w:tc>
      </w:tr>
      <w:tr w14:paraId="3862F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85" w:type="pct"/>
            <w:tcBorders>
              <w:top w:val="single" w:color="auto" w:sz="4" w:space="0"/>
              <w:left w:val="single" w:color="auto" w:sz="4" w:space="0"/>
              <w:bottom w:val="single" w:color="auto" w:sz="4" w:space="0"/>
              <w:right w:val="single" w:color="auto" w:sz="4" w:space="0"/>
            </w:tcBorders>
            <w:shd w:val="clear" w:color="auto" w:fill="auto"/>
            <w:vAlign w:val="center"/>
          </w:tcPr>
          <w:p w14:paraId="26382998">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00" w:lineRule="exact"/>
              <w:ind w:left="0" w:leftChars="0" w:firstLine="0" w:firstLineChars="0"/>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11</w:t>
            </w:r>
          </w:p>
        </w:tc>
        <w:tc>
          <w:tcPr>
            <w:tcW w:w="1082" w:type="pct"/>
            <w:tcBorders>
              <w:top w:val="single" w:color="auto" w:sz="4" w:space="0"/>
              <w:left w:val="single" w:color="auto" w:sz="4" w:space="0"/>
              <w:bottom w:val="single" w:color="auto" w:sz="4" w:space="0"/>
              <w:right w:val="single" w:color="auto" w:sz="4" w:space="0"/>
            </w:tcBorders>
            <w:shd w:val="clear" w:color="auto" w:fill="auto"/>
            <w:vAlign w:val="center"/>
          </w:tcPr>
          <w:p w14:paraId="24E13340">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00" w:lineRule="exact"/>
              <w:ind w:left="0" w:leftChars="0" w:firstLine="0" w:firstLineChars="0"/>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螺栓</w:t>
            </w:r>
          </w:p>
        </w:tc>
        <w:tc>
          <w:tcPr>
            <w:tcW w:w="2932" w:type="pct"/>
            <w:tcBorders>
              <w:top w:val="single" w:color="auto" w:sz="4" w:space="0"/>
              <w:left w:val="single" w:color="auto" w:sz="4" w:space="0"/>
              <w:bottom w:val="single" w:color="auto" w:sz="4" w:space="0"/>
              <w:right w:val="single" w:color="auto" w:sz="4" w:space="0"/>
            </w:tcBorders>
            <w:shd w:val="clear" w:color="auto" w:fill="auto"/>
            <w:vAlign w:val="center"/>
          </w:tcPr>
          <w:p w14:paraId="021C9320">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00" w:lineRule="exact"/>
              <w:ind w:left="0" w:leftChars="0" w:firstLine="0" w:firstLineChars="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镀锌碳钢Q235A或</w:t>
            </w:r>
            <w:r>
              <w:rPr>
                <w:rFonts w:hint="eastAsia" w:ascii="宋体" w:hAnsi="宋体" w:eastAsia="宋体" w:cs="宋体"/>
                <w:b w:val="0"/>
                <w:bCs w:val="0"/>
                <w:i w:val="0"/>
                <w:iCs w:val="0"/>
                <w:color w:val="auto"/>
                <w:sz w:val="21"/>
                <w:szCs w:val="21"/>
                <w:highlight w:val="none"/>
                <w:u w:val="none"/>
                <w:lang w:val="en-US" w:eastAsia="zh-CN"/>
              </w:rPr>
              <w:t>相近、更优</w:t>
            </w:r>
          </w:p>
        </w:tc>
      </w:tr>
    </w:tbl>
    <w:p w14:paraId="48673034">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highlight w:val="none"/>
        </w:rPr>
      </w:pPr>
      <w:r>
        <w:rPr>
          <w:rFonts w:hint="eastAsia" w:ascii="宋体" w:hAnsi="宋体" w:eastAsia="宋体" w:cs="宋体"/>
          <w:b w:val="0"/>
          <w:bCs w:val="0"/>
          <w:color w:val="auto"/>
          <w:kern w:val="2"/>
          <w:sz w:val="21"/>
          <w:szCs w:val="21"/>
          <w:highlight w:val="none"/>
          <w:lang w:val="en-US" w:eastAsia="zh-CN" w:bidi="ar-SA"/>
        </w:rPr>
        <w:t>球墨铸铁QT450-10以上，球化率达到国家级三级及以上材质要求，提供QT450-10球化率检测报告。</w:t>
      </w:r>
    </w:p>
    <w:p w14:paraId="7176DA10">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2.球墨铸铁双偏心软密封双法兰蝶阀</w:t>
      </w:r>
    </w:p>
    <w:p w14:paraId="7AA48E4D">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2.1 基本技术要求</w:t>
      </w:r>
    </w:p>
    <w:p w14:paraId="12E474FA">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蝶阀主要由阀体、阀杆（阀轴）、阀板（蝶板）、阀座及密封材料等组成。</w:t>
      </w:r>
    </w:p>
    <w:p w14:paraId="659A9556">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（1）阀板（蝶板）与阀杆（阀轴）的连接采用自紧式销结构，以避免长时间使用后两者的松脱错位。</w:t>
      </w:r>
    </w:p>
    <w:p w14:paraId="586C901B">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（2）阀杆（阀轴）密封必须采用O型密封圈式（NBR或EPDM），不接受盘根填料式的轴密封。</w:t>
      </w:r>
    </w:p>
    <w:p w14:paraId="339B1AC9">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（3）蝶阀主要技术参数</w:t>
      </w:r>
    </w:p>
    <w:p w14:paraId="74A77445">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公称压力：1.0Mpa</w:t>
      </w:r>
    </w:p>
    <w:p w14:paraId="2A11D7BC">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壳体强度试验压力：1.5倍公称压力传动操作机构等部件组成。</w:t>
      </w:r>
    </w:p>
    <w:p w14:paraId="58EC6765">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密封试验压力：1.1倍公称压力</w:t>
      </w:r>
    </w:p>
    <w:p w14:paraId="1B4A27E8">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适用介质：空气、河水、自来水、弱腐蚀性流体</w:t>
      </w:r>
    </w:p>
    <w:p w14:paraId="6F2AD3BC">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适用温度：0℃～+80℃</w:t>
      </w:r>
    </w:p>
    <w:p w14:paraId="056BC4CF">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漏失率：0</w:t>
      </w:r>
    </w:p>
    <w:p w14:paraId="5979A042">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蝶阀的制造应符合 GB/T 12238-2008 标准的规定</w:t>
      </w:r>
    </w:p>
    <w:p w14:paraId="2DCC4061">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阀门结构长度：GB/T 12221-2005 标准</w:t>
      </w:r>
    </w:p>
    <w:p w14:paraId="3C543AA0">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阀门与法兰的连接：GB/T 17241-2024 或 DIN2501 标准</w:t>
      </w:r>
    </w:p>
    <w:p w14:paraId="31ECBEEC">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阀门和操作机构的连接：ISO 5211:2023 标准</w:t>
      </w:r>
    </w:p>
    <w:p w14:paraId="036487C6">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阀门试验标准：GB/T13927 或DIN等标准</w:t>
      </w:r>
    </w:p>
    <w:p w14:paraId="2CB20468">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2.2 主要结构要求</w:t>
      </w:r>
    </w:p>
    <w:p w14:paraId="60404A9C">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（1）阀体</w:t>
      </w:r>
    </w:p>
    <w:p w14:paraId="60243082">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阀体的最小壁厚应保证在承受1.5倍以上的工作压力时，所有的零部件不发生变形；表面处理： 环氧树脂静电喷涂，内涂层不小于0.25mm，外涂层不小于0.15mm。阀体材料为球墨铸铁QT450-10或优于此牌号球墨铸铁的材料。法兰和阀体为一体，法兰盘应符合国标图集02S403标准。</w:t>
      </w:r>
    </w:p>
    <w:p w14:paraId="3F63B04E">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（2）阀板（蝶板）</w:t>
      </w:r>
    </w:p>
    <w:p w14:paraId="30E03F89">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阀板采用球墨铸铁QT450-10及以上加纯环氧树脂烤漆工艺。阀板的应力应能承受作用在蝶阀（关闭状态）上的全部压差，而所产生的工作应力不超过使用材料的抗拉强度的1/5。阀板的厚度不得超过轴直径的2.25倍。阀门开启时，阻力系数不大于0.3。为确保阀门过流能力，阀板应采用整体浇筑而成且边缘球形抛光的桁架式阀板或更优。阀板具有高强度和刚度，不产生影响密封的变形，流线性过流截面，流道中没有横向加强筋，符合流体力学具有较小阻力的特点。</w:t>
      </w:r>
    </w:p>
    <w:p w14:paraId="3DB9F123">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阀板应采用桁架式阀板或更优。阀板整体浇注而成，阀板边缘应球形抛光，具有强度和刚度高，不产生影响密封的变形，流线性过流截面，流道中没有横向加强筋，阀板符合流体力学特点，具有较小的阻力。</w:t>
      </w:r>
    </w:p>
    <w:p w14:paraId="3B5A1124">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（3）阀杆（阀轴）</w:t>
      </w:r>
    </w:p>
    <w:p w14:paraId="046F62D1">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阀杆采用不锈钢2Cr13或不锈钢304材质或相近、更优。阀杆的最小直径应满足力矩及有关参数的要求。阀杆可以是一根贯穿阀板的整轴，或为两根分别插入阀板中的半轴组成。如果是短轴，其插入阀板中的长度大于轴径的1.5倍。</w:t>
      </w:r>
    </w:p>
    <w:p w14:paraId="366F446E">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（4）阀轴与阀板的连接</w:t>
      </w:r>
    </w:p>
    <w:p w14:paraId="03440F21">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阀轴与阀板的连接，应能满足传递相当于最小轴径扭转强度的转矩要求，如果采用销或锥销，必须机械地牢固。轴与阀板应紧密装配，应保证在开启和关闭操作中对阀门性能不产生有害影响。</w:t>
      </w:r>
    </w:p>
    <w:p w14:paraId="4C7B8A07">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阀板两端与轴连接部分应采用盲孔或通孔。</w:t>
      </w:r>
    </w:p>
    <w:p w14:paraId="18FFCA2E">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（5）轴承</w:t>
      </w:r>
    </w:p>
    <w:p w14:paraId="27B8E0D8">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阀体轴承应采用无需注油的铝青铜ZCuAl10Fe3或优于此牌号材料的自润式轴承，这种材料对水和橡胶不产生有害影响，轴承与阀轴的连接，应能保证轴承有很好的性能。在最大压力负荷下，轴承运转时摩擦系数不超过0.25。</w:t>
      </w:r>
    </w:p>
    <w:p w14:paraId="7CB4CF1F">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（6）阀门传动机构</w:t>
      </w:r>
    </w:p>
    <w:p w14:paraId="41FB9EF7">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阀门的传动机构要有足够的强度，全密封结构，保证能防潮、防水，所有的受力部件能承受3倍以上的额定力矩而无损坏，保证阀板在开启和关闭时的稳定性，以及保证使阀板能稳定地停留在中间任意位置。所有蝶阀都应装配开启和关闭的限位装置，齿轮箱材质要求采用球墨铸铁QT450-10或相近、更优。</w:t>
      </w:r>
    </w:p>
    <w:p w14:paraId="099C8EB3">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DN500及以上蝶阀的二级传动装置采用蜗轮加齿轮结构，保证二级传动箱内各零件的加工精度和装配精度，保证蜗轮蜗杆的自锁功能。</w:t>
      </w:r>
    </w:p>
    <w:p w14:paraId="3A99CE71">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操作机构的支座及阀体的连接部件要有足够的刚度和强度。设计的安全系数：以材料抗拉为基础时，不小于5；以屈服强度为基础时，不小于3。</w:t>
      </w:r>
    </w:p>
    <w:p w14:paraId="4B3542BF">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所有传动机构的受力部件应能经受2倍的额定力矩而无任何损害。</w:t>
      </w:r>
    </w:p>
    <w:p w14:paraId="37DB4826">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人工操作机构（手轮）的最大作用力F≤30kg。所有的阀门应能够灵活启闭，省时省力，尽可能开启圈数少，开启力矩小。</w:t>
      </w:r>
    </w:p>
    <w:p w14:paraId="5181F0A4">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（7）阀板和阀座之间的密封</w:t>
      </w:r>
    </w:p>
    <w:p w14:paraId="295A588D">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密封圈（座）的设计制造必须保证在阀板关闭时，双向均能承压，不漏水。</w:t>
      </w:r>
    </w:p>
    <w:p w14:paraId="4A9F6D5E">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阀座的密封件采用304不锈钢或316不锈钢或不锈钢308L等同品质或相近、更优材质，阀板密封圈采用丁晴橡胶NBR或三元乙丙橡胶EPDM固定在阀板上，拆卸更换方便。</w:t>
      </w:r>
    </w:p>
    <w:p w14:paraId="740DE9AF">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（8）阀轴的密封</w:t>
      </w:r>
    </w:p>
    <w:p w14:paraId="020D9711">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选择耐久的轴封材料，采用新型的轴封形式，在更换O型圈时，不拆除阀体及操作机构的任何部件。密封函的深度应根据轴封形式而决定。轴封压盖为球墨铸铁QT450-10。</w:t>
      </w:r>
    </w:p>
    <w:p w14:paraId="07D1A841">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（9）布置与结构要求</w:t>
      </w:r>
    </w:p>
    <w:p w14:paraId="1E0644AC">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户外使用的蝶阀传动机构采用全密封户外形结构，在野外露天管道上使用时，应保证传动机构不进水，并始终处于润滑良好状态，并不污染输送介质。</w:t>
      </w:r>
    </w:p>
    <w:p w14:paraId="1196B4E3">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2.3 材质要求</w:t>
      </w:r>
    </w:p>
    <w:tbl>
      <w:tblPr>
        <w:tblStyle w:val="20"/>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5"/>
        <w:gridCol w:w="2658"/>
        <w:gridCol w:w="6631"/>
      </w:tblGrid>
      <w:tr w14:paraId="24786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88" w:type="pct"/>
            <w:vAlign w:val="center"/>
          </w:tcPr>
          <w:p w14:paraId="034BA469">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00" w:lineRule="exact"/>
              <w:ind w:left="0" w:leftChars="0" w:firstLine="0" w:firstLineChars="0"/>
              <w:jc w:val="center"/>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序号</w:t>
            </w:r>
          </w:p>
        </w:tc>
        <w:tc>
          <w:tcPr>
            <w:tcW w:w="1291" w:type="pct"/>
            <w:vAlign w:val="center"/>
          </w:tcPr>
          <w:p w14:paraId="6C84E1C4">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00" w:lineRule="exact"/>
              <w:ind w:left="0" w:leftChars="0" w:firstLine="0" w:firstLineChars="0"/>
              <w:jc w:val="center"/>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名称</w:t>
            </w:r>
          </w:p>
        </w:tc>
        <w:tc>
          <w:tcPr>
            <w:tcW w:w="3220" w:type="pct"/>
            <w:vAlign w:val="center"/>
          </w:tcPr>
          <w:p w14:paraId="1C28684F">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00" w:lineRule="exact"/>
              <w:ind w:left="0" w:leftChars="0" w:firstLine="0" w:firstLineChars="0"/>
              <w:jc w:val="center"/>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材质</w:t>
            </w:r>
          </w:p>
        </w:tc>
      </w:tr>
      <w:tr w14:paraId="3DD9A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88" w:type="pct"/>
            <w:vAlign w:val="center"/>
          </w:tcPr>
          <w:p w14:paraId="4C3F0A30">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00" w:lineRule="exact"/>
              <w:ind w:left="0" w:leftChars="0" w:firstLine="0" w:firstLineChars="0"/>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1</w:t>
            </w:r>
          </w:p>
        </w:tc>
        <w:tc>
          <w:tcPr>
            <w:tcW w:w="1291" w:type="pct"/>
            <w:vAlign w:val="center"/>
          </w:tcPr>
          <w:p w14:paraId="5DEC6612">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00" w:lineRule="exact"/>
              <w:ind w:left="0" w:leftChars="0" w:firstLine="0" w:firstLineChars="0"/>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阀体</w:t>
            </w:r>
          </w:p>
        </w:tc>
        <w:tc>
          <w:tcPr>
            <w:tcW w:w="3220" w:type="pct"/>
            <w:vAlign w:val="center"/>
          </w:tcPr>
          <w:p w14:paraId="24EF9BCD">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00" w:lineRule="exact"/>
              <w:ind w:left="0" w:leftChars="0" w:firstLine="0" w:firstLineChars="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球墨铸铁QT450-10或</w:t>
            </w:r>
            <w:r>
              <w:rPr>
                <w:rFonts w:hint="eastAsia" w:ascii="宋体" w:hAnsi="宋体" w:eastAsia="宋体" w:cs="宋体"/>
                <w:b w:val="0"/>
                <w:bCs w:val="0"/>
                <w:i w:val="0"/>
                <w:iCs w:val="0"/>
                <w:color w:val="auto"/>
                <w:sz w:val="21"/>
                <w:szCs w:val="21"/>
                <w:highlight w:val="none"/>
                <w:u w:val="none"/>
                <w:lang w:val="en-US" w:eastAsia="zh-CN"/>
              </w:rPr>
              <w:t>相近、更优</w:t>
            </w:r>
          </w:p>
        </w:tc>
      </w:tr>
      <w:tr w14:paraId="597D6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88" w:type="pct"/>
            <w:vAlign w:val="center"/>
          </w:tcPr>
          <w:p w14:paraId="113AFBB0">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00" w:lineRule="exact"/>
              <w:ind w:left="0" w:leftChars="0" w:firstLine="0" w:firstLineChars="0"/>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2</w:t>
            </w:r>
          </w:p>
        </w:tc>
        <w:tc>
          <w:tcPr>
            <w:tcW w:w="1291" w:type="pct"/>
            <w:vAlign w:val="center"/>
          </w:tcPr>
          <w:p w14:paraId="4B9D0FD5">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00" w:lineRule="exact"/>
              <w:ind w:left="0" w:leftChars="0" w:firstLine="0" w:firstLineChars="0"/>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阀板</w:t>
            </w:r>
          </w:p>
        </w:tc>
        <w:tc>
          <w:tcPr>
            <w:tcW w:w="3220" w:type="pct"/>
            <w:vAlign w:val="center"/>
          </w:tcPr>
          <w:p w14:paraId="6C151488">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00" w:lineRule="exact"/>
              <w:ind w:left="0" w:leftChars="0" w:firstLine="0" w:firstLineChars="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球墨铸铁QT450-10或</w:t>
            </w:r>
            <w:r>
              <w:rPr>
                <w:rFonts w:hint="eastAsia" w:ascii="宋体" w:hAnsi="宋体" w:eastAsia="宋体" w:cs="宋体"/>
                <w:b w:val="0"/>
                <w:bCs w:val="0"/>
                <w:i w:val="0"/>
                <w:iCs w:val="0"/>
                <w:color w:val="auto"/>
                <w:sz w:val="21"/>
                <w:szCs w:val="21"/>
                <w:highlight w:val="none"/>
                <w:u w:val="none"/>
                <w:lang w:val="en-US" w:eastAsia="zh-CN"/>
              </w:rPr>
              <w:t>相近、更优</w:t>
            </w:r>
          </w:p>
        </w:tc>
      </w:tr>
      <w:tr w14:paraId="73E72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88" w:type="pct"/>
            <w:vAlign w:val="center"/>
          </w:tcPr>
          <w:p w14:paraId="4EF0F2E3">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00" w:lineRule="exact"/>
              <w:ind w:left="0" w:leftChars="0" w:firstLine="0" w:firstLineChars="0"/>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3</w:t>
            </w:r>
          </w:p>
        </w:tc>
        <w:tc>
          <w:tcPr>
            <w:tcW w:w="1291" w:type="pct"/>
            <w:vAlign w:val="center"/>
          </w:tcPr>
          <w:p w14:paraId="7AF80009">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00" w:lineRule="exact"/>
              <w:ind w:left="0" w:leftChars="0" w:firstLine="0" w:firstLineChars="0"/>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阀板密封圈</w:t>
            </w:r>
          </w:p>
        </w:tc>
        <w:tc>
          <w:tcPr>
            <w:tcW w:w="3220" w:type="pct"/>
            <w:vAlign w:val="center"/>
          </w:tcPr>
          <w:p w14:paraId="54588666">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00" w:lineRule="exact"/>
              <w:ind w:left="0" w:leftChars="0" w:firstLine="0" w:firstLineChars="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丁腈橡胶NBR或三元乙丙橡胶EPDM</w:t>
            </w:r>
          </w:p>
        </w:tc>
      </w:tr>
      <w:tr w14:paraId="08B9D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88" w:type="pct"/>
            <w:vAlign w:val="center"/>
          </w:tcPr>
          <w:p w14:paraId="3B7F22F5">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00" w:lineRule="exact"/>
              <w:ind w:left="0" w:leftChars="0" w:firstLine="0" w:firstLineChars="0"/>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4</w:t>
            </w:r>
          </w:p>
        </w:tc>
        <w:tc>
          <w:tcPr>
            <w:tcW w:w="1291" w:type="pct"/>
            <w:vAlign w:val="center"/>
          </w:tcPr>
          <w:p w14:paraId="42AF85F0">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00" w:lineRule="exact"/>
              <w:ind w:left="0" w:leftChars="0" w:firstLine="0" w:firstLineChars="0"/>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阀杆</w:t>
            </w:r>
          </w:p>
        </w:tc>
        <w:tc>
          <w:tcPr>
            <w:tcW w:w="3220" w:type="pct"/>
            <w:vAlign w:val="center"/>
          </w:tcPr>
          <w:p w14:paraId="37611BF2">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00" w:lineRule="exact"/>
              <w:ind w:left="0" w:leftChars="0" w:firstLine="0" w:firstLineChars="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不锈钢2Cr13或</w:t>
            </w:r>
            <w:r>
              <w:rPr>
                <w:rFonts w:hint="eastAsia" w:ascii="宋体" w:hAnsi="宋体" w:eastAsia="宋体" w:cs="宋体"/>
                <w:b w:val="0"/>
                <w:bCs w:val="0"/>
                <w:i w:val="0"/>
                <w:iCs w:val="0"/>
                <w:color w:val="auto"/>
                <w:sz w:val="21"/>
                <w:szCs w:val="21"/>
                <w:highlight w:val="none"/>
                <w:u w:val="none"/>
                <w:lang w:val="en-US" w:eastAsia="zh-CN"/>
              </w:rPr>
              <w:t>相近、更优</w:t>
            </w:r>
          </w:p>
        </w:tc>
      </w:tr>
      <w:tr w14:paraId="1A2FB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88" w:type="pct"/>
            <w:vAlign w:val="center"/>
          </w:tcPr>
          <w:p w14:paraId="618AEF2B">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00" w:lineRule="exact"/>
              <w:ind w:left="0" w:leftChars="0" w:firstLine="0" w:firstLineChars="0"/>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5</w:t>
            </w:r>
          </w:p>
        </w:tc>
        <w:tc>
          <w:tcPr>
            <w:tcW w:w="1291" w:type="pct"/>
            <w:vAlign w:val="center"/>
          </w:tcPr>
          <w:p w14:paraId="5F503743">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00" w:lineRule="exact"/>
              <w:ind w:left="0" w:leftChars="0" w:firstLine="0" w:firstLineChars="0"/>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轴承</w:t>
            </w:r>
          </w:p>
        </w:tc>
        <w:tc>
          <w:tcPr>
            <w:tcW w:w="3220" w:type="pct"/>
            <w:vAlign w:val="center"/>
          </w:tcPr>
          <w:p w14:paraId="00487BF3">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00" w:lineRule="exact"/>
              <w:ind w:left="0" w:leftChars="0" w:firstLine="0" w:firstLineChars="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铝青铜ZCuAl10Fe3（或自润滑轴承）</w:t>
            </w:r>
          </w:p>
        </w:tc>
      </w:tr>
      <w:tr w14:paraId="1BF4A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88" w:type="pct"/>
            <w:vAlign w:val="center"/>
          </w:tcPr>
          <w:p w14:paraId="4BE5895F">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00" w:lineRule="exact"/>
              <w:ind w:left="0" w:leftChars="0" w:firstLine="0" w:firstLineChars="0"/>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6</w:t>
            </w:r>
          </w:p>
        </w:tc>
        <w:tc>
          <w:tcPr>
            <w:tcW w:w="1291" w:type="pct"/>
            <w:vAlign w:val="center"/>
          </w:tcPr>
          <w:p w14:paraId="26C3534A">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00" w:lineRule="exact"/>
              <w:ind w:left="0" w:leftChars="0" w:firstLine="0" w:firstLineChars="0"/>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轴密封</w:t>
            </w:r>
          </w:p>
        </w:tc>
        <w:tc>
          <w:tcPr>
            <w:tcW w:w="3220" w:type="pct"/>
            <w:vAlign w:val="center"/>
          </w:tcPr>
          <w:p w14:paraId="56DFF490">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00" w:lineRule="exact"/>
              <w:ind w:left="0" w:leftChars="0" w:firstLine="0" w:firstLineChars="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O型丁腈橡胶NBR或三元乙丙橡胶EPDM密封圈</w:t>
            </w:r>
          </w:p>
        </w:tc>
      </w:tr>
      <w:tr w14:paraId="70D4C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88" w:type="pct"/>
            <w:shd w:val="clear" w:color="auto" w:fill="auto"/>
            <w:vAlign w:val="center"/>
          </w:tcPr>
          <w:p w14:paraId="5F43E891">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00" w:lineRule="exact"/>
              <w:ind w:left="0" w:leftChars="0" w:firstLine="0" w:firstLineChars="0"/>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7</w:t>
            </w:r>
          </w:p>
        </w:tc>
        <w:tc>
          <w:tcPr>
            <w:tcW w:w="1291" w:type="pct"/>
            <w:shd w:val="clear" w:color="auto" w:fill="auto"/>
            <w:vAlign w:val="center"/>
          </w:tcPr>
          <w:p w14:paraId="4B32D64A">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00" w:lineRule="exact"/>
              <w:ind w:left="0" w:leftChars="0" w:firstLine="0" w:firstLineChars="0"/>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轴封压盖</w:t>
            </w:r>
          </w:p>
        </w:tc>
        <w:tc>
          <w:tcPr>
            <w:tcW w:w="3220" w:type="pct"/>
            <w:shd w:val="clear" w:color="auto" w:fill="auto"/>
            <w:vAlign w:val="center"/>
          </w:tcPr>
          <w:p w14:paraId="63DF2441">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00" w:lineRule="exact"/>
              <w:ind w:left="0" w:leftChars="0" w:firstLine="0" w:firstLineChars="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球墨铸铁QT450-10或</w:t>
            </w:r>
            <w:r>
              <w:rPr>
                <w:rFonts w:hint="eastAsia" w:ascii="宋体" w:hAnsi="宋体" w:eastAsia="宋体" w:cs="宋体"/>
                <w:b w:val="0"/>
                <w:bCs w:val="0"/>
                <w:i w:val="0"/>
                <w:iCs w:val="0"/>
                <w:color w:val="auto"/>
                <w:sz w:val="21"/>
                <w:szCs w:val="21"/>
                <w:highlight w:val="none"/>
                <w:u w:val="none"/>
                <w:lang w:val="en-US" w:eastAsia="zh-CN"/>
              </w:rPr>
              <w:t>相近、更优</w:t>
            </w:r>
          </w:p>
        </w:tc>
      </w:tr>
      <w:tr w14:paraId="519E5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88" w:type="pct"/>
            <w:shd w:val="clear" w:color="auto" w:fill="auto"/>
            <w:vAlign w:val="center"/>
          </w:tcPr>
          <w:p w14:paraId="7164660D">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00" w:lineRule="exact"/>
              <w:ind w:left="0" w:leftChars="0" w:firstLine="0" w:firstLineChars="0"/>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8</w:t>
            </w:r>
          </w:p>
        </w:tc>
        <w:tc>
          <w:tcPr>
            <w:tcW w:w="1291" w:type="pct"/>
            <w:shd w:val="clear" w:color="auto" w:fill="auto"/>
            <w:vAlign w:val="center"/>
          </w:tcPr>
          <w:p w14:paraId="30201BC5">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00" w:lineRule="exact"/>
              <w:ind w:left="0" w:leftChars="0" w:firstLine="0" w:firstLineChars="0"/>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传动机构齿轮箱</w:t>
            </w:r>
          </w:p>
        </w:tc>
        <w:tc>
          <w:tcPr>
            <w:tcW w:w="3220" w:type="pct"/>
            <w:shd w:val="clear" w:color="auto" w:fill="auto"/>
            <w:vAlign w:val="center"/>
          </w:tcPr>
          <w:p w14:paraId="135DCE9C">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00" w:lineRule="exact"/>
              <w:ind w:left="0" w:leftChars="0" w:firstLine="0" w:firstLineChars="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球墨铸铁QT450-10或</w:t>
            </w:r>
            <w:r>
              <w:rPr>
                <w:rFonts w:hint="eastAsia" w:ascii="宋体" w:hAnsi="宋体" w:eastAsia="宋体" w:cs="宋体"/>
                <w:b w:val="0"/>
                <w:bCs w:val="0"/>
                <w:i w:val="0"/>
                <w:iCs w:val="0"/>
                <w:color w:val="auto"/>
                <w:sz w:val="21"/>
                <w:szCs w:val="21"/>
                <w:highlight w:val="none"/>
                <w:u w:val="none"/>
                <w:lang w:val="en-US" w:eastAsia="zh-CN"/>
              </w:rPr>
              <w:t>相近、更优</w:t>
            </w:r>
          </w:p>
        </w:tc>
      </w:tr>
      <w:tr w14:paraId="6316F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88" w:type="pct"/>
            <w:shd w:val="clear" w:color="auto" w:fill="auto"/>
            <w:vAlign w:val="center"/>
          </w:tcPr>
          <w:p w14:paraId="5AF789F1">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00" w:lineRule="exact"/>
              <w:ind w:left="0" w:leftChars="0" w:firstLine="0" w:firstLineChars="0"/>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9</w:t>
            </w:r>
          </w:p>
        </w:tc>
        <w:tc>
          <w:tcPr>
            <w:tcW w:w="1291" w:type="pct"/>
            <w:shd w:val="clear" w:color="auto" w:fill="auto"/>
            <w:vAlign w:val="center"/>
          </w:tcPr>
          <w:p w14:paraId="770B9F07">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00" w:lineRule="exact"/>
              <w:ind w:left="0" w:leftChars="0" w:firstLine="0" w:firstLineChars="0"/>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自紧式销</w:t>
            </w:r>
          </w:p>
        </w:tc>
        <w:tc>
          <w:tcPr>
            <w:tcW w:w="3220" w:type="pct"/>
            <w:shd w:val="clear" w:color="auto" w:fill="auto"/>
            <w:vAlign w:val="center"/>
          </w:tcPr>
          <w:p w14:paraId="591D6B60">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00" w:lineRule="exact"/>
              <w:ind w:left="0" w:leftChars="0" w:firstLine="0" w:firstLineChars="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不锈钢2Cr13或</w:t>
            </w:r>
            <w:r>
              <w:rPr>
                <w:rFonts w:hint="eastAsia" w:ascii="宋体" w:hAnsi="宋体" w:eastAsia="宋体" w:cs="宋体"/>
                <w:b w:val="0"/>
                <w:bCs w:val="0"/>
                <w:i w:val="0"/>
                <w:iCs w:val="0"/>
                <w:color w:val="auto"/>
                <w:sz w:val="21"/>
                <w:szCs w:val="21"/>
                <w:highlight w:val="none"/>
                <w:u w:val="none"/>
                <w:lang w:val="en-US" w:eastAsia="zh-CN"/>
              </w:rPr>
              <w:t>相近、更优</w:t>
            </w:r>
          </w:p>
        </w:tc>
      </w:tr>
      <w:tr w14:paraId="1A8A5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88" w:type="pct"/>
            <w:shd w:val="clear" w:color="auto" w:fill="auto"/>
            <w:vAlign w:val="center"/>
          </w:tcPr>
          <w:p w14:paraId="2CE2F9DC">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00" w:lineRule="exact"/>
              <w:ind w:left="0" w:leftChars="0" w:firstLine="0" w:firstLineChars="0"/>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10</w:t>
            </w:r>
          </w:p>
        </w:tc>
        <w:tc>
          <w:tcPr>
            <w:tcW w:w="1291" w:type="pct"/>
            <w:shd w:val="clear" w:color="auto" w:fill="auto"/>
            <w:vAlign w:val="center"/>
          </w:tcPr>
          <w:p w14:paraId="31A5BF74">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00" w:lineRule="exact"/>
              <w:ind w:left="0" w:leftChars="0" w:firstLine="0" w:firstLineChars="0"/>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手轮</w:t>
            </w:r>
          </w:p>
        </w:tc>
        <w:tc>
          <w:tcPr>
            <w:tcW w:w="3220" w:type="pct"/>
            <w:shd w:val="clear" w:color="auto" w:fill="auto"/>
            <w:vAlign w:val="center"/>
          </w:tcPr>
          <w:p w14:paraId="016E1C53">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00" w:lineRule="exact"/>
              <w:ind w:left="0" w:leftChars="0" w:firstLine="0" w:firstLineChars="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球墨铸铁QT450-10或</w:t>
            </w:r>
            <w:r>
              <w:rPr>
                <w:rFonts w:hint="eastAsia" w:ascii="宋体" w:hAnsi="宋体" w:eastAsia="宋体" w:cs="宋体"/>
                <w:b w:val="0"/>
                <w:bCs w:val="0"/>
                <w:i w:val="0"/>
                <w:iCs w:val="0"/>
                <w:color w:val="auto"/>
                <w:sz w:val="21"/>
                <w:szCs w:val="21"/>
                <w:highlight w:val="none"/>
                <w:u w:val="none"/>
                <w:lang w:val="en-US" w:eastAsia="zh-CN"/>
              </w:rPr>
              <w:t>相近、更优</w:t>
            </w:r>
          </w:p>
        </w:tc>
      </w:tr>
    </w:tbl>
    <w:p w14:paraId="5CED8511">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2.4工作性能试验</w:t>
      </w:r>
    </w:p>
    <w:p w14:paraId="63B7F413">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阀门的试验应当按 GB/T 13927-2022 或 DIN等标准的规定。</w:t>
      </w:r>
    </w:p>
    <w:p w14:paraId="36EE1905">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外观检验：涂装后的表面不应有涂敷不均、气泡、剥落、杂物附着及其他有害缺陷存在。</w:t>
      </w:r>
    </w:p>
    <w:p w14:paraId="3ADB479A">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强度试验：按 GB/T 13927-2022 标准的规定，试验压力为公称压力的1.5倍，试验过程中，阀的承压壁及上下密封处不得有可见渗漏，壳体不应有结构损伤。</w:t>
      </w:r>
    </w:p>
    <w:p w14:paraId="594F0CB1">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密封试验：按 GB/T 13927-2022 或DIN等标准的规定，试验压力为公称压力的1.1倍，任意一侧施加压力，在试验持续时间内无可见渗透。</w:t>
      </w:r>
    </w:p>
    <w:p w14:paraId="6803DB47">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2.5防腐处理</w:t>
      </w:r>
    </w:p>
    <w:p w14:paraId="3E629D8E">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阀体在涂装之前，应进行喷砂除锈，达到sa2.5级要求，以彻底清除浮锈、油脂附着物。阀门的内防腐涂料应符合 GB/T 5750-2023《生活饮用水标准检验方法》及《生活饮用水输配水设备及防护材料卫生安全性评价规范》的规定。</w:t>
      </w:r>
    </w:p>
    <w:p w14:paraId="15998108">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涂层：加温静电喷涂环氧树脂粉末工艺，涂层固化后不应溶解于水，涂层厚度为：内涂层不小于0.25mm，外涂层不小于0.15mm，应有耐3kv电压的绝缘性能。涂层附着力按GB/T 9286-2021。涂料采用阿克苏、杜邦或同等档次及以上品牌。提供国家涂料质量检验检测中心出具的漆膜平均厚度、铅笔硬度检测报告。</w:t>
      </w:r>
    </w:p>
    <w:p w14:paraId="28135DF3">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3.对夹式蝶阀</w:t>
      </w:r>
    </w:p>
    <w:p w14:paraId="2FC7DC52">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3.1 基本技术要求</w:t>
      </w:r>
    </w:p>
    <w:p w14:paraId="00A2F759">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公称压力：1.0Mpa</w:t>
      </w:r>
    </w:p>
    <w:p w14:paraId="035DD852">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壳体强度试验压力：1.5倍公称压力传动操作机构等部件组成。</w:t>
      </w:r>
    </w:p>
    <w:p w14:paraId="1CBA4977">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密封试验压力：1.1倍公称压力</w:t>
      </w:r>
    </w:p>
    <w:p w14:paraId="148A61A8">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适用介质：空气、河水、自来水、弱腐蚀性流体</w:t>
      </w:r>
    </w:p>
    <w:p w14:paraId="601B752C">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适用温度：0℃～+80℃</w:t>
      </w:r>
    </w:p>
    <w:p w14:paraId="3C6256A9">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漏失率：0</w:t>
      </w:r>
    </w:p>
    <w:p w14:paraId="1EF36F6F">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蝶阀的制造应符合 GB/T 12238-2008 标准的规定</w:t>
      </w:r>
    </w:p>
    <w:p w14:paraId="17F2E9CE">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阀门结构长度：ISO 5752:2021 或 GB/T 12221-2005 标准</w:t>
      </w:r>
    </w:p>
    <w:p w14:paraId="7C289FED">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阀门与法兰的连接：</w:t>
      </w:r>
      <w:r>
        <w:rPr>
          <w:rFonts w:hint="eastAsia" w:ascii="宋体" w:hAnsi="宋体" w:eastAsia="宋体" w:cs="宋体"/>
          <w:color w:val="auto"/>
          <w:highlight w:val="none"/>
          <w:lang w:val="en-US" w:eastAsia="zh-CN"/>
        </w:rPr>
        <w:t>GB/T 17241-2024</w:t>
      </w:r>
      <w:r>
        <w:rPr>
          <w:rFonts w:hint="eastAsia" w:ascii="宋体" w:hAnsi="宋体" w:eastAsia="宋体" w:cs="宋体"/>
          <w:b w:val="0"/>
          <w:bCs w:val="0"/>
          <w:color w:val="auto"/>
          <w:kern w:val="2"/>
          <w:sz w:val="21"/>
          <w:szCs w:val="21"/>
          <w:highlight w:val="none"/>
          <w:lang w:val="en-US" w:eastAsia="zh-CN" w:bidi="ar-SA"/>
        </w:rPr>
        <w:t xml:space="preserve"> 或 DIN2501标准</w:t>
      </w:r>
    </w:p>
    <w:p w14:paraId="6CAE3C55">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阀门和操作机构的连接：</w:t>
      </w:r>
      <w:r>
        <w:rPr>
          <w:rFonts w:hint="eastAsia" w:ascii="宋体" w:hAnsi="宋体" w:eastAsia="宋体" w:cs="宋体"/>
          <w:b w:val="0"/>
          <w:bCs w:val="0"/>
          <w:color w:val="auto"/>
          <w:kern w:val="2"/>
          <w:sz w:val="21"/>
          <w:szCs w:val="22"/>
          <w:highlight w:val="none"/>
          <w:lang w:val="en-US" w:eastAsia="zh-CN" w:bidi="ar-SA"/>
        </w:rPr>
        <w:t>ISO 5211:2023</w:t>
      </w:r>
      <w:r>
        <w:rPr>
          <w:rFonts w:hint="eastAsia" w:ascii="宋体" w:hAnsi="宋体" w:eastAsia="宋体" w:cs="宋体"/>
          <w:b w:val="0"/>
          <w:bCs w:val="0"/>
          <w:color w:val="auto"/>
          <w:kern w:val="2"/>
          <w:sz w:val="21"/>
          <w:szCs w:val="21"/>
          <w:highlight w:val="none"/>
          <w:lang w:val="en-US" w:eastAsia="zh-CN" w:bidi="ar-SA"/>
        </w:rPr>
        <w:t>标准</w:t>
      </w:r>
    </w:p>
    <w:p w14:paraId="5B134ADD">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阀门试验标准：</w:t>
      </w:r>
      <w:r>
        <w:rPr>
          <w:rFonts w:hint="eastAsia" w:ascii="宋体" w:hAnsi="宋体" w:eastAsia="宋体" w:cs="宋体"/>
          <w:b w:val="0"/>
          <w:bCs w:val="0"/>
          <w:color w:val="auto"/>
          <w:szCs w:val="21"/>
          <w:highlight w:val="none"/>
        </w:rPr>
        <w:t>GB/T 13927-2022</w:t>
      </w:r>
      <w:r>
        <w:rPr>
          <w:rFonts w:hint="eastAsia" w:ascii="宋体" w:hAnsi="宋体" w:eastAsia="宋体" w:cs="宋体"/>
          <w:b w:val="0"/>
          <w:bCs w:val="0"/>
          <w:color w:val="auto"/>
          <w:kern w:val="2"/>
          <w:sz w:val="21"/>
          <w:szCs w:val="21"/>
          <w:highlight w:val="none"/>
          <w:lang w:val="en-US" w:eastAsia="zh-CN" w:bidi="ar-SA"/>
        </w:rPr>
        <w:t xml:space="preserve"> 或 DIN等标准</w:t>
      </w:r>
    </w:p>
    <w:p w14:paraId="094FAD23">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3.2 主要结构要求</w:t>
      </w:r>
    </w:p>
    <w:p w14:paraId="32283808">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（1）阀体</w:t>
      </w:r>
    </w:p>
    <w:p w14:paraId="01795998">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阀体的最小壁厚应保证在承受1.5倍以上的工作压力时，所有的零部件不发生变形；表面处理： 环氧树脂静电喷涂，内涂层不小于0.25mm，外涂层不小于0.15mm。阀体材料为球墨铸铁QT450-10或优于此牌号球墨铸铁的材料。法兰和阀体为一体，法兰盘应符合国标图集02S403标准。</w:t>
      </w:r>
    </w:p>
    <w:p w14:paraId="6487E137">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（2）阀座、阀板（蝶板）</w:t>
      </w:r>
    </w:p>
    <w:p w14:paraId="50C18866">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对夹式蝶阀采用EPDM（或NBR）阀座和球墨铸铁（QT450-10及以上）蝶板。阀板的应力应能承受作用在蝶阀（关闭状态）上的全部压差，而所产生的工作应力不超过使用材料的抗拉强度的1/5。阀板的厚度不得超过轴直径的2.25倍。阀门开启时，阻力系数不大于0.3。为确保阀门过流能力，阀板应采用整体浇筑而成且边缘球形抛光的桁架式阀板或更优。阀板具有高强度和刚度，不产生影响密封的变形，流线性过流截面，流道中没有横向加强筋，符合流体力学具有较小阻力的特点。</w:t>
      </w:r>
    </w:p>
    <w:p w14:paraId="61EC2B8F">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（3）阀杆（阀轴）</w:t>
      </w:r>
    </w:p>
    <w:p w14:paraId="5AF14EC5">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阀杆采用不锈钢2Cr13或不锈钢304等同品质或相近、更优材质。阀杆的最小直径应满足力矩及有关参数的要求。阀杆可以是一根贯穿阀板的整轴，或为两根分别插入阀板中的半轴组成。如果是短轴，其插入阀板中的长度大于轴径的1.5倍。</w:t>
      </w:r>
    </w:p>
    <w:p w14:paraId="535DF78B">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（4）阀轴与阀板的连接</w:t>
      </w:r>
    </w:p>
    <w:p w14:paraId="70B21CC3">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阀轴与阀板的连接，应能满足传递相当于最小轴径扭转强度的转矩要求，如果采用销或锥销，必须机械地牢固。轴与阀板应紧密装配，应保证在开启和关闭操作中对阀门性能不产生有害影响。</w:t>
      </w:r>
    </w:p>
    <w:p w14:paraId="7B5AA354">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阀板两端与轴连接部分应采用盲孔或通孔。</w:t>
      </w:r>
    </w:p>
    <w:p w14:paraId="11CD2BCF">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（5）阀门传动机构</w:t>
      </w:r>
    </w:p>
    <w:p w14:paraId="3F16F0B6">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阀门的传动机构要有足够的强度，全密封结构，保证能防潮、防水，所有的受力部件能承受3倍以上的额定力矩而无损坏，保证阀板在开启和关闭时的稳定性，以及保证使阀板能稳定地停留在中间任意位置。所有蝶阀都应装配开启和关闭的限位装置，齿轮箱材质要求采用球墨铸铁QT450-10或相近、更优。</w:t>
      </w:r>
    </w:p>
    <w:p w14:paraId="63C25772">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4.球墨铸铁软密封法兰橡胶瓣止回阀</w:t>
      </w:r>
    </w:p>
    <w:p w14:paraId="74BA087E">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4.1 基本技术要求</w:t>
      </w:r>
    </w:p>
    <w:p w14:paraId="75359535">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橡胶瓣止回阀主要由阀体、阀盖、阀座、阀瓣、缓冲系统等部件组成。</w:t>
      </w:r>
    </w:p>
    <w:p w14:paraId="18BCF953">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4.2 主要结构要求</w:t>
      </w:r>
    </w:p>
    <w:p w14:paraId="3A6C1180">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（1）止回阀应采用全流面积式设计，水头损失小，不易堆积杂物，维修简便。</w:t>
      </w:r>
    </w:p>
    <w:p w14:paraId="5DFE8CFE">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（2）阀体材料为球墨铸铁QT450-10或优于此牌号球墨铸铁的材料。</w:t>
      </w:r>
    </w:p>
    <w:p w14:paraId="5BAEB2A8">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（3）阀座止口的密封材料采用本体密封。</w:t>
      </w:r>
    </w:p>
    <w:p w14:paraId="00713DAA">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（4）橡胶瓣应由钢板做承压件，外覆强化尼龙布，最外层采用热硫化整体包胶技术制成，在橡胶瓣中加入的尼龙纤维可使钢板与钢棒间形成弹性强化，具有阀门经常启闭而不断裂强度性能。</w:t>
      </w:r>
    </w:p>
    <w:p w14:paraId="6E6CC303">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（5）法兰结构与阀体采用球墨铸铁QT450-10或相近、更优材质铸成一体，法兰尺寸根据</w:t>
      </w:r>
      <w:r>
        <w:rPr>
          <w:rFonts w:hint="eastAsia" w:ascii="宋体" w:hAnsi="宋体" w:eastAsia="宋体" w:cs="宋体"/>
          <w:color w:val="auto"/>
          <w:highlight w:val="none"/>
          <w:lang w:val="en-US" w:eastAsia="zh-CN"/>
        </w:rPr>
        <w:t>GB/T 17241-2024</w:t>
      </w:r>
      <w:r>
        <w:rPr>
          <w:rFonts w:hint="eastAsia" w:ascii="宋体" w:hAnsi="宋体" w:eastAsia="宋体" w:cs="宋体"/>
          <w:b w:val="0"/>
          <w:bCs w:val="0"/>
          <w:color w:val="auto"/>
          <w:kern w:val="2"/>
          <w:sz w:val="21"/>
          <w:szCs w:val="21"/>
          <w:highlight w:val="none"/>
          <w:lang w:val="en-US" w:eastAsia="zh-CN" w:bidi="ar-SA"/>
        </w:rPr>
        <w:t>、</w:t>
      </w:r>
      <w:r>
        <w:rPr>
          <w:rFonts w:hint="eastAsia" w:ascii="宋体" w:hAnsi="宋体" w:eastAsia="宋体" w:cs="宋体"/>
          <w:color w:val="auto"/>
          <w:highlight w:val="none"/>
        </w:rPr>
        <w:t>GB/T 9124-2019</w:t>
      </w:r>
      <w:r>
        <w:rPr>
          <w:rFonts w:hint="eastAsia" w:ascii="宋体" w:hAnsi="宋体" w:eastAsia="宋体" w:cs="宋体"/>
          <w:b w:val="0"/>
          <w:bCs w:val="0"/>
          <w:color w:val="auto"/>
          <w:kern w:val="2"/>
          <w:sz w:val="21"/>
          <w:szCs w:val="21"/>
          <w:highlight w:val="none"/>
          <w:lang w:val="en-US" w:eastAsia="zh-CN" w:bidi="ar-SA"/>
        </w:rPr>
        <w:t>而定。其他零件厂家可根据阀门具体使用环境选择不同的材质，但必须的保证其使用性能及使用寿命。</w:t>
      </w:r>
    </w:p>
    <w:p w14:paraId="3E87575B">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（6）止回阀的阀座应采用静电喷涂环氧树脂工艺，使阀门的使用寿命更长。</w:t>
      </w:r>
    </w:p>
    <w:p w14:paraId="170D874D">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（7）止回阀的关闭行程小，行程角为35°即可达到全开启，阀板缓闭时间60秒至0秒可调，并且在反向水流作用下关闭速度快，减少水锤发生。</w:t>
      </w:r>
    </w:p>
    <w:p w14:paraId="4CA4881F">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（8）止回阀阀体上应有标明水流方向的箭头指示。</w:t>
      </w:r>
    </w:p>
    <w:p w14:paraId="1AE399CD">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4.3 工作性能试验</w:t>
      </w:r>
    </w:p>
    <w:p w14:paraId="5801635F">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强度试验：阀瓣开启状态下，1.5倍工作压力试验，不同规格，试验持续时间不同，≤DN50为15S，50＜DN≤150为60s，150＜DN＜350为120s，DN≥350为300s。各部位不得有冒汗、漏水或变形等损害情况。</w:t>
      </w:r>
    </w:p>
    <w:p w14:paraId="77BA2B79">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密封试验：阀瓣全闭状态下，1.1倍工作压力试验，DN≤150为60s，DN＞150为120s，历时三分钟。其泄漏率不得超过5ml/（英寸口径×分钟）。</w:t>
      </w:r>
    </w:p>
    <w:p w14:paraId="4C8E2A23">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压力试验：应符合标准GB/T 13932-2016的规定。</w:t>
      </w:r>
    </w:p>
    <w:p w14:paraId="310DFAA5">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外观检验：应符合标准</w:t>
      </w:r>
      <w:r>
        <w:rPr>
          <w:rFonts w:hint="eastAsia" w:ascii="宋体" w:hAnsi="宋体" w:eastAsia="宋体" w:cs="宋体"/>
          <w:color w:val="auto"/>
          <w:highlight w:val="none"/>
          <w:lang w:val="en-US" w:eastAsia="zh-CN"/>
        </w:rPr>
        <w:t>GB/T 17241-2024</w:t>
      </w:r>
      <w:r>
        <w:rPr>
          <w:rFonts w:hint="eastAsia" w:ascii="宋体" w:hAnsi="宋体" w:eastAsia="宋体" w:cs="宋体"/>
          <w:b w:val="0"/>
          <w:bCs w:val="0"/>
          <w:color w:val="auto"/>
          <w:kern w:val="2"/>
          <w:sz w:val="21"/>
          <w:szCs w:val="21"/>
          <w:highlight w:val="none"/>
          <w:lang w:val="en-US" w:eastAsia="zh-CN" w:bidi="ar-SA"/>
        </w:rPr>
        <w:t>的规定外观检验：涂装后的表面不应有涂敷不均、气泡、剥落、杂物附着及其他有害缺陷存在。</w:t>
      </w:r>
    </w:p>
    <w:p w14:paraId="2BA90731">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防腐保护：阀门内部的防腐涂层要求厚度均匀、色泽均一，涂层表面光洁，无流痕。喷涂防腐涂层前阀体、阀盖表面高压抛丸除锈达到Sa2.5级，将铸件加热后再进行静电喷涂环氧树脂粉末工艺，烘干固化后涂层厚度不小于0.25mm。阀门外防腐采用环氧树脂涂料或上述静电喷涂环氧树脂粉末工艺。</w:t>
      </w:r>
    </w:p>
    <w:p w14:paraId="4149226A">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5.球墨铸铁软密封法兰复合式排气阀</w:t>
      </w:r>
    </w:p>
    <w:p w14:paraId="2B1F4344">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5.1技术性能及材质要求</w:t>
      </w:r>
    </w:p>
    <w:p w14:paraId="3220A498">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（1）工作介质、温度及结构、安装要求</w:t>
      </w:r>
    </w:p>
    <w:p w14:paraId="3EB338B9">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工作介质为自来水或河水，工作温度0℃~80℃，工作压力1.0Mpa，</w:t>
      </w:r>
    </w:p>
    <w:p w14:paraId="437CAE93">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（2）阀体、阀盖、排气罩采用球墨铸铁（QT450-10或力学性能更高的材料），铸造工艺为树脂砂型，阀体铸件过流表面应保证光滑，要符合</w:t>
      </w:r>
      <w:r>
        <w:rPr>
          <w:rFonts w:hint="eastAsia" w:ascii="宋体" w:hAnsi="宋体" w:eastAsia="宋体" w:cs="宋体"/>
          <w:b w:val="0"/>
          <w:bCs w:val="0"/>
          <w:color w:val="auto"/>
          <w:highlight w:val="none"/>
        </w:rPr>
        <w:t>GB/T 12227-2005</w:t>
      </w:r>
      <w:r>
        <w:rPr>
          <w:rFonts w:hint="eastAsia" w:ascii="宋体" w:hAnsi="宋体" w:eastAsia="宋体" w:cs="宋体"/>
          <w:b w:val="0"/>
          <w:bCs w:val="0"/>
          <w:color w:val="auto"/>
          <w:kern w:val="2"/>
          <w:sz w:val="21"/>
          <w:szCs w:val="21"/>
          <w:highlight w:val="none"/>
          <w:lang w:val="en-US" w:eastAsia="zh-CN" w:bidi="ar-SA"/>
        </w:rPr>
        <w:t>规定的技术条件，商标及材质牌号整体压铸在阀体上。</w:t>
      </w:r>
    </w:p>
    <w:p w14:paraId="5873C02D">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（3）浮球及浮桶采用304不锈钢，相应的物理化学主要控制指标详见国家标准</w:t>
      </w:r>
      <w:r>
        <w:rPr>
          <w:rFonts w:hint="eastAsia" w:ascii="宋体" w:hAnsi="宋体" w:eastAsia="宋体" w:cs="宋体"/>
          <w:b w:val="0"/>
          <w:bCs w:val="0"/>
          <w:color w:val="auto"/>
          <w:highlight w:val="none"/>
        </w:rPr>
        <w:t>GB/T 12227-2005</w:t>
      </w:r>
      <w:r>
        <w:rPr>
          <w:rFonts w:hint="eastAsia" w:ascii="宋体" w:hAnsi="宋体" w:eastAsia="宋体" w:cs="宋体"/>
          <w:b w:val="0"/>
          <w:bCs w:val="0"/>
          <w:color w:val="auto"/>
          <w:kern w:val="2"/>
          <w:sz w:val="21"/>
          <w:szCs w:val="21"/>
          <w:highlight w:val="none"/>
          <w:lang w:val="en-US" w:eastAsia="zh-CN" w:bidi="ar-SA"/>
        </w:rPr>
        <w:t>。提供2021年1月1日以后的304不锈钢材质化学检测报告，依据为</w:t>
      </w:r>
      <w:r>
        <w:rPr>
          <w:rFonts w:hint="eastAsia" w:ascii="宋体" w:hAnsi="宋体" w:eastAsia="宋体" w:cs="宋体"/>
          <w:b w:val="0"/>
          <w:bCs w:val="0"/>
          <w:color w:val="auto"/>
          <w:highlight w:val="none"/>
          <w:lang w:val="en-US" w:eastAsia="zh-CN"/>
        </w:rPr>
        <w:t>GB/T 1220-2007</w:t>
      </w:r>
      <w:r>
        <w:rPr>
          <w:rFonts w:hint="eastAsia" w:ascii="宋体" w:hAnsi="宋体" w:eastAsia="宋体" w:cs="宋体"/>
          <w:b w:val="0"/>
          <w:bCs w:val="0"/>
          <w:color w:val="auto"/>
          <w:kern w:val="2"/>
          <w:sz w:val="21"/>
          <w:szCs w:val="21"/>
          <w:highlight w:val="none"/>
          <w:lang w:val="en-US" w:eastAsia="zh-CN" w:bidi="ar-SA"/>
        </w:rPr>
        <w:t>、</w:t>
      </w:r>
      <w:r>
        <w:rPr>
          <w:rFonts w:hint="eastAsia" w:ascii="宋体" w:hAnsi="宋体" w:eastAsia="宋体" w:cs="宋体"/>
          <w:b w:val="0"/>
          <w:bCs w:val="0"/>
          <w:color w:val="auto"/>
          <w:highlight w:val="none"/>
        </w:rPr>
        <w:t>GB/T 222-2006</w:t>
      </w:r>
      <w:r>
        <w:rPr>
          <w:rFonts w:hint="eastAsia" w:ascii="宋体" w:hAnsi="宋体" w:eastAsia="宋体" w:cs="宋体"/>
          <w:b w:val="0"/>
          <w:bCs w:val="0"/>
          <w:color w:val="auto"/>
          <w:kern w:val="2"/>
          <w:sz w:val="21"/>
          <w:szCs w:val="21"/>
          <w:highlight w:val="none"/>
          <w:lang w:val="en-US" w:eastAsia="zh-CN" w:bidi="ar-SA"/>
        </w:rPr>
        <w:t>、</w:t>
      </w:r>
      <w:r>
        <w:rPr>
          <w:rFonts w:hint="eastAsia" w:ascii="宋体" w:hAnsi="宋体" w:eastAsia="宋体" w:cs="宋体"/>
          <w:b w:val="0"/>
          <w:bCs w:val="0"/>
          <w:color w:val="auto"/>
          <w:highlight w:val="none"/>
        </w:rPr>
        <w:t>GB/T 11170-2008</w:t>
      </w:r>
      <w:r>
        <w:rPr>
          <w:rFonts w:hint="eastAsia" w:ascii="宋体" w:hAnsi="宋体" w:eastAsia="宋体" w:cs="宋体"/>
          <w:b w:val="0"/>
          <w:bCs w:val="0"/>
          <w:color w:val="auto"/>
          <w:kern w:val="2"/>
          <w:sz w:val="21"/>
          <w:szCs w:val="21"/>
          <w:highlight w:val="none"/>
          <w:lang w:val="en-US" w:eastAsia="zh-CN" w:bidi="ar-SA"/>
        </w:rPr>
        <w:t>，提供2023年1月1日以后的304不锈钢材质物理力学检测报告，依据为</w:t>
      </w:r>
      <w:r>
        <w:rPr>
          <w:rFonts w:hint="eastAsia" w:ascii="宋体" w:hAnsi="宋体" w:eastAsia="宋体" w:cs="宋体"/>
          <w:b w:val="0"/>
          <w:bCs w:val="0"/>
          <w:color w:val="auto"/>
          <w:highlight w:val="none"/>
        </w:rPr>
        <w:t>GB/T 228.1-2021</w:t>
      </w:r>
      <w:r>
        <w:rPr>
          <w:rFonts w:hint="eastAsia" w:ascii="宋体" w:hAnsi="宋体" w:eastAsia="宋体" w:cs="宋体"/>
          <w:b w:val="0"/>
          <w:bCs w:val="0"/>
          <w:color w:val="auto"/>
          <w:kern w:val="2"/>
          <w:sz w:val="21"/>
          <w:szCs w:val="21"/>
          <w:highlight w:val="none"/>
          <w:lang w:val="en-US" w:eastAsia="zh-CN" w:bidi="ar-SA"/>
        </w:rPr>
        <w:t>。</w:t>
      </w:r>
    </w:p>
    <w:p w14:paraId="770F64B5">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（4）连接螺栓采用钢制或不锈钢螺栓，在阀门阀体内与水接触的紧固件，采用不锈钢材料制造。</w:t>
      </w:r>
    </w:p>
    <w:p w14:paraId="0141DDCB">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5.2涂层</w:t>
      </w:r>
    </w:p>
    <w:p w14:paraId="48306C1B">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阀门内部的防腐涂层要求厚度均匀、色泽均一，涂层表面光洁，无流痕。喷涂防腐涂层前阀体、阀盖表面至少喷砂除锈达到Sa2.5级，将铸件加热后再进行静电喷涂环氧树脂粉末工艺，内涂层厚度不小于0.25mm，外涂层厚度不小于0.15mm。阀门外防腐采用环氧树脂涂料或上述静电喷涂环氧树脂粉末工艺，阀门外观颜色为蓝色。粉末应提供材料原产地证明。</w:t>
      </w:r>
    </w:p>
    <w:p w14:paraId="73D8B390">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5.3其他性能要求</w:t>
      </w:r>
    </w:p>
    <w:p w14:paraId="3EF3EDA4">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（1）排气阀应有较大的排气量，停水后通水时可在极短的时间内排除管道内的空气。</w:t>
      </w:r>
    </w:p>
    <w:p w14:paraId="7717B3F9">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（2）排气阀在管内有负压产生时，浮球应该可以迅速开启，大量吸入外界空气，以保证管线不会因负压而产生损害。</w:t>
      </w:r>
    </w:p>
    <w:p w14:paraId="736EA811">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（3）排气阀应有比较高的空气关闭压力，在浮球关闭前的较短时间内，应有足够能力将管道内的空气排放完毕，提高输水效率。</w:t>
      </w:r>
    </w:p>
    <w:p w14:paraId="4D7E1C8D">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（4）排气阀的水关闭压力应不大于0.02MPa，在较低的水压下就可以关闭排气阀，从而避免水的大量涌出。</w:t>
      </w:r>
    </w:p>
    <w:p w14:paraId="116E69F1">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（5）排气阀应采用不锈钢浮球（浮桶）作启闭件。</w:t>
      </w:r>
    </w:p>
    <w:p w14:paraId="5EF84CC8">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（6）排气阀阀体上应设有防冲击保护内筒，以防大量排气后高速水流直接冲击浮球（浮桶）而造成浮球（浮桶）的过早损伤。</w:t>
      </w:r>
    </w:p>
    <w:p w14:paraId="3DF7C8D5">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（7）运至现场的密封圈不得有任何损坏现象，并且在阀门安装、使用过程中不得有松动，脱落、渗漏现象。</w:t>
      </w:r>
    </w:p>
    <w:p w14:paraId="69020A3E">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 xml:space="preserve">（8）排气阀的设计、制造及试验应符合 </w:t>
      </w:r>
      <w:r>
        <w:rPr>
          <w:rFonts w:hint="eastAsia" w:ascii="宋体" w:hAnsi="宋体" w:eastAsia="宋体" w:cs="宋体"/>
          <w:b w:val="0"/>
          <w:bCs w:val="0"/>
          <w:color w:val="auto"/>
          <w:highlight w:val="none"/>
        </w:rPr>
        <w:t>CJ/T 217-2013</w:t>
      </w:r>
      <w:r>
        <w:rPr>
          <w:rFonts w:hint="eastAsia" w:ascii="宋体" w:hAnsi="宋体" w:eastAsia="宋体" w:cs="宋体"/>
          <w:b w:val="0"/>
          <w:bCs w:val="0"/>
          <w:color w:val="auto"/>
          <w:kern w:val="2"/>
          <w:sz w:val="21"/>
          <w:szCs w:val="21"/>
          <w:highlight w:val="none"/>
          <w:lang w:val="en-US" w:eastAsia="zh-CN" w:bidi="ar-SA"/>
        </w:rPr>
        <w:t>《给水管道复合式高速进排气阀》标准或等同标准的规定。</w:t>
      </w:r>
    </w:p>
    <w:p w14:paraId="09282D2A">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6.球墨铸铁软密封法兰先导可调式减压阀</w:t>
      </w:r>
    </w:p>
    <w:p w14:paraId="42ED8151">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（1）工作介质、温度及结构、安装要求</w:t>
      </w:r>
    </w:p>
    <w:p w14:paraId="41BC046F">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工作介质为自来水或河水，工作温度0℃-80℃，公称压力为1.0MPa。减压阀要求能满足现场使用环境的要求，设计制作需满足</w:t>
      </w:r>
      <w:r>
        <w:rPr>
          <w:rFonts w:hint="eastAsia" w:ascii="宋体" w:hAnsi="宋体" w:eastAsia="宋体" w:cs="宋体"/>
          <w:b w:val="0"/>
          <w:bCs w:val="0"/>
          <w:color w:val="auto"/>
          <w:highlight w:val="none"/>
        </w:rPr>
        <w:t>GB/T 12246-2006</w:t>
      </w:r>
      <w:r>
        <w:rPr>
          <w:rFonts w:hint="eastAsia" w:ascii="宋体" w:hAnsi="宋体" w:eastAsia="宋体" w:cs="宋体"/>
          <w:b w:val="0"/>
          <w:bCs w:val="0"/>
          <w:color w:val="auto"/>
          <w:kern w:val="2"/>
          <w:sz w:val="21"/>
          <w:szCs w:val="21"/>
          <w:highlight w:val="none"/>
          <w:lang w:val="en-US" w:eastAsia="zh-CN" w:bidi="ar-SA"/>
        </w:rPr>
        <w:t xml:space="preserve">《先导式减压阀》的规范标准。 </w:t>
      </w:r>
    </w:p>
    <w:p w14:paraId="585E858F">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（2）阀体、阀盖</w:t>
      </w:r>
    </w:p>
    <w:p w14:paraId="0EE573CC">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阀体、阀盖采用球墨铸铁QT450-10或性能更高的材料，铸造工艺为树脂砂型，阀门铸件过流表面要求光滑，并符合相关材料标准的规定，铸件要进行热处理消除内应力。材质牌号整体压铸在阀体上。</w:t>
      </w:r>
    </w:p>
    <w:p w14:paraId="271A6036">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法兰材质与阀体一致，并与阀体铸为一体，法兰要符合</w:t>
      </w:r>
      <w:r>
        <w:rPr>
          <w:rFonts w:hint="eastAsia" w:ascii="宋体" w:hAnsi="宋体" w:eastAsia="宋体" w:cs="宋体"/>
          <w:b w:val="0"/>
          <w:bCs w:val="0"/>
          <w:color w:val="auto"/>
          <w:highlight w:val="none"/>
          <w:lang w:val="en-US" w:eastAsia="zh-CN"/>
        </w:rPr>
        <w:t>GB/T 17241-2024</w:t>
      </w:r>
      <w:r>
        <w:rPr>
          <w:rFonts w:hint="eastAsia" w:ascii="宋体" w:hAnsi="宋体" w:eastAsia="宋体" w:cs="宋体"/>
          <w:b w:val="0"/>
          <w:bCs w:val="0"/>
          <w:color w:val="auto"/>
          <w:kern w:val="2"/>
          <w:sz w:val="21"/>
          <w:szCs w:val="21"/>
          <w:highlight w:val="none"/>
          <w:lang w:val="en-US" w:eastAsia="zh-CN" w:bidi="ar-SA"/>
        </w:rPr>
        <w:t>的规定。</w:t>
      </w:r>
    </w:p>
    <w:p w14:paraId="094A8395">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阀体与阀盖之间的连接采用法兰式连接。在1.5倍工作压力的壳体试验下，阀体所有部件不发生变形。</w:t>
      </w:r>
    </w:p>
    <w:p w14:paraId="251095F3">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阀轴材质采用不锈钢（2Cr13或304等同品质或相近、更优材质），该材料需符合不锈钢棒</w:t>
      </w:r>
      <w:r>
        <w:rPr>
          <w:rFonts w:hint="eastAsia" w:ascii="宋体" w:hAnsi="宋体" w:eastAsia="宋体" w:cs="宋体"/>
          <w:b w:val="0"/>
          <w:bCs w:val="0"/>
          <w:color w:val="auto"/>
          <w:highlight w:val="none"/>
          <w:lang w:val="en-US" w:eastAsia="zh-CN"/>
        </w:rPr>
        <w:t>GB/T 1220-2007</w:t>
      </w:r>
      <w:r>
        <w:rPr>
          <w:rFonts w:hint="eastAsia" w:ascii="宋体" w:hAnsi="宋体" w:eastAsia="宋体" w:cs="宋体"/>
          <w:b w:val="0"/>
          <w:bCs w:val="0"/>
          <w:color w:val="auto"/>
          <w:kern w:val="2"/>
          <w:sz w:val="21"/>
          <w:szCs w:val="21"/>
          <w:highlight w:val="none"/>
          <w:lang w:val="en-US" w:eastAsia="zh-CN" w:bidi="ar-SA"/>
        </w:rPr>
        <w:t>的规定。</w:t>
      </w:r>
    </w:p>
    <w:p w14:paraId="5DDB7AE1">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（3）弹簧：采用不锈钢，符合相关国家标准要求。</w:t>
      </w:r>
    </w:p>
    <w:p w14:paraId="7EB65198">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（4）针阀、球阀、控制管路及附件：不锈钢。</w:t>
      </w:r>
    </w:p>
    <w:p w14:paraId="3C6F169B">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（5）膜片：为丁腈橡胶或三元乙丙橡胶。</w:t>
      </w:r>
    </w:p>
    <w:p w14:paraId="6FD353A7">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（6）密封</w:t>
      </w:r>
    </w:p>
    <w:p w14:paraId="04EA4C39">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阀体与阀盖的密封：采用橡胶膜片密封。</w:t>
      </w:r>
    </w:p>
    <w:p w14:paraId="2F3ACBE8">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阀体与阀板、阀体与阀盖、阀杆与阀盖的密封试验均要符合</w:t>
      </w:r>
      <w:r>
        <w:rPr>
          <w:rFonts w:hint="eastAsia" w:ascii="宋体" w:hAnsi="宋体" w:eastAsia="宋体" w:cs="宋体"/>
          <w:b w:val="0"/>
          <w:bCs w:val="0"/>
          <w:color w:val="auto"/>
          <w:highlight w:val="none"/>
        </w:rPr>
        <w:t>GB/T 13927-2022</w:t>
      </w:r>
      <w:r>
        <w:rPr>
          <w:rFonts w:hint="eastAsia" w:ascii="宋体" w:hAnsi="宋体" w:eastAsia="宋体" w:cs="宋体"/>
          <w:b w:val="0"/>
          <w:bCs w:val="0"/>
          <w:color w:val="auto"/>
          <w:kern w:val="2"/>
          <w:sz w:val="21"/>
          <w:szCs w:val="21"/>
          <w:highlight w:val="none"/>
          <w:lang w:val="en-US" w:eastAsia="zh-CN" w:bidi="ar-SA"/>
        </w:rPr>
        <w:t>《工业阀门  压力试验》的规定。</w:t>
      </w:r>
    </w:p>
    <w:p w14:paraId="6F35F129">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运至现场的密封圈不得有任何损坏现象，在阀门正常安装、使用过程中不得有松动、脱落、渗漏现象。</w:t>
      </w:r>
    </w:p>
    <w:p w14:paraId="183A95AB">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 xml:space="preserve">（7）调压性能试验符合 </w:t>
      </w:r>
      <w:r>
        <w:rPr>
          <w:rFonts w:hint="eastAsia" w:ascii="宋体" w:hAnsi="宋体" w:eastAsia="宋体" w:cs="宋体"/>
          <w:b w:val="0"/>
          <w:bCs w:val="0"/>
          <w:color w:val="auto"/>
          <w:highlight w:val="none"/>
        </w:rPr>
        <w:t>CJ/T 219-2017</w:t>
      </w:r>
      <w:r>
        <w:rPr>
          <w:rFonts w:hint="eastAsia" w:ascii="宋体" w:hAnsi="宋体" w:eastAsia="宋体" w:cs="宋体"/>
          <w:b w:val="0"/>
          <w:bCs w:val="0"/>
          <w:color w:val="auto"/>
          <w:kern w:val="2"/>
          <w:sz w:val="21"/>
          <w:szCs w:val="21"/>
          <w:highlight w:val="none"/>
          <w:lang w:val="en-US" w:eastAsia="zh-CN" w:bidi="ar-SA"/>
        </w:rPr>
        <w:t>的规定。提供2023年1月1日省级及以上第三方检测机构出具的减压阀检验报告</w:t>
      </w:r>
    </w:p>
    <w:p w14:paraId="728F61BC">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（8）防腐涂层</w:t>
      </w:r>
    </w:p>
    <w:p w14:paraId="6A83ABE0">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阀门内部的防腐涂层要求厚度均匀、色泽均一，涂层表面光洁，无流痕。喷涂防腐涂层前阀体、阀板表面至少喷砂除锈达到Sa2.5级，将铸件加热后再进行静电喷涂环氧树脂粉末，内涂层厚度不小于0.25mm，外涂层厚度不小于0.15mm。阀门外防腐采用环氧树脂涂料或上述静电喷涂环氧树脂粉末，阀门外观颜色为蓝色。粉末应提供材料原产地证明。喷涂应采用自动流水线生产。</w:t>
      </w:r>
    </w:p>
    <w:p w14:paraId="7AB9294B">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7.加密法兰闸阀</w:t>
      </w:r>
    </w:p>
    <w:p w14:paraId="2662D350">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 xml:space="preserve">其技术参数参考球墨铸铁软密封法兰闸阀外，还需设置有加密装置，加密锁头必须加装“O”形密封圈，密封圈材质为丁腈橡胶（NBR）或三元乙丙橡胶（EPDM）等同品质或相近、更优材质，要求能防尘、防水。加密防盗启闭机构在阀门上端，操作方向顺时针为关闭，逆时针为开启。在额定压力下专用工具开启或关闭阀门的最大作用力不大于300N。所有传动机构的受力部件能承受2倍的额定力矩而无任何损伤。 </w:t>
      </w:r>
    </w:p>
    <w:p w14:paraId="3D36E1EA">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2" w:firstLineChars="200"/>
        <w:jc w:val="both"/>
        <w:textAlignment w:val="auto"/>
        <w:outlineLvl w:val="1"/>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五、验收与检测</w:t>
      </w:r>
    </w:p>
    <w:p w14:paraId="555E1DFB">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1.货物到达交货地点后，</w:t>
      </w:r>
      <w:r>
        <w:rPr>
          <w:rFonts w:hint="eastAsia" w:ascii="宋体" w:hAnsi="宋体" w:eastAsia="宋体" w:cs="宋体"/>
          <w:color w:val="auto"/>
          <w:szCs w:val="21"/>
          <w:highlight w:val="none"/>
          <w:lang w:eastAsia="zh-CN"/>
        </w:rPr>
        <w:t>中</w:t>
      </w:r>
      <w:r>
        <w:rPr>
          <w:rFonts w:hint="eastAsia" w:ascii="宋体" w:hAnsi="宋体" w:eastAsia="宋体" w:cs="宋体"/>
          <w:b w:val="0"/>
          <w:bCs w:val="0"/>
          <w:color w:val="auto"/>
          <w:kern w:val="2"/>
          <w:sz w:val="21"/>
          <w:szCs w:val="21"/>
          <w:highlight w:val="none"/>
          <w:lang w:val="en-US" w:eastAsia="zh-CN" w:bidi="ar-SA"/>
        </w:rPr>
        <w:t>标人、招标人共同验货。双方按照本合同、国家相关法律法规以及规范的要求等相关的规定，对货物的品种、品牌、产地、型号规格、数量、外观质量、资料进行清点和全面的检验，并作详细的记录。</w:t>
      </w:r>
    </w:p>
    <w:p w14:paraId="24DB3340">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2.若</w:t>
      </w:r>
      <w:r>
        <w:rPr>
          <w:rFonts w:hint="eastAsia" w:ascii="宋体" w:hAnsi="宋体" w:eastAsia="宋体" w:cs="宋体"/>
          <w:color w:val="auto"/>
          <w:szCs w:val="21"/>
          <w:highlight w:val="none"/>
          <w:lang w:eastAsia="zh-CN"/>
        </w:rPr>
        <w:t>中</w:t>
      </w:r>
      <w:r>
        <w:rPr>
          <w:rFonts w:hint="eastAsia" w:ascii="宋体" w:hAnsi="宋体" w:eastAsia="宋体" w:cs="宋体"/>
          <w:b w:val="0"/>
          <w:bCs w:val="0"/>
          <w:color w:val="auto"/>
          <w:kern w:val="2"/>
          <w:sz w:val="21"/>
          <w:szCs w:val="21"/>
          <w:highlight w:val="none"/>
          <w:lang w:val="en-US" w:eastAsia="zh-CN" w:bidi="ar-SA"/>
        </w:rPr>
        <w:t>标人所提供的货物是国外制造的，应提供原产地证书、报关资料等必备证明资料。根据法律法规的规定，在货物入境过程中需要实施检验检疫的入境商品，经入境管理部门检验后，如有相关证明的，</w:t>
      </w:r>
      <w:r>
        <w:rPr>
          <w:rFonts w:hint="eastAsia" w:ascii="宋体" w:hAnsi="宋体" w:eastAsia="宋体" w:cs="宋体"/>
          <w:color w:val="auto"/>
          <w:szCs w:val="21"/>
          <w:highlight w:val="none"/>
          <w:lang w:eastAsia="zh-CN"/>
        </w:rPr>
        <w:t>中</w:t>
      </w:r>
      <w:r>
        <w:rPr>
          <w:rFonts w:hint="eastAsia" w:ascii="宋体" w:hAnsi="宋体" w:eastAsia="宋体" w:cs="宋体"/>
          <w:b w:val="0"/>
          <w:bCs w:val="0"/>
          <w:color w:val="auto"/>
          <w:kern w:val="2"/>
          <w:sz w:val="21"/>
          <w:szCs w:val="21"/>
          <w:highlight w:val="none"/>
          <w:lang w:val="en-US" w:eastAsia="zh-CN" w:bidi="ar-SA"/>
        </w:rPr>
        <w:t>标人应提供入境货物检验检疫证明。</w:t>
      </w:r>
    </w:p>
    <w:p w14:paraId="23F2B298">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3.如发现货物的品种、型号规格、数量、外观质量、资料与合同不符，或货物短缺、质次、损坏等问题，应作详细记录，且招标人有权拒绝收货及拒绝付款，</w:t>
      </w:r>
      <w:r>
        <w:rPr>
          <w:rFonts w:hint="eastAsia" w:ascii="宋体" w:hAnsi="宋体" w:eastAsia="宋体" w:cs="宋体"/>
          <w:color w:val="auto"/>
          <w:szCs w:val="21"/>
          <w:highlight w:val="none"/>
          <w:lang w:eastAsia="zh-CN"/>
        </w:rPr>
        <w:t>中</w:t>
      </w:r>
      <w:r>
        <w:rPr>
          <w:rFonts w:hint="eastAsia" w:ascii="宋体" w:hAnsi="宋体" w:eastAsia="宋体" w:cs="宋体"/>
          <w:b w:val="0"/>
          <w:bCs w:val="0"/>
          <w:color w:val="auto"/>
          <w:kern w:val="2"/>
          <w:sz w:val="21"/>
          <w:szCs w:val="21"/>
          <w:highlight w:val="none"/>
          <w:lang w:val="en-US" w:eastAsia="zh-CN" w:bidi="ar-SA"/>
        </w:rPr>
        <w:t>标人应在合同约定的时间内立即、无条件为</w:t>
      </w:r>
      <w:r>
        <w:rPr>
          <w:rFonts w:hint="eastAsia" w:ascii="宋体" w:hAnsi="宋体" w:eastAsia="宋体" w:cs="宋体"/>
          <w:color w:val="auto"/>
          <w:szCs w:val="21"/>
          <w:highlight w:val="none"/>
          <w:lang w:eastAsia="zh-CN"/>
        </w:rPr>
        <w:t>中</w:t>
      </w:r>
      <w:r>
        <w:rPr>
          <w:rFonts w:hint="eastAsia" w:ascii="宋体" w:hAnsi="宋体" w:eastAsia="宋体" w:cs="宋体"/>
          <w:b w:val="0"/>
          <w:bCs w:val="0"/>
          <w:color w:val="auto"/>
          <w:kern w:val="2"/>
          <w:sz w:val="21"/>
          <w:szCs w:val="21"/>
          <w:highlight w:val="none"/>
          <w:lang w:val="en-US" w:eastAsia="zh-CN" w:bidi="ar-SA"/>
        </w:rPr>
        <w:t>标人免费更换、补齐或无条件退货。更换或补齐后的货物，招标人有权按照本条有关验收的约定进行验收，由此产生的制造、修理和运费及保险费等费用均应由</w:t>
      </w:r>
      <w:r>
        <w:rPr>
          <w:rFonts w:hint="eastAsia" w:ascii="宋体" w:hAnsi="宋体" w:eastAsia="宋体" w:cs="宋体"/>
          <w:color w:val="auto"/>
          <w:szCs w:val="21"/>
          <w:highlight w:val="none"/>
          <w:lang w:eastAsia="zh-CN"/>
        </w:rPr>
        <w:t>中</w:t>
      </w:r>
      <w:r>
        <w:rPr>
          <w:rFonts w:hint="eastAsia" w:ascii="宋体" w:hAnsi="宋体" w:eastAsia="宋体" w:cs="宋体"/>
          <w:b w:val="0"/>
          <w:bCs w:val="0"/>
          <w:color w:val="auto"/>
          <w:kern w:val="2"/>
          <w:sz w:val="21"/>
          <w:szCs w:val="21"/>
          <w:highlight w:val="none"/>
          <w:lang w:val="en-US" w:eastAsia="zh-CN" w:bidi="ar-SA"/>
        </w:rPr>
        <w:t>标人负担，与招标人无关。</w:t>
      </w:r>
    </w:p>
    <w:p w14:paraId="6214532E">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4.由于非招标人原因而引起货物的修理或更换的时间，应以不影响招标人生产为原则，且修理或更换应在招标人许可的时限内完成，否则将视为</w:t>
      </w:r>
      <w:r>
        <w:rPr>
          <w:rFonts w:hint="eastAsia" w:ascii="宋体" w:hAnsi="宋体" w:eastAsia="宋体" w:cs="宋体"/>
          <w:color w:val="auto"/>
          <w:szCs w:val="21"/>
          <w:highlight w:val="none"/>
          <w:lang w:eastAsia="zh-CN"/>
        </w:rPr>
        <w:t>中</w:t>
      </w:r>
      <w:r>
        <w:rPr>
          <w:rFonts w:hint="eastAsia" w:ascii="宋体" w:hAnsi="宋体" w:eastAsia="宋体" w:cs="宋体"/>
          <w:b w:val="0"/>
          <w:bCs w:val="0"/>
          <w:color w:val="auto"/>
          <w:kern w:val="2"/>
          <w:sz w:val="21"/>
          <w:szCs w:val="21"/>
          <w:highlight w:val="none"/>
          <w:lang w:val="en-US" w:eastAsia="zh-CN" w:bidi="ar-SA"/>
        </w:rPr>
        <w:t>标人逾期交货。交接并验收合格后，</w:t>
      </w:r>
      <w:r>
        <w:rPr>
          <w:rFonts w:hint="eastAsia" w:ascii="宋体" w:hAnsi="宋体" w:eastAsia="宋体" w:cs="宋体"/>
          <w:color w:val="auto"/>
          <w:szCs w:val="21"/>
          <w:highlight w:val="none"/>
          <w:lang w:eastAsia="zh-CN"/>
        </w:rPr>
        <w:t>中</w:t>
      </w:r>
      <w:r>
        <w:rPr>
          <w:rFonts w:hint="eastAsia" w:ascii="宋体" w:hAnsi="宋体" w:eastAsia="宋体" w:cs="宋体"/>
          <w:b w:val="0"/>
          <w:bCs w:val="0"/>
          <w:color w:val="auto"/>
          <w:kern w:val="2"/>
          <w:sz w:val="21"/>
          <w:szCs w:val="21"/>
          <w:highlight w:val="none"/>
          <w:lang w:val="en-US" w:eastAsia="zh-CN" w:bidi="ar-SA"/>
        </w:rPr>
        <w:t>标人向招标人出具相关签收手续。</w:t>
      </w:r>
    </w:p>
    <w:p w14:paraId="5A0D73B6">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5.招标人根据本条约定对货物所做出的验收，仅作为起算付款及质保期之用，不视为招标人对于货物质量的最终认定。货物经验收合格后，</w:t>
      </w:r>
      <w:r>
        <w:rPr>
          <w:rFonts w:hint="eastAsia" w:ascii="宋体" w:hAnsi="宋体" w:eastAsia="宋体" w:cs="宋体"/>
          <w:color w:val="auto"/>
          <w:szCs w:val="21"/>
          <w:highlight w:val="none"/>
          <w:lang w:eastAsia="zh-CN"/>
        </w:rPr>
        <w:t>中</w:t>
      </w:r>
      <w:r>
        <w:rPr>
          <w:rFonts w:hint="eastAsia" w:ascii="宋体" w:hAnsi="宋体" w:eastAsia="宋体" w:cs="宋体"/>
          <w:b w:val="0"/>
          <w:bCs w:val="0"/>
          <w:color w:val="auto"/>
          <w:kern w:val="2"/>
          <w:sz w:val="21"/>
          <w:szCs w:val="21"/>
          <w:highlight w:val="none"/>
          <w:lang w:val="en-US" w:eastAsia="zh-CN" w:bidi="ar-SA"/>
        </w:rPr>
        <w:t>标人仍应在质保期内对产品质量承担保证责任。</w:t>
      </w:r>
    </w:p>
    <w:p w14:paraId="6FDC59B9">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6.货物在全部经招标人验收合格前，其损耗、毁损、灭失等风险及责任由</w:t>
      </w:r>
      <w:r>
        <w:rPr>
          <w:rFonts w:hint="eastAsia" w:ascii="宋体" w:hAnsi="宋体" w:eastAsia="宋体" w:cs="宋体"/>
          <w:color w:val="auto"/>
          <w:szCs w:val="21"/>
          <w:highlight w:val="none"/>
          <w:lang w:eastAsia="zh-CN"/>
        </w:rPr>
        <w:t>中</w:t>
      </w:r>
      <w:r>
        <w:rPr>
          <w:rFonts w:hint="eastAsia" w:ascii="宋体" w:hAnsi="宋体" w:eastAsia="宋体" w:cs="宋体"/>
          <w:b w:val="0"/>
          <w:bCs w:val="0"/>
          <w:color w:val="auto"/>
          <w:kern w:val="2"/>
          <w:sz w:val="21"/>
          <w:szCs w:val="21"/>
          <w:highlight w:val="none"/>
          <w:lang w:val="en-US" w:eastAsia="zh-CN" w:bidi="ar-SA"/>
        </w:rPr>
        <w:t>标人承担，如因发生前述情形，导致</w:t>
      </w:r>
      <w:r>
        <w:rPr>
          <w:rFonts w:hint="eastAsia" w:ascii="宋体" w:hAnsi="宋体" w:eastAsia="宋体" w:cs="宋体"/>
          <w:color w:val="auto"/>
          <w:szCs w:val="21"/>
          <w:highlight w:val="none"/>
          <w:lang w:eastAsia="zh-CN"/>
        </w:rPr>
        <w:t>中</w:t>
      </w:r>
      <w:r>
        <w:rPr>
          <w:rFonts w:hint="eastAsia" w:ascii="宋体" w:hAnsi="宋体" w:eastAsia="宋体" w:cs="宋体"/>
          <w:b w:val="0"/>
          <w:bCs w:val="0"/>
          <w:color w:val="auto"/>
          <w:kern w:val="2"/>
          <w:sz w:val="21"/>
          <w:szCs w:val="21"/>
          <w:highlight w:val="none"/>
          <w:lang w:val="en-US" w:eastAsia="zh-CN" w:bidi="ar-SA"/>
        </w:rPr>
        <w:t>标人所供应的货物不能通过招标人验收的，投标人应按招标人要求予以免费更换、补齐或无条件退货。</w:t>
      </w:r>
    </w:p>
    <w:p w14:paraId="70FC3AC3">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7.抽检：</w:t>
      </w:r>
    </w:p>
    <w:p w14:paraId="14F82FF4">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招标人每年可不定期开展一次第三方物理性能检测抽检。招标人将随机抽取某一规格类型的材料，送至省市级有资质的第三方单位进行性能检定。对于阀门的抽检，</w:t>
      </w:r>
      <w:r>
        <w:rPr>
          <w:rFonts w:hint="eastAsia" w:ascii="宋体" w:hAnsi="宋体" w:eastAsia="宋体" w:cs="宋体"/>
          <w:color w:val="auto"/>
          <w:szCs w:val="21"/>
          <w:highlight w:val="none"/>
          <w:lang w:eastAsia="zh-CN"/>
        </w:rPr>
        <w:t>中</w:t>
      </w:r>
      <w:r>
        <w:rPr>
          <w:rFonts w:hint="eastAsia" w:ascii="宋体" w:hAnsi="宋体" w:eastAsia="宋体" w:cs="宋体"/>
          <w:b w:val="0"/>
          <w:bCs w:val="0"/>
          <w:color w:val="auto"/>
          <w:kern w:val="2"/>
          <w:sz w:val="21"/>
          <w:szCs w:val="21"/>
          <w:highlight w:val="none"/>
          <w:lang w:val="en-US" w:eastAsia="zh-CN" w:bidi="ar-SA"/>
        </w:rPr>
        <w:t>标人需在货物交付现场，按照相关标准的要求，配合招标人制作抽检试件，试件数量按每批次到货量的5%抽取，且不少于2件。招标人负责第一次检测费用，</w:t>
      </w:r>
      <w:r>
        <w:rPr>
          <w:rFonts w:hint="eastAsia" w:ascii="宋体" w:hAnsi="宋体" w:eastAsia="宋体" w:cs="宋体"/>
          <w:color w:val="auto"/>
          <w:szCs w:val="21"/>
          <w:highlight w:val="none"/>
          <w:lang w:eastAsia="zh-CN"/>
        </w:rPr>
        <w:t>中</w:t>
      </w:r>
      <w:r>
        <w:rPr>
          <w:rFonts w:hint="eastAsia" w:ascii="宋体" w:hAnsi="宋体" w:eastAsia="宋体" w:cs="宋体"/>
          <w:b w:val="0"/>
          <w:bCs w:val="0"/>
          <w:color w:val="auto"/>
          <w:kern w:val="2"/>
          <w:sz w:val="21"/>
          <w:szCs w:val="21"/>
          <w:highlight w:val="none"/>
          <w:lang w:val="en-US" w:eastAsia="zh-CN" w:bidi="ar-SA"/>
        </w:rPr>
        <w:t>标人承担试件制作费用，并需在送检后30天内，向招标人指定地点补回同规格数量的材料。</w:t>
      </w:r>
    </w:p>
    <w:p w14:paraId="12740B85">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若材料检测结果不合格且未使用，即视为一次第三方送检不合格。此时，</w:t>
      </w:r>
      <w:r>
        <w:rPr>
          <w:rFonts w:hint="eastAsia" w:ascii="宋体" w:hAnsi="宋体" w:eastAsia="宋体" w:cs="宋体"/>
          <w:color w:val="auto"/>
          <w:szCs w:val="21"/>
          <w:highlight w:val="none"/>
          <w:lang w:eastAsia="zh-CN"/>
        </w:rPr>
        <w:t>中</w:t>
      </w:r>
      <w:r>
        <w:rPr>
          <w:rFonts w:hint="eastAsia" w:ascii="宋体" w:hAnsi="宋体" w:eastAsia="宋体" w:cs="宋体"/>
          <w:b w:val="0"/>
          <w:bCs w:val="0"/>
          <w:color w:val="auto"/>
          <w:kern w:val="2"/>
          <w:sz w:val="21"/>
          <w:szCs w:val="21"/>
          <w:highlight w:val="none"/>
          <w:lang w:val="en-US" w:eastAsia="zh-CN" w:bidi="ar-SA"/>
        </w:rPr>
        <w:t>标人与招标人需再次共同抽样，送至招标人指定的第三方单位复检，所有费用由</w:t>
      </w:r>
      <w:r>
        <w:rPr>
          <w:rFonts w:hint="eastAsia" w:ascii="宋体" w:hAnsi="宋体" w:eastAsia="宋体" w:cs="宋体"/>
          <w:color w:val="auto"/>
          <w:szCs w:val="21"/>
          <w:highlight w:val="none"/>
          <w:lang w:eastAsia="zh-CN"/>
        </w:rPr>
        <w:t>中</w:t>
      </w:r>
      <w:r>
        <w:rPr>
          <w:rFonts w:hint="eastAsia" w:ascii="宋体" w:hAnsi="宋体" w:eastAsia="宋体" w:cs="宋体"/>
          <w:b w:val="0"/>
          <w:bCs w:val="0"/>
          <w:color w:val="auto"/>
          <w:kern w:val="2"/>
          <w:sz w:val="21"/>
          <w:szCs w:val="21"/>
          <w:highlight w:val="none"/>
          <w:lang w:val="en-US" w:eastAsia="zh-CN" w:bidi="ar-SA"/>
        </w:rPr>
        <w:t>标人承担。若复检合格，</w:t>
      </w:r>
      <w:r>
        <w:rPr>
          <w:rFonts w:hint="eastAsia" w:ascii="宋体" w:hAnsi="宋体" w:eastAsia="宋体" w:cs="宋体"/>
          <w:color w:val="auto"/>
          <w:szCs w:val="21"/>
          <w:highlight w:val="none"/>
          <w:lang w:eastAsia="zh-CN"/>
        </w:rPr>
        <w:t>中</w:t>
      </w:r>
      <w:r>
        <w:rPr>
          <w:rFonts w:hint="eastAsia" w:ascii="宋体" w:hAnsi="宋体" w:eastAsia="宋体" w:cs="宋体"/>
          <w:b w:val="0"/>
          <w:bCs w:val="0"/>
          <w:color w:val="auto"/>
          <w:kern w:val="2"/>
          <w:sz w:val="21"/>
          <w:szCs w:val="21"/>
          <w:highlight w:val="none"/>
          <w:lang w:val="en-US" w:eastAsia="zh-CN" w:bidi="ar-SA"/>
        </w:rPr>
        <w:t>标人应在30天内补回同规格数量的材料；若复检仍不合格，招标人有权选择退换全部货物，并可单方面终止合同，由此产生的一切责任及费用均由投标人承担，并扣除全额履约担保。</w:t>
      </w:r>
    </w:p>
    <w:p w14:paraId="2FEFF28F">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若材料检测结果不合格且已使用，</w:t>
      </w:r>
      <w:r>
        <w:rPr>
          <w:rFonts w:hint="eastAsia" w:ascii="宋体" w:hAnsi="宋体" w:eastAsia="宋体" w:cs="宋体"/>
          <w:color w:val="auto"/>
          <w:szCs w:val="21"/>
          <w:highlight w:val="none"/>
          <w:lang w:eastAsia="zh-CN"/>
        </w:rPr>
        <w:t>中</w:t>
      </w:r>
      <w:r>
        <w:rPr>
          <w:rFonts w:hint="eastAsia" w:ascii="宋体" w:hAnsi="宋体" w:eastAsia="宋体" w:cs="宋体"/>
          <w:b w:val="0"/>
          <w:bCs w:val="0"/>
          <w:color w:val="auto"/>
          <w:kern w:val="2"/>
          <w:sz w:val="21"/>
          <w:szCs w:val="21"/>
          <w:highlight w:val="none"/>
          <w:lang w:val="en-US" w:eastAsia="zh-CN" w:bidi="ar-SA"/>
        </w:rPr>
        <w:t>标人需赔偿由此产生的一切责任及费用，包括但不限于返工、材料退换、拆装、工期延误损失、检测等。同时，招标人有权直接扣除全额履约担保，若超出履约担保部分的损失仍需由</w:t>
      </w:r>
      <w:r>
        <w:rPr>
          <w:rFonts w:hint="eastAsia" w:ascii="宋体" w:hAnsi="宋体" w:eastAsia="宋体" w:cs="宋体"/>
          <w:color w:val="auto"/>
          <w:szCs w:val="21"/>
          <w:highlight w:val="none"/>
          <w:lang w:eastAsia="zh-CN"/>
        </w:rPr>
        <w:t>中</w:t>
      </w:r>
      <w:r>
        <w:rPr>
          <w:rFonts w:hint="eastAsia" w:ascii="宋体" w:hAnsi="宋体" w:eastAsia="宋体" w:cs="宋体"/>
          <w:b w:val="0"/>
          <w:bCs w:val="0"/>
          <w:color w:val="auto"/>
          <w:kern w:val="2"/>
          <w:sz w:val="21"/>
          <w:szCs w:val="21"/>
          <w:highlight w:val="none"/>
          <w:lang w:val="en-US" w:eastAsia="zh-CN" w:bidi="ar-SA"/>
        </w:rPr>
        <w:t>标人承担。</w:t>
      </w:r>
    </w:p>
    <w:p w14:paraId="5A44D10D">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原则上，产品送第三方检定需招标人与</w:t>
      </w:r>
      <w:r>
        <w:rPr>
          <w:rFonts w:hint="eastAsia" w:ascii="宋体" w:hAnsi="宋体" w:eastAsia="宋体" w:cs="宋体"/>
          <w:color w:val="auto"/>
          <w:szCs w:val="21"/>
          <w:highlight w:val="none"/>
          <w:lang w:eastAsia="zh-CN"/>
        </w:rPr>
        <w:t>中</w:t>
      </w:r>
      <w:r>
        <w:rPr>
          <w:rFonts w:hint="eastAsia" w:ascii="宋体" w:hAnsi="宋体" w:eastAsia="宋体" w:cs="宋体"/>
          <w:b w:val="0"/>
          <w:bCs w:val="0"/>
          <w:color w:val="auto"/>
          <w:kern w:val="2"/>
          <w:sz w:val="21"/>
          <w:szCs w:val="21"/>
          <w:highlight w:val="none"/>
          <w:lang w:val="en-US" w:eastAsia="zh-CN" w:bidi="ar-SA"/>
        </w:rPr>
        <w:t>标人共同送检。若投标人出现推诿、拖延或拒绝送检的情况，招标人有权自主送检。若</w:t>
      </w:r>
      <w:r>
        <w:rPr>
          <w:rFonts w:hint="eastAsia" w:ascii="宋体" w:hAnsi="宋体" w:eastAsia="宋体" w:cs="宋体"/>
          <w:color w:val="auto"/>
          <w:szCs w:val="21"/>
          <w:highlight w:val="none"/>
          <w:lang w:eastAsia="zh-CN"/>
        </w:rPr>
        <w:t>中</w:t>
      </w:r>
      <w:r>
        <w:rPr>
          <w:rFonts w:hint="eastAsia" w:ascii="宋体" w:hAnsi="宋体" w:eastAsia="宋体" w:cs="宋体"/>
          <w:b w:val="0"/>
          <w:bCs w:val="0"/>
          <w:color w:val="auto"/>
          <w:kern w:val="2"/>
          <w:sz w:val="21"/>
          <w:szCs w:val="21"/>
          <w:highlight w:val="none"/>
          <w:lang w:val="en-US" w:eastAsia="zh-CN" w:bidi="ar-SA"/>
        </w:rPr>
        <w:t>标人未及时缴纳检测费用，招标人可代垫，并从</w:t>
      </w:r>
      <w:r>
        <w:rPr>
          <w:rFonts w:hint="eastAsia" w:ascii="宋体" w:hAnsi="宋体" w:eastAsia="宋体" w:cs="宋体"/>
          <w:color w:val="auto"/>
          <w:szCs w:val="21"/>
          <w:highlight w:val="none"/>
          <w:lang w:eastAsia="zh-CN"/>
        </w:rPr>
        <w:t>中</w:t>
      </w:r>
      <w:r>
        <w:rPr>
          <w:rFonts w:hint="eastAsia" w:ascii="宋体" w:hAnsi="宋体" w:eastAsia="宋体" w:cs="宋体"/>
          <w:b w:val="0"/>
          <w:bCs w:val="0"/>
          <w:color w:val="auto"/>
          <w:kern w:val="2"/>
          <w:sz w:val="21"/>
          <w:szCs w:val="21"/>
          <w:highlight w:val="none"/>
          <w:lang w:val="en-US" w:eastAsia="zh-CN" w:bidi="ar-SA"/>
        </w:rPr>
        <w:t>标人的履约担保或货款中扣除。</w:t>
      </w:r>
    </w:p>
    <w:p w14:paraId="7E5BB854">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8.验收品质争议检测：在履约期间，招标人有权委托具备资质的第三方检测机构按相关规定对货物进行检测，检测地点根据检测项目需求可为材料生产基地或招标人指定的材料送货地点，</w:t>
      </w:r>
      <w:r>
        <w:rPr>
          <w:rFonts w:hint="eastAsia" w:ascii="宋体" w:hAnsi="宋体" w:eastAsia="宋体" w:cs="宋体"/>
          <w:color w:val="auto"/>
          <w:szCs w:val="21"/>
          <w:highlight w:val="none"/>
          <w:lang w:eastAsia="zh-CN"/>
        </w:rPr>
        <w:t>中</w:t>
      </w:r>
      <w:r>
        <w:rPr>
          <w:rFonts w:hint="eastAsia" w:ascii="宋体" w:hAnsi="宋体" w:eastAsia="宋体" w:cs="宋体"/>
          <w:b w:val="0"/>
          <w:bCs w:val="0"/>
          <w:color w:val="auto"/>
          <w:kern w:val="2"/>
          <w:sz w:val="21"/>
          <w:szCs w:val="21"/>
          <w:highlight w:val="none"/>
          <w:lang w:val="en-US" w:eastAsia="zh-CN" w:bidi="ar-SA"/>
        </w:rPr>
        <w:t>标人应予以配合，如检测结果合格，费用由招标人负责；如检测结果不合格，费用由</w:t>
      </w:r>
      <w:r>
        <w:rPr>
          <w:rFonts w:hint="eastAsia" w:ascii="宋体" w:hAnsi="宋体" w:eastAsia="宋体" w:cs="宋体"/>
          <w:color w:val="auto"/>
          <w:szCs w:val="21"/>
          <w:highlight w:val="none"/>
          <w:lang w:eastAsia="zh-CN"/>
        </w:rPr>
        <w:t>中</w:t>
      </w:r>
      <w:r>
        <w:rPr>
          <w:rFonts w:hint="eastAsia" w:ascii="宋体" w:hAnsi="宋体" w:eastAsia="宋体" w:cs="宋体"/>
          <w:b w:val="0"/>
          <w:bCs w:val="0"/>
          <w:color w:val="auto"/>
          <w:kern w:val="2"/>
          <w:sz w:val="21"/>
          <w:szCs w:val="21"/>
          <w:highlight w:val="none"/>
          <w:lang w:val="en-US" w:eastAsia="zh-CN" w:bidi="ar-SA"/>
        </w:rPr>
        <w:t>标人负责，并承担对不合格批次产品的更换。</w:t>
      </w:r>
    </w:p>
    <w:p w14:paraId="4A6A1395">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2" w:firstLineChars="200"/>
        <w:jc w:val="both"/>
        <w:textAlignment w:val="auto"/>
        <w:outlineLvl w:val="1"/>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六、质保期要求</w:t>
      </w:r>
    </w:p>
    <w:p w14:paraId="7A4C732C">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质保期为自验收合格之日起2年（如</w:t>
      </w:r>
      <w:r>
        <w:rPr>
          <w:rFonts w:hint="eastAsia" w:ascii="宋体" w:hAnsi="宋体" w:eastAsia="宋体" w:cs="宋体"/>
          <w:color w:val="auto"/>
          <w:szCs w:val="21"/>
          <w:highlight w:val="none"/>
          <w:lang w:eastAsia="zh-CN"/>
        </w:rPr>
        <w:t>中</w:t>
      </w:r>
      <w:r>
        <w:rPr>
          <w:rFonts w:hint="eastAsia" w:ascii="宋体" w:hAnsi="宋体" w:eastAsia="宋体" w:cs="宋体"/>
          <w:b w:val="0"/>
          <w:bCs w:val="0"/>
          <w:color w:val="auto"/>
          <w:kern w:val="2"/>
          <w:sz w:val="21"/>
          <w:szCs w:val="21"/>
          <w:highlight w:val="none"/>
          <w:lang w:val="en-US" w:eastAsia="zh-CN" w:bidi="ar-SA"/>
        </w:rPr>
        <w:t>标人有更优服务承诺，参照更优服务承诺），自验收合格之日起计算。质保期内限时提供上门服务。</w:t>
      </w:r>
    </w:p>
    <w:p w14:paraId="0C2D58B3">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2" w:firstLineChars="200"/>
        <w:jc w:val="both"/>
        <w:textAlignment w:val="auto"/>
        <w:outlineLvl w:val="1"/>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七、报价及款项支付</w:t>
      </w:r>
    </w:p>
    <w:p w14:paraId="57C3BFFC">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1.</w:t>
      </w:r>
      <w:bookmarkStart w:id="695" w:name="_Hlk39771198"/>
      <w:r>
        <w:rPr>
          <w:rFonts w:hint="eastAsia" w:ascii="宋体" w:hAnsi="宋体" w:eastAsia="宋体" w:cs="宋体"/>
          <w:b w:val="0"/>
          <w:bCs w:val="0"/>
          <w:color w:val="auto"/>
          <w:kern w:val="2"/>
          <w:sz w:val="21"/>
          <w:szCs w:val="21"/>
          <w:highlight w:val="none"/>
          <w:lang w:val="en-US" w:eastAsia="zh-CN" w:bidi="ar-SA"/>
        </w:rPr>
        <w:t>本项目的报价包含但不限于所供货物及其配备的附件、备品备件的采购、制造、检测、试验、送货、装卸（含二次搬运至招标人指定交货或仓储地点）、人工费、材料费、包装费、运费、</w:t>
      </w:r>
      <w:r>
        <w:rPr>
          <w:rFonts w:hint="eastAsia" w:ascii="宋体" w:hAnsi="宋体" w:eastAsia="宋体" w:cs="宋体"/>
          <w:color w:val="auto"/>
          <w:szCs w:val="21"/>
          <w:highlight w:val="none"/>
          <w:lang w:eastAsia="zh-CN"/>
        </w:rPr>
        <w:t>中</w:t>
      </w:r>
      <w:r>
        <w:rPr>
          <w:rFonts w:hint="eastAsia" w:ascii="宋体" w:hAnsi="宋体" w:eastAsia="宋体" w:cs="宋体"/>
          <w:b w:val="0"/>
          <w:bCs w:val="0"/>
          <w:color w:val="auto"/>
          <w:kern w:val="2"/>
          <w:sz w:val="21"/>
          <w:szCs w:val="21"/>
          <w:highlight w:val="none"/>
          <w:lang w:val="en-US" w:eastAsia="zh-CN" w:bidi="ar-SA"/>
        </w:rPr>
        <w:t>标人销项税额以外的税费、保险、现场仓储、质保期免费上门提供售后服务等相关服务</w:t>
      </w:r>
      <w:r>
        <w:rPr>
          <w:rFonts w:hint="eastAsia" w:cs="宋体"/>
          <w:b w:val="0"/>
          <w:bCs w:val="0"/>
          <w:color w:val="auto"/>
          <w:kern w:val="2"/>
          <w:sz w:val="21"/>
          <w:szCs w:val="21"/>
          <w:highlight w:val="none"/>
          <w:lang w:val="en-US" w:eastAsia="zh-CN" w:bidi="ar-SA"/>
        </w:rPr>
        <w:t>和</w:t>
      </w:r>
      <w:r>
        <w:rPr>
          <w:rFonts w:hint="eastAsia"/>
          <w:color w:val="auto"/>
          <w:highlight w:val="none"/>
        </w:rPr>
        <w:t>货物验收合格前发生的安全事故所产生</w:t>
      </w:r>
      <w:r>
        <w:rPr>
          <w:rFonts w:hint="eastAsia" w:ascii="宋体" w:hAnsi="宋体" w:eastAsia="宋体" w:cs="宋体"/>
          <w:b w:val="0"/>
          <w:bCs w:val="0"/>
          <w:color w:val="auto"/>
          <w:kern w:val="2"/>
          <w:sz w:val="21"/>
          <w:szCs w:val="21"/>
          <w:highlight w:val="none"/>
          <w:lang w:val="en-US" w:eastAsia="zh-CN" w:bidi="ar-SA"/>
        </w:rPr>
        <w:t>的全部费用。在合同履行过程中，不含税中标综合单价（不含</w:t>
      </w:r>
      <w:r>
        <w:rPr>
          <w:rFonts w:hint="eastAsia" w:ascii="宋体" w:hAnsi="宋体" w:eastAsia="宋体" w:cs="宋体"/>
          <w:color w:val="auto"/>
          <w:szCs w:val="21"/>
          <w:highlight w:val="none"/>
          <w:lang w:eastAsia="zh-CN"/>
        </w:rPr>
        <w:t>中</w:t>
      </w:r>
      <w:r>
        <w:rPr>
          <w:rFonts w:hint="eastAsia" w:ascii="宋体" w:hAnsi="宋体" w:eastAsia="宋体" w:cs="宋体"/>
          <w:b w:val="0"/>
          <w:bCs w:val="0"/>
          <w:color w:val="auto"/>
          <w:kern w:val="2"/>
          <w:sz w:val="21"/>
          <w:szCs w:val="21"/>
          <w:highlight w:val="none"/>
          <w:lang w:val="en-US" w:eastAsia="zh-CN" w:bidi="ar-SA"/>
        </w:rPr>
        <w:t>标人销项税额）不随法律法规政策、物价人工、工期调整而进行调整，未经招标人书面确认，</w:t>
      </w:r>
      <w:r>
        <w:rPr>
          <w:rFonts w:hint="eastAsia" w:ascii="宋体" w:hAnsi="宋体" w:eastAsia="宋体" w:cs="宋体"/>
          <w:color w:val="auto"/>
          <w:szCs w:val="21"/>
          <w:highlight w:val="none"/>
          <w:lang w:eastAsia="zh-CN"/>
        </w:rPr>
        <w:t>中</w:t>
      </w:r>
      <w:r>
        <w:rPr>
          <w:rFonts w:hint="eastAsia" w:ascii="宋体" w:hAnsi="宋体" w:eastAsia="宋体" w:cs="宋体"/>
          <w:b w:val="0"/>
          <w:bCs w:val="0"/>
          <w:color w:val="auto"/>
          <w:kern w:val="2"/>
          <w:sz w:val="21"/>
          <w:szCs w:val="21"/>
          <w:highlight w:val="none"/>
          <w:lang w:val="en-US" w:eastAsia="zh-CN" w:bidi="ar-SA"/>
        </w:rPr>
        <w:t>标人无权增加任何费用。</w:t>
      </w:r>
      <w:bookmarkEnd w:id="695"/>
    </w:p>
    <w:p w14:paraId="318617F2">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2.本项目不设预付款。本项目的</w:t>
      </w:r>
      <w:r>
        <w:rPr>
          <w:rFonts w:hint="eastAsia" w:ascii="宋体" w:hAnsi="宋体" w:eastAsia="宋体" w:cs="宋体"/>
          <w:color w:val="auto"/>
          <w:szCs w:val="21"/>
          <w:highlight w:val="none"/>
          <w:lang w:eastAsia="zh-CN"/>
        </w:rPr>
        <w:t>中</w:t>
      </w:r>
      <w:r>
        <w:rPr>
          <w:rFonts w:hint="eastAsia" w:ascii="宋体" w:hAnsi="宋体" w:eastAsia="宋体" w:cs="宋体"/>
          <w:b w:val="0"/>
          <w:bCs w:val="0"/>
          <w:color w:val="auto"/>
          <w:kern w:val="2"/>
          <w:sz w:val="21"/>
          <w:szCs w:val="21"/>
          <w:highlight w:val="none"/>
          <w:lang w:val="en-US" w:eastAsia="zh-CN" w:bidi="ar-SA"/>
        </w:rPr>
        <w:t>标报价采用统一折扣系数报价，合同履约过程中，采购清单中的不含税中标综合单价按以下方式计算：不含税中标综合单价=不含税预算综合单价×中标折扣系数，以实际供货数量进行结算。</w:t>
      </w:r>
    </w:p>
    <w:p w14:paraId="3AE59FAF">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3.供货期内，按月度进行结算，每月度</w:t>
      </w:r>
      <w:r>
        <w:rPr>
          <w:rFonts w:hint="eastAsia" w:ascii="宋体" w:hAnsi="宋体" w:eastAsia="宋体" w:cs="宋体"/>
          <w:color w:val="auto"/>
          <w:szCs w:val="21"/>
          <w:highlight w:val="none"/>
          <w:lang w:eastAsia="zh-CN"/>
        </w:rPr>
        <w:t>中</w:t>
      </w:r>
      <w:r>
        <w:rPr>
          <w:rFonts w:hint="eastAsia" w:ascii="宋体" w:hAnsi="宋体" w:eastAsia="宋体" w:cs="宋体"/>
          <w:b w:val="0"/>
          <w:bCs w:val="0"/>
          <w:color w:val="auto"/>
          <w:kern w:val="2"/>
          <w:sz w:val="21"/>
          <w:szCs w:val="21"/>
          <w:highlight w:val="none"/>
          <w:lang w:val="en-US" w:eastAsia="zh-CN" w:bidi="ar-SA"/>
        </w:rPr>
        <w:t>标人所供货物经招标人验收合格后，双方每月15日之前对上个月实际验收合格供货量进行结算，</w:t>
      </w:r>
      <w:r>
        <w:rPr>
          <w:rFonts w:hint="eastAsia" w:ascii="宋体" w:hAnsi="宋体" w:eastAsia="宋体" w:cs="宋体"/>
          <w:color w:val="auto"/>
          <w:szCs w:val="21"/>
          <w:highlight w:val="none"/>
          <w:lang w:eastAsia="zh-CN"/>
        </w:rPr>
        <w:t>中</w:t>
      </w:r>
      <w:r>
        <w:rPr>
          <w:rFonts w:hint="eastAsia" w:ascii="宋体" w:hAnsi="宋体" w:eastAsia="宋体" w:cs="宋体"/>
          <w:b w:val="0"/>
          <w:bCs w:val="0"/>
          <w:color w:val="auto"/>
          <w:kern w:val="2"/>
          <w:sz w:val="21"/>
          <w:szCs w:val="21"/>
          <w:highlight w:val="none"/>
          <w:lang w:val="en-US" w:eastAsia="zh-CN" w:bidi="ar-SA"/>
        </w:rPr>
        <w:t>标人按招标人要求提交请款报告及验收合格后的货物价款等额的、合法的、有效的增值税专用发票，招标人在收到前述材料并确认无误后20个工作日内支付上月实际验收合格供货量对应价款的100%及对应税额。</w:t>
      </w:r>
    </w:p>
    <w:p w14:paraId="4E845B9C">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4.</w:t>
      </w:r>
      <w:r>
        <w:rPr>
          <w:rFonts w:hint="eastAsia" w:ascii="宋体" w:hAnsi="宋体" w:eastAsia="宋体" w:cs="宋体"/>
          <w:color w:val="auto"/>
          <w:szCs w:val="21"/>
          <w:highlight w:val="none"/>
          <w:lang w:eastAsia="zh-CN"/>
        </w:rPr>
        <w:t>中</w:t>
      </w:r>
      <w:r>
        <w:rPr>
          <w:rFonts w:hint="eastAsia" w:ascii="宋体" w:hAnsi="宋体" w:eastAsia="宋体" w:cs="宋体"/>
          <w:b w:val="0"/>
          <w:bCs w:val="0"/>
          <w:color w:val="auto"/>
          <w:kern w:val="2"/>
          <w:sz w:val="21"/>
          <w:szCs w:val="21"/>
          <w:highlight w:val="none"/>
          <w:lang w:val="en-US" w:eastAsia="zh-CN" w:bidi="ar-SA"/>
        </w:rPr>
        <w:t>标人应提供增值税专用发票、请款报告等请款资料，招标人在20个工作日内支付上月实际验收合格供货量对应价款的100%及对应税额。未按要求开发票的将无法支付货款。</w:t>
      </w:r>
    </w:p>
    <w:p w14:paraId="6A974D23">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2" w:firstLineChars="200"/>
        <w:jc w:val="both"/>
        <w:textAlignment w:val="auto"/>
        <w:outlineLvl w:val="1"/>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八、其他要求</w:t>
      </w:r>
    </w:p>
    <w:p w14:paraId="40586C4D">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1.采购清单的货物有规格型号推荐的，</w:t>
      </w:r>
      <w:r>
        <w:rPr>
          <w:rFonts w:hint="eastAsia" w:ascii="宋体" w:hAnsi="宋体" w:eastAsia="宋体" w:cs="宋体"/>
          <w:color w:val="auto"/>
          <w:szCs w:val="21"/>
          <w:highlight w:val="none"/>
          <w:lang w:eastAsia="zh-CN"/>
        </w:rPr>
        <w:t>中</w:t>
      </w:r>
      <w:r>
        <w:rPr>
          <w:rFonts w:hint="eastAsia" w:ascii="宋体" w:hAnsi="宋体" w:eastAsia="宋体" w:cs="宋体"/>
          <w:b w:val="0"/>
          <w:bCs w:val="0"/>
          <w:color w:val="auto"/>
          <w:kern w:val="2"/>
          <w:sz w:val="21"/>
          <w:szCs w:val="21"/>
          <w:highlight w:val="none"/>
          <w:lang w:val="en-US" w:eastAsia="zh-CN" w:bidi="ar-SA"/>
        </w:rPr>
        <w:t>标人应优先采用采购清单中的规格型号报价及供货。</w:t>
      </w:r>
    </w:p>
    <w:p w14:paraId="0C8585E0">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2.所供货物须符合国家现行有效的法律法规、行业规范及相关的质量标准并达到使用要求。</w:t>
      </w:r>
    </w:p>
    <w:p w14:paraId="3EB6E02F">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3.</w:t>
      </w:r>
      <w:r>
        <w:rPr>
          <w:rFonts w:hint="eastAsia" w:ascii="宋体" w:hAnsi="宋体" w:eastAsia="宋体" w:cs="宋体"/>
          <w:color w:val="auto"/>
          <w:szCs w:val="21"/>
          <w:highlight w:val="none"/>
          <w:lang w:eastAsia="zh-CN"/>
        </w:rPr>
        <w:t>中</w:t>
      </w:r>
      <w:r>
        <w:rPr>
          <w:rFonts w:hint="eastAsia" w:ascii="宋体" w:hAnsi="宋体" w:eastAsia="宋体" w:cs="宋体"/>
          <w:b w:val="0"/>
          <w:bCs w:val="0"/>
          <w:color w:val="auto"/>
          <w:kern w:val="2"/>
          <w:sz w:val="21"/>
          <w:szCs w:val="21"/>
          <w:highlight w:val="none"/>
          <w:lang w:val="en-US" w:eastAsia="zh-CN" w:bidi="ar-SA"/>
        </w:rPr>
        <w:t>标人提供的货物必须是原厂生产的、非组装的、全新的、未使用过的产品（含零部件、配件、随机工具等），随机配备的所有配件必须为原厂原配，表面无划伤、无碰撞的痕迹。有原厂包装的，应附有合格证、货物出厂质量合格证明书、技术说明等。</w:t>
      </w:r>
    </w:p>
    <w:p w14:paraId="533003E1">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2"/>
          <w:sz w:val="21"/>
          <w:szCs w:val="21"/>
          <w:highlight w:val="none"/>
          <w:lang w:val="en-US" w:eastAsia="zh-CN" w:bidi="ar-SA"/>
        </w:rPr>
        <w:t>4.</w:t>
      </w:r>
      <w:r>
        <w:rPr>
          <w:rFonts w:hint="eastAsia" w:ascii="宋体" w:hAnsi="宋体" w:eastAsia="宋体" w:cs="宋体"/>
          <w:b w:val="0"/>
          <w:bCs w:val="0"/>
          <w:color w:val="auto"/>
          <w:kern w:val="0"/>
          <w:sz w:val="21"/>
          <w:szCs w:val="21"/>
          <w:highlight w:val="none"/>
        </w:rPr>
        <w:t>供货期内，</w:t>
      </w:r>
      <w:r>
        <w:rPr>
          <w:rFonts w:hint="eastAsia" w:ascii="宋体" w:hAnsi="宋体" w:eastAsia="宋体" w:cs="宋体"/>
          <w:color w:val="auto"/>
          <w:szCs w:val="21"/>
          <w:highlight w:val="none"/>
          <w:lang w:eastAsia="zh-CN"/>
        </w:rPr>
        <w:t>中</w:t>
      </w:r>
      <w:r>
        <w:rPr>
          <w:rFonts w:hint="eastAsia" w:ascii="宋体" w:hAnsi="宋体" w:eastAsia="宋体" w:cs="宋体"/>
          <w:b w:val="0"/>
          <w:bCs w:val="0"/>
          <w:color w:val="auto"/>
          <w:kern w:val="2"/>
          <w:sz w:val="21"/>
          <w:szCs w:val="21"/>
          <w:highlight w:val="none"/>
          <w:lang w:val="en-US" w:eastAsia="zh-CN" w:bidi="ar-SA"/>
        </w:rPr>
        <w:t>标</w:t>
      </w:r>
      <w:r>
        <w:rPr>
          <w:rFonts w:hint="eastAsia" w:ascii="宋体" w:hAnsi="宋体" w:eastAsia="宋体" w:cs="宋体"/>
          <w:b w:val="0"/>
          <w:bCs w:val="0"/>
          <w:color w:val="auto"/>
          <w:kern w:val="0"/>
          <w:sz w:val="21"/>
          <w:szCs w:val="21"/>
          <w:highlight w:val="none"/>
          <w:lang w:eastAsia="zh-CN"/>
        </w:rPr>
        <w:t>人</w:t>
      </w:r>
      <w:r>
        <w:rPr>
          <w:rFonts w:hint="eastAsia" w:ascii="宋体" w:hAnsi="宋体" w:eastAsia="宋体" w:cs="宋体"/>
          <w:b w:val="0"/>
          <w:bCs w:val="0"/>
          <w:color w:val="auto"/>
          <w:kern w:val="0"/>
          <w:sz w:val="21"/>
          <w:szCs w:val="21"/>
          <w:highlight w:val="none"/>
        </w:rPr>
        <w:t>如接到招标人的售后服务通知的，需在4小时内响应。</w:t>
      </w:r>
    </w:p>
    <w:p w14:paraId="3B50D118">
      <w:pPr>
        <w:keepNext w:val="0"/>
        <w:keepLines w:val="0"/>
        <w:pageBreakBefore w:val="0"/>
        <w:widowControl/>
        <w:numPr>
          <w:ilvl w:val="-1"/>
          <w:numId w:val="0"/>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br w:type="page"/>
      </w:r>
    </w:p>
    <w:p w14:paraId="693533DD">
      <w:pPr>
        <w:pStyle w:val="131"/>
        <w:rPr>
          <w:rFonts w:hint="eastAsia" w:ascii="宋体" w:hAnsi="宋体" w:eastAsia="宋体" w:cs="宋体"/>
          <w:b/>
          <w:color w:val="auto"/>
          <w:highlight w:val="none"/>
          <w:lang w:val="en-US" w:eastAsia="zh-CN"/>
        </w:rPr>
      </w:pPr>
      <w:r>
        <w:rPr>
          <w:rFonts w:hint="eastAsia" w:ascii="宋体" w:hAnsi="宋体" w:eastAsia="宋体" w:cs="宋体"/>
          <w:b/>
          <w:bCs/>
          <w:color w:val="auto"/>
          <w:kern w:val="2"/>
          <w:sz w:val="21"/>
          <w:szCs w:val="21"/>
          <w:highlight w:val="none"/>
          <w:lang w:val="en-US" w:eastAsia="zh-CN" w:bidi="ar-SA"/>
        </w:rPr>
        <w:t>附件一：《采购材料清单》</w:t>
      </w:r>
    </w:p>
    <w:bookmarkEnd w:id="678"/>
    <w:bookmarkEnd w:id="679"/>
    <w:bookmarkEnd w:id="680"/>
    <w:tbl>
      <w:tblPr>
        <w:tblStyle w:val="20"/>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23"/>
        <w:gridCol w:w="1504"/>
        <w:gridCol w:w="1506"/>
        <w:gridCol w:w="1483"/>
        <w:gridCol w:w="966"/>
        <w:gridCol w:w="1014"/>
        <w:gridCol w:w="1397"/>
        <w:gridCol w:w="1897"/>
      </w:tblGrid>
      <w:tr w14:paraId="596A5F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021B45">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bCs/>
                <w:i w:val="0"/>
                <w:iCs w:val="0"/>
                <w:color w:val="auto"/>
                <w:sz w:val="21"/>
                <w:szCs w:val="21"/>
                <w:highlight w:val="none"/>
                <w:u w:val="none"/>
              </w:rPr>
            </w:pPr>
            <w:bookmarkStart w:id="696" w:name="_Toc21607"/>
            <w:r>
              <w:rPr>
                <w:rFonts w:hint="eastAsia" w:ascii="宋体" w:hAnsi="宋体" w:eastAsia="宋体" w:cs="宋体"/>
                <w:b/>
                <w:bCs/>
                <w:i w:val="0"/>
                <w:iCs w:val="0"/>
                <w:color w:val="auto"/>
                <w:kern w:val="0"/>
                <w:sz w:val="21"/>
                <w:szCs w:val="21"/>
                <w:highlight w:val="none"/>
                <w:u w:val="none"/>
                <w:lang w:val="en-US" w:eastAsia="zh-CN" w:bidi="ar"/>
              </w:rPr>
              <w:t>序号</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F7EB6A">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物品名称</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2D1462">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规格</w:t>
            </w:r>
            <w:r>
              <w:rPr>
                <w:rFonts w:hint="eastAsia" w:ascii="宋体" w:hAnsi="宋体" w:eastAsia="宋体" w:cs="宋体"/>
                <w:b/>
                <w:bCs/>
                <w:i w:val="0"/>
                <w:iCs w:val="0"/>
                <w:color w:val="auto"/>
                <w:kern w:val="0"/>
                <w:sz w:val="21"/>
                <w:szCs w:val="21"/>
                <w:highlight w:val="none"/>
                <w:u w:val="none"/>
                <w:lang w:val="en-US" w:eastAsia="zh-CN" w:bidi="ar"/>
              </w:rPr>
              <w:br w:type="textWrapping"/>
            </w:r>
            <w:r>
              <w:rPr>
                <w:rFonts w:hint="eastAsia" w:ascii="宋体" w:hAnsi="宋体" w:eastAsia="宋体" w:cs="宋体"/>
                <w:b/>
                <w:bCs/>
                <w:i w:val="0"/>
                <w:iCs w:val="0"/>
                <w:color w:val="auto"/>
                <w:kern w:val="0"/>
                <w:sz w:val="21"/>
                <w:szCs w:val="21"/>
                <w:highlight w:val="none"/>
                <w:u w:val="none"/>
                <w:lang w:val="en-US" w:eastAsia="zh-CN" w:bidi="ar"/>
              </w:rPr>
              <w:t>（公称直径）</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4798BE">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材质</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EB039D">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单位</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11A91">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b/>
                <w:bCs/>
                <w:i w:val="0"/>
                <w:iCs w:val="0"/>
                <w:color w:val="auto"/>
                <w:sz w:val="21"/>
                <w:szCs w:val="21"/>
                <w:highlight w:val="none"/>
                <w:u w:val="none"/>
                <w:lang w:val="en-US" w:eastAsia="zh-CN"/>
              </w:rPr>
              <w:t>计划</w:t>
            </w:r>
          </w:p>
          <w:p w14:paraId="088A8434">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b/>
                <w:bCs/>
                <w:i w:val="0"/>
                <w:iCs w:val="0"/>
                <w:color w:val="auto"/>
                <w:sz w:val="21"/>
                <w:szCs w:val="21"/>
                <w:highlight w:val="none"/>
                <w:u w:val="none"/>
                <w:lang w:val="en-US" w:eastAsia="zh-CN"/>
              </w:rPr>
              <w:t>数量</w:t>
            </w:r>
          </w:p>
        </w:tc>
        <w:tc>
          <w:tcPr>
            <w:tcW w:w="6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5F670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不含税预算综合单价</w:t>
            </w:r>
          </w:p>
          <w:p w14:paraId="6178393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（元）</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4CCF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bCs/>
                <w:i w:val="0"/>
                <w:iCs w:val="0"/>
                <w:color w:val="auto"/>
                <w:sz w:val="21"/>
                <w:szCs w:val="21"/>
                <w:highlight w:val="none"/>
                <w:u w:val="none"/>
              </w:rPr>
            </w:pPr>
            <w:r>
              <w:rPr>
                <w:rFonts w:hint="eastAsia" w:cs="宋体"/>
                <w:b/>
                <w:bCs/>
                <w:i w:val="0"/>
                <w:iCs w:val="0"/>
                <w:color w:val="auto"/>
                <w:kern w:val="0"/>
                <w:sz w:val="21"/>
                <w:szCs w:val="21"/>
                <w:highlight w:val="none"/>
                <w:u w:val="none"/>
                <w:lang w:val="en-US" w:eastAsia="zh-CN" w:bidi="ar"/>
              </w:rPr>
              <w:t>备注</w:t>
            </w:r>
          </w:p>
        </w:tc>
      </w:tr>
      <w:tr w14:paraId="3C0DEF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9D219">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1</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B4E067">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法兰闸阀</w:t>
            </w:r>
          </w:p>
        </w:tc>
        <w:tc>
          <w:tcPr>
            <w:tcW w:w="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25676">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DN50</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8F6AE3">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3B4E09">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839016">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80</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47BD3">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129.33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EBDA1">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26EFA0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FEAEA">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2</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8849A7">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法兰闸阀</w:t>
            </w:r>
          </w:p>
        </w:tc>
        <w:tc>
          <w:tcPr>
            <w:tcW w:w="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A6360">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DN65</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5F840A">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CBDAB9">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A626C">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10</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F75CB">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155.00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0AEED">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2475D5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1ABB6">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3</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8DB0CB">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法兰闸阀</w:t>
            </w:r>
          </w:p>
        </w:tc>
        <w:tc>
          <w:tcPr>
            <w:tcW w:w="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BB584">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DN80</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B85F84">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7ADA28">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A25E65">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421</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2C618">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165.33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DD43F">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22A188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2A3F4">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4</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A70A8C">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法兰闸阀</w:t>
            </w:r>
          </w:p>
        </w:tc>
        <w:tc>
          <w:tcPr>
            <w:tcW w:w="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EEC10">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DN100</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36C4A5">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DE01">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0F2214">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1049</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B2343">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183.67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C700E">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4E5D03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47D15">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5</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E3CECC">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法兰闸阀</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ADA926">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DN125</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C618DE">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9AD14D">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FEB00F">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3</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E2EB6">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289.67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74ACD">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04C910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6B261">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6</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3B4C24">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法兰闸阀</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2DAA29">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DN150</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B0A0F1">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A3B90">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17BFCD">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320</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4C2BF">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336.00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D3EA8">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37DB6E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54AA8">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7</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928FD3">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法兰闸阀</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1C001B">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DN200</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6265A1">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F00665">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AEAC70">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260</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1CFBA">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556.00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B4CAD">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6F2666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6C0D4">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8</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FCEB84">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法兰闸阀</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17E89">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DN250</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6712A9">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772B16">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88DA8">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10</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F25E2">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975.67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5DEB0">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7E6AF3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525E6">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9</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DFDFD">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法兰闸阀</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BEC846">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DN300</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1E79F9">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84FE84">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7E4CB3">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30</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D9E8F">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1,496.33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8B8EC">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4DFC79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1C375">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10</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EBE38E">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法兰闸阀</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24B46E">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DN350</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3B6D0A">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1B5242">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2896C3">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3</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BDA56">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2,312.00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20F0B">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3CC8BE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CEC76">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11</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18C8A8">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法兰闸阀</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F1B063">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DN400</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12DF81">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557565">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60A63">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15</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5212E">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2,892.00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C71DB">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234664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0B2C6">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12</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C972AD">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法兰闸阀</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936898">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DN450</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296396">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073A79">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3513A4">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3</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67334">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3,833.00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E5F66">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5CAA0E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6179B">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13</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69A144">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法兰闸阀</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474AE9">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DN500</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1447BC">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E90F2C">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8A80EF">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4</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00AD5">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5,553.67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903A5">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74602D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C9300">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14</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1AEFD4">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法兰闸阀</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AED20B">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DN600</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51B677">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B88645">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05D2F9">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4</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8E383">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6,990.00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EE1A4">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41F9CA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0E8DE">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15</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652058">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法兰蝶阀</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A8FA65">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DN50</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F85E48">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757B93">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FF8493">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6</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73496">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137.67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81162">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62BFDF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B1E1D">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16</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89BE23">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法兰蝶阀</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3BE2F6">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DN65</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1DFEDB">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00B4B1">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69477A">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3</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79B6F">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169.67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9F8BF">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599925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7DA68">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17</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F8C43C">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法兰蝶阀</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8A77F5">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DN80</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9625B9">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7405CA">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E9D45A">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85</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5647D">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208.67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DEC2D">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28D8C8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EDA2F">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18</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CE3D7D">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法兰蝶阀</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7A545F">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DN100</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5EBE4">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096149">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8ED9AD">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200</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E291B">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248.67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C6C06">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630CC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F2F5C">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19</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CAE677">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法兰蝶阀</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45A289">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DN125</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EAA382">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8B1574">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C515A6">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3</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215C6">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324.33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5602C">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7A0840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4A87F">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20</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B20B89">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法兰蝶阀</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4D1DA">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DN150</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8C9FE3">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543C2F">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E7B4A3">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120</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61B20">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358.67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482BC">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0BC706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249EA">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21</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FE1F79">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法兰蝶阀</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A64384">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DN200</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0F563D">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E64ADB">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05191A">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95</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2FCD0">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533.00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81CC2">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7761C6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45F62">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22</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2A0D45">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法兰蝶阀</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63FC09">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DN250</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A46CE7">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6615C">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BC9C23">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6</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52E53">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738.33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59104">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607D00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83E22">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23</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D685E8">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法兰蝶阀</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44EF88">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DN300</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237B07">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E07517">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A5E5CA">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84</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29727">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1,054.00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0BFFA">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195C5D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B6AAA">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24</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8B5696">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法兰蝶阀</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A394D4">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DN350</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640A7A">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3EFF9D">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AD11DB">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3</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36667">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1,523.33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25015">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37FCD0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96F1C">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25</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461BAF">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法兰蝶阀</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E4FB00">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DN400</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0EB210">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58AE88">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0D8B36">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49</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80F00">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2,319.67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A9271">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041775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F4482">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26</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A2E5EE">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法兰蝶阀</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0D47D1">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DN450</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D5CF21">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E92437">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E93788">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3</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A6CFD">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2,676.00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8CB08">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64D1C4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5DC30">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27</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957724">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法兰蝶阀</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3E962F">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DN500</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6BC2B3">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112487">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E2DF2">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11</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6AE02">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3,258.33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751E2">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0D3ED6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07FD0">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28</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CD859D">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法兰蝶阀</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F4A294">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DN600</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9A1387">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934E6E">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CB66B2">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21</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5FA36">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5,168.00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0BA9F">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284EA7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7A8F7">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29</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E02F11">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法兰蝶阀</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E42091">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DN700</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06B65">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72E602">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1EC578">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3</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B4339">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11,224.00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0DC57">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4A791C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15304">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30</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29359B">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法兰蝶阀</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E968FB">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DN750</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F28023">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C6A104">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3E6C2A">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3</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76748">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12,003.00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3CC31">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381793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19766">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31</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155179">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法兰蝶阀</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36B0E4">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DN800</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4687EC">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138707">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D0134C">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3</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C818A">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13,378.33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5EB44">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7C78BD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0C0D3">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32</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294FA2">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法兰蝶阀</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807219">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DN900</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6D8601">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3D2B2E">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06E424">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3</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55E2B">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16,590.00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59BED">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61E104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64296">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33</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1650E1">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法兰蝶阀</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4800E2">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DN1000</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29B152">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784930">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0602B7">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11</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39DEF">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20,574.67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29493">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233BC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92B32">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34</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7F821A">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法兰蝶阀</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1F980B">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DN1200</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F19C24">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681D76">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C7EFE4">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5</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F7053">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35,056.33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9962B">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677CDA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B5D71">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35</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34862B">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法兰蝶阀</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A9A65B">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DN1400</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A93706">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93732A">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179A4B">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3</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30756">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60,067.00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78577">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6D8A25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3AF67">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36</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49C95B">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法兰蝶阀</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A92E50">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DN1600</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28BC89">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6CDCF6">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D4595">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3</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B9292">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111,724.67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2EF95">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374719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97171">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37</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6465AF">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对夹式蝶阀</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3FA611">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DN50</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FBD48F">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FD27D">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D80F6F">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3</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0B45F">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69.33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6226C">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3C7FD9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000BD">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38</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3C7876">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对夹式蝶阀</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05E562">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DN65</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FE4CFF">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1626CC">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36C503">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3</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80C97">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82.00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2F41D">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4D6A06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8AC0D">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39</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5AF92E">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对夹式蝶阀</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4DC6D1">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DN80</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B7C46B">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5DEE79">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F0D3BA">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9</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ED799">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92.67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14F77">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7444F1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4ECA0">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40</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B08BF2">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对夹式蝶阀</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3103A2">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DN100</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C86330">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455A46">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5212FA">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30</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E8928">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114.33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FCEA2">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2A1E36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26BF2">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41</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7ACA10">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对夹式蝶阀</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6A38AF">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DN150</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70CACE">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EE0AD2">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8B280D">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11</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62066">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147.67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D1A3E">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1BD63F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4261C">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42</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DD3F2E">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对夹式蝶阀</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3B9F2C">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DN200</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4DC91F">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525127">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2D1342">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5</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91B7C">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400.67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37CFB">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4AC5FE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2523F">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43</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DB55B1">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对夹式蝶阀</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F02875">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DN250</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6FF215">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0D9622">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A93402">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3</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07408">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537.67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A94B7">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3702E7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437E7">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44</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7AEC42">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对夹式蝶阀</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C6F745">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DN300</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A46807">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12980D">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7FA2BA">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3</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7C182">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856.33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6F66E">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4F5B56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F71FD">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45</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AC7441">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对夹式蝶阀</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F233D5">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DN350</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C4561C">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327586">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078858">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3</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BCCE0">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1,097.33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AEF4C">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2F0618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301FD">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46</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DA4E9F">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对夹式蝶阀</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AFF79C">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DN400</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F6FF6">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F6B28">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931DC8">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4</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179A3">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1,698.33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F4AB0">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709446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1011A">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47</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201439">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对夹式蝶阀</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E6F6A4">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DN500</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3EBE1C">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70CA0F">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18B20C">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4</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EE334">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2,650.67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9D0D1">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2F081B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2728A">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48</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26FFF0">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对夹式蝶阀</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8231CC">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DN600</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ADE63F">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4B102D">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ADD31">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4</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7E36C">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4,559.67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96D83">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095862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C3F04">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49</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286958">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法兰止回阀</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22A072">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DN50</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D98941">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0F9F48">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FBCBD">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4</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6AE06">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131.67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B9186">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40266D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43EBB">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50</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615827">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法兰止回阀</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B9079F">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DN65</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A0AAEB">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B0A68D">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EF5A39">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4</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2F8E2">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177.33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5ED7D">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48987E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6A569">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51</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254613">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法兰止回阀</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618B2A">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DN80</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7516C5">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C8A296">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A137E3">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38</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CC2A5">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219.67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904E9">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113B84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5067E">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52</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0BEBC5">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法兰止回阀</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BEC633">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DN100</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15DC08">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D05436">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D6BAA7">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70</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3C80B">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241.67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450FE">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745E25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841B1">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53</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99D74">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法兰止回阀</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247886">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DN125</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7419EA">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AAAA4B">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B353D">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4</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AD34A">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358.00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622F6">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6C2287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2D5A8">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54</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8BB95B">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法兰止回阀</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95505F">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DN150</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6D731B">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1E1E80">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A30129">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150</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4F2F5">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418.33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2A644">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79A3FC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2357D">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55</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782273">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法兰止回阀</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607A7D">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DN200</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CD7F82">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AB1899">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56CAE2">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8</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8F0D6">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691.67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BB416">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192202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EDAA7">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56</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2A3C0C">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法兰止回阀</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BF2296">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DN250</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4617BD">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FE411F">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C29CB1">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4</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18310">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1,471.33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7CD3A">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5CD966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74F97">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57</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DF2D52">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法兰止回阀</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82E3E0">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DN300</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821714">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05B0CE">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E154A6">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4</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30A1D">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2,060.00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9F072">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057507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FFF0D">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58</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190C4C">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法兰止回阀</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EFCC27">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DN350</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69FA12">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5325FA">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8C4BCE">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4</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790B0">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2,372.67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A0311">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27DB88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71AE4">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59</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909696">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法兰止回阀</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848ED7">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DN400</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65AF5C">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68A4F6">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EB5051">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4</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B9F90">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3,265.00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1CDCF">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4A6008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311DD">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60</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C6B47F">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法兰止回阀</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A50EB5">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DN500</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EAD76">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F01A05">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44C540">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4</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061E7">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5,355.33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7F88D">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477E96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A34F2">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61</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43A4AA">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法兰止回阀</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D4D1C6">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DN600</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BBB774">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73D164">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880BD0">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4</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657E4">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7,116.33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B28FD">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7102BA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AE1EB">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62</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3262D1">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复合式排气阀</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98D77D">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DN50</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A827FB">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75E291">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D44708">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25</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CB000">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438.00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995B2">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454AE5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BDE6D">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63</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A6CE5C">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复合式排气阀</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41B442">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DN80</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748BEB">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78574F">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A2304F">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12</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42937">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533.00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312FF">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43472A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DF917">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64</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540F96">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复合式排气阀</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6430FF">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DN100</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016F59">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EBB677">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95C87">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6</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582B5">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584.00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6BFBB">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3D35F7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4002A">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65</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BEFB35">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复合式排气阀</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D7113D">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DN150</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E8DCE7">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5A833B">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38F976">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12</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B9C79">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1,145.00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B591E">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5AF17F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19661">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66</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B6027F">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复合式排气阀</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41CD0">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DN200</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9451F8">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67AF4C">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17950E">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12</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C6D2A">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1,498.33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7CEBE">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280E31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C0BDD">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67</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CB1E84">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复合式排气阀</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5045F8">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DN250</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734B25">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4F76F6">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DA8A50">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6</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54D64">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2,755.33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113AC">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20CC05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5830F">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68</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0B54AC">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复合式排气阀</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963DE4">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DN300</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D76223">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35774C">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CCDABF">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6</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DD79C">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3,389.00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E804C">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30B3C7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ADAF4">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69</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0C0B4E">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先导式减压阀</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8C64D6">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DN50</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23B612">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3B363C">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071026">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6</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B2799">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535.00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0895C">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2CB735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9F892">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70</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8B1B87">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先导式减压阀</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E7676A">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DN65</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421D33">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1B2B66">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9D9EDC">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6</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965DB">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596.67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64E82">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2D619A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86C05">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71</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90BC60">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先导式减压阀</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A8B852">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DN80</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89BA54">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1605D6">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CC06F5">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6</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98093">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662.67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12832">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0B35B3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ECAE0">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72</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EA29B5">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先导式减压阀</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233F0E">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DN100</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014798">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3CE10F">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DB848D">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6</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D28B2">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742.67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972D4">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1A8FB0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C4546">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73</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4E1F27">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加密法兰闸阀</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6B99FC">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DN50</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446A76">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1CE987">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AB618F">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6</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2ED65">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293.33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59AE0">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78EF34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3A579">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74</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BEC6D4">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加密法兰闸阀</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4CE17D">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DN65</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6DF4A">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7F8F33">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409122">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6</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1FB15">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354.67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D81C5">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64723D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717FE">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75</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85E5E5">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加密法兰闸阀</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9D987E">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DN80</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6B4BE2">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7396ED">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A0C426">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6</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F25E0">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424.33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A2F91">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53C3A0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21FE2">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76</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9F5861">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加密法兰闸阀</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BCB08A">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DN100</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0D5789">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56A181">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FFF1AB">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15</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6E68E">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476.67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E04A0">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7A1C28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04B96">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77</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82AEFE">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加密法兰闸阀</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84D60D">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DN125</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852CD3">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72A53B">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802373">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6</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27384">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692.67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D8A70">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5267ED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8E99B">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78</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B1AB09">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加密法兰闸阀</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1F6F22">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DN150</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2FE2DA">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698242">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2CC680">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6</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1656F">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782.67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B2CBA">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4A2BC6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6D97D">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79</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931228">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加密法兰闸阀</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645F22">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DN200</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3DF99C">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74DC00">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7F12A3">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6</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90E56">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1,277.67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89AC4">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4762C7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8E5AC">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80</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E38E62">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加密法兰闸阀</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9B1C40">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DN250</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AA00F0">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1DAB55">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CE7EBE">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6</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A5932">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1,925.00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67F06">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269C79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B2CA7">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81</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092145">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加密法兰闸阀</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EF53FC">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DN300</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5E51F2">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D272F4">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62B9A1">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6</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3B8D5">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2,393.00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07C2A">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5FD4C6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73166">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82</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360C2D">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加密法兰闸阀</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C9606F">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DN350</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9016A2">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5D125C">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068E78">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6</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724CE">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3,460.00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AD710">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5534CA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73271">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83</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D21D9A">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加密法兰闸阀</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5A0689">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DN400</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E2F324">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CC980">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F5C1EE">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6</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E73F7">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4,149.33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61773">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bl>
    <w:p w14:paraId="4BF60594">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721CB32A">
      <w:pPr>
        <w:pStyle w:val="2"/>
        <w:jc w:val="center"/>
        <w:rPr>
          <w:rFonts w:hint="eastAsia" w:ascii="宋体" w:hAnsi="宋体" w:eastAsia="宋体" w:cs="宋体"/>
          <w:color w:val="auto"/>
          <w:highlight w:val="none"/>
        </w:rPr>
      </w:pPr>
      <w:bookmarkStart w:id="697" w:name="_Toc18121"/>
      <w:r>
        <w:rPr>
          <w:rFonts w:hint="eastAsia" w:ascii="宋体" w:hAnsi="宋体" w:eastAsia="宋体" w:cs="宋体"/>
          <w:color w:val="auto"/>
          <w:highlight w:val="none"/>
        </w:rPr>
        <w:t>第四篇 合同条款格式</w:t>
      </w:r>
      <w:bookmarkEnd w:id="681"/>
      <w:bookmarkEnd w:id="682"/>
      <w:bookmarkEnd w:id="683"/>
      <w:bookmarkEnd w:id="684"/>
      <w:bookmarkEnd w:id="685"/>
      <w:bookmarkEnd w:id="686"/>
      <w:bookmarkEnd w:id="687"/>
      <w:bookmarkEnd w:id="688"/>
      <w:bookmarkEnd w:id="689"/>
      <w:bookmarkEnd w:id="696"/>
      <w:bookmarkEnd w:id="697"/>
    </w:p>
    <w:p w14:paraId="0EDEE0BB">
      <w:pPr>
        <w:rPr>
          <w:rFonts w:hint="eastAsia" w:ascii="宋体" w:hAnsi="宋体" w:eastAsia="宋体" w:cs="宋体"/>
          <w:color w:val="auto"/>
          <w:highlight w:val="none"/>
        </w:rPr>
      </w:pPr>
    </w:p>
    <w:p w14:paraId="11636C62">
      <w:pPr>
        <w:rPr>
          <w:rFonts w:hint="eastAsia" w:ascii="宋体" w:hAnsi="宋体" w:eastAsia="宋体" w:cs="宋体"/>
          <w:color w:val="auto"/>
          <w:highlight w:val="none"/>
        </w:rPr>
      </w:pPr>
    </w:p>
    <w:p w14:paraId="57C8171B">
      <w:pPr>
        <w:jc w:val="center"/>
        <w:rPr>
          <w:rFonts w:hint="eastAsia" w:ascii="宋体" w:hAnsi="宋体" w:eastAsia="宋体" w:cs="宋体"/>
          <w:b/>
          <w:bCs/>
          <w:color w:val="auto"/>
          <w:sz w:val="52"/>
          <w:szCs w:val="56"/>
          <w:highlight w:val="none"/>
          <w:lang w:eastAsia="zh-CN"/>
        </w:rPr>
      </w:pPr>
      <w:r>
        <w:rPr>
          <w:rFonts w:hint="eastAsia" w:cs="宋体"/>
          <w:b/>
          <w:bCs/>
          <w:color w:val="auto"/>
          <w:sz w:val="52"/>
          <w:szCs w:val="56"/>
          <w:highlight w:val="none"/>
          <w:lang w:eastAsia="zh-CN"/>
        </w:rPr>
        <w:t>东莞市碧水信息科技有限公司2025年度球墨铸铁阀门采购项目（第三次招标）</w:t>
      </w:r>
    </w:p>
    <w:p w14:paraId="5752237C">
      <w:pPr>
        <w:rPr>
          <w:rFonts w:hint="eastAsia" w:ascii="宋体" w:hAnsi="宋体" w:eastAsia="宋体" w:cs="宋体"/>
          <w:color w:val="auto"/>
          <w:highlight w:val="none"/>
        </w:rPr>
      </w:pPr>
    </w:p>
    <w:p w14:paraId="52E4D011">
      <w:pPr>
        <w:rPr>
          <w:rFonts w:hint="eastAsia" w:ascii="宋体" w:hAnsi="宋体" w:eastAsia="宋体" w:cs="宋体"/>
          <w:color w:val="auto"/>
          <w:highlight w:val="none"/>
        </w:rPr>
      </w:pPr>
    </w:p>
    <w:p w14:paraId="1B306D20">
      <w:pPr>
        <w:rPr>
          <w:rFonts w:hint="eastAsia" w:ascii="宋体" w:hAnsi="宋体" w:eastAsia="宋体" w:cs="宋体"/>
          <w:color w:val="auto"/>
          <w:highlight w:val="none"/>
        </w:rPr>
      </w:pPr>
    </w:p>
    <w:p w14:paraId="1A3F1D82">
      <w:pPr>
        <w:jc w:val="center"/>
        <w:rPr>
          <w:rFonts w:hint="eastAsia" w:ascii="宋体" w:hAnsi="宋体" w:eastAsia="宋体" w:cs="宋体"/>
          <w:b/>
          <w:color w:val="auto"/>
          <w:kern w:val="0"/>
          <w:sz w:val="52"/>
          <w:szCs w:val="52"/>
          <w:highlight w:val="none"/>
        </w:rPr>
      </w:pPr>
      <w:r>
        <w:rPr>
          <w:rFonts w:hint="eastAsia" w:ascii="宋体" w:hAnsi="宋体" w:eastAsia="宋体" w:cs="宋体"/>
          <w:b/>
          <w:color w:val="auto"/>
          <w:kern w:val="0"/>
          <w:sz w:val="52"/>
          <w:szCs w:val="52"/>
          <w:highlight w:val="none"/>
        </w:rPr>
        <w:t>采购合同</w:t>
      </w:r>
    </w:p>
    <w:p w14:paraId="0EB5CBEF">
      <w:pPr>
        <w:bidi w:val="0"/>
        <w:jc w:val="center"/>
        <w:rPr>
          <w:rFonts w:hint="eastAsia" w:ascii="宋体" w:hAnsi="宋体" w:eastAsia="宋体" w:cs="宋体"/>
          <w:b/>
          <w:bCs/>
          <w:color w:val="auto"/>
          <w:sz w:val="24"/>
          <w:szCs w:val="28"/>
          <w:highlight w:val="none"/>
        </w:rPr>
      </w:pPr>
      <w:r>
        <w:rPr>
          <w:rFonts w:hint="eastAsia" w:ascii="宋体" w:hAnsi="宋体" w:eastAsia="宋体" w:cs="宋体"/>
          <w:b/>
          <w:bCs/>
          <w:color w:val="auto"/>
          <w:sz w:val="24"/>
          <w:szCs w:val="28"/>
          <w:highlight w:val="none"/>
        </w:rPr>
        <w:t>（合同编号：       ）</w:t>
      </w:r>
    </w:p>
    <w:p w14:paraId="4BAD65F4">
      <w:pPr>
        <w:rPr>
          <w:rFonts w:hint="eastAsia" w:ascii="宋体" w:hAnsi="宋体" w:eastAsia="宋体" w:cs="宋体"/>
          <w:color w:val="auto"/>
          <w:highlight w:val="none"/>
        </w:rPr>
      </w:pPr>
    </w:p>
    <w:p w14:paraId="571147A7">
      <w:pPr>
        <w:rPr>
          <w:rFonts w:hint="eastAsia" w:ascii="宋体" w:hAnsi="宋体" w:eastAsia="宋体" w:cs="宋体"/>
          <w:color w:val="auto"/>
          <w:highlight w:val="none"/>
        </w:rPr>
      </w:pPr>
    </w:p>
    <w:p w14:paraId="0A235B13">
      <w:pPr>
        <w:rPr>
          <w:rFonts w:hint="eastAsia" w:ascii="宋体" w:hAnsi="宋体" w:eastAsia="宋体" w:cs="宋体"/>
          <w:color w:val="auto"/>
          <w:highlight w:val="none"/>
        </w:rPr>
      </w:pPr>
    </w:p>
    <w:p w14:paraId="16B01696">
      <w:pPr>
        <w:rPr>
          <w:rFonts w:hint="eastAsia" w:ascii="宋体" w:hAnsi="宋体" w:eastAsia="宋体" w:cs="宋体"/>
          <w:color w:val="auto"/>
          <w:highlight w:val="none"/>
        </w:rPr>
      </w:pPr>
    </w:p>
    <w:p w14:paraId="23006D8D">
      <w:pPr>
        <w:rPr>
          <w:rFonts w:hint="eastAsia" w:ascii="宋体" w:hAnsi="宋体" w:eastAsia="宋体" w:cs="宋体"/>
          <w:color w:val="auto"/>
          <w:highlight w:val="none"/>
        </w:rPr>
      </w:pPr>
    </w:p>
    <w:p w14:paraId="5893A8FF">
      <w:pPr>
        <w:keepNext w:val="0"/>
        <w:keepLines w:val="0"/>
        <w:pageBreakBefore w:val="0"/>
        <w:widowControl w:val="0"/>
        <w:kinsoku/>
        <w:wordWrap/>
        <w:overflowPunct/>
        <w:topLinePunct w:val="0"/>
        <w:autoSpaceDE w:val="0"/>
        <w:autoSpaceDN w:val="0"/>
        <w:bidi w:val="0"/>
        <w:adjustRightInd w:val="0"/>
        <w:snapToGrid w:val="0"/>
        <w:ind w:left="1680" w:leftChars="800" w:firstLine="562" w:firstLineChars="200"/>
        <w:textAlignment w:val="auto"/>
        <w:rPr>
          <w:rFonts w:hint="eastAsia" w:ascii="宋体" w:hAnsi="宋体" w:eastAsia="宋体" w:cs="宋体"/>
          <w:b/>
          <w:bCs/>
          <w:color w:val="auto"/>
          <w:sz w:val="28"/>
          <w:szCs w:val="32"/>
          <w:highlight w:val="none"/>
          <w:lang w:eastAsia="zh-CN"/>
        </w:rPr>
      </w:pPr>
      <w:r>
        <w:rPr>
          <w:rFonts w:hint="eastAsia" w:ascii="宋体" w:hAnsi="宋体" w:eastAsia="宋体" w:cs="宋体"/>
          <w:b/>
          <w:bCs/>
          <w:color w:val="auto"/>
          <w:sz w:val="28"/>
          <w:szCs w:val="32"/>
          <w:highlight w:val="none"/>
        </w:rPr>
        <w:t>甲方：</w:t>
      </w:r>
      <w:r>
        <w:rPr>
          <w:rFonts w:hint="eastAsia" w:ascii="宋体" w:hAnsi="宋体" w:eastAsia="宋体" w:cs="宋体"/>
          <w:b/>
          <w:bCs/>
          <w:color w:val="auto"/>
          <w:sz w:val="28"/>
          <w:szCs w:val="32"/>
          <w:highlight w:val="none"/>
          <w:u w:val="single"/>
          <w:lang w:eastAsia="zh-CN"/>
        </w:rPr>
        <w:t>东莞市碧水信息科技有限公司</w:t>
      </w:r>
    </w:p>
    <w:p w14:paraId="76AA027B">
      <w:pPr>
        <w:keepNext w:val="0"/>
        <w:keepLines w:val="0"/>
        <w:pageBreakBefore w:val="0"/>
        <w:widowControl w:val="0"/>
        <w:kinsoku/>
        <w:wordWrap/>
        <w:overflowPunct/>
        <w:topLinePunct w:val="0"/>
        <w:autoSpaceDE w:val="0"/>
        <w:autoSpaceDN w:val="0"/>
        <w:bidi w:val="0"/>
        <w:adjustRightInd w:val="0"/>
        <w:snapToGrid w:val="0"/>
        <w:ind w:left="1680" w:leftChars="800" w:firstLine="562" w:firstLineChars="200"/>
        <w:textAlignment w:val="auto"/>
        <w:rPr>
          <w:rFonts w:hint="eastAsia" w:ascii="宋体" w:hAnsi="宋体" w:eastAsia="宋体" w:cs="宋体"/>
          <w:b/>
          <w:bCs/>
          <w:color w:val="auto"/>
          <w:sz w:val="28"/>
          <w:szCs w:val="32"/>
          <w:highlight w:val="none"/>
          <w:u w:val="single"/>
        </w:rPr>
      </w:pPr>
      <w:r>
        <w:rPr>
          <w:rFonts w:hint="eastAsia" w:ascii="宋体" w:hAnsi="宋体" w:eastAsia="宋体" w:cs="宋体"/>
          <w:b/>
          <w:bCs/>
          <w:color w:val="auto"/>
          <w:sz w:val="28"/>
          <w:szCs w:val="32"/>
          <w:highlight w:val="none"/>
        </w:rPr>
        <w:t>乙方：</w:t>
      </w:r>
      <w:r>
        <w:rPr>
          <w:rFonts w:hint="eastAsia" w:ascii="宋体" w:hAnsi="宋体" w:eastAsia="宋体" w:cs="宋体"/>
          <w:b/>
          <w:bCs/>
          <w:color w:val="auto"/>
          <w:sz w:val="28"/>
          <w:szCs w:val="32"/>
          <w:highlight w:val="none"/>
          <w:u w:val="single"/>
        </w:rPr>
        <w:t xml:space="preserve">                          </w:t>
      </w:r>
    </w:p>
    <w:p w14:paraId="7AE07837">
      <w:pPr>
        <w:keepNext w:val="0"/>
        <w:keepLines w:val="0"/>
        <w:pageBreakBefore w:val="0"/>
        <w:widowControl w:val="0"/>
        <w:kinsoku/>
        <w:wordWrap/>
        <w:overflowPunct/>
        <w:topLinePunct w:val="0"/>
        <w:autoSpaceDE w:val="0"/>
        <w:autoSpaceDN w:val="0"/>
        <w:bidi w:val="0"/>
        <w:adjustRightInd w:val="0"/>
        <w:snapToGrid w:val="0"/>
        <w:ind w:left="1680" w:leftChars="800"/>
        <w:textAlignment w:val="auto"/>
        <w:rPr>
          <w:rFonts w:hint="eastAsia" w:ascii="宋体" w:hAnsi="宋体" w:eastAsia="宋体" w:cs="宋体"/>
          <w:b/>
          <w:bCs/>
          <w:color w:val="auto"/>
          <w:sz w:val="28"/>
          <w:szCs w:val="32"/>
          <w:highlight w:val="none"/>
        </w:rPr>
      </w:pPr>
    </w:p>
    <w:p w14:paraId="10F6EF66">
      <w:pPr>
        <w:keepNext w:val="0"/>
        <w:keepLines w:val="0"/>
        <w:pageBreakBefore w:val="0"/>
        <w:widowControl w:val="0"/>
        <w:kinsoku/>
        <w:wordWrap/>
        <w:overflowPunct/>
        <w:topLinePunct w:val="0"/>
        <w:autoSpaceDE w:val="0"/>
        <w:autoSpaceDN w:val="0"/>
        <w:bidi w:val="0"/>
        <w:adjustRightInd w:val="0"/>
        <w:snapToGrid w:val="0"/>
        <w:ind w:left="1680" w:leftChars="800" w:firstLine="562" w:firstLineChars="200"/>
        <w:textAlignment w:val="auto"/>
        <w:rPr>
          <w:rFonts w:hint="eastAsia" w:ascii="宋体" w:hAnsi="宋体" w:eastAsia="宋体" w:cs="宋体"/>
          <w:b/>
          <w:bCs/>
          <w:color w:val="auto"/>
          <w:highlight w:val="none"/>
        </w:rPr>
      </w:pPr>
      <w:r>
        <w:rPr>
          <w:rFonts w:hint="eastAsia" w:ascii="宋体" w:hAnsi="宋体" w:eastAsia="宋体" w:cs="宋体"/>
          <w:b/>
          <w:bCs/>
          <w:color w:val="auto"/>
          <w:sz w:val="28"/>
          <w:szCs w:val="32"/>
          <w:highlight w:val="none"/>
        </w:rPr>
        <w:t>签订日期：   年   月   日</w:t>
      </w:r>
    </w:p>
    <w:p w14:paraId="4324AB9E">
      <w:pPr>
        <w:widowControl/>
        <w:jc w:val="left"/>
        <w:rPr>
          <w:rFonts w:hint="eastAsia" w:ascii="宋体" w:hAnsi="宋体" w:eastAsia="宋体" w:cs="宋体"/>
          <w:color w:val="auto"/>
          <w:kern w:val="0"/>
          <w:sz w:val="24"/>
          <w:szCs w:val="21"/>
          <w:highlight w:val="none"/>
        </w:rPr>
      </w:pPr>
      <w:r>
        <w:rPr>
          <w:rFonts w:hint="eastAsia" w:ascii="宋体" w:hAnsi="宋体" w:eastAsia="宋体" w:cs="宋体"/>
          <w:color w:val="auto"/>
          <w:kern w:val="0"/>
          <w:sz w:val="24"/>
          <w:szCs w:val="21"/>
          <w:highlight w:val="none"/>
        </w:rPr>
        <w:br w:type="page"/>
      </w:r>
    </w:p>
    <w:p w14:paraId="3620D7B0">
      <w:pPr>
        <w:keepNext w:val="0"/>
        <w:keepLines w:val="0"/>
        <w:pageBreakBefore w:val="0"/>
        <w:kinsoku/>
        <w:wordWrap/>
        <w:overflowPunct/>
        <w:topLinePunct w:val="0"/>
        <w:autoSpaceDE/>
        <w:autoSpaceDN/>
        <w:bidi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甲方（买方）：</w:t>
      </w:r>
    </w:p>
    <w:p w14:paraId="26689C76">
      <w:pPr>
        <w:keepNext w:val="0"/>
        <w:keepLines w:val="0"/>
        <w:pageBreakBefore w:val="0"/>
        <w:kinsoku/>
        <w:wordWrap/>
        <w:overflowPunct/>
        <w:topLinePunct w:val="0"/>
        <w:autoSpaceDE/>
        <w:autoSpaceDN/>
        <w:bidi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乙方（卖方）：</w:t>
      </w:r>
    </w:p>
    <w:p w14:paraId="366ACBF1">
      <w:pPr>
        <w:bidi w:val="0"/>
        <w:rPr>
          <w:rFonts w:hint="eastAsia" w:ascii="宋体" w:hAnsi="宋体" w:eastAsia="宋体" w:cs="宋体"/>
          <w:color w:val="auto"/>
          <w:highlight w:val="none"/>
        </w:rPr>
      </w:pPr>
    </w:p>
    <w:p w14:paraId="71324493">
      <w:pPr>
        <w:keepNext w:val="0"/>
        <w:keepLines w:val="0"/>
        <w:pageBreakBefore w:val="0"/>
        <w:kinsoku/>
        <w:wordWrap/>
        <w:overflowPunct/>
        <w:topLinePunct w:val="0"/>
        <w:autoSpaceDE/>
        <w:autoSpaceDN/>
        <w:bidi w:val="0"/>
        <w:snapToGrid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根据《中华人民共和国民法典》及</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r>
        <w:rPr>
          <w:rFonts w:hint="eastAsia" w:cs="宋体"/>
          <w:color w:val="auto"/>
          <w:kern w:val="2"/>
          <w:sz w:val="21"/>
          <w:szCs w:val="21"/>
          <w:highlight w:val="none"/>
          <w:lang w:val="zh-CN" w:eastAsia="zh-CN" w:bidi="ar-SA"/>
        </w:rPr>
        <w:t>东莞市碧水信息科技有限公司2025年度球墨铸铁阀门采购项目（第三次招标）</w:t>
      </w:r>
      <w:r>
        <w:rPr>
          <w:rFonts w:hint="eastAsia" w:ascii="宋体" w:hAnsi="宋体" w:eastAsia="宋体" w:cs="宋体"/>
          <w:color w:val="auto"/>
          <w:sz w:val="21"/>
          <w:szCs w:val="21"/>
          <w:highlight w:val="none"/>
        </w:rPr>
        <w:t>招投标结果（招标编号：</w:t>
      </w:r>
      <w:r>
        <w:rPr>
          <w:rFonts w:hint="eastAsia" w:cs="宋体"/>
          <w:color w:val="auto"/>
          <w:kern w:val="2"/>
          <w:sz w:val="21"/>
          <w:szCs w:val="21"/>
          <w:highlight w:val="none"/>
          <w:lang w:val="en-US" w:eastAsia="zh-CN" w:bidi="ar-SA"/>
        </w:rPr>
        <w:t>YDZB25DGQY0149-2</w:t>
      </w:r>
      <w:r>
        <w:rPr>
          <w:rFonts w:hint="eastAsia" w:ascii="宋体" w:hAnsi="宋体" w:eastAsia="宋体" w:cs="宋体"/>
          <w:color w:val="auto"/>
          <w:sz w:val="21"/>
          <w:szCs w:val="21"/>
          <w:highlight w:val="none"/>
        </w:rPr>
        <w:t>）和招标文件的要求，经双方协商一致，签订本合同。</w:t>
      </w:r>
    </w:p>
    <w:p w14:paraId="12BB46EB">
      <w:pPr>
        <w:keepNext w:val="0"/>
        <w:keepLines w:val="0"/>
        <w:pageBreakBefore w:val="0"/>
        <w:kinsoku/>
        <w:wordWrap/>
        <w:overflowPunct/>
        <w:topLinePunct w:val="0"/>
        <w:autoSpaceDE/>
        <w:autoSpaceDN/>
        <w:bidi w:val="0"/>
        <w:spacing w:line="360" w:lineRule="auto"/>
        <w:ind w:firstLine="422" w:firstLineChars="200"/>
        <w:textAlignment w:val="auto"/>
        <w:outlineLvl w:val="1"/>
        <w:rPr>
          <w:rFonts w:hint="eastAsia" w:ascii="宋体" w:hAnsi="宋体" w:eastAsia="宋体" w:cs="宋体"/>
          <w:b/>
          <w:color w:val="auto"/>
          <w:sz w:val="21"/>
          <w:szCs w:val="21"/>
          <w:highlight w:val="none"/>
          <w:lang w:val="en-US" w:eastAsia="zh-CN"/>
        </w:rPr>
      </w:pPr>
      <w:bookmarkStart w:id="698" w:name="_Toc18210"/>
      <w:bookmarkStart w:id="699" w:name="_Toc17887"/>
      <w:r>
        <w:rPr>
          <w:rFonts w:hint="eastAsia" w:ascii="宋体" w:hAnsi="宋体" w:eastAsia="宋体" w:cs="宋体"/>
          <w:b/>
          <w:color w:val="auto"/>
          <w:sz w:val="21"/>
          <w:szCs w:val="21"/>
          <w:highlight w:val="none"/>
          <w:lang w:val="en-US" w:eastAsia="zh-CN"/>
        </w:rPr>
        <w:t>第一条 供货资格及范围</w:t>
      </w:r>
      <w:bookmarkEnd w:id="698"/>
      <w:bookmarkEnd w:id="699"/>
    </w:p>
    <w:p w14:paraId="63806B37">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甲方确定乙方成为</w:t>
      </w:r>
      <w:r>
        <w:rPr>
          <w:rFonts w:hint="eastAsia" w:ascii="宋体" w:hAnsi="宋体" w:eastAsia="宋体" w:cs="宋体"/>
          <w:color w:val="auto"/>
          <w:kern w:val="2"/>
          <w:sz w:val="21"/>
          <w:szCs w:val="21"/>
          <w:highlight w:val="none"/>
          <w:lang w:val="zh-CN" w:eastAsia="zh-CN" w:bidi="ar-SA"/>
        </w:rPr>
        <w:t>东莞市碧水信息科技有限公司2025年度球墨铸铁阀门</w:t>
      </w:r>
      <w:r>
        <w:rPr>
          <w:rFonts w:hint="eastAsia" w:ascii="宋体" w:hAnsi="宋体" w:eastAsia="宋体" w:cs="宋体"/>
          <w:color w:val="auto"/>
          <w:sz w:val="21"/>
          <w:szCs w:val="21"/>
          <w:highlight w:val="none"/>
          <w:lang w:eastAsia="zh-CN"/>
        </w:rPr>
        <w:t>采购</w:t>
      </w:r>
      <w:r>
        <w:rPr>
          <w:rFonts w:hint="eastAsia" w:ascii="宋体" w:hAnsi="宋体" w:eastAsia="宋体" w:cs="宋体"/>
          <w:color w:val="auto"/>
          <w:sz w:val="21"/>
          <w:szCs w:val="21"/>
          <w:highlight w:val="none"/>
        </w:rPr>
        <w:t>供应商，由乙方向甲方提供所需的</w:t>
      </w:r>
      <w:r>
        <w:rPr>
          <w:rFonts w:hint="eastAsia" w:ascii="宋体" w:hAnsi="宋体" w:eastAsia="宋体" w:cs="宋体"/>
          <w:color w:val="auto"/>
          <w:sz w:val="21"/>
          <w:szCs w:val="21"/>
          <w:highlight w:val="none"/>
          <w:lang w:val="en-US" w:eastAsia="zh-CN"/>
        </w:rPr>
        <w:t>阀门</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供货范围为东莞市内，</w:t>
      </w:r>
      <w:r>
        <w:rPr>
          <w:rFonts w:hint="eastAsia" w:ascii="宋体" w:hAnsi="宋体" w:eastAsia="宋体" w:cs="宋体"/>
          <w:color w:val="auto"/>
          <w:sz w:val="21"/>
          <w:szCs w:val="21"/>
          <w:highlight w:val="none"/>
        </w:rPr>
        <w:t>详见附件</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东莞市碧水信息科技有限公司2025年度</w:t>
      </w:r>
      <w:r>
        <w:rPr>
          <w:rFonts w:hint="eastAsia" w:ascii="宋体" w:hAnsi="宋体" w:eastAsia="宋体" w:cs="宋体"/>
          <w:color w:val="auto"/>
          <w:sz w:val="21"/>
          <w:szCs w:val="21"/>
          <w:highlight w:val="none"/>
          <w:lang w:val="en-US" w:eastAsia="zh-CN"/>
        </w:rPr>
        <w:t>阀门</w:t>
      </w:r>
      <w:r>
        <w:rPr>
          <w:rFonts w:hint="eastAsia" w:ascii="宋体" w:hAnsi="宋体" w:eastAsia="宋体" w:cs="宋体"/>
          <w:color w:val="auto"/>
          <w:sz w:val="21"/>
          <w:szCs w:val="21"/>
          <w:highlight w:val="none"/>
          <w:lang w:eastAsia="zh-CN"/>
        </w:rPr>
        <w:t>采购</w:t>
      </w:r>
      <w:r>
        <w:rPr>
          <w:rFonts w:hint="eastAsia" w:ascii="宋体" w:hAnsi="宋体" w:eastAsia="宋体" w:cs="宋体"/>
          <w:color w:val="auto"/>
          <w:sz w:val="21"/>
          <w:szCs w:val="21"/>
          <w:highlight w:val="none"/>
        </w:rPr>
        <w:t>清单及价格表》（以下简称为“《采购</w:t>
      </w:r>
      <w:r>
        <w:rPr>
          <w:rFonts w:hint="eastAsia" w:ascii="宋体" w:hAnsi="宋体" w:eastAsia="宋体" w:cs="宋体"/>
          <w:color w:val="auto"/>
          <w:sz w:val="21"/>
          <w:szCs w:val="21"/>
          <w:highlight w:val="none"/>
          <w:lang w:val="en-US" w:eastAsia="zh-CN"/>
        </w:rPr>
        <w:t>材料</w:t>
      </w:r>
      <w:r>
        <w:rPr>
          <w:rFonts w:hint="eastAsia" w:ascii="宋体" w:hAnsi="宋体" w:eastAsia="宋体" w:cs="宋体"/>
          <w:color w:val="auto"/>
          <w:sz w:val="21"/>
          <w:szCs w:val="21"/>
          <w:highlight w:val="none"/>
        </w:rPr>
        <w:t>清单及价格表》”）。</w:t>
      </w:r>
    </w:p>
    <w:p w14:paraId="51FAE9A3">
      <w:pPr>
        <w:keepNext w:val="0"/>
        <w:keepLines w:val="0"/>
        <w:pageBreakBefore w:val="0"/>
        <w:kinsoku/>
        <w:wordWrap/>
        <w:overflowPunct/>
        <w:topLinePunct w:val="0"/>
        <w:autoSpaceDE/>
        <w:autoSpaceDN/>
        <w:bidi w:val="0"/>
        <w:spacing w:line="360" w:lineRule="auto"/>
        <w:ind w:firstLine="420" w:firstLineChars="200"/>
        <w:jc w:val="both"/>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本次</w:t>
      </w:r>
      <w:r>
        <w:rPr>
          <w:rFonts w:hint="eastAsia" w:ascii="宋体" w:hAnsi="宋体" w:eastAsia="宋体" w:cs="宋体"/>
          <w:color w:val="auto"/>
          <w:sz w:val="21"/>
          <w:szCs w:val="21"/>
          <w:highlight w:val="none"/>
          <w:lang w:val="en-US" w:eastAsia="zh-CN"/>
        </w:rPr>
        <w:t>阀门预计用</w:t>
      </w:r>
      <w:r>
        <w:rPr>
          <w:rFonts w:hint="eastAsia" w:ascii="宋体" w:hAnsi="宋体" w:eastAsia="宋体" w:cs="宋体"/>
          <w:color w:val="auto"/>
          <w:sz w:val="21"/>
          <w:szCs w:val="21"/>
          <w:highlight w:val="none"/>
        </w:rPr>
        <w:t>量为暂定数量，仅为</w:t>
      </w:r>
      <w:r>
        <w:rPr>
          <w:rFonts w:hint="eastAsia" w:ascii="宋体" w:hAnsi="宋体" w:eastAsia="宋体" w:cs="宋体"/>
          <w:color w:val="auto"/>
          <w:sz w:val="21"/>
          <w:szCs w:val="21"/>
          <w:highlight w:val="none"/>
          <w:lang w:val="en-US" w:eastAsia="zh-CN"/>
        </w:rPr>
        <w:t>方便</w:t>
      </w:r>
      <w:r>
        <w:rPr>
          <w:rFonts w:hint="eastAsia" w:ascii="宋体" w:hAnsi="宋体" w:eastAsia="宋体" w:cs="宋体"/>
          <w:color w:val="auto"/>
          <w:sz w:val="21"/>
          <w:szCs w:val="21"/>
          <w:highlight w:val="none"/>
        </w:rPr>
        <w:t>计算暂定合同价使用，不作为</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最终采购量的保证，</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不得因</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实际采购量的减少或增加而要求提供任何形式的补偿或赔偿，实际采购量以</w:t>
      </w:r>
      <w:r>
        <w:rPr>
          <w:rFonts w:hint="eastAsia" w:ascii="宋体" w:hAnsi="宋体" w:eastAsia="宋体" w:cs="宋体"/>
          <w:color w:val="auto"/>
          <w:sz w:val="21"/>
          <w:szCs w:val="21"/>
          <w:highlight w:val="none"/>
          <w:lang w:val="en-US" w:eastAsia="zh-CN"/>
        </w:rPr>
        <w:t>供货期</w:t>
      </w:r>
      <w:r>
        <w:rPr>
          <w:rFonts w:hint="eastAsia" w:ascii="宋体" w:hAnsi="宋体" w:eastAsia="宋体" w:cs="宋体"/>
          <w:color w:val="auto"/>
          <w:sz w:val="21"/>
          <w:szCs w:val="21"/>
          <w:highlight w:val="none"/>
        </w:rPr>
        <w:t>内</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实际需求量为准。</w:t>
      </w:r>
    </w:p>
    <w:p w14:paraId="58F6B884">
      <w:pPr>
        <w:keepNext w:val="0"/>
        <w:keepLines w:val="0"/>
        <w:pageBreakBefore w:val="0"/>
        <w:widowControl/>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乙方有义务接受甲方的监督。</w:t>
      </w:r>
    </w:p>
    <w:p w14:paraId="40F5755F">
      <w:pPr>
        <w:keepNext w:val="0"/>
        <w:keepLines w:val="0"/>
        <w:pageBreakBefore w:val="0"/>
        <w:widowControl/>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乙方必须清楚理解：本项目不具排他性，本采购结果仅作为</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在合同期限内取得向</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lang w:val="en-US" w:eastAsia="zh-CN"/>
        </w:rPr>
        <w:t>供货本项目阀门</w:t>
      </w:r>
      <w:r>
        <w:rPr>
          <w:rFonts w:hint="eastAsia" w:ascii="宋体" w:hAnsi="宋体" w:eastAsia="宋体" w:cs="宋体"/>
          <w:color w:val="auto"/>
          <w:sz w:val="21"/>
          <w:szCs w:val="21"/>
          <w:highlight w:val="none"/>
        </w:rPr>
        <w:t>的资格，但并不代表</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必然取得</w:t>
      </w:r>
      <w:r>
        <w:rPr>
          <w:rFonts w:hint="eastAsia" w:ascii="宋体" w:hAnsi="宋体" w:eastAsia="宋体" w:cs="宋体"/>
          <w:color w:val="auto"/>
          <w:sz w:val="21"/>
          <w:szCs w:val="21"/>
          <w:highlight w:val="none"/>
          <w:lang w:eastAsia="zh-CN"/>
        </w:rPr>
        <w:t>所有</w:t>
      </w:r>
      <w:r>
        <w:rPr>
          <w:rFonts w:hint="eastAsia" w:ascii="宋体" w:hAnsi="宋体" w:eastAsia="宋体" w:cs="宋体"/>
          <w:color w:val="auto"/>
          <w:sz w:val="21"/>
          <w:szCs w:val="21"/>
          <w:highlight w:val="none"/>
        </w:rPr>
        <w:t>供货的权利。</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根据</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资质条件、履约能力和实际履约情况，及</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的实际需求仍有权另行采购其他第三方进行本次合同范围内的货物供货服务。</w:t>
      </w:r>
    </w:p>
    <w:p w14:paraId="4D4590CA">
      <w:pPr>
        <w:keepNext w:val="0"/>
        <w:keepLines w:val="0"/>
        <w:pageBreakBefore w:val="0"/>
        <w:kinsoku/>
        <w:wordWrap/>
        <w:overflowPunct/>
        <w:topLinePunct w:val="0"/>
        <w:autoSpaceDE/>
        <w:autoSpaceDN/>
        <w:bidi w:val="0"/>
        <w:spacing w:line="360" w:lineRule="auto"/>
        <w:ind w:firstLine="422" w:firstLineChars="200"/>
        <w:textAlignment w:val="auto"/>
        <w:outlineLvl w:val="1"/>
        <w:rPr>
          <w:rFonts w:hint="eastAsia" w:ascii="宋体" w:hAnsi="宋体" w:eastAsia="宋体" w:cs="宋体"/>
          <w:b/>
          <w:color w:val="auto"/>
          <w:sz w:val="21"/>
          <w:szCs w:val="21"/>
          <w:highlight w:val="none"/>
          <w:lang w:val="en-US" w:eastAsia="zh-CN"/>
        </w:rPr>
      </w:pPr>
      <w:bookmarkStart w:id="700" w:name="_Toc24843"/>
      <w:bookmarkStart w:id="701" w:name="_Toc5484"/>
      <w:r>
        <w:rPr>
          <w:rFonts w:hint="eastAsia" w:ascii="宋体" w:hAnsi="宋体" w:eastAsia="宋体" w:cs="宋体"/>
          <w:b/>
          <w:color w:val="auto"/>
          <w:sz w:val="21"/>
          <w:szCs w:val="21"/>
          <w:highlight w:val="none"/>
          <w:lang w:val="en-US" w:eastAsia="zh-CN"/>
        </w:rPr>
        <w:t>第二条 合同供货期</w:t>
      </w:r>
      <w:bookmarkEnd w:id="700"/>
      <w:bookmarkEnd w:id="701"/>
    </w:p>
    <w:p w14:paraId="24BC99F0">
      <w:pPr>
        <w:keepNext w:val="0"/>
        <w:keepLines w:val="0"/>
        <w:pageBreakBefore w:val="0"/>
        <w:kinsoku/>
        <w:wordWrap/>
        <w:overflowPunct/>
        <w:topLinePunct w:val="0"/>
        <w:autoSpaceDE/>
        <w:autoSpaceDN/>
        <w:bidi w:val="0"/>
        <w:spacing w:line="360" w:lineRule="auto"/>
        <w:ind w:firstLine="420" w:firstLineChars="200"/>
        <w:jc w:val="both"/>
        <w:textAlignment w:val="auto"/>
        <w:rPr>
          <w:rFonts w:hint="eastAsia" w:ascii="宋体" w:hAnsi="宋体" w:eastAsia="宋体" w:cs="宋体"/>
          <w:b/>
          <w:color w:val="auto"/>
          <w:kern w:val="2"/>
          <w:sz w:val="21"/>
          <w:szCs w:val="21"/>
          <w:highlight w:val="none"/>
          <w:u w:val="words"/>
        </w:rPr>
      </w:pPr>
      <w:r>
        <w:rPr>
          <w:rFonts w:hint="eastAsia" w:ascii="宋体" w:hAnsi="宋体" w:eastAsia="宋体" w:cs="宋体"/>
          <w:snapToGrid w:val="0"/>
          <w:color w:val="auto"/>
          <w:kern w:val="0"/>
          <w:szCs w:val="21"/>
          <w:highlight w:val="none"/>
          <w:u w:val="none"/>
          <w:lang w:bidi="ar"/>
        </w:rPr>
        <w:t>自合同签订之日起至2026年12月31日或累计结算金额（不含税）达到</w:t>
      </w:r>
      <w:r>
        <w:rPr>
          <w:rFonts w:hint="eastAsia" w:ascii="宋体" w:hAnsi="宋体" w:eastAsia="宋体" w:cs="宋体"/>
          <w:snapToGrid w:val="0"/>
          <w:color w:val="auto"/>
          <w:kern w:val="0"/>
          <w:szCs w:val="21"/>
          <w:highlight w:val="none"/>
          <w:u w:val="none"/>
          <w:lang w:val="en-US" w:eastAsia="zh-CN" w:bidi="ar"/>
        </w:rPr>
        <w:t>不含税</w:t>
      </w:r>
      <w:r>
        <w:rPr>
          <w:rFonts w:hint="eastAsia" w:ascii="宋体" w:hAnsi="宋体" w:eastAsia="宋体" w:cs="宋体"/>
          <w:snapToGrid w:val="0"/>
          <w:color w:val="auto"/>
          <w:kern w:val="0"/>
          <w:szCs w:val="21"/>
          <w:highlight w:val="none"/>
          <w:u w:val="none"/>
          <w:lang w:bidi="ar"/>
        </w:rPr>
        <w:t>暂定合同价时，采购合同终止，以先到者为准。</w:t>
      </w:r>
    </w:p>
    <w:p w14:paraId="3C7FB04D">
      <w:pPr>
        <w:keepNext w:val="0"/>
        <w:keepLines w:val="0"/>
        <w:pageBreakBefore w:val="0"/>
        <w:kinsoku/>
        <w:wordWrap/>
        <w:overflowPunct/>
        <w:topLinePunct w:val="0"/>
        <w:autoSpaceDE/>
        <w:autoSpaceDN/>
        <w:bidi w:val="0"/>
        <w:spacing w:line="360" w:lineRule="auto"/>
        <w:ind w:firstLine="422" w:firstLineChars="200"/>
        <w:textAlignment w:val="auto"/>
        <w:outlineLvl w:val="1"/>
        <w:rPr>
          <w:rFonts w:hint="eastAsia" w:ascii="宋体" w:hAnsi="宋体" w:eastAsia="宋体" w:cs="宋体"/>
          <w:b/>
          <w:color w:val="auto"/>
          <w:sz w:val="21"/>
          <w:szCs w:val="21"/>
          <w:highlight w:val="none"/>
          <w:lang w:val="en-US" w:eastAsia="zh-CN"/>
        </w:rPr>
      </w:pPr>
      <w:bookmarkStart w:id="702" w:name="_Toc4044"/>
      <w:bookmarkStart w:id="703" w:name="_Toc7528"/>
      <w:r>
        <w:rPr>
          <w:rFonts w:hint="eastAsia" w:ascii="宋体" w:hAnsi="宋体" w:eastAsia="宋体" w:cs="宋体"/>
          <w:b/>
          <w:color w:val="auto"/>
          <w:sz w:val="21"/>
          <w:szCs w:val="21"/>
          <w:highlight w:val="none"/>
          <w:lang w:val="en-US" w:eastAsia="zh-CN"/>
        </w:rPr>
        <w:t>第三条 技术参数要求</w:t>
      </w:r>
      <w:bookmarkEnd w:id="702"/>
      <w:bookmarkEnd w:id="703"/>
    </w:p>
    <w:p w14:paraId="7D08836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i w:val="0"/>
          <w:iCs w:val="0"/>
          <w:snapToGrid w:val="0"/>
          <w:color w:val="auto"/>
          <w:kern w:val="0"/>
          <w:sz w:val="21"/>
          <w:szCs w:val="21"/>
          <w:highlight w:val="none"/>
          <w:u w:val="none"/>
          <w:lang w:val="en-US" w:eastAsia="zh-CN" w:bidi="ar"/>
        </w:rPr>
      </w:pPr>
      <w:bookmarkStart w:id="704" w:name="_Toc3400"/>
      <w:bookmarkStart w:id="705" w:name="_Toc4796"/>
      <w:r>
        <w:rPr>
          <w:rFonts w:hint="eastAsia" w:ascii="宋体" w:hAnsi="宋体" w:eastAsia="宋体" w:cs="宋体"/>
          <w:b w:val="0"/>
          <w:bCs w:val="0"/>
          <w:i w:val="0"/>
          <w:iCs w:val="0"/>
          <w:snapToGrid w:val="0"/>
          <w:color w:val="auto"/>
          <w:kern w:val="0"/>
          <w:sz w:val="21"/>
          <w:szCs w:val="21"/>
          <w:highlight w:val="none"/>
          <w:u w:val="none"/>
          <w:lang w:val="en-US" w:eastAsia="zh-CN" w:bidi="ar"/>
        </w:rPr>
        <w:t>乙方提供的货物及服务应满足附件《用户需求书》中的技术参数要求。</w:t>
      </w:r>
    </w:p>
    <w:p w14:paraId="18290521">
      <w:pPr>
        <w:keepNext w:val="0"/>
        <w:keepLines w:val="0"/>
        <w:pageBreakBefore w:val="0"/>
        <w:kinsoku/>
        <w:wordWrap/>
        <w:overflowPunct/>
        <w:topLinePunct w:val="0"/>
        <w:autoSpaceDE/>
        <w:autoSpaceDN/>
        <w:bidi w:val="0"/>
        <w:spacing w:line="360" w:lineRule="auto"/>
        <w:ind w:firstLine="422" w:firstLineChars="200"/>
        <w:textAlignment w:val="auto"/>
        <w:outlineLvl w:val="1"/>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 xml:space="preserve">第四条 </w:t>
      </w:r>
      <w:r>
        <w:rPr>
          <w:rFonts w:hint="eastAsia" w:ascii="宋体" w:hAnsi="宋体" w:eastAsia="宋体" w:cs="宋体"/>
          <w:b/>
          <w:color w:val="auto"/>
          <w:sz w:val="21"/>
          <w:szCs w:val="21"/>
          <w:highlight w:val="none"/>
        </w:rPr>
        <w:t>其他要求</w:t>
      </w:r>
      <w:bookmarkEnd w:id="704"/>
      <w:bookmarkEnd w:id="705"/>
    </w:p>
    <w:p w14:paraId="047D9F5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i w:val="0"/>
          <w:iCs w:val="0"/>
          <w:snapToGrid w:val="0"/>
          <w:color w:val="auto"/>
          <w:kern w:val="0"/>
          <w:sz w:val="21"/>
          <w:szCs w:val="21"/>
          <w:highlight w:val="none"/>
          <w:u w:val="none"/>
          <w:lang w:val="en-US" w:eastAsia="zh-CN" w:bidi="ar"/>
        </w:rPr>
      </w:pPr>
      <w:r>
        <w:rPr>
          <w:rFonts w:hint="eastAsia" w:ascii="宋体" w:hAnsi="宋体" w:eastAsia="宋体" w:cs="宋体"/>
          <w:b w:val="0"/>
          <w:bCs w:val="0"/>
          <w:i w:val="0"/>
          <w:iCs w:val="0"/>
          <w:snapToGrid w:val="0"/>
          <w:color w:val="auto"/>
          <w:kern w:val="0"/>
          <w:sz w:val="21"/>
          <w:szCs w:val="21"/>
          <w:highlight w:val="none"/>
          <w:u w:val="none"/>
          <w:lang w:val="en-US" w:eastAsia="zh-CN" w:bidi="ar"/>
        </w:rPr>
        <w:t>1.《采购材料清单及价格表》的货物有规格型号推荐的，乙方须采用采购清单中的规格型号供货。</w:t>
      </w:r>
    </w:p>
    <w:p w14:paraId="25FAD91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i w:val="0"/>
          <w:iCs w:val="0"/>
          <w:snapToGrid w:val="0"/>
          <w:color w:val="auto"/>
          <w:kern w:val="0"/>
          <w:sz w:val="21"/>
          <w:szCs w:val="21"/>
          <w:highlight w:val="none"/>
          <w:u w:val="none"/>
          <w:lang w:val="en-US" w:eastAsia="zh-CN" w:bidi="ar"/>
        </w:rPr>
      </w:pPr>
      <w:r>
        <w:rPr>
          <w:rFonts w:hint="eastAsia" w:ascii="宋体" w:hAnsi="宋体" w:eastAsia="宋体" w:cs="宋体"/>
          <w:b w:val="0"/>
          <w:bCs w:val="0"/>
          <w:i w:val="0"/>
          <w:iCs w:val="0"/>
          <w:snapToGrid w:val="0"/>
          <w:color w:val="auto"/>
          <w:kern w:val="0"/>
          <w:sz w:val="21"/>
          <w:szCs w:val="21"/>
          <w:highlight w:val="none"/>
          <w:u w:val="none"/>
          <w:lang w:val="en-US" w:eastAsia="zh-CN" w:bidi="ar"/>
        </w:rPr>
        <w:t>2.所供货物须符合国家现行有效的法律法规、行业规范及相关的质量标准并达到使用要求。</w:t>
      </w:r>
    </w:p>
    <w:p w14:paraId="0060A70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i w:val="0"/>
          <w:iCs w:val="0"/>
          <w:snapToGrid w:val="0"/>
          <w:color w:val="auto"/>
          <w:kern w:val="0"/>
          <w:sz w:val="21"/>
          <w:szCs w:val="21"/>
          <w:highlight w:val="none"/>
          <w:u w:val="none"/>
          <w:lang w:val="en-US" w:eastAsia="zh-CN" w:bidi="ar"/>
        </w:rPr>
      </w:pPr>
      <w:r>
        <w:rPr>
          <w:rFonts w:hint="eastAsia" w:ascii="宋体" w:hAnsi="宋体" w:eastAsia="宋体" w:cs="宋体"/>
          <w:b w:val="0"/>
          <w:bCs w:val="0"/>
          <w:i w:val="0"/>
          <w:iCs w:val="0"/>
          <w:snapToGrid w:val="0"/>
          <w:color w:val="auto"/>
          <w:kern w:val="0"/>
          <w:sz w:val="21"/>
          <w:szCs w:val="21"/>
          <w:highlight w:val="none"/>
          <w:u w:val="none"/>
          <w:lang w:val="en-US" w:eastAsia="zh-CN" w:bidi="ar"/>
        </w:rPr>
        <w:t>3.乙方提供的货物必须是原厂生产的、非组装的、全新的、未使用过的产品（含零部件、配件、随机工具等），随机配备的所有配件必须为原厂原配，表面无划伤、无碰撞的痕迹。有原厂包装的，应附有合格证、货物出厂质量合格证明书、技术说明等。</w:t>
      </w:r>
    </w:p>
    <w:p w14:paraId="45076DE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i w:val="0"/>
          <w:iCs w:val="0"/>
          <w:snapToGrid w:val="0"/>
          <w:color w:val="auto"/>
          <w:kern w:val="0"/>
          <w:sz w:val="21"/>
          <w:szCs w:val="21"/>
          <w:highlight w:val="none"/>
          <w:u w:val="none"/>
          <w:lang w:val="en-US" w:eastAsia="zh-CN" w:bidi="ar"/>
        </w:rPr>
      </w:pPr>
      <w:r>
        <w:rPr>
          <w:rFonts w:hint="eastAsia" w:ascii="宋体" w:hAnsi="宋体" w:eastAsia="宋体" w:cs="宋体"/>
          <w:b w:val="0"/>
          <w:bCs w:val="0"/>
          <w:i w:val="0"/>
          <w:iCs w:val="0"/>
          <w:snapToGrid w:val="0"/>
          <w:color w:val="auto"/>
          <w:kern w:val="0"/>
          <w:sz w:val="21"/>
          <w:szCs w:val="21"/>
          <w:highlight w:val="none"/>
          <w:u w:val="none"/>
          <w:lang w:val="en-US" w:eastAsia="zh-CN" w:bidi="ar"/>
        </w:rPr>
        <w:t>4.供货期内，乙方接到甲方的售后服务通知的，需在</w:t>
      </w:r>
      <w:r>
        <w:rPr>
          <w:rFonts w:hint="eastAsia" w:cs="宋体"/>
          <w:b w:val="0"/>
          <w:bCs w:val="0"/>
          <w:i w:val="0"/>
          <w:iCs w:val="0"/>
          <w:snapToGrid w:val="0"/>
          <w:color w:val="auto"/>
          <w:kern w:val="0"/>
          <w:sz w:val="21"/>
          <w:szCs w:val="21"/>
          <w:highlight w:val="none"/>
          <w:u w:val="single"/>
          <w:lang w:val="en-US" w:eastAsia="zh-CN" w:bidi="ar"/>
        </w:rPr>
        <w:t xml:space="preserve">   </w:t>
      </w:r>
      <w:r>
        <w:rPr>
          <w:rFonts w:hint="eastAsia" w:ascii="宋体" w:hAnsi="宋体" w:eastAsia="宋体" w:cs="宋体"/>
          <w:b w:val="0"/>
          <w:bCs w:val="0"/>
          <w:i w:val="0"/>
          <w:iCs w:val="0"/>
          <w:snapToGrid w:val="0"/>
          <w:color w:val="auto"/>
          <w:kern w:val="0"/>
          <w:sz w:val="21"/>
          <w:szCs w:val="21"/>
          <w:highlight w:val="none"/>
          <w:u w:val="none"/>
          <w:lang w:val="en-US" w:eastAsia="zh-CN" w:bidi="ar"/>
        </w:rPr>
        <w:t>小时内响应。</w:t>
      </w:r>
    </w:p>
    <w:p w14:paraId="062C250A">
      <w:pPr>
        <w:keepNext w:val="0"/>
        <w:keepLines w:val="0"/>
        <w:pageBreakBefore w:val="0"/>
        <w:kinsoku/>
        <w:wordWrap/>
        <w:overflowPunct/>
        <w:topLinePunct w:val="0"/>
        <w:autoSpaceDE/>
        <w:autoSpaceDN/>
        <w:bidi w:val="0"/>
        <w:spacing w:line="360" w:lineRule="auto"/>
        <w:ind w:firstLine="422" w:firstLineChars="200"/>
        <w:textAlignment w:val="auto"/>
        <w:outlineLvl w:val="1"/>
        <w:rPr>
          <w:rFonts w:hint="eastAsia" w:ascii="宋体" w:hAnsi="宋体" w:eastAsia="宋体" w:cs="宋体"/>
          <w:b/>
          <w:color w:val="auto"/>
          <w:sz w:val="21"/>
          <w:szCs w:val="21"/>
          <w:highlight w:val="none"/>
        </w:rPr>
      </w:pPr>
      <w:bookmarkStart w:id="706" w:name="_Toc21171"/>
      <w:bookmarkStart w:id="707" w:name="_Toc5256"/>
      <w:r>
        <w:rPr>
          <w:rFonts w:hint="eastAsia" w:ascii="宋体" w:hAnsi="宋体" w:eastAsia="宋体" w:cs="宋体"/>
          <w:b/>
          <w:color w:val="auto"/>
          <w:sz w:val="21"/>
          <w:szCs w:val="21"/>
          <w:highlight w:val="none"/>
        </w:rPr>
        <w:t xml:space="preserve">第五条 </w:t>
      </w:r>
      <w:bookmarkEnd w:id="706"/>
      <w:bookmarkEnd w:id="707"/>
      <w:r>
        <w:rPr>
          <w:rFonts w:hint="eastAsia" w:ascii="宋体" w:hAnsi="宋体" w:eastAsia="宋体" w:cs="宋体"/>
          <w:b/>
          <w:color w:val="auto"/>
          <w:sz w:val="21"/>
          <w:szCs w:val="21"/>
          <w:highlight w:val="none"/>
        </w:rPr>
        <w:t>交货要求</w:t>
      </w:r>
    </w:p>
    <w:p w14:paraId="4D76180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i w:val="0"/>
          <w:iCs w:val="0"/>
          <w:snapToGrid w:val="0"/>
          <w:color w:val="auto"/>
          <w:kern w:val="0"/>
          <w:sz w:val="21"/>
          <w:szCs w:val="21"/>
          <w:highlight w:val="none"/>
          <w:u w:val="none"/>
          <w:lang w:val="en-US" w:eastAsia="zh-CN" w:bidi="ar"/>
        </w:rPr>
      </w:pPr>
      <w:r>
        <w:rPr>
          <w:rFonts w:hint="eastAsia" w:ascii="宋体" w:hAnsi="宋体" w:eastAsia="宋体" w:cs="宋体"/>
          <w:b w:val="0"/>
          <w:bCs w:val="0"/>
          <w:i w:val="0"/>
          <w:iCs w:val="0"/>
          <w:snapToGrid w:val="0"/>
          <w:color w:val="auto"/>
          <w:kern w:val="0"/>
          <w:sz w:val="21"/>
          <w:szCs w:val="21"/>
          <w:highlight w:val="none"/>
          <w:u w:val="none"/>
          <w:lang w:val="en-US" w:eastAsia="zh-CN" w:bidi="ar"/>
        </w:rPr>
        <w:t>1.送货要求：</w:t>
      </w:r>
    </w:p>
    <w:p w14:paraId="14E044D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i w:val="0"/>
          <w:iCs w:val="0"/>
          <w:snapToGrid w:val="0"/>
          <w:color w:val="auto"/>
          <w:kern w:val="0"/>
          <w:sz w:val="21"/>
          <w:szCs w:val="21"/>
          <w:highlight w:val="none"/>
          <w:u w:val="none"/>
          <w:lang w:val="en-US" w:eastAsia="zh-CN" w:bidi="ar"/>
        </w:rPr>
      </w:pPr>
      <w:r>
        <w:rPr>
          <w:rFonts w:hint="eastAsia" w:ascii="宋体" w:hAnsi="宋体" w:eastAsia="宋体" w:cs="宋体"/>
          <w:b w:val="0"/>
          <w:bCs w:val="0"/>
          <w:i w:val="0"/>
          <w:iCs w:val="0"/>
          <w:snapToGrid w:val="0"/>
          <w:color w:val="auto"/>
          <w:kern w:val="0"/>
          <w:sz w:val="21"/>
          <w:szCs w:val="21"/>
          <w:highlight w:val="none"/>
          <w:u w:val="none"/>
          <w:lang w:val="en-US" w:eastAsia="zh-CN" w:bidi="ar"/>
        </w:rPr>
        <w:t>（1）供货期内，乙方根据甲方的需求进行分批次供货，对于部分货源不充足需要订购的材料，乙方需跟甲方进行沟通并经甲方书面同意后，可延长交货期。</w:t>
      </w:r>
    </w:p>
    <w:p w14:paraId="2029980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i w:val="0"/>
          <w:iCs w:val="0"/>
          <w:snapToGrid w:val="0"/>
          <w:color w:val="auto"/>
          <w:kern w:val="0"/>
          <w:sz w:val="21"/>
          <w:szCs w:val="21"/>
          <w:highlight w:val="none"/>
          <w:u w:val="none"/>
          <w:lang w:val="en-US" w:eastAsia="zh-CN" w:bidi="ar"/>
        </w:rPr>
      </w:pPr>
      <w:r>
        <w:rPr>
          <w:rFonts w:hint="eastAsia" w:ascii="宋体" w:hAnsi="宋体" w:eastAsia="宋体" w:cs="宋体"/>
          <w:b w:val="0"/>
          <w:bCs w:val="0"/>
          <w:i w:val="0"/>
          <w:iCs w:val="0"/>
          <w:snapToGrid w:val="0"/>
          <w:color w:val="auto"/>
          <w:kern w:val="0"/>
          <w:sz w:val="21"/>
          <w:szCs w:val="21"/>
          <w:highlight w:val="none"/>
          <w:u w:val="none"/>
          <w:lang w:val="en-US" w:eastAsia="zh-CN" w:bidi="ar"/>
        </w:rPr>
        <w:t>（2）阀门在甲方零库存情况下，无论何时，只要甲方有需求，乙方必须在甲方规定时间内将阀门送达交货现场。</w:t>
      </w:r>
    </w:p>
    <w:p w14:paraId="05BC4CB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i w:val="0"/>
          <w:iCs w:val="0"/>
          <w:snapToGrid w:val="0"/>
          <w:color w:val="auto"/>
          <w:kern w:val="0"/>
          <w:sz w:val="21"/>
          <w:szCs w:val="21"/>
          <w:highlight w:val="none"/>
          <w:u w:val="none"/>
          <w:lang w:val="en-US" w:eastAsia="zh-CN" w:bidi="ar"/>
        </w:rPr>
      </w:pPr>
      <w:r>
        <w:rPr>
          <w:rFonts w:hint="eastAsia" w:ascii="宋体" w:hAnsi="宋体" w:eastAsia="宋体" w:cs="宋体"/>
          <w:b w:val="0"/>
          <w:bCs w:val="0"/>
          <w:i w:val="0"/>
          <w:iCs w:val="0"/>
          <w:snapToGrid w:val="0"/>
          <w:color w:val="auto"/>
          <w:kern w:val="0"/>
          <w:sz w:val="21"/>
          <w:szCs w:val="21"/>
          <w:highlight w:val="none"/>
          <w:u w:val="none"/>
          <w:lang w:val="en-US" w:eastAsia="zh-CN" w:bidi="ar"/>
        </w:rPr>
        <w:t>（3）乙方应具备合理的应急供货能力，包括但不限于库存管理、物流配送等。如果乙方在零库存情况下，因为自身管理不善（如没有合理的库存预警机制、物流配送不及时等）导致无法按时供货，则属于违约行为。</w:t>
      </w:r>
    </w:p>
    <w:p w14:paraId="590DC03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i w:val="0"/>
          <w:iCs w:val="0"/>
          <w:snapToGrid w:val="0"/>
          <w:color w:val="auto"/>
          <w:kern w:val="0"/>
          <w:sz w:val="21"/>
          <w:szCs w:val="21"/>
          <w:highlight w:val="none"/>
          <w:u w:val="none"/>
          <w:lang w:val="en-US" w:eastAsia="zh-CN" w:bidi="ar"/>
        </w:rPr>
      </w:pPr>
      <w:r>
        <w:rPr>
          <w:rFonts w:hint="eastAsia" w:ascii="宋体" w:hAnsi="宋体" w:eastAsia="宋体" w:cs="宋体"/>
          <w:b w:val="0"/>
          <w:bCs w:val="0"/>
          <w:i w:val="0"/>
          <w:iCs w:val="0"/>
          <w:snapToGrid w:val="0"/>
          <w:color w:val="auto"/>
          <w:kern w:val="0"/>
          <w:sz w:val="21"/>
          <w:szCs w:val="21"/>
          <w:highlight w:val="none"/>
          <w:u w:val="none"/>
          <w:lang w:val="en-US" w:eastAsia="zh-CN" w:bidi="ar"/>
        </w:rPr>
        <w:t>如果遇到不可抗力（如自然灾害、交通管制等）导致无法按时供货，乙方应及时通知甲方，并提供相应的证明。在这种情况下，双方应协商解决。</w:t>
      </w:r>
    </w:p>
    <w:p w14:paraId="751DD72B">
      <w:pPr>
        <w:adjustRightInd/>
        <w:snapToGrid/>
        <w:ind w:firstLine="420" w:firstLineChars="200"/>
        <w:rPr>
          <w:rFonts w:hint="eastAsia" w:ascii="宋体" w:hAnsi="宋体" w:eastAsia="宋体" w:cs="宋体"/>
          <w:snapToGrid w:val="0"/>
          <w:color w:val="auto"/>
          <w:kern w:val="0"/>
          <w:szCs w:val="21"/>
          <w:highlight w:val="none"/>
          <w:lang w:bidi="ar"/>
        </w:rPr>
      </w:pPr>
      <w:r>
        <w:rPr>
          <w:rFonts w:hint="eastAsia" w:ascii="宋体" w:hAnsi="宋体" w:eastAsia="宋体" w:cs="宋体"/>
          <w:snapToGrid w:val="0"/>
          <w:color w:val="auto"/>
          <w:kern w:val="0"/>
          <w:szCs w:val="21"/>
          <w:highlight w:val="none"/>
          <w:lang w:val="en-US" w:eastAsia="zh-CN" w:bidi="ar"/>
        </w:rPr>
        <w:t>2</w:t>
      </w:r>
      <w:r>
        <w:rPr>
          <w:rFonts w:hint="eastAsia" w:ascii="宋体" w:hAnsi="宋体" w:eastAsia="宋体" w:cs="宋体"/>
          <w:snapToGrid w:val="0"/>
          <w:color w:val="auto"/>
          <w:kern w:val="0"/>
          <w:szCs w:val="21"/>
          <w:highlight w:val="none"/>
          <w:lang w:bidi="ar"/>
        </w:rPr>
        <w:t>.乙方应指定专人负责配送，按照甲方每批次订单注明的品种、数量、质量及时间要求（以合同及采购订单为准），在</w:t>
      </w:r>
      <w:r>
        <w:rPr>
          <w:rFonts w:hint="eastAsia" w:cs="宋体"/>
          <w:snapToGrid w:val="0"/>
          <w:color w:val="auto"/>
          <w:kern w:val="0"/>
          <w:szCs w:val="21"/>
          <w:highlight w:val="none"/>
          <w:u w:val="single"/>
          <w:lang w:val="en-US" w:eastAsia="zh-CN" w:bidi="ar"/>
        </w:rPr>
        <w:t xml:space="preserve">   </w:t>
      </w:r>
      <w:r>
        <w:rPr>
          <w:rFonts w:hint="eastAsia" w:ascii="宋体" w:hAnsi="宋体" w:eastAsia="宋体" w:cs="宋体"/>
          <w:snapToGrid w:val="0"/>
          <w:color w:val="auto"/>
          <w:kern w:val="0"/>
          <w:szCs w:val="21"/>
          <w:highlight w:val="none"/>
          <w:u w:val="single"/>
          <w:lang w:val="en-US" w:eastAsia="zh-CN" w:bidi="ar"/>
        </w:rPr>
        <w:t>日</w:t>
      </w:r>
      <w:r>
        <w:rPr>
          <w:rFonts w:hint="eastAsia" w:ascii="宋体" w:hAnsi="宋体" w:eastAsia="宋体" w:cs="宋体"/>
          <w:snapToGrid w:val="0"/>
          <w:color w:val="auto"/>
          <w:kern w:val="0"/>
          <w:szCs w:val="21"/>
          <w:highlight w:val="none"/>
          <w:lang w:bidi="ar"/>
        </w:rPr>
        <w:t>内将货物送达指定地点；对于紧急采购需求，须在</w:t>
      </w:r>
      <w:r>
        <w:rPr>
          <w:rFonts w:hint="eastAsia" w:cs="宋体"/>
          <w:snapToGrid w:val="0"/>
          <w:color w:val="auto"/>
          <w:kern w:val="0"/>
          <w:szCs w:val="21"/>
          <w:highlight w:val="none"/>
          <w:u w:val="single"/>
          <w:lang w:val="en-US" w:eastAsia="zh-CN" w:bidi="ar"/>
        </w:rPr>
        <w:t xml:space="preserve">   </w:t>
      </w:r>
      <w:r>
        <w:rPr>
          <w:rFonts w:hint="eastAsia" w:ascii="宋体" w:hAnsi="宋体" w:eastAsia="宋体" w:cs="宋体"/>
          <w:snapToGrid w:val="0"/>
          <w:color w:val="auto"/>
          <w:kern w:val="0"/>
          <w:szCs w:val="21"/>
          <w:highlight w:val="none"/>
          <w:u w:val="single"/>
          <w:lang w:val="en-US" w:eastAsia="zh-CN" w:bidi="ar"/>
        </w:rPr>
        <w:t>日</w:t>
      </w:r>
      <w:r>
        <w:rPr>
          <w:rFonts w:hint="eastAsia" w:ascii="宋体" w:hAnsi="宋体" w:eastAsia="宋体" w:cs="宋体"/>
          <w:snapToGrid w:val="0"/>
          <w:color w:val="auto"/>
          <w:kern w:val="0"/>
          <w:szCs w:val="21"/>
          <w:highlight w:val="none"/>
          <w:lang w:bidi="ar"/>
        </w:rPr>
        <w:t>内完成送达。每次交货时，乙方需随货提供一式两份《送货清单》，由甲、乙双方共同验</w:t>
      </w:r>
      <w:r>
        <w:rPr>
          <w:rFonts w:hint="eastAsia" w:ascii="宋体" w:hAnsi="宋体" w:eastAsia="宋体" w:cs="宋体"/>
          <w:snapToGrid w:val="0"/>
          <w:color w:val="auto"/>
          <w:kern w:val="0"/>
          <w:szCs w:val="21"/>
          <w:highlight w:val="none"/>
          <w:lang w:val="en-US" w:eastAsia="zh-CN" w:bidi="ar"/>
        </w:rPr>
        <w:t>收</w:t>
      </w:r>
      <w:r>
        <w:rPr>
          <w:rFonts w:hint="eastAsia" w:ascii="宋体" w:hAnsi="宋体" w:eastAsia="宋体" w:cs="宋体"/>
          <w:snapToGrid w:val="0"/>
          <w:color w:val="auto"/>
          <w:kern w:val="0"/>
          <w:szCs w:val="21"/>
          <w:highlight w:val="none"/>
          <w:lang w:bidi="ar"/>
        </w:rPr>
        <w:t>签字确认后各执一份，作为送收货凭证。</w:t>
      </w:r>
    </w:p>
    <w:p w14:paraId="6942566B">
      <w:pPr>
        <w:adjustRightInd/>
        <w:snapToGrid/>
        <w:ind w:firstLine="420" w:firstLineChars="200"/>
        <w:rPr>
          <w:rFonts w:hint="eastAsia" w:ascii="宋体" w:hAnsi="宋体" w:eastAsia="宋体" w:cs="宋体"/>
          <w:color w:val="auto"/>
          <w:highlight w:val="none"/>
          <w:lang w:val="en-US" w:eastAsia="zh-CN"/>
        </w:rPr>
      </w:pPr>
      <w:r>
        <w:rPr>
          <w:rFonts w:hint="eastAsia" w:ascii="宋体" w:hAnsi="宋体" w:eastAsia="宋体" w:cs="宋体"/>
          <w:snapToGrid w:val="0"/>
          <w:color w:val="auto"/>
          <w:kern w:val="0"/>
          <w:szCs w:val="21"/>
          <w:highlight w:val="none"/>
          <w:lang w:val="en-US" w:eastAsia="zh-CN" w:bidi="ar"/>
        </w:rPr>
        <w:t>3</w:t>
      </w:r>
      <w:r>
        <w:rPr>
          <w:rFonts w:hint="eastAsia" w:ascii="宋体" w:hAnsi="宋体" w:eastAsia="宋体" w:cs="宋体"/>
          <w:snapToGrid w:val="0"/>
          <w:color w:val="auto"/>
          <w:kern w:val="0"/>
          <w:szCs w:val="21"/>
          <w:highlight w:val="none"/>
          <w:lang w:bidi="ar"/>
        </w:rPr>
        <w:t>.所有货物必须到指定的交货现场（甲方指定地点）后才能拆封。在开箱检验时必须完好，无破损，配置与装箱单相符。货物外观清洁，标记编号以及字体清晰、明确。</w:t>
      </w:r>
    </w:p>
    <w:p w14:paraId="32066DB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i w:val="0"/>
          <w:iCs w:val="0"/>
          <w:snapToGrid w:val="0"/>
          <w:color w:val="auto"/>
          <w:kern w:val="0"/>
          <w:sz w:val="21"/>
          <w:szCs w:val="21"/>
          <w:highlight w:val="none"/>
          <w:u w:val="none"/>
          <w:lang w:val="en-US" w:eastAsia="zh-CN" w:bidi="ar"/>
        </w:rPr>
      </w:pPr>
      <w:r>
        <w:rPr>
          <w:rFonts w:hint="eastAsia" w:ascii="宋体" w:hAnsi="宋体" w:eastAsia="宋体" w:cs="宋体"/>
          <w:b w:val="0"/>
          <w:bCs w:val="0"/>
          <w:i w:val="0"/>
          <w:iCs w:val="0"/>
          <w:snapToGrid w:val="0"/>
          <w:color w:val="auto"/>
          <w:kern w:val="0"/>
          <w:sz w:val="21"/>
          <w:szCs w:val="21"/>
          <w:highlight w:val="none"/>
          <w:u w:val="none"/>
          <w:lang w:val="en-US" w:eastAsia="zh-CN" w:bidi="ar"/>
        </w:rPr>
        <w:t>4.交货地点：</w:t>
      </w:r>
    </w:p>
    <w:tbl>
      <w:tblPr>
        <w:tblStyle w:val="20"/>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8"/>
        <w:gridCol w:w="1699"/>
        <w:gridCol w:w="4394"/>
        <w:gridCol w:w="3161"/>
      </w:tblGrid>
      <w:tr w14:paraId="45093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504" w:type="pct"/>
            <w:noWrap/>
            <w:vAlign w:val="center"/>
          </w:tcPr>
          <w:p w14:paraId="7545D7F1">
            <w:pPr>
              <w:widowControl/>
              <w:numPr>
                <w:ilvl w:val="0"/>
                <w:numId w:val="0"/>
              </w:numPr>
              <w:autoSpaceDE w:val="0"/>
              <w:autoSpaceDN w:val="0"/>
              <w:snapToGrid/>
              <w:spacing w:line="360" w:lineRule="auto"/>
              <w:ind w:left="0" w:leftChars="0" w:right="-172" w:rightChars="-82" w:firstLine="0" w:firstLineChars="0"/>
              <w:jc w:val="center"/>
              <w:rPr>
                <w:rFonts w:hint="eastAsia" w:ascii="宋体" w:hAnsi="宋体" w:eastAsia="宋体" w:cs="宋体"/>
                <w:b/>
                <w:bCs/>
                <w:color w:val="auto"/>
                <w:kern w:val="0"/>
                <w:sz w:val="21"/>
                <w:szCs w:val="21"/>
                <w:highlight w:val="none"/>
                <w:vertAlign w:val="baseline"/>
                <w:lang w:val="en-US" w:eastAsia="zh-CN"/>
              </w:rPr>
            </w:pPr>
            <w:r>
              <w:rPr>
                <w:rFonts w:hint="eastAsia" w:ascii="宋体" w:hAnsi="宋体" w:eastAsia="宋体" w:cs="宋体"/>
                <w:b/>
                <w:bCs/>
                <w:color w:val="auto"/>
                <w:kern w:val="0"/>
                <w:sz w:val="21"/>
                <w:szCs w:val="21"/>
                <w:highlight w:val="none"/>
                <w:vertAlign w:val="baseline"/>
                <w:lang w:val="en-US" w:eastAsia="zh-CN"/>
              </w:rPr>
              <w:t>序号</w:t>
            </w:r>
          </w:p>
        </w:tc>
        <w:tc>
          <w:tcPr>
            <w:tcW w:w="825" w:type="pct"/>
            <w:noWrap w:val="0"/>
            <w:vAlign w:val="center"/>
          </w:tcPr>
          <w:p w14:paraId="7DDD0C52">
            <w:pPr>
              <w:widowControl/>
              <w:numPr>
                <w:ilvl w:val="0"/>
                <w:numId w:val="0"/>
              </w:numPr>
              <w:autoSpaceDE w:val="0"/>
              <w:autoSpaceDN w:val="0"/>
              <w:snapToGrid/>
              <w:spacing w:line="360" w:lineRule="auto"/>
              <w:ind w:left="0" w:leftChars="0" w:right="-172" w:rightChars="-82" w:firstLine="0" w:firstLineChars="0"/>
              <w:jc w:val="center"/>
              <w:rPr>
                <w:rFonts w:hint="eastAsia" w:ascii="宋体" w:hAnsi="宋体" w:eastAsia="宋体" w:cs="宋体"/>
                <w:b/>
                <w:bCs/>
                <w:color w:val="auto"/>
                <w:kern w:val="0"/>
                <w:sz w:val="21"/>
                <w:szCs w:val="21"/>
                <w:highlight w:val="none"/>
                <w:vertAlign w:val="baseline"/>
                <w:lang w:val="en-US" w:eastAsia="zh-CN"/>
              </w:rPr>
            </w:pPr>
            <w:r>
              <w:rPr>
                <w:rFonts w:hint="eastAsia" w:ascii="宋体" w:hAnsi="宋体" w:eastAsia="宋体" w:cs="宋体"/>
                <w:b/>
                <w:bCs/>
                <w:color w:val="auto"/>
                <w:kern w:val="0"/>
                <w:sz w:val="21"/>
                <w:szCs w:val="21"/>
                <w:highlight w:val="none"/>
                <w:vertAlign w:val="baseline"/>
                <w:lang w:val="en-US" w:eastAsia="zh-CN"/>
              </w:rPr>
              <w:t>交货地点</w:t>
            </w:r>
          </w:p>
        </w:tc>
        <w:tc>
          <w:tcPr>
            <w:tcW w:w="2134" w:type="pct"/>
            <w:noWrap w:val="0"/>
            <w:vAlign w:val="center"/>
          </w:tcPr>
          <w:p w14:paraId="6B438554">
            <w:pPr>
              <w:widowControl/>
              <w:numPr>
                <w:ilvl w:val="0"/>
                <w:numId w:val="0"/>
              </w:numPr>
              <w:autoSpaceDE w:val="0"/>
              <w:autoSpaceDN w:val="0"/>
              <w:snapToGrid/>
              <w:spacing w:line="360" w:lineRule="auto"/>
              <w:ind w:left="0" w:leftChars="0" w:right="-172" w:rightChars="-82" w:firstLine="0" w:firstLineChars="0"/>
              <w:jc w:val="center"/>
              <w:rPr>
                <w:rFonts w:hint="eastAsia" w:ascii="宋体" w:hAnsi="宋体" w:eastAsia="宋体" w:cs="宋体"/>
                <w:b/>
                <w:bCs/>
                <w:color w:val="auto"/>
                <w:kern w:val="0"/>
                <w:sz w:val="21"/>
                <w:szCs w:val="21"/>
                <w:highlight w:val="none"/>
                <w:vertAlign w:val="baseline"/>
                <w:lang w:val="en-US" w:eastAsia="zh-CN"/>
              </w:rPr>
            </w:pPr>
            <w:r>
              <w:rPr>
                <w:rFonts w:hint="eastAsia" w:ascii="宋体" w:hAnsi="宋体" w:eastAsia="宋体" w:cs="宋体"/>
                <w:b/>
                <w:bCs/>
                <w:color w:val="auto"/>
                <w:kern w:val="0"/>
                <w:sz w:val="21"/>
                <w:szCs w:val="21"/>
                <w:highlight w:val="none"/>
                <w:vertAlign w:val="baseline"/>
                <w:lang w:val="en-US" w:eastAsia="zh-CN"/>
              </w:rPr>
              <w:t>详细地址</w:t>
            </w:r>
          </w:p>
        </w:tc>
        <w:tc>
          <w:tcPr>
            <w:tcW w:w="1535" w:type="pct"/>
            <w:noWrap w:val="0"/>
            <w:vAlign w:val="center"/>
          </w:tcPr>
          <w:p w14:paraId="34407838">
            <w:pPr>
              <w:widowControl/>
              <w:numPr>
                <w:ilvl w:val="0"/>
                <w:numId w:val="0"/>
              </w:numPr>
              <w:autoSpaceDE w:val="0"/>
              <w:autoSpaceDN w:val="0"/>
              <w:snapToGrid/>
              <w:spacing w:line="360" w:lineRule="auto"/>
              <w:ind w:left="0" w:leftChars="0" w:right="-172" w:rightChars="-82" w:firstLine="0" w:firstLineChars="0"/>
              <w:jc w:val="center"/>
              <w:rPr>
                <w:rFonts w:hint="eastAsia" w:ascii="宋体" w:hAnsi="宋体" w:eastAsia="宋体" w:cs="宋体"/>
                <w:b/>
                <w:bCs/>
                <w:color w:val="auto"/>
                <w:kern w:val="0"/>
                <w:sz w:val="21"/>
                <w:szCs w:val="21"/>
                <w:highlight w:val="none"/>
                <w:vertAlign w:val="baseline"/>
                <w:lang w:val="en-US" w:eastAsia="zh-CN"/>
              </w:rPr>
            </w:pPr>
            <w:r>
              <w:rPr>
                <w:rFonts w:hint="eastAsia" w:ascii="宋体" w:hAnsi="宋体" w:eastAsia="宋体" w:cs="宋体"/>
                <w:b/>
                <w:bCs/>
                <w:color w:val="auto"/>
                <w:kern w:val="0"/>
                <w:sz w:val="21"/>
                <w:szCs w:val="21"/>
                <w:highlight w:val="none"/>
                <w:vertAlign w:val="baseline"/>
                <w:lang w:val="en-US" w:eastAsia="zh-CN"/>
              </w:rPr>
              <w:t>备注</w:t>
            </w:r>
          </w:p>
        </w:tc>
      </w:tr>
      <w:tr w14:paraId="272B8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504" w:type="pct"/>
            <w:shd w:val="clear" w:color="auto" w:fill="auto"/>
            <w:noWrap/>
            <w:vAlign w:val="center"/>
          </w:tcPr>
          <w:p w14:paraId="0D373750">
            <w:pPr>
              <w:widowControl/>
              <w:autoSpaceDE w:val="0"/>
              <w:autoSpaceDN w:val="0"/>
              <w:snapToGrid/>
              <w:spacing w:line="240" w:lineRule="auto"/>
              <w:jc w:val="center"/>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1</w:t>
            </w:r>
          </w:p>
        </w:tc>
        <w:tc>
          <w:tcPr>
            <w:tcW w:w="825" w:type="pct"/>
            <w:tcBorders>
              <w:right w:val="single" w:color="auto" w:sz="4" w:space="0"/>
            </w:tcBorders>
            <w:shd w:val="clear" w:color="auto" w:fill="auto"/>
            <w:noWrap w:val="0"/>
            <w:vAlign w:val="center"/>
          </w:tcPr>
          <w:p w14:paraId="4B1BC181">
            <w:pPr>
              <w:widowControl/>
              <w:autoSpaceDE w:val="0"/>
              <w:autoSpaceDN w:val="0"/>
              <w:snapToGrid/>
              <w:spacing w:line="240" w:lineRule="auto"/>
              <w:jc w:val="center"/>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东莞市内</w:t>
            </w:r>
          </w:p>
        </w:tc>
        <w:tc>
          <w:tcPr>
            <w:tcW w:w="2134" w:type="pct"/>
            <w:shd w:val="clear" w:color="auto" w:fill="auto"/>
            <w:noWrap w:val="0"/>
            <w:vAlign w:val="center"/>
          </w:tcPr>
          <w:p w14:paraId="3B12F159">
            <w:pPr>
              <w:widowControl/>
              <w:autoSpaceDE w:val="0"/>
              <w:autoSpaceDN w:val="0"/>
              <w:snapToGrid/>
              <w:spacing w:line="240" w:lineRule="auto"/>
              <w:jc w:val="center"/>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以甲方具体通知为准</w:t>
            </w:r>
          </w:p>
        </w:tc>
        <w:tc>
          <w:tcPr>
            <w:tcW w:w="1535" w:type="pct"/>
            <w:shd w:val="clear" w:color="auto" w:fill="auto"/>
            <w:noWrap w:val="0"/>
            <w:vAlign w:val="center"/>
          </w:tcPr>
          <w:p w14:paraId="10BD803E">
            <w:pPr>
              <w:widowControl/>
              <w:autoSpaceDE w:val="0"/>
              <w:autoSpaceDN w:val="0"/>
              <w:snapToGrid/>
              <w:spacing w:line="240" w:lineRule="auto"/>
              <w:jc w:val="center"/>
              <w:rPr>
                <w:rFonts w:hint="eastAsia" w:ascii="宋体" w:hAnsi="宋体" w:eastAsia="宋体" w:cs="宋体"/>
                <w:b w:val="0"/>
                <w:bCs w:val="0"/>
                <w:color w:val="auto"/>
                <w:kern w:val="0"/>
                <w:sz w:val="21"/>
                <w:szCs w:val="21"/>
                <w:highlight w:val="none"/>
                <w:lang w:val="en-US" w:eastAsia="zh-CN"/>
              </w:rPr>
            </w:pPr>
          </w:p>
        </w:tc>
      </w:tr>
    </w:tbl>
    <w:p w14:paraId="59BCDA8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i w:val="0"/>
          <w:iCs w:val="0"/>
          <w:snapToGrid w:val="0"/>
          <w:color w:val="auto"/>
          <w:kern w:val="0"/>
          <w:sz w:val="21"/>
          <w:szCs w:val="21"/>
          <w:highlight w:val="none"/>
          <w:u w:val="none"/>
          <w:lang w:val="en-US" w:eastAsia="zh-CN" w:bidi="ar"/>
        </w:rPr>
      </w:pPr>
      <w:r>
        <w:rPr>
          <w:rFonts w:hint="eastAsia" w:ascii="宋体" w:hAnsi="宋体" w:eastAsia="宋体" w:cs="宋体"/>
          <w:b w:val="0"/>
          <w:bCs w:val="0"/>
          <w:i w:val="0"/>
          <w:iCs w:val="0"/>
          <w:snapToGrid w:val="0"/>
          <w:color w:val="auto"/>
          <w:kern w:val="0"/>
          <w:sz w:val="21"/>
          <w:szCs w:val="21"/>
          <w:highlight w:val="none"/>
          <w:u w:val="none"/>
          <w:lang w:val="en-US" w:eastAsia="zh-CN" w:bidi="ar"/>
        </w:rPr>
        <w:t>（1）在货物移交给甲方并经甲方验收合格前，货物的损耗、毁损、灭失的风险和责任均由乙方自行承担。</w:t>
      </w:r>
    </w:p>
    <w:p w14:paraId="7F9304D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i w:val="0"/>
          <w:iCs w:val="0"/>
          <w:snapToGrid w:val="0"/>
          <w:color w:val="auto"/>
          <w:kern w:val="0"/>
          <w:sz w:val="21"/>
          <w:szCs w:val="21"/>
          <w:highlight w:val="none"/>
          <w:u w:val="none"/>
          <w:lang w:val="en-US" w:eastAsia="zh-CN" w:bidi="ar"/>
        </w:rPr>
      </w:pPr>
      <w:r>
        <w:rPr>
          <w:rFonts w:hint="eastAsia" w:ascii="宋体" w:hAnsi="宋体" w:eastAsia="宋体" w:cs="宋体"/>
          <w:b w:val="0"/>
          <w:bCs w:val="0"/>
          <w:i w:val="0"/>
          <w:iCs w:val="0"/>
          <w:snapToGrid w:val="0"/>
          <w:color w:val="auto"/>
          <w:kern w:val="0"/>
          <w:sz w:val="21"/>
          <w:szCs w:val="21"/>
          <w:highlight w:val="none"/>
          <w:u w:val="none"/>
          <w:lang w:val="en-US" w:eastAsia="zh-CN" w:bidi="ar"/>
        </w:rPr>
        <w:t>（2）甲方有权修改、变更货物数量，具体供货数量以甲方通知为准，最终双方根据实际供货情况据实结算。</w:t>
      </w:r>
    </w:p>
    <w:p w14:paraId="2BB7B5E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i w:val="0"/>
          <w:iCs w:val="0"/>
          <w:snapToGrid w:val="0"/>
          <w:color w:val="auto"/>
          <w:kern w:val="0"/>
          <w:sz w:val="21"/>
          <w:szCs w:val="21"/>
          <w:highlight w:val="none"/>
          <w:u w:val="none"/>
          <w:lang w:val="en-US" w:eastAsia="zh-CN" w:bidi="ar"/>
        </w:rPr>
      </w:pPr>
      <w:r>
        <w:rPr>
          <w:rFonts w:hint="eastAsia" w:ascii="宋体" w:hAnsi="宋体" w:eastAsia="宋体" w:cs="宋体"/>
          <w:b w:val="0"/>
          <w:bCs w:val="0"/>
          <w:i w:val="0"/>
          <w:iCs w:val="0"/>
          <w:snapToGrid w:val="0"/>
          <w:color w:val="auto"/>
          <w:kern w:val="0"/>
          <w:sz w:val="21"/>
          <w:szCs w:val="21"/>
          <w:highlight w:val="none"/>
          <w:u w:val="none"/>
          <w:lang w:val="en-US" w:eastAsia="zh-CN" w:bidi="ar"/>
        </w:rPr>
        <w:t>（3）</w:t>
      </w:r>
      <w:r>
        <w:rPr>
          <w:rFonts w:hint="eastAsia" w:ascii="宋体" w:hAnsi="宋体" w:eastAsia="宋体" w:cs="宋体"/>
          <w:b w:val="0"/>
          <w:bCs w:val="0"/>
          <w:color w:val="auto"/>
          <w:kern w:val="2"/>
          <w:sz w:val="21"/>
          <w:szCs w:val="21"/>
          <w:highlight w:val="none"/>
          <w:lang w:val="en-US" w:eastAsia="zh-CN" w:bidi="ar-SA"/>
        </w:rPr>
        <w:t>必须提供生产厂家营业执照、供货单、出厂合格证、检验合格报告等资料证明。</w:t>
      </w:r>
    </w:p>
    <w:p w14:paraId="679B7254">
      <w:pPr>
        <w:pStyle w:val="3"/>
        <w:bidi w:val="0"/>
        <w:rPr>
          <w:rFonts w:hint="eastAsia" w:ascii="宋体" w:hAnsi="宋体" w:eastAsia="宋体" w:cs="宋体"/>
          <w:color w:val="auto"/>
          <w:highlight w:val="none"/>
          <w:lang w:val="en-US" w:eastAsia="zh-CN"/>
        </w:rPr>
      </w:pPr>
      <w:bookmarkStart w:id="708" w:name="_Toc2971"/>
      <w:bookmarkStart w:id="709" w:name="_Toc1913"/>
      <w:r>
        <w:rPr>
          <w:rFonts w:hint="eastAsia" w:ascii="宋体" w:hAnsi="宋体" w:eastAsia="宋体" w:cs="宋体"/>
          <w:color w:val="auto"/>
          <w:highlight w:val="none"/>
          <w:lang w:val="en-US" w:eastAsia="zh-CN"/>
        </w:rPr>
        <w:t>第六条 验收</w:t>
      </w:r>
      <w:bookmarkEnd w:id="708"/>
      <w:bookmarkEnd w:id="709"/>
      <w:r>
        <w:rPr>
          <w:rFonts w:hint="eastAsia" w:ascii="宋体" w:hAnsi="宋体" w:eastAsia="宋体" w:cs="宋体"/>
          <w:color w:val="auto"/>
          <w:highlight w:val="none"/>
          <w:lang w:val="en-US" w:eastAsia="zh-CN"/>
        </w:rPr>
        <w:t>与检测及质保期要求</w:t>
      </w:r>
    </w:p>
    <w:p w14:paraId="591114E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i w:val="0"/>
          <w:iCs w:val="0"/>
          <w:snapToGrid w:val="0"/>
          <w:color w:val="auto"/>
          <w:kern w:val="0"/>
          <w:sz w:val="21"/>
          <w:szCs w:val="21"/>
          <w:highlight w:val="none"/>
          <w:u w:val="none"/>
          <w:lang w:val="en-US" w:eastAsia="zh-CN" w:bidi="ar"/>
        </w:rPr>
      </w:pPr>
      <w:r>
        <w:rPr>
          <w:rFonts w:hint="eastAsia" w:ascii="宋体" w:hAnsi="宋体" w:eastAsia="宋体" w:cs="宋体"/>
          <w:b w:val="0"/>
          <w:bCs w:val="0"/>
          <w:i w:val="0"/>
          <w:iCs w:val="0"/>
          <w:snapToGrid w:val="0"/>
          <w:color w:val="auto"/>
          <w:kern w:val="0"/>
          <w:sz w:val="21"/>
          <w:szCs w:val="21"/>
          <w:highlight w:val="none"/>
          <w:u w:val="none"/>
          <w:lang w:val="en-US" w:eastAsia="zh-CN" w:bidi="ar"/>
        </w:rPr>
        <w:t>1.货物到达交货地点后，甲乙双方共同验货。甲乙双方按照本合同、国家相关法律法规以及规范的要求等相关的规定，对货物的品种、品牌、产地、型号规格、数量、外观质量、资料进行清点和全面的检验，并作详细的记录。</w:t>
      </w:r>
    </w:p>
    <w:p w14:paraId="2A7B8C0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i w:val="0"/>
          <w:iCs w:val="0"/>
          <w:snapToGrid w:val="0"/>
          <w:color w:val="auto"/>
          <w:kern w:val="0"/>
          <w:sz w:val="21"/>
          <w:szCs w:val="21"/>
          <w:highlight w:val="none"/>
          <w:u w:val="none"/>
          <w:lang w:val="en-US" w:eastAsia="zh-CN" w:bidi="ar"/>
        </w:rPr>
      </w:pPr>
      <w:r>
        <w:rPr>
          <w:rFonts w:hint="eastAsia" w:ascii="宋体" w:hAnsi="宋体" w:eastAsia="宋体" w:cs="宋体"/>
          <w:b w:val="0"/>
          <w:bCs w:val="0"/>
          <w:i w:val="0"/>
          <w:iCs w:val="0"/>
          <w:snapToGrid w:val="0"/>
          <w:color w:val="auto"/>
          <w:kern w:val="0"/>
          <w:sz w:val="21"/>
          <w:szCs w:val="21"/>
          <w:highlight w:val="none"/>
          <w:u w:val="none"/>
          <w:lang w:val="en-US" w:eastAsia="zh-CN" w:bidi="ar"/>
        </w:rPr>
        <w:t>2.若乙方所提供的货物是国外制造的，应提供原产地证书、报关资料等必备证明资料。根据法律法规的规定，在货物入境过程中需要实施检验检疫的入境商品，经入境管理部门检验后，如有相关证明的，乙方应提供入境货物检验检疫证明。</w:t>
      </w:r>
    </w:p>
    <w:p w14:paraId="236BAEC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i w:val="0"/>
          <w:iCs w:val="0"/>
          <w:snapToGrid w:val="0"/>
          <w:color w:val="auto"/>
          <w:kern w:val="0"/>
          <w:sz w:val="21"/>
          <w:szCs w:val="21"/>
          <w:highlight w:val="none"/>
          <w:u w:val="none"/>
          <w:lang w:val="en-US" w:eastAsia="zh-CN" w:bidi="ar"/>
        </w:rPr>
      </w:pPr>
      <w:r>
        <w:rPr>
          <w:rFonts w:hint="eastAsia" w:ascii="宋体" w:hAnsi="宋体" w:eastAsia="宋体" w:cs="宋体"/>
          <w:b w:val="0"/>
          <w:bCs w:val="0"/>
          <w:i w:val="0"/>
          <w:iCs w:val="0"/>
          <w:snapToGrid w:val="0"/>
          <w:color w:val="auto"/>
          <w:kern w:val="0"/>
          <w:sz w:val="21"/>
          <w:szCs w:val="21"/>
          <w:highlight w:val="none"/>
          <w:u w:val="none"/>
          <w:lang w:val="en-US" w:eastAsia="zh-CN" w:bidi="ar"/>
        </w:rPr>
        <w:t>3.如发现货物的品种、型号规格、数量、外观质量、资料与合同不符，或货物短缺、质次、损坏等问题，应作详细记录，且甲方有权拒绝收货及拒绝付款，乙方应在合同规定的时间内立即、无条件为甲方免费更换、补齐或无条件退货。更换或补齐后的货物，甲方有权按照本条有关验收的约定进行验收，由此产生的制造、修理和运费及保险费等费用均应由乙方负担，与甲方无关。</w:t>
      </w:r>
    </w:p>
    <w:p w14:paraId="5A9D9E5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i w:val="0"/>
          <w:iCs w:val="0"/>
          <w:snapToGrid w:val="0"/>
          <w:color w:val="auto"/>
          <w:kern w:val="0"/>
          <w:sz w:val="21"/>
          <w:szCs w:val="21"/>
          <w:highlight w:val="none"/>
          <w:u w:val="none"/>
          <w:lang w:val="en-US" w:eastAsia="zh-CN" w:bidi="ar"/>
        </w:rPr>
      </w:pPr>
      <w:r>
        <w:rPr>
          <w:rFonts w:hint="eastAsia" w:ascii="宋体" w:hAnsi="宋体" w:eastAsia="宋体" w:cs="宋体"/>
          <w:b w:val="0"/>
          <w:bCs w:val="0"/>
          <w:i w:val="0"/>
          <w:iCs w:val="0"/>
          <w:snapToGrid w:val="0"/>
          <w:color w:val="auto"/>
          <w:kern w:val="0"/>
          <w:sz w:val="21"/>
          <w:szCs w:val="21"/>
          <w:highlight w:val="none"/>
          <w:u w:val="none"/>
          <w:lang w:val="en-US" w:eastAsia="zh-CN" w:bidi="ar"/>
        </w:rPr>
        <w:t>4.由于非甲方原因而引起货物的修理或更换的时间，应以不影响甲方生产为原则，且修理或更换应在甲方许可的时限内完成，否则将视为乙方逾期交货。交接并验收合格后，乙方向甲方出具相关签收手续。</w:t>
      </w:r>
    </w:p>
    <w:p w14:paraId="6B6CD9C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i w:val="0"/>
          <w:iCs w:val="0"/>
          <w:snapToGrid w:val="0"/>
          <w:color w:val="auto"/>
          <w:kern w:val="0"/>
          <w:sz w:val="21"/>
          <w:szCs w:val="21"/>
          <w:highlight w:val="none"/>
          <w:u w:val="none"/>
          <w:lang w:val="en-US" w:eastAsia="zh-CN" w:bidi="ar"/>
        </w:rPr>
      </w:pPr>
      <w:r>
        <w:rPr>
          <w:rFonts w:hint="eastAsia" w:ascii="宋体" w:hAnsi="宋体" w:eastAsia="宋体" w:cs="宋体"/>
          <w:b w:val="0"/>
          <w:bCs w:val="0"/>
          <w:i w:val="0"/>
          <w:iCs w:val="0"/>
          <w:snapToGrid w:val="0"/>
          <w:color w:val="auto"/>
          <w:kern w:val="0"/>
          <w:sz w:val="21"/>
          <w:szCs w:val="21"/>
          <w:highlight w:val="none"/>
          <w:u w:val="none"/>
          <w:lang w:val="en-US" w:eastAsia="zh-CN" w:bidi="ar"/>
        </w:rPr>
        <w:t>5.甲方根据本条约定对货物所做出的验收，仅作为起算付款及质保期之用，不视为甲方对于货物质量的最终认定。货物经验收合格后，乙方仍应在质保期内对产品质量承担保证责任。</w:t>
      </w:r>
    </w:p>
    <w:p w14:paraId="4C6EC4A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i w:val="0"/>
          <w:iCs w:val="0"/>
          <w:snapToGrid w:val="0"/>
          <w:color w:val="auto"/>
          <w:kern w:val="0"/>
          <w:sz w:val="21"/>
          <w:szCs w:val="21"/>
          <w:highlight w:val="none"/>
          <w:u w:val="none"/>
          <w:lang w:val="en-US" w:eastAsia="zh-CN" w:bidi="ar"/>
        </w:rPr>
      </w:pPr>
      <w:r>
        <w:rPr>
          <w:rFonts w:hint="eastAsia" w:ascii="宋体" w:hAnsi="宋体" w:eastAsia="宋体" w:cs="宋体"/>
          <w:b w:val="0"/>
          <w:bCs w:val="0"/>
          <w:i w:val="0"/>
          <w:iCs w:val="0"/>
          <w:snapToGrid w:val="0"/>
          <w:color w:val="auto"/>
          <w:kern w:val="0"/>
          <w:sz w:val="21"/>
          <w:szCs w:val="21"/>
          <w:highlight w:val="none"/>
          <w:u w:val="none"/>
          <w:lang w:val="en-US" w:eastAsia="zh-CN" w:bidi="ar"/>
        </w:rPr>
        <w:t>6.货物在全部经甲方验收合格前，其损耗、毁损、灭失等风险及责任由乙方承担，如因发生前述情形，导致乙方所供应的货物不能通过甲方验收的，乙方应按甲方要求予以免费更换、补齐或无条件退货。</w:t>
      </w:r>
    </w:p>
    <w:p w14:paraId="4F59CC5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i w:val="0"/>
          <w:iCs w:val="0"/>
          <w:snapToGrid w:val="0"/>
          <w:color w:val="auto"/>
          <w:kern w:val="0"/>
          <w:sz w:val="21"/>
          <w:szCs w:val="21"/>
          <w:highlight w:val="none"/>
          <w:u w:val="none"/>
          <w:lang w:val="en-US" w:eastAsia="zh-CN" w:bidi="ar"/>
        </w:rPr>
      </w:pPr>
      <w:r>
        <w:rPr>
          <w:rFonts w:hint="eastAsia" w:ascii="宋体" w:hAnsi="宋体" w:eastAsia="宋体" w:cs="宋体"/>
          <w:b w:val="0"/>
          <w:bCs w:val="0"/>
          <w:i w:val="0"/>
          <w:iCs w:val="0"/>
          <w:snapToGrid w:val="0"/>
          <w:color w:val="auto"/>
          <w:kern w:val="0"/>
          <w:sz w:val="21"/>
          <w:szCs w:val="21"/>
          <w:highlight w:val="none"/>
          <w:u w:val="none"/>
          <w:lang w:val="en-US" w:eastAsia="zh-CN" w:bidi="ar"/>
        </w:rPr>
        <w:t>7.抽检：</w:t>
      </w:r>
    </w:p>
    <w:p w14:paraId="0ADE6F9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i w:val="0"/>
          <w:iCs w:val="0"/>
          <w:snapToGrid w:val="0"/>
          <w:color w:val="auto"/>
          <w:kern w:val="0"/>
          <w:sz w:val="21"/>
          <w:szCs w:val="21"/>
          <w:highlight w:val="none"/>
          <w:u w:val="none"/>
          <w:lang w:val="en-US" w:eastAsia="zh-CN" w:bidi="ar"/>
        </w:rPr>
      </w:pPr>
      <w:r>
        <w:rPr>
          <w:rFonts w:hint="eastAsia" w:ascii="宋体" w:hAnsi="宋体" w:eastAsia="宋体" w:cs="宋体"/>
          <w:b w:val="0"/>
          <w:bCs w:val="0"/>
          <w:i w:val="0"/>
          <w:iCs w:val="0"/>
          <w:snapToGrid w:val="0"/>
          <w:color w:val="auto"/>
          <w:kern w:val="0"/>
          <w:sz w:val="21"/>
          <w:szCs w:val="21"/>
          <w:highlight w:val="none"/>
          <w:u w:val="none"/>
          <w:lang w:val="en-US" w:eastAsia="zh-CN" w:bidi="ar"/>
        </w:rPr>
        <w:t>甲方每年可不定期开展一次第三方物理性能检测抽检。甲方将随机抽取某一规格类型的材料，送至省市级有资质的第三方单位进行性能检定。对于阀门的抽检，乙方需在货物交付现场，按照相关标准的要求，配合甲方制作抽检试件，试件数量按每批次到货量的5%抽取，且不少于2件。甲方负责第一次检测费用，乙方承担试件制作费用，并需在送检后30天内，向甲方指定地点补回同规格数量的材料。</w:t>
      </w:r>
    </w:p>
    <w:p w14:paraId="2C99E9E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i w:val="0"/>
          <w:iCs w:val="0"/>
          <w:snapToGrid w:val="0"/>
          <w:color w:val="auto"/>
          <w:kern w:val="0"/>
          <w:sz w:val="21"/>
          <w:szCs w:val="21"/>
          <w:highlight w:val="none"/>
          <w:u w:val="none"/>
          <w:lang w:val="en-US" w:eastAsia="zh-CN" w:bidi="ar"/>
        </w:rPr>
      </w:pPr>
      <w:r>
        <w:rPr>
          <w:rFonts w:hint="eastAsia" w:ascii="宋体" w:hAnsi="宋体" w:eastAsia="宋体" w:cs="宋体"/>
          <w:b w:val="0"/>
          <w:bCs w:val="0"/>
          <w:i w:val="0"/>
          <w:iCs w:val="0"/>
          <w:snapToGrid w:val="0"/>
          <w:color w:val="auto"/>
          <w:kern w:val="0"/>
          <w:sz w:val="21"/>
          <w:szCs w:val="21"/>
          <w:highlight w:val="none"/>
          <w:u w:val="none"/>
          <w:lang w:val="en-US" w:eastAsia="zh-CN" w:bidi="ar"/>
        </w:rPr>
        <w:t>若材料检测结果不合格且未使用，即视为一次第三方送检不合格。此时，乙方与甲方需再次共同抽样，送至甲方指定的第三方单位复检，所有费用由乙方承担。若复检合格，乙方应在30天内补回同规格数量的材料；若复检仍不合格，甲方有权选择退换全部货物，并可单方面终止合同，由此产生的一切责任及费用均由乙方承担，并扣除全额履约担保。</w:t>
      </w:r>
    </w:p>
    <w:p w14:paraId="39D810D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i w:val="0"/>
          <w:iCs w:val="0"/>
          <w:snapToGrid w:val="0"/>
          <w:color w:val="auto"/>
          <w:kern w:val="0"/>
          <w:sz w:val="21"/>
          <w:szCs w:val="21"/>
          <w:highlight w:val="none"/>
          <w:u w:val="none"/>
          <w:lang w:val="en-US" w:eastAsia="zh-CN" w:bidi="ar"/>
        </w:rPr>
      </w:pPr>
      <w:r>
        <w:rPr>
          <w:rFonts w:hint="eastAsia" w:ascii="宋体" w:hAnsi="宋体" w:eastAsia="宋体" w:cs="宋体"/>
          <w:b w:val="0"/>
          <w:bCs w:val="0"/>
          <w:i w:val="0"/>
          <w:iCs w:val="0"/>
          <w:snapToGrid w:val="0"/>
          <w:color w:val="auto"/>
          <w:kern w:val="0"/>
          <w:sz w:val="21"/>
          <w:szCs w:val="21"/>
          <w:highlight w:val="none"/>
          <w:u w:val="none"/>
          <w:lang w:val="en-US" w:eastAsia="zh-CN" w:bidi="ar"/>
        </w:rPr>
        <w:t>若材料检测结果不合格且已使用，乙方需赔偿由此产生的一切责任及费用，包括但不限于返工、材料退换、拆装、工期延误损失、检测等。同时，甲方有权直接扣除全额履约担保，若超出履约担保部分的损失仍需由乙方承担。</w:t>
      </w:r>
    </w:p>
    <w:p w14:paraId="321DB64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i w:val="0"/>
          <w:iCs w:val="0"/>
          <w:snapToGrid w:val="0"/>
          <w:color w:val="auto"/>
          <w:kern w:val="0"/>
          <w:sz w:val="21"/>
          <w:szCs w:val="21"/>
          <w:highlight w:val="none"/>
          <w:u w:val="none"/>
          <w:lang w:val="en-US" w:eastAsia="zh-CN" w:bidi="ar"/>
        </w:rPr>
      </w:pPr>
      <w:r>
        <w:rPr>
          <w:rFonts w:hint="eastAsia" w:ascii="宋体" w:hAnsi="宋体" w:eastAsia="宋体" w:cs="宋体"/>
          <w:b w:val="0"/>
          <w:bCs w:val="0"/>
          <w:i w:val="0"/>
          <w:iCs w:val="0"/>
          <w:snapToGrid w:val="0"/>
          <w:color w:val="auto"/>
          <w:kern w:val="0"/>
          <w:sz w:val="21"/>
          <w:szCs w:val="21"/>
          <w:highlight w:val="none"/>
          <w:u w:val="none"/>
          <w:lang w:val="en-US" w:eastAsia="zh-CN" w:bidi="ar"/>
        </w:rPr>
        <w:t>原则上，产品送第三方检定需甲乙双方共同送检。若乙方出现推诿、拖延或拒绝送检的情况，甲方有权自主送检。若乙方未及时缴纳检测费用，甲方可代垫，并从乙方的提供的履约担保或货款中扣除。</w:t>
      </w:r>
    </w:p>
    <w:p w14:paraId="7CBB613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i w:val="0"/>
          <w:iCs w:val="0"/>
          <w:snapToGrid w:val="0"/>
          <w:color w:val="auto"/>
          <w:kern w:val="0"/>
          <w:sz w:val="21"/>
          <w:szCs w:val="21"/>
          <w:highlight w:val="none"/>
          <w:u w:val="none"/>
          <w:lang w:val="en-US" w:eastAsia="zh-CN" w:bidi="ar"/>
        </w:rPr>
      </w:pPr>
      <w:r>
        <w:rPr>
          <w:rFonts w:hint="eastAsia" w:ascii="宋体" w:hAnsi="宋体" w:eastAsia="宋体" w:cs="宋体"/>
          <w:b w:val="0"/>
          <w:bCs w:val="0"/>
          <w:i w:val="0"/>
          <w:iCs w:val="0"/>
          <w:snapToGrid w:val="0"/>
          <w:color w:val="auto"/>
          <w:kern w:val="0"/>
          <w:sz w:val="21"/>
          <w:szCs w:val="21"/>
          <w:highlight w:val="none"/>
          <w:lang w:val="en-US" w:eastAsia="zh-CN" w:bidi="ar"/>
        </w:rPr>
        <w:t>8.</w:t>
      </w:r>
      <w:r>
        <w:rPr>
          <w:rFonts w:hint="eastAsia" w:ascii="宋体" w:hAnsi="宋体" w:eastAsia="宋体" w:cs="宋体"/>
          <w:b w:val="0"/>
          <w:bCs w:val="0"/>
          <w:i w:val="0"/>
          <w:iCs w:val="0"/>
          <w:snapToGrid w:val="0"/>
          <w:color w:val="auto"/>
          <w:kern w:val="0"/>
          <w:sz w:val="21"/>
          <w:szCs w:val="21"/>
          <w:highlight w:val="none"/>
          <w:u w:val="none"/>
          <w:lang w:val="en-US" w:eastAsia="zh-CN" w:bidi="ar"/>
        </w:rPr>
        <w:t>验收品质争议检测：在履约期间，甲方有权委托具备资质的第三方检测机构按相关规定对货物进行检测，检测地点根据检测项目需求可为材料生产基地或甲方指定的材料送货地点，乙方应予以配合，如检测结果合格，费用由甲方负责；如检测结果不合格，费用由乙方负责，并承担对不合格批次产品的更换。</w:t>
      </w:r>
    </w:p>
    <w:p w14:paraId="219AABE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i w:val="0"/>
          <w:iCs w:val="0"/>
          <w:snapToGrid w:val="0"/>
          <w:color w:val="auto"/>
          <w:kern w:val="0"/>
          <w:sz w:val="21"/>
          <w:szCs w:val="21"/>
          <w:highlight w:val="none"/>
          <w:u w:val="none"/>
          <w:lang w:val="en-US" w:eastAsia="zh-CN" w:bidi="ar"/>
        </w:rPr>
      </w:pPr>
      <w:r>
        <w:rPr>
          <w:rFonts w:hint="eastAsia" w:ascii="宋体" w:hAnsi="宋体" w:eastAsia="宋体" w:cs="宋体"/>
          <w:b w:val="0"/>
          <w:bCs w:val="0"/>
          <w:i w:val="0"/>
          <w:iCs w:val="0"/>
          <w:snapToGrid w:val="0"/>
          <w:color w:val="auto"/>
          <w:kern w:val="0"/>
          <w:sz w:val="21"/>
          <w:szCs w:val="21"/>
          <w:highlight w:val="none"/>
          <w:lang w:val="en-US" w:eastAsia="zh-CN" w:bidi="ar"/>
        </w:rPr>
        <w:t>9.</w:t>
      </w:r>
      <w:r>
        <w:rPr>
          <w:rFonts w:hint="eastAsia" w:ascii="宋体" w:hAnsi="宋体" w:eastAsia="宋体" w:cs="宋体"/>
          <w:b w:val="0"/>
          <w:bCs w:val="0"/>
          <w:i w:val="0"/>
          <w:iCs w:val="0"/>
          <w:snapToGrid w:val="0"/>
          <w:color w:val="auto"/>
          <w:kern w:val="0"/>
          <w:sz w:val="21"/>
          <w:szCs w:val="21"/>
          <w:highlight w:val="none"/>
          <w:u w:val="none"/>
          <w:lang w:val="en-US" w:eastAsia="zh-CN" w:bidi="ar"/>
        </w:rPr>
        <w:t>质保期为自验收合格之日起2年</w:t>
      </w:r>
      <w:r>
        <w:rPr>
          <w:rFonts w:hint="eastAsia" w:ascii="宋体" w:hAnsi="宋体" w:eastAsia="宋体" w:cs="宋体"/>
          <w:b w:val="0"/>
          <w:bCs w:val="0"/>
          <w:color w:val="auto"/>
          <w:kern w:val="2"/>
          <w:sz w:val="21"/>
          <w:szCs w:val="21"/>
          <w:highlight w:val="none"/>
          <w:lang w:val="en-US" w:eastAsia="zh-CN" w:bidi="ar-SA"/>
        </w:rPr>
        <w:t>（如乙方有更优服务承诺，参照更优服务承诺）</w:t>
      </w:r>
      <w:r>
        <w:rPr>
          <w:rFonts w:hint="eastAsia" w:ascii="宋体" w:hAnsi="宋体" w:eastAsia="宋体" w:cs="宋体"/>
          <w:b w:val="0"/>
          <w:bCs w:val="0"/>
          <w:i w:val="0"/>
          <w:iCs w:val="0"/>
          <w:snapToGrid w:val="0"/>
          <w:color w:val="auto"/>
          <w:kern w:val="0"/>
          <w:sz w:val="21"/>
          <w:szCs w:val="21"/>
          <w:highlight w:val="none"/>
          <w:u w:val="none"/>
          <w:lang w:val="en-US" w:eastAsia="zh-CN" w:bidi="ar"/>
        </w:rPr>
        <w:t>，自验收合格之日起计算。质保期内限时提供上门服务。</w:t>
      </w:r>
    </w:p>
    <w:p w14:paraId="620A9403">
      <w:pPr>
        <w:keepNext w:val="0"/>
        <w:keepLines w:val="0"/>
        <w:pageBreakBefore w:val="0"/>
        <w:kinsoku/>
        <w:wordWrap/>
        <w:overflowPunct/>
        <w:topLinePunct w:val="0"/>
        <w:autoSpaceDE/>
        <w:autoSpaceDN/>
        <w:bidi w:val="0"/>
        <w:spacing w:line="360" w:lineRule="auto"/>
        <w:ind w:firstLine="422" w:firstLineChars="200"/>
        <w:textAlignment w:val="auto"/>
        <w:outlineLvl w:val="1"/>
        <w:rPr>
          <w:rFonts w:hint="eastAsia" w:ascii="宋体" w:hAnsi="宋体" w:eastAsia="宋体" w:cs="宋体"/>
          <w:b/>
          <w:color w:val="auto"/>
          <w:sz w:val="21"/>
          <w:szCs w:val="21"/>
          <w:highlight w:val="none"/>
        </w:rPr>
      </w:pPr>
      <w:bookmarkStart w:id="710" w:name="_Toc19243"/>
      <w:bookmarkStart w:id="711" w:name="_Toc20996"/>
      <w:r>
        <w:rPr>
          <w:rFonts w:hint="eastAsia" w:ascii="宋体" w:hAnsi="宋体" w:eastAsia="宋体" w:cs="宋体"/>
          <w:b/>
          <w:color w:val="auto"/>
          <w:sz w:val="21"/>
          <w:szCs w:val="21"/>
          <w:highlight w:val="none"/>
        </w:rPr>
        <w:t>第</w:t>
      </w:r>
      <w:r>
        <w:rPr>
          <w:rFonts w:hint="eastAsia" w:ascii="宋体" w:hAnsi="宋体" w:eastAsia="宋体" w:cs="宋体"/>
          <w:b/>
          <w:color w:val="auto"/>
          <w:sz w:val="21"/>
          <w:szCs w:val="21"/>
          <w:highlight w:val="none"/>
          <w:lang w:val="en-US" w:eastAsia="zh-CN"/>
        </w:rPr>
        <w:t>七</w:t>
      </w:r>
      <w:r>
        <w:rPr>
          <w:rFonts w:hint="eastAsia" w:ascii="宋体" w:hAnsi="宋体" w:eastAsia="宋体" w:cs="宋体"/>
          <w:b/>
          <w:color w:val="auto"/>
          <w:sz w:val="21"/>
          <w:szCs w:val="21"/>
          <w:highlight w:val="none"/>
        </w:rPr>
        <w:t>条 综合单价、暂定合同价及付款方式</w:t>
      </w:r>
      <w:bookmarkEnd w:id="710"/>
      <w:bookmarkEnd w:id="711"/>
    </w:p>
    <w:p w14:paraId="73658265">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1</w:t>
      </w:r>
      <w:r>
        <w:rPr>
          <w:rFonts w:hint="eastAsia" w:ascii="宋体" w:hAnsi="宋体" w:eastAsia="宋体" w:cs="宋体"/>
          <w:color w:val="auto"/>
          <w:sz w:val="21"/>
          <w:szCs w:val="21"/>
          <w:highlight w:val="none"/>
          <w:u w:val="none"/>
          <w:lang w:val="en-US" w:eastAsia="zh-CN"/>
        </w:rPr>
        <w:t>.</w:t>
      </w:r>
      <w:r>
        <w:rPr>
          <w:rFonts w:hint="eastAsia" w:ascii="宋体" w:hAnsi="宋体" w:eastAsia="宋体" w:cs="宋体"/>
          <w:color w:val="auto"/>
          <w:sz w:val="21"/>
          <w:szCs w:val="21"/>
          <w:highlight w:val="none"/>
          <w:u w:val="none"/>
        </w:rPr>
        <w:t>本合同价采用折扣系数，本项目执行的中标折扣系数为：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none"/>
        </w:rPr>
        <w:t>。合同履约过程中，</w:t>
      </w:r>
      <w:r>
        <w:rPr>
          <w:rFonts w:hint="eastAsia" w:ascii="宋体" w:hAnsi="宋体" w:eastAsia="宋体" w:cs="宋体"/>
          <w:color w:val="auto"/>
          <w:sz w:val="21"/>
          <w:szCs w:val="21"/>
          <w:highlight w:val="none"/>
          <w:u w:val="none"/>
          <w:lang w:val="en-US" w:eastAsia="zh-CN"/>
        </w:rPr>
        <w:t>阀门</w:t>
      </w:r>
      <w:r>
        <w:rPr>
          <w:rFonts w:hint="eastAsia" w:ascii="宋体" w:hAnsi="宋体" w:eastAsia="宋体" w:cs="宋体"/>
          <w:color w:val="auto"/>
          <w:sz w:val="21"/>
          <w:szCs w:val="21"/>
          <w:highlight w:val="none"/>
        </w:rPr>
        <w:t>不含税中标综合单价按以下方式计算：不含税中标综合单价=不含税预算综合单价×中标折扣系数，以实际供货数量进行结算，不含税中标综合单价出现小数点，保留小数点后两位，从小数点后第3位四舍五入。</w:t>
      </w:r>
      <w:r>
        <w:rPr>
          <w:rFonts w:hint="eastAsia" w:ascii="宋体" w:hAnsi="宋体" w:eastAsia="宋体" w:cs="宋体"/>
          <w:color w:val="auto"/>
          <w:sz w:val="21"/>
          <w:szCs w:val="21"/>
          <w:highlight w:val="none"/>
          <w:u w:val="none"/>
        </w:rPr>
        <w:t>不含税</w:t>
      </w:r>
      <w:r>
        <w:rPr>
          <w:rFonts w:hint="eastAsia" w:ascii="宋体" w:hAnsi="宋体" w:eastAsia="宋体" w:cs="宋体"/>
          <w:color w:val="auto"/>
          <w:sz w:val="21"/>
          <w:szCs w:val="21"/>
          <w:highlight w:val="none"/>
          <w:u w:val="none"/>
          <w:lang w:val="en-US" w:eastAsia="zh-CN"/>
        </w:rPr>
        <w:t>中标</w:t>
      </w:r>
      <w:r>
        <w:rPr>
          <w:rFonts w:hint="eastAsia" w:ascii="宋体" w:hAnsi="宋体" w:eastAsia="宋体" w:cs="宋体"/>
          <w:color w:val="auto"/>
          <w:sz w:val="21"/>
          <w:szCs w:val="21"/>
          <w:highlight w:val="none"/>
          <w:u w:val="none"/>
        </w:rPr>
        <w:t>综合单价详见</w:t>
      </w:r>
      <w:r>
        <w:rPr>
          <w:rFonts w:hint="eastAsia" w:ascii="宋体" w:hAnsi="宋体" w:eastAsia="宋体" w:cs="宋体"/>
          <w:color w:val="auto"/>
          <w:sz w:val="21"/>
          <w:szCs w:val="21"/>
          <w:highlight w:val="none"/>
          <w:u w:val="none"/>
          <w:lang w:val="en-US" w:eastAsia="zh-CN"/>
        </w:rPr>
        <w:t>《采购材料清单及价格表》，</w:t>
      </w:r>
      <w:r>
        <w:rPr>
          <w:rFonts w:hint="eastAsia" w:ascii="宋体" w:hAnsi="宋体" w:eastAsia="宋体" w:cs="宋体"/>
          <w:color w:val="auto"/>
          <w:sz w:val="21"/>
          <w:szCs w:val="21"/>
          <w:highlight w:val="none"/>
          <w:u w:val="none"/>
        </w:rPr>
        <w:t>对应招标时暂列采购数量清单计算的暂定合同价（即销售额，不含销项税额）为¥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none"/>
        </w:rPr>
        <w:t>元（大写人民币</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none"/>
        </w:rPr>
        <w:t>）。</w:t>
      </w:r>
    </w:p>
    <w:p w14:paraId="1812D1AE">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2</w:t>
      </w:r>
      <w:r>
        <w:rPr>
          <w:rFonts w:hint="eastAsia" w:ascii="宋体" w:hAnsi="宋体" w:eastAsia="宋体" w:cs="宋体"/>
          <w:color w:val="auto"/>
          <w:sz w:val="21"/>
          <w:szCs w:val="21"/>
          <w:highlight w:val="none"/>
          <w:u w:val="none"/>
          <w:lang w:val="en-US" w:eastAsia="zh-CN"/>
        </w:rPr>
        <w:t>.</w:t>
      </w:r>
      <w:r>
        <w:rPr>
          <w:rFonts w:hint="eastAsia" w:ascii="宋体" w:hAnsi="宋体" w:eastAsia="宋体" w:cs="宋体"/>
          <w:color w:val="auto"/>
          <w:sz w:val="21"/>
          <w:szCs w:val="21"/>
          <w:highlight w:val="none"/>
          <w:u w:val="none"/>
        </w:rPr>
        <w:t>依法计得并根据本合同约定确定的销项税额由甲方承担。根据</w:t>
      </w:r>
      <w:r>
        <w:rPr>
          <w:rFonts w:hint="eastAsia" w:cs="宋体"/>
          <w:color w:val="auto"/>
          <w:sz w:val="21"/>
          <w:szCs w:val="21"/>
          <w:highlight w:val="none"/>
          <w:u w:val="none"/>
          <w:lang w:eastAsia="zh-CN"/>
        </w:rPr>
        <w:t>《中华人民共和国增值税法》</w:t>
      </w:r>
      <w:r>
        <w:rPr>
          <w:rFonts w:hint="eastAsia" w:ascii="宋体" w:hAnsi="宋体" w:eastAsia="宋体" w:cs="宋体"/>
          <w:color w:val="auto"/>
          <w:sz w:val="21"/>
          <w:szCs w:val="21"/>
          <w:highlight w:val="none"/>
          <w:u w:val="none"/>
        </w:rPr>
        <w:t>及当前税务部门的相关规定，本合同项目的增值税税率为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none"/>
        </w:rPr>
        <w:t>，</w:t>
      </w:r>
      <w:r>
        <w:rPr>
          <w:rFonts w:hint="eastAsia" w:ascii="宋体" w:hAnsi="宋体" w:eastAsia="宋体" w:cs="宋体"/>
          <w:color w:val="auto"/>
          <w:sz w:val="21"/>
          <w:szCs w:val="21"/>
          <w:highlight w:val="none"/>
          <w:u w:val="none"/>
          <w:lang w:val="en-US" w:eastAsia="zh-CN"/>
        </w:rPr>
        <w:t>暂定销项税额为</w:t>
      </w:r>
      <w:r>
        <w:rPr>
          <w:rFonts w:hint="eastAsia" w:ascii="宋体" w:hAnsi="宋体" w:eastAsia="宋体" w:cs="宋体"/>
          <w:color w:val="auto"/>
          <w:sz w:val="21"/>
          <w:szCs w:val="21"/>
          <w:highlight w:val="none"/>
          <w:u w:val="none"/>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none"/>
        </w:rPr>
        <w:t>元</w:t>
      </w:r>
      <w:r>
        <w:rPr>
          <w:rFonts w:hint="eastAsia" w:ascii="宋体" w:hAnsi="宋体" w:eastAsia="宋体" w:cs="宋体"/>
          <w:color w:val="auto"/>
          <w:sz w:val="21"/>
          <w:szCs w:val="21"/>
          <w:highlight w:val="none"/>
          <w:u w:val="none"/>
          <w:lang w:eastAsia="zh-CN"/>
        </w:rPr>
        <w:t>。</w:t>
      </w:r>
      <w:r>
        <w:rPr>
          <w:rFonts w:hint="eastAsia" w:ascii="宋体" w:hAnsi="宋体" w:eastAsia="宋体" w:cs="宋体"/>
          <w:color w:val="auto"/>
          <w:sz w:val="21"/>
          <w:szCs w:val="21"/>
          <w:highlight w:val="none"/>
          <w:u w:val="none"/>
        </w:rPr>
        <w:t>在本合同履行过程中，税收政策变动导致增值税税率调整，依法应调整销项税额的，依法调整</w:t>
      </w:r>
      <w:r>
        <w:rPr>
          <w:rFonts w:hint="eastAsia" w:ascii="宋体" w:hAnsi="宋体" w:eastAsia="宋体" w:cs="宋体"/>
          <w:color w:val="auto"/>
          <w:sz w:val="21"/>
          <w:szCs w:val="21"/>
          <w:highlight w:val="none"/>
          <w:u w:val="none"/>
          <w:lang w:eastAsia="zh-CN"/>
        </w:rPr>
        <w:t>，</w:t>
      </w:r>
      <w:r>
        <w:rPr>
          <w:rFonts w:hint="eastAsia" w:ascii="宋体" w:hAnsi="宋体" w:eastAsia="宋体" w:cs="宋体"/>
          <w:color w:val="auto"/>
          <w:sz w:val="21"/>
          <w:szCs w:val="21"/>
          <w:highlight w:val="none"/>
          <w:u w:val="none"/>
          <w:lang w:val="en-US" w:eastAsia="zh-CN"/>
        </w:rPr>
        <w:t>发票类型为增值税专用发票</w:t>
      </w:r>
      <w:r>
        <w:rPr>
          <w:rFonts w:hint="eastAsia" w:ascii="宋体" w:hAnsi="宋体" w:eastAsia="宋体" w:cs="宋体"/>
          <w:color w:val="auto"/>
          <w:sz w:val="21"/>
          <w:szCs w:val="21"/>
          <w:highlight w:val="none"/>
          <w:u w:val="none"/>
        </w:rPr>
        <w:t>；</w:t>
      </w:r>
      <w:r>
        <w:rPr>
          <w:rFonts w:hint="eastAsia" w:cs="宋体"/>
          <w:color w:val="auto"/>
          <w:sz w:val="21"/>
          <w:szCs w:val="21"/>
          <w:highlight w:val="none"/>
          <w:u w:val="none"/>
          <w:lang w:val="en-US" w:eastAsia="zh-CN"/>
        </w:rPr>
        <w:t>因乙方违约导致甲方实际产生增值税税款损失（含滞纳金、进项转出、补税等），乙方应全额赔偿甲方经济损失。</w:t>
      </w:r>
    </w:p>
    <w:p w14:paraId="6DBE77FB">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因乙方未按法定税率计算税额或未根据本合同约定出具对应税额的增值税</w:t>
      </w:r>
      <w:r>
        <w:rPr>
          <w:rFonts w:hint="eastAsia" w:ascii="宋体" w:hAnsi="宋体" w:eastAsia="宋体" w:cs="宋体"/>
          <w:color w:val="auto"/>
          <w:sz w:val="21"/>
          <w:szCs w:val="21"/>
          <w:highlight w:val="none"/>
          <w:u w:val="none"/>
          <w:lang w:val="en-US" w:eastAsia="zh-CN"/>
        </w:rPr>
        <w:t>专用</w:t>
      </w:r>
      <w:r>
        <w:rPr>
          <w:rFonts w:hint="eastAsia" w:ascii="宋体" w:hAnsi="宋体" w:eastAsia="宋体" w:cs="宋体"/>
          <w:color w:val="auto"/>
          <w:sz w:val="21"/>
          <w:szCs w:val="21"/>
          <w:highlight w:val="none"/>
          <w:u w:val="none"/>
        </w:rPr>
        <w:t>发票等乙方原因导致甲方多支付税额的，乙方必须退还甲方，给甲方造成损失的，乙方须向甲方赔偿相应损失。</w:t>
      </w:r>
    </w:p>
    <w:p w14:paraId="58813C59">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Cs w:val="21"/>
          <w:highlight w:val="none"/>
        </w:rPr>
        <w:t>对应招标时暂列采购数量清单计算的暂定含税合同总价为¥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元(大写：</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14:paraId="1A753EA5">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rPr>
        <w:t>3</w:t>
      </w:r>
      <w:r>
        <w:rPr>
          <w:rFonts w:hint="eastAsia" w:ascii="宋体" w:hAnsi="宋体" w:eastAsia="宋体" w:cs="宋体"/>
          <w:color w:val="auto"/>
          <w:sz w:val="21"/>
          <w:szCs w:val="21"/>
          <w:highlight w:val="none"/>
          <w:u w:val="none"/>
          <w:lang w:val="en-US" w:eastAsia="zh-CN"/>
        </w:rPr>
        <w:t>.</w:t>
      </w:r>
      <w:r>
        <w:rPr>
          <w:rFonts w:hint="eastAsia" w:ascii="宋体" w:hAnsi="宋体" w:eastAsia="宋体" w:cs="宋体"/>
          <w:color w:val="auto"/>
          <w:sz w:val="21"/>
          <w:szCs w:val="21"/>
          <w:highlight w:val="none"/>
          <w:u w:val="none"/>
        </w:rPr>
        <w:t>不含税中标综合单价包括了甲方需就购买本合同项下货物及其服务所支付的全部价款，</w:t>
      </w:r>
      <w:r>
        <w:rPr>
          <w:rFonts w:hint="eastAsia" w:ascii="宋体" w:hAnsi="宋体" w:eastAsia="宋体" w:cs="宋体"/>
          <w:color w:val="auto"/>
          <w:sz w:val="21"/>
          <w:szCs w:val="21"/>
          <w:highlight w:val="none"/>
          <w:u w:val="none"/>
          <w:lang w:val="zh-CN"/>
        </w:rPr>
        <w:t>包括但不限于：</w:t>
      </w:r>
      <w:r>
        <w:rPr>
          <w:rFonts w:hint="eastAsia" w:ascii="宋体" w:hAnsi="宋体" w:eastAsia="宋体" w:cs="宋体"/>
          <w:color w:val="auto"/>
          <w:sz w:val="21"/>
          <w:szCs w:val="21"/>
          <w:highlight w:val="none"/>
          <w:u w:val="none"/>
        </w:rPr>
        <w:t>（1）货物及其配备的附件、备品备件的采购、制造、检测、试验、送货、装卸（含二次搬运至</w:t>
      </w:r>
      <w:r>
        <w:rPr>
          <w:rFonts w:hint="eastAsia" w:ascii="宋体" w:hAnsi="宋体" w:eastAsia="宋体" w:cs="宋体"/>
          <w:color w:val="auto"/>
          <w:sz w:val="21"/>
          <w:szCs w:val="21"/>
          <w:highlight w:val="none"/>
          <w:u w:val="none"/>
          <w:lang w:eastAsia="zh-CN"/>
        </w:rPr>
        <w:t>甲方</w:t>
      </w:r>
      <w:r>
        <w:rPr>
          <w:rFonts w:hint="eastAsia" w:ascii="宋体" w:hAnsi="宋体" w:eastAsia="宋体" w:cs="宋体"/>
          <w:color w:val="auto"/>
          <w:sz w:val="21"/>
          <w:szCs w:val="21"/>
          <w:highlight w:val="none"/>
          <w:u w:val="none"/>
        </w:rPr>
        <w:t>指定交货或仓储地点）、人工费、材料费、包装费、运费、保险、现场仓储等相关服务的全部费用；（2）免费的质保服务，包括但不限于免费上门提供售后服务、质量问题处理或更换失效产品；（</w:t>
      </w:r>
      <w:r>
        <w:rPr>
          <w:rFonts w:hint="eastAsia" w:ascii="宋体" w:hAnsi="宋体" w:eastAsia="宋体" w:cs="宋体"/>
          <w:color w:val="auto"/>
          <w:sz w:val="21"/>
          <w:szCs w:val="21"/>
          <w:highlight w:val="none"/>
          <w:u w:val="none"/>
          <w:lang w:val="en-US" w:eastAsia="zh-CN"/>
        </w:rPr>
        <w:t>3</w:t>
      </w:r>
      <w:r>
        <w:rPr>
          <w:rFonts w:hint="eastAsia" w:ascii="宋体" w:hAnsi="宋体" w:eastAsia="宋体" w:cs="宋体"/>
          <w:color w:val="auto"/>
          <w:sz w:val="21"/>
          <w:szCs w:val="21"/>
          <w:highlight w:val="none"/>
          <w:u w:val="none"/>
        </w:rPr>
        <w:t>）合理利润、</w:t>
      </w:r>
      <w:r>
        <w:rPr>
          <w:rFonts w:hint="eastAsia" w:ascii="宋体" w:hAnsi="宋体" w:eastAsia="宋体" w:cs="宋体"/>
          <w:color w:val="auto"/>
          <w:sz w:val="21"/>
          <w:szCs w:val="21"/>
          <w:highlight w:val="none"/>
          <w:u w:val="none"/>
          <w:lang w:eastAsia="zh-CN"/>
        </w:rPr>
        <w:t>乙方</w:t>
      </w:r>
      <w:r>
        <w:rPr>
          <w:rFonts w:hint="eastAsia" w:ascii="宋体" w:hAnsi="宋体" w:eastAsia="宋体" w:cs="宋体"/>
          <w:color w:val="auto"/>
          <w:sz w:val="21"/>
          <w:szCs w:val="21"/>
          <w:highlight w:val="none"/>
          <w:u w:val="none"/>
        </w:rPr>
        <w:t>销项税额以外的税费、中标服务费等；（</w:t>
      </w:r>
      <w:r>
        <w:rPr>
          <w:rFonts w:hint="eastAsia" w:ascii="宋体" w:hAnsi="宋体" w:eastAsia="宋体" w:cs="宋体"/>
          <w:color w:val="auto"/>
          <w:sz w:val="21"/>
          <w:szCs w:val="21"/>
          <w:highlight w:val="none"/>
          <w:u w:val="none"/>
          <w:lang w:val="en-US" w:eastAsia="zh-CN"/>
        </w:rPr>
        <w:t>4</w:t>
      </w:r>
      <w:r>
        <w:rPr>
          <w:rFonts w:hint="eastAsia" w:ascii="宋体" w:hAnsi="宋体" w:eastAsia="宋体" w:cs="宋体"/>
          <w:color w:val="auto"/>
          <w:sz w:val="21"/>
          <w:szCs w:val="21"/>
          <w:highlight w:val="none"/>
          <w:u w:val="none"/>
        </w:rPr>
        <w:t>）法律法规、商业公认、招标文件规定由</w:t>
      </w:r>
      <w:r>
        <w:rPr>
          <w:rFonts w:hint="eastAsia" w:ascii="宋体" w:hAnsi="宋体" w:eastAsia="宋体" w:cs="宋体"/>
          <w:color w:val="auto"/>
          <w:sz w:val="21"/>
          <w:szCs w:val="21"/>
          <w:highlight w:val="none"/>
          <w:u w:val="none"/>
          <w:lang w:eastAsia="zh-CN"/>
        </w:rPr>
        <w:t>乙方</w:t>
      </w:r>
      <w:r>
        <w:rPr>
          <w:rFonts w:hint="eastAsia" w:ascii="宋体" w:hAnsi="宋体" w:eastAsia="宋体" w:cs="宋体"/>
          <w:color w:val="auto"/>
          <w:sz w:val="21"/>
          <w:szCs w:val="21"/>
          <w:highlight w:val="none"/>
          <w:u w:val="none"/>
        </w:rPr>
        <w:t>承担的其他直接及间接费用</w:t>
      </w:r>
      <w:r>
        <w:rPr>
          <w:rFonts w:hint="eastAsia" w:cs="宋体"/>
          <w:color w:val="auto"/>
          <w:sz w:val="21"/>
          <w:szCs w:val="21"/>
          <w:highlight w:val="none"/>
          <w:u w:val="none"/>
          <w:lang w:eastAsia="zh-CN"/>
        </w:rPr>
        <w:t>；</w:t>
      </w:r>
      <w:r>
        <w:rPr>
          <w:rFonts w:hint="eastAsia"/>
          <w:color w:val="auto"/>
          <w:highlight w:val="none"/>
          <w:lang w:eastAsia="zh-CN"/>
        </w:rPr>
        <w:t>（</w:t>
      </w:r>
      <w:r>
        <w:rPr>
          <w:rFonts w:hint="eastAsia"/>
          <w:color w:val="auto"/>
          <w:highlight w:val="none"/>
          <w:lang w:val="en-US" w:eastAsia="zh-CN"/>
        </w:rPr>
        <w:t>5</w:t>
      </w:r>
      <w:r>
        <w:rPr>
          <w:rFonts w:hint="eastAsia"/>
          <w:color w:val="auto"/>
          <w:highlight w:val="none"/>
          <w:lang w:eastAsia="zh-CN"/>
        </w:rPr>
        <w:t>）</w:t>
      </w:r>
      <w:r>
        <w:rPr>
          <w:rFonts w:hint="eastAsia"/>
          <w:color w:val="auto"/>
          <w:highlight w:val="none"/>
        </w:rPr>
        <w:t>货物验收合格前发生的安全事故所产生的一切费用</w:t>
      </w:r>
      <w:r>
        <w:rPr>
          <w:rFonts w:hint="eastAsia"/>
          <w:color w:val="auto"/>
          <w:highlight w:val="none"/>
          <w:lang w:val="en-US" w:eastAsia="zh-CN"/>
        </w:rPr>
        <w:t>。</w:t>
      </w:r>
    </w:p>
    <w:p w14:paraId="610D95B9">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val="zh-CN"/>
        </w:rPr>
        <w:t>在本合同履行过程中，不含税中标</w:t>
      </w:r>
      <w:r>
        <w:rPr>
          <w:rFonts w:hint="eastAsia" w:ascii="宋体" w:hAnsi="宋体" w:eastAsia="宋体" w:cs="宋体"/>
          <w:color w:val="auto"/>
          <w:sz w:val="21"/>
          <w:szCs w:val="21"/>
          <w:highlight w:val="none"/>
        </w:rPr>
        <w:t>综合单价（不含乙方销项税额）在</w:t>
      </w:r>
      <w:r>
        <w:rPr>
          <w:rFonts w:hint="eastAsia" w:ascii="宋体" w:hAnsi="宋体" w:eastAsia="宋体" w:cs="宋体"/>
          <w:color w:val="auto"/>
          <w:sz w:val="21"/>
          <w:szCs w:val="21"/>
          <w:highlight w:val="none"/>
          <w:lang w:val="zh-CN"/>
        </w:rPr>
        <w:t>合同执行期间</w:t>
      </w:r>
      <w:r>
        <w:rPr>
          <w:rFonts w:hint="eastAsia" w:ascii="宋体" w:hAnsi="宋体" w:eastAsia="宋体" w:cs="宋体"/>
          <w:color w:val="auto"/>
          <w:sz w:val="21"/>
          <w:szCs w:val="21"/>
          <w:highlight w:val="none"/>
        </w:rPr>
        <w:t>固定不变，不得因材料、劳务成本、运输成本、国家政策、货物的行业标准或国家标准的变动或其他任何理由</w:t>
      </w:r>
      <w:r>
        <w:rPr>
          <w:rFonts w:hint="eastAsia" w:ascii="宋体" w:hAnsi="宋体" w:eastAsia="宋体" w:cs="宋体"/>
          <w:color w:val="auto"/>
          <w:sz w:val="21"/>
          <w:szCs w:val="21"/>
          <w:highlight w:val="none"/>
          <w:lang w:val="zh-CN"/>
        </w:rPr>
        <w:t>予以变更。</w:t>
      </w:r>
      <w:r>
        <w:rPr>
          <w:rFonts w:hint="eastAsia" w:ascii="宋体" w:hAnsi="宋体" w:eastAsia="宋体" w:cs="宋体"/>
          <w:color w:val="auto"/>
          <w:sz w:val="21"/>
          <w:szCs w:val="21"/>
          <w:highlight w:val="none"/>
        </w:rPr>
        <w:t>未经甲方书面确认，乙方无权另行收取</w:t>
      </w:r>
      <w:r>
        <w:rPr>
          <w:rFonts w:hint="eastAsia" w:ascii="宋体" w:hAnsi="宋体" w:eastAsia="宋体" w:cs="宋体"/>
          <w:color w:val="auto"/>
          <w:sz w:val="21"/>
          <w:szCs w:val="21"/>
          <w:highlight w:val="none"/>
          <w:lang w:eastAsia="zh-CN"/>
        </w:rPr>
        <w:t>其他</w:t>
      </w:r>
      <w:r>
        <w:rPr>
          <w:rFonts w:hint="eastAsia" w:ascii="宋体" w:hAnsi="宋体" w:eastAsia="宋体" w:cs="宋体"/>
          <w:color w:val="auto"/>
          <w:sz w:val="21"/>
          <w:szCs w:val="21"/>
          <w:highlight w:val="none"/>
        </w:rPr>
        <w:t>任何费用。</w:t>
      </w:r>
    </w:p>
    <w:p w14:paraId="7C6AA2AE">
      <w:pPr>
        <w:keepNext w:val="0"/>
        <w:keepLines w:val="0"/>
        <w:pageBreakBefore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5</w:t>
      </w:r>
      <w:r>
        <w:rPr>
          <w:rFonts w:hint="eastAsia" w:ascii="宋体" w:hAnsi="宋体" w:eastAsia="宋体" w:cs="宋体"/>
          <w:b/>
          <w:color w:val="auto"/>
          <w:sz w:val="21"/>
          <w:szCs w:val="21"/>
          <w:highlight w:val="none"/>
          <w:lang w:val="en-US" w:eastAsia="zh-CN"/>
        </w:rPr>
        <w:t>.</w:t>
      </w:r>
      <w:r>
        <w:rPr>
          <w:rFonts w:hint="eastAsia" w:ascii="宋体" w:hAnsi="宋体" w:eastAsia="宋体" w:cs="宋体"/>
          <w:b/>
          <w:color w:val="auto"/>
          <w:sz w:val="21"/>
          <w:szCs w:val="21"/>
          <w:highlight w:val="none"/>
        </w:rPr>
        <w:t>付款方式：</w:t>
      </w:r>
      <w:r>
        <w:rPr>
          <w:rFonts w:hint="eastAsia" w:ascii="宋体" w:hAnsi="宋体" w:eastAsia="宋体" w:cs="宋体"/>
          <w:b w:val="0"/>
          <w:bCs/>
          <w:color w:val="auto"/>
          <w:sz w:val="21"/>
          <w:szCs w:val="21"/>
          <w:highlight w:val="none"/>
        </w:rPr>
        <w:t>供货期内，按月度进行结算，</w:t>
      </w:r>
      <w:r>
        <w:rPr>
          <w:rFonts w:hint="eastAsia" w:ascii="宋体" w:hAnsi="宋体" w:eastAsia="宋体" w:cs="宋体"/>
          <w:color w:val="auto"/>
          <w:sz w:val="21"/>
          <w:szCs w:val="21"/>
          <w:highlight w:val="none"/>
          <w:lang w:val="en-US" w:eastAsia="zh-CN"/>
        </w:rPr>
        <w:t>乙方所供货物经甲方验收合格后，甲乙双方每月15日之前对上个月实际验收合格供货量进行结算，乙方应向甲方提交</w:t>
      </w:r>
      <w:r>
        <w:rPr>
          <w:rFonts w:hint="eastAsia" w:ascii="宋体" w:hAnsi="宋体" w:eastAsia="宋体" w:cs="宋体"/>
          <w:color w:val="auto"/>
          <w:szCs w:val="21"/>
          <w:highlight w:val="none"/>
          <w:lang w:val="en-US" w:eastAsia="zh-CN"/>
        </w:rPr>
        <w:t>符合甲方要求的</w:t>
      </w:r>
      <w:r>
        <w:rPr>
          <w:rFonts w:hint="eastAsia" w:ascii="宋体" w:hAnsi="宋体" w:eastAsia="宋体" w:cs="宋体"/>
          <w:color w:val="auto"/>
          <w:sz w:val="21"/>
          <w:szCs w:val="21"/>
          <w:highlight w:val="none"/>
          <w:lang w:val="en-US" w:eastAsia="zh-CN"/>
        </w:rPr>
        <w:t>请款报告和等额的合法、有效的增值税专用发票，甲方在收到前述材料并确认无误后 20 个工作日内，甲方支付上月实际验收合格供货量对应价款的【100%】及对应税额。</w:t>
      </w:r>
    </w:p>
    <w:p w14:paraId="08A98778">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lang w:val="en-US" w:eastAsia="zh-CN"/>
        </w:rPr>
        <w:t>应按甲方采购需求清单提供货物价款等额合法的增值税专用发票、请款报告等请款资料，逾期提交请款资料及发票或提交资料不符合甲方要求的，甲方付款时间顺延，且不承担逾期付款违约责任。由于乙方提供的发票不符合税法规定，给甲方造成的损失的，由乙方承担赔偿责任。</w:t>
      </w:r>
    </w:p>
    <w:p w14:paraId="7A6940BE">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乙方指定收款账户：</w:t>
      </w:r>
    </w:p>
    <w:p w14:paraId="61672732">
      <w:pPr>
        <w:keepNext w:val="0"/>
        <w:keepLines w:val="0"/>
        <w:pageBreakBefore w:val="0"/>
        <w:kinsoku/>
        <w:wordWrap/>
        <w:overflowPunct/>
        <w:topLinePunct w:val="0"/>
        <w:autoSpaceDE/>
        <w:autoSpaceDN/>
        <w:bidi w:val="0"/>
        <w:adjustRightInd/>
        <w:spacing w:line="360" w:lineRule="auto"/>
        <w:ind w:left="0" w:firstLine="420" w:firstLineChars="200"/>
        <w:jc w:val="both"/>
        <w:textAlignment w:val="auto"/>
        <w:rPr>
          <w:rFonts w:hint="eastAsia" w:ascii="宋体" w:hAnsi="宋体" w:eastAsia="宋体" w:cs="宋体"/>
          <w:color w:val="auto"/>
          <w:kern w:val="2"/>
          <w:sz w:val="21"/>
          <w:szCs w:val="21"/>
          <w:highlight w:val="none"/>
          <w:u w:val="none"/>
        </w:rPr>
      </w:pPr>
      <w:r>
        <w:rPr>
          <w:rFonts w:hint="eastAsia" w:ascii="宋体" w:hAnsi="宋体" w:eastAsia="宋体" w:cs="宋体"/>
          <w:color w:val="auto"/>
          <w:kern w:val="2"/>
          <w:sz w:val="21"/>
          <w:szCs w:val="21"/>
          <w:highlight w:val="none"/>
          <w:u w:val="none"/>
        </w:rPr>
        <w:t xml:space="preserve">户名： </w:t>
      </w:r>
    </w:p>
    <w:p w14:paraId="56237940">
      <w:pPr>
        <w:keepNext w:val="0"/>
        <w:keepLines w:val="0"/>
        <w:pageBreakBefore w:val="0"/>
        <w:kinsoku/>
        <w:wordWrap/>
        <w:overflowPunct/>
        <w:topLinePunct w:val="0"/>
        <w:autoSpaceDE/>
        <w:autoSpaceDN/>
        <w:bidi w:val="0"/>
        <w:adjustRightInd/>
        <w:spacing w:line="360" w:lineRule="auto"/>
        <w:ind w:left="0" w:firstLine="420" w:firstLineChars="200"/>
        <w:jc w:val="both"/>
        <w:textAlignment w:val="auto"/>
        <w:rPr>
          <w:rFonts w:hint="eastAsia" w:ascii="宋体" w:hAnsi="宋体" w:eastAsia="宋体" w:cs="宋体"/>
          <w:color w:val="auto"/>
          <w:kern w:val="2"/>
          <w:sz w:val="21"/>
          <w:szCs w:val="21"/>
          <w:highlight w:val="none"/>
          <w:u w:val="none"/>
        </w:rPr>
      </w:pPr>
      <w:r>
        <w:rPr>
          <w:rFonts w:hint="eastAsia" w:ascii="宋体" w:hAnsi="宋体" w:eastAsia="宋体" w:cs="宋体"/>
          <w:color w:val="auto"/>
          <w:kern w:val="2"/>
          <w:sz w:val="21"/>
          <w:szCs w:val="21"/>
          <w:highlight w:val="none"/>
          <w:u w:val="none"/>
        </w:rPr>
        <w:t xml:space="preserve">开户行： </w:t>
      </w:r>
    </w:p>
    <w:p w14:paraId="254DBF95">
      <w:pPr>
        <w:keepNext w:val="0"/>
        <w:keepLines w:val="0"/>
        <w:pageBreakBefore w:val="0"/>
        <w:kinsoku/>
        <w:wordWrap/>
        <w:overflowPunct/>
        <w:topLinePunct w:val="0"/>
        <w:autoSpaceDE/>
        <w:autoSpaceDN/>
        <w:bidi w:val="0"/>
        <w:adjustRightInd/>
        <w:spacing w:line="360" w:lineRule="auto"/>
        <w:ind w:left="0" w:firstLine="420" w:firstLineChars="200"/>
        <w:jc w:val="both"/>
        <w:textAlignment w:val="auto"/>
        <w:rPr>
          <w:rFonts w:hint="eastAsia" w:ascii="宋体" w:hAnsi="宋体" w:eastAsia="宋体" w:cs="宋体"/>
          <w:color w:val="auto"/>
          <w:kern w:val="2"/>
          <w:sz w:val="21"/>
          <w:szCs w:val="21"/>
          <w:highlight w:val="none"/>
          <w:u w:val="none"/>
        </w:rPr>
      </w:pPr>
      <w:r>
        <w:rPr>
          <w:rFonts w:hint="eastAsia" w:ascii="宋体" w:hAnsi="宋体" w:eastAsia="宋体" w:cs="宋体"/>
          <w:color w:val="auto"/>
          <w:kern w:val="2"/>
          <w:sz w:val="21"/>
          <w:szCs w:val="21"/>
          <w:highlight w:val="none"/>
          <w:u w:val="none"/>
        </w:rPr>
        <w:t>账号：</w:t>
      </w:r>
    </w:p>
    <w:p w14:paraId="779DBDCB">
      <w:pPr>
        <w:keepNext w:val="0"/>
        <w:keepLines w:val="0"/>
        <w:pageBreakBefore w:val="0"/>
        <w:kinsoku/>
        <w:wordWrap/>
        <w:overflowPunct/>
        <w:topLinePunct w:val="0"/>
        <w:autoSpaceDE/>
        <w:autoSpaceDN/>
        <w:bidi w:val="0"/>
        <w:adjustRightInd/>
        <w:spacing w:line="360" w:lineRule="auto"/>
        <w:ind w:firstLine="420" w:firstLineChars="200"/>
        <w:jc w:val="both"/>
        <w:textAlignment w:val="auto"/>
        <w:rPr>
          <w:rFonts w:hint="eastAsia" w:ascii="宋体" w:hAnsi="宋体" w:eastAsia="宋体" w:cs="宋体"/>
          <w:color w:val="auto"/>
          <w:kern w:val="2"/>
          <w:sz w:val="21"/>
          <w:szCs w:val="21"/>
          <w:highlight w:val="none"/>
          <w:u w:val="words"/>
        </w:rPr>
      </w:pPr>
      <w:r>
        <w:rPr>
          <w:rFonts w:hint="eastAsia" w:ascii="宋体" w:hAnsi="宋体" w:eastAsia="宋体" w:cs="宋体"/>
          <w:color w:val="auto"/>
          <w:kern w:val="2"/>
          <w:sz w:val="21"/>
          <w:szCs w:val="21"/>
          <w:highlight w:val="none"/>
          <w:u w:val="none"/>
          <w:lang w:eastAsia="zh-Hans"/>
        </w:rPr>
        <w:t>乙方确认本合同项下的款项均支付至上述银行账户，甲方将款项支付至乙方指定账户即完成支付义务。如乙方收款账户发生任何变更，乙方应至少提前【15】个工作日书面通知甲方；因未及时通知或因上述银行账户被查封、冻结或发生其他非因甲方原因导致款项未能及时到账的，因此导致的后果由乙方自行承担，与甲方无关。</w:t>
      </w:r>
    </w:p>
    <w:p w14:paraId="6438FD9E">
      <w:pPr>
        <w:keepNext w:val="0"/>
        <w:keepLines w:val="0"/>
        <w:pageBreakBefore w:val="0"/>
        <w:kinsoku/>
        <w:wordWrap/>
        <w:overflowPunct/>
        <w:topLinePunct w:val="0"/>
        <w:autoSpaceDE/>
        <w:autoSpaceDN/>
        <w:bidi w:val="0"/>
        <w:spacing w:line="360" w:lineRule="auto"/>
        <w:ind w:firstLine="422" w:firstLineChars="200"/>
        <w:textAlignment w:val="auto"/>
        <w:outlineLvl w:val="1"/>
        <w:rPr>
          <w:rFonts w:hint="eastAsia" w:ascii="宋体" w:hAnsi="宋体" w:eastAsia="宋体" w:cs="宋体"/>
          <w:color w:val="auto"/>
          <w:sz w:val="21"/>
          <w:szCs w:val="21"/>
          <w:highlight w:val="none"/>
        </w:rPr>
      </w:pPr>
      <w:bookmarkStart w:id="712" w:name="_Toc3989"/>
      <w:bookmarkStart w:id="713" w:name="_Toc4089"/>
      <w:r>
        <w:rPr>
          <w:rFonts w:hint="eastAsia" w:ascii="宋体" w:hAnsi="宋体" w:eastAsia="宋体" w:cs="宋体"/>
          <w:b/>
          <w:color w:val="auto"/>
          <w:sz w:val="21"/>
          <w:szCs w:val="21"/>
          <w:highlight w:val="none"/>
        </w:rPr>
        <w:t>第八条 履约担保</w:t>
      </w:r>
      <w:bookmarkEnd w:id="712"/>
      <w:bookmarkEnd w:id="713"/>
    </w:p>
    <w:p w14:paraId="71BD0652">
      <w:pPr>
        <w:keepNext w:val="0"/>
        <w:keepLines w:val="0"/>
        <w:pageBreakBefore w:val="0"/>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乙方应当根据招标文件的规定在签订本合同前向甲方提供履约担保，履约担保形式及金额由乙方从以下方式中任选一种：</w:t>
      </w:r>
    </w:p>
    <w:p w14:paraId="70814129">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履约保证金（银行转账形式）金额为¥     元（大写人民币      ）；</w:t>
      </w:r>
    </w:p>
    <w:p w14:paraId="11C743A4">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不可撤销银行履约保函金额为</w:t>
      </w:r>
      <w:r>
        <w:rPr>
          <w:rFonts w:hint="eastAsia" w:ascii="宋体" w:hAnsi="宋体" w:eastAsia="宋体" w:cs="宋体"/>
          <w:color w:val="auto"/>
          <w:sz w:val="21"/>
          <w:szCs w:val="21"/>
          <w:highlight w:val="none"/>
          <w:u w:val="single"/>
          <w:lang w:val="zh-CN"/>
        </w:rPr>
        <w:t>¥     元（大写人民币      ）</w:t>
      </w:r>
      <w:r>
        <w:rPr>
          <w:rFonts w:hint="eastAsia" w:ascii="宋体" w:hAnsi="宋体" w:eastAsia="宋体" w:cs="宋体"/>
          <w:color w:val="auto"/>
          <w:sz w:val="21"/>
          <w:szCs w:val="21"/>
          <w:highlight w:val="none"/>
          <w:u w:val="single"/>
        </w:rPr>
        <w:t>；</w:t>
      </w:r>
    </w:p>
    <w:p w14:paraId="7A27B4FF">
      <w:pPr>
        <w:keepNext w:val="0"/>
        <w:keepLines w:val="0"/>
        <w:pageBreakBefore w:val="0"/>
        <w:kinsoku/>
        <w:wordWrap/>
        <w:overflowPunct/>
        <w:topLinePunct w:val="0"/>
        <w:autoSpaceDE/>
        <w:autoSpaceDN/>
        <w:bidi w:val="0"/>
        <w:adjustRightInd/>
        <w:spacing w:line="360" w:lineRule="auto"/>
        <w:ind w:right="-26"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履约保证保险金额为</w:t>
      </w:r>
      <w:r>
        <w:rPr>
          <w:rFonts w:hint="eastAsia" w:ascii="宋体" w:hAnsi="宋体" w:eastAsia="宋体" w:cs="宋体"/>
          <w:color w:val="auto"/>
          <w:sz w:val="21"/>
          <w:szCs w:val="21"/>
          <w:highlight w:val="none"/>
          <w:u w:val="single"/>
          <w:lang w:val="zh-CN"/>
        </w:rPr>
        <w:t>¥     元（大写人民币      ）</w:t>
      </w:r>
      <w:r>
        <w:rPr>
          <w:rFonts w:hint="eastAsia" w:ascii="宋体" w:hAnsi="宋体" w:eastAsia="宋体" w:cs="宋体"/>
          <w:color w:val="auto"/>
          <w:sz w:val="21"/>
          <w:szCs w:val="21"/>
          <w:highlight w:val="none"/>
          <w:u w:val="single"/>
        </w:rPr>
        <w:t>；</w:t>
      </w:r>
    </w:p>
    <w:p w14:paraId="08A30993">
      <w:pPr>
        <w:keepNext w:val="0"/>
        <w:keepLines w:val="0"/>
        <w:pageBreakBefore w:val="0"/>
        <w:kinsoku/>
        <w:wordWrap/>
        <w:overflowPunct/>
        <w:topLinePunct w:val="0"/>
        <w:autoSpaceDE/>
        <w:autoSpaceDN/>
        <w:bidi w:val="0"/>
        <w:adjustRightInd/>
        <w:spacing w:line="360" w:lineRule="auto"/>
        <w:ind w:right="-26" w:firstLine="420" w:firstLineChars="200"/>
        <w:textAlignment w:val="auto"/>
        <w:rPr>
          <w:rFonts w:hint="eastAsia" w:ascii="宋体" w:hAnsi="宋体" w:eastAsia="宋体" w:cs="宋体"/>
          <w:b/>
          <w:bCs/>
          <w:color w:val="auto"/>
          <w:sz w:val="21"/>
          <w:szCs w:val="21"/>
          <w:highlight w:val="none"/>
          <w:lang w:val="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担保公司履约担保书金额为¥     元（大写人民币      ）。</w:t>
      </w:r>
    </w:p>
    <w:p w14:paraId="49EA8B5C">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履约担保用于补偿甲方因乙方不能</w:t>
      </w:r>
      <w:r>
        <w:rPr>
          <w:rFonts w:hint="eastAsia" w:ascii="宋体" w:hAnsi="宋体" w:eastAsia="宋体" w:cs="宋体"/>
          <w:color w:val="auto"/>
          <w:sz w:val="21"/>
          <w:szCs w:val="21"/>
          <w:highlight w:val="none"/>
          <w:lang w:val="en-US" w:eastAsia="zh-CN"/>
        </w:rPr>
        <w:t>完全履行</w:t>
      </w:r>
      <w:r>
        <w:rPr>
          <w:rFonts w:hint="eastAsia" w:ascii="宋体" w:hAnsi="宋体" w:eastAsia="宋体" w:cs="宋体"/>
          <w:color w:val="auto"/>
          <w:sz w:val="21"/>
          <w:szCs w:val="21"/>
          <w:highlight w:val="none"/>
        </w:rPr>
        <w:t>其合同义务而蒙受的损失或其他合同约定的事项。如发生下列任一情况时，甲方有权依合同追究违约责任外，同时有权提取履约担保并进行相应处理：</w:t>
      </w:r>
    </w:p>
    <w:p w14:paraId="18470BC0">
      <w:pPr>
        <w:keepNext w:val="0"/>
        <w:keepLines w:val="0"/>
        <w:pageBreakBefore w:val="0"/>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（1）乙方将合同项下乙方的权利义务全部转让给第三方，或未经甲方书面同意将部分权利义务转让给第三方的，甲方有权没收其履约担保。</w:t>
      </w:r>
    </w:p>
    <w:p w14:paraId="33BEB3A8">
      <w:pPr>
        <w:keepNext w:val="0"/>
        <w:keepLines w:val="0"/>
        <w:pageBreakBefore w:val="0"/>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cs="宋体"/>
          <w:color w:val="auto"/>
          <w:sz w:val="21"/>
          <w:szCs w:val="21"/>
          <w:highlight w:val="none"/>
          <w:lang w:val="en-US" w:eastAsia="zh-CN"/>
        </w:rPr>
        <w:t>2</w:t>
      </w:r>
      <w:r>
        <w:rPr>
          <w:rFonts w:hint="eastAsia" w:ascii="宋体" w:hAnsi="宋体" w:eastAsia="宋体" w:cs="宋体"/>
          <w:color w:val="auto"/>
          <w:sz w:val="21"/>
          <w:szCs w:val="21"/>
          <w:highlight w:val="none"/>
        </w:rPr>
        <w:t>）在合同履行期间，因乙方</w:t>
      </w:r>
      <w:r>
        <w:rPr>
          <w:rFonts w:hint="eastAsia" w:ascii="宋体" w:hAnsi="宋体" w:eastAsia="宋体" w:cs="宋体"/>
          <w:color w:val="auto"/>
          <w:sz w:val="21"/>
          <w:szCs w:val="21"/>
          <w:highlight w:val="none"/>
          <w:lang w:val="en-US" w:eastAsia="zh-CN"/>
        </w:rPr>
        <w:t>货物、</w:t>
      </w:r>
      <w:r>
        <w:rPr>
          <w:rFonts w:hint="eastAsia" w:ascii="宋体" w:hAnsi="宋体" w:eastAsia="宋体" w:cs="宋体"/>
          <w:color w:val="auto"/>
          <w:sz w:val="21"/>
          <w:szCs w:val="21"/>
          <w:highlight w:val="none"/>
        </w:rPr>
        <w:t>服务质量问题造成损害、侵权损失（包括但不限于甲方经济损失、第三人人身财产损失等）、拖欠原材料供应商货款或与其所雇用员工发生劳资纠纷、上访、闹事或其他影响甲方生产经营等情况而其未及时妥善处理的，甲方有权使用履约担保予以支付或作出相应处理，由此产生的一切法律后果由乙方承担。</w:t>
      </w:r>
    </w:p>
    <w:p w14:paraId="580A20AA">
      <w:pPr>
        <w:keepNext w:val="0"/>
        <w:keepLines w:val="0"/>
        <w:pageBreakBefore w:val="0"/>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cs="宋体"/>
          <w:color w:val="auto"/>
          <w:sz w:val="21"/>
          <w:szCs w:val="21"/>
          <w:highlight w:val="none"/>
          <w:lang w:val="en-US" w:eastAsia="zh-CN"/>
        </w:rPr>
        <w:t>3</w:t>
      </w:r>
      <w:r>
        <w:rPr>
          <w:rFonts w:hint="eastAsia" w:ascii="宋体" w:hAnsi="宋体" w:eastAsia="宋体" w:cs="宋体"/>
          <w:color w:val="auto"/>
          <w:sz w:val="21"/>
          <w:szCs w:val="21"/>
          <w:highlight w:val="none"/>
        </w:rPr>
        <w:t>）在合同履行期间，乙方违约产生的违约金、赔偿、罚款或其他应付费用等款项，甲方有权直接从未付款项中直接扣除或启用履约担保予以支付。</w:t>
      </w:r>
    </w:p>
    <w:p w14:paraId="5BDEE6C3">
      <w:pPr>
        <w:keepNext w:val="0"/>
        <w:keepLines w:val="0"/>
        <w:pageBreakBefore w:val="0"/>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cs="宋体"/>
          <w:color w:val="auto"/>
          <w:sz w:val="21"/>
          <w:szCs w:val="21"/>
          <w:highlight w:val="none"/>
          <w:lang w:val="en-US" w:eastAsia="zh-CN"/>
        </w:rPr>
        <w:t>4</w:t>
      </w:r>
      <w:r>
        <w:rPr>
          <w:rFonts w:hint="eastAsia" w:ascii="宋体" w:hAnsi="宋体" w:eastAsia="宋体" w:cs="宋体"/>
          <w:color w:val="auto"/>
          <w:sz w:val="21"/>
          <w:szCs w:val="21"/>
          <w:highlight w:val="none"/>
        </w:rPr>
        <w:t>）合同期内，乙方不能及时完成某项合同义务的，甲方有权提取履约担保用于处理该项工作。</w:t>
      </w:r>
    </w:p>
    <w:p w14:paraId="077FC9F4">
      <w:pPr>
        <w:keepNext w:val="0"/>
        <w:keepLines w:val="0"/>
        <w:pageBreakBefore w:val="0"/>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cs="宋体"/>
          <w:color w:val="auto"/>
          <w:sz w:val="21"/>
          <w:szCs w:val="21"/>
          <w:highlight w:val="none"/>
          <w:lang w:val="en-US" w:eastAsia="zh-CN"/>
        </w:rPr>
        <w:t>5</w:t>
      </w:r>
      <w:r>
        <w:rPr>
          <w:rFonts w:hint="eastAsia" w:ascii="宋体" w:hAnsi="宋体" w:eastAsia="宋体" w:cs="宋体"/>
          <w:color w:val="auto"/>
          <w:sz w:val="21"/>
          <w:szCs w:val="21"/>
          <w:highlight w:val="none"/>
        </w:rPr>
        <w:t>）其他根据本合同约定或法律规定，甲方可</w:t>
      </w:r>
      <w:r>
        <w:rPr>
          <w:rFonts w:hint="eastAsia" w:ascii="宋体" w:hAnsi="宋体" w:eastAsia="宋体" w:cs="宋体"/>
          <w:color w:val="auto"/>
          <w:sz w:val="21"/>
          <w:szCs w:val="21"/>
          <w:highlight w:val="none"/>
          <w:lang w:val="en-US" w:eastAsia="zh-CN"/>
        </w:rPr>
        <w:t>启</w:t>
      </w:r>
      <w:r>
        <w:rPr>
          <w:rFonts w:hint="eastAsia" w:ascii="宋体" w:hAnsi="宋体" w:eastAsia="宋体" w:cs="宋体"/>
          <w:color w:val="auto"/>
          <w:sz w:val="21"/>
          <w:szCs w:val="21"/>
          <w:highlight w:val="none"/>
        </w:rPr>
        <w:t>用履约担保的情形。</w:t>
      </w:r>
    </w:p>
    <w:p w14:paraId="6989F94A">
      <w:pPr>
        <w:keepNext w:val="0"/>
        <w:keepLines w:val="0"/>
        <w:pageBreakBefore w:val="0"/>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若乙方</w:t>
      </w:r>
      <w:r>
        <w:rPr>
          <w:rFonts w:hint="eastAsia" w:ascii="宋体" w:hAnsi="宋体" w:eastAsia="宋体" w:cs="宋体"/>
          <w:color w:val="auto"/>
          <w:kern w:val="2"/>
          <w:szCs w:val="21"/>
          <w:highlight w:val="none"/>
        </w:rPr>
        <w:t>以履约保证金（银行转账形式）提供</w:t>
      </w:r>
      <w:r>
        <w:rPr>
          <w:rFonts w:hint="eastAsia" w:ascii="宋体" w:hAnsi="宋体" w:eastAsia="宋体" w:cs="宋体"/>
          <w:color w:val="auto"/>
          <w:sz w:val="21"/>
          <w:szCs w:val="21"/>
          <w:highlight w:val="none"/>
        </w:rPr>
        <w:t>履约担保的，在</w:t>
      </w:r>
      <w:r>
        <w:rPr>
          <w:rFonts w:hint="eastAsia" w:ascii="宋体" w:hAnsi="宋体" w:eastAsia="宋体" w:cs="宋体"/>
          <w:color w:val="auto"/>
          <w:kern w:val="2"/>
          <w:szCs w:val="21"/>
          <w:highlight w:val="none"/>
        </w:rPr>
        <w:t>合同期限届满并全部供货经验收合格及履行完毕相关服务义务且结算完毕之后二十八（28）日</w:t>
      </w:r>
      <w:r>
        <w:rPr>
          <w:rFonts w:hint="eastAsia" w:ascii="宋体" w:hAnsi="宋体" w:eastAsia="宋体" w:cs="宋体"/>
          <w:color w:val="auto"/>
          <w:sz w:val="21"/>
          <w:szCs w:val="21"/>
          <w:highlight w:val="none"/>
        </w:rPr>
        <w:t>后，甲方将履约担保余额无息退还乙方。</w:t>
      </w:r>
    </w:p>
    <w:p w14:paraId="0065B5A2">
      <w:pPr>
        <w:keepNext w:val="0"/>
        <w:keepLines w:val="0"/>
        <w:pageBreakBefore w:val="0"/>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如乙方提供不可撤销银行履约保函</w:t>
      </w:r>
      <w:r>
        <w:rPr>
          <w:rFonts w:hint="eastAsia" w:ascii="宋体" w:hAnsi="宋体" w:eastAsia="宋体" w:cs="宋体"/>
          <w:color w:val="auto"/>
          <w:kern w:val="2"/>
          <w:szCs w:val="21"/>
          <w:highlight w:val="none"/>
        </w:rPr>
        <w:t>或履约保证保险</w:t>
      </w:r>
      <w:r>
        <w:rPr>
          <w:rFonts w:hint="eastAsia" w:ascii="宋体" w:hAnsi="宋体" w:eastAsia="宋体" w:cs="宋体"/>
          <w:color w:val="auto"/>
          <w:sz w:val="21"/>
          <w:szCs w:val="21"/>
          <w:highlight w:val="none"/>
        </w:rPr>
        <w:t>或担保公司履约担保书作为履约担保的，不可撤销银行履约保函</w:t>
      </w:r>
      <w:r>
        <w:rPr>
          <w:rFonts w:hint="eastAsia" w:ascii="宋体" w:hAnsi="宋体" w:eastAsia="宋体" w:cs="宋体"/>
          <w:color w:val="auto"/>
          <w:kern w:val="2"/>
          <w:szCs w:val="21"/>
          <w:highlight w:val="none"/>
        </w:rPr>
        <w:t>或履约保证保险</w:t>
      </w:r>
      <w:r>
        <w:rPr>
          <w:rFonts w:hint="eastAsia" w:ascii="宋体" w:hAnsi="宋体" w:eastAsia="宋体" w:cs="宋体"/>
          <w:color w:val="auto"/>
          <w:sz w:val="21"/>
          <w:szCs w:val="21"/>
          <w:highlight w:val="none"/>
        </w:rPr>
        <w:t>或担保公司履约担保书应</w:t>
      </w:r>
      <w:r>
        <w:rPr>
          <w:rFonts w:hint="eastAsia" w:ascii="宋体" w:hAnsi="宋体" w:eastAsia="宋体" w:cs="宋体"/>
          <w:color w:val="auto"/>
          <w:kern w:val="2"/>
          <w:szCs w:val="21"/>
          <w:highlight w:val="none"/>
        </w:rPr>
        <w:t>从合同签订之日起至合同期限届满并全部供货经验收合格及履行完毕相关服务义务且结算完毕之后二十八（28）日内</w:t>
      </w:r>
      <w:r>
        <w:rPr>
          <w:rFonts w:hint="eastAsia" w:ascii="宋体" w:hAnsi="宋体" w:eastAsia="宋体" w:cs="宋体"/>
          <w:color w:val="auto"/>
          <w:sz w:val="21"/>
          <w:szCs w:val="21"/>
          <w:highlight w:val="none"/>
        </w:rPr>
        <w:t>保持有效。如不可撤销银行履约保函</w:t>
      </w:r>
      <w:r>
        <w:rPr>
          <w:rFonts w:hint="eastAsia" w:ascii="宋体" w:hAnsi="宋体" w:eastAsia="宋体" w:cs="宋体"/>
          <w:color w:val="auto"/>
          <w:kern w:val="2"/>
          <w:szCs w:val="21"/>
          <w:highlight w:val="none"/>
        </w:rPr>
        <w:t>或履约保证保险</w:t>
      </w:r>
      <w:r>
        <w:rPr>
          <w:rFonts w:hint="eastAsia" w:ascii="宋体" w:hAnsi="宋体" w:eastAsia="宋体" w:cs="宋体"/>
          <w:color w:val="auto"/>
          <w:sz w:val="21"/>
          <w:szCs w:val="21"/>
          <w:highlight w:val="none"/>
        </w:rPr>
        <w:t>或担保公司履约担保书在规定有效期届满时而货物尚未全部验收合格</w:t>
      </w:r>
      <w:r>
        <w:rPr>
          <w:rFonts w:hint="eastAsia" w:ascii="宋体" w:hAnsi="宋体" w:eastAsia="宋体" w:cs="宋体"/>
          <w:color w:val="auto"/>
          <w:sz w:val="21"/>
          <w:szCs w:val="21"/>
          <w:highlight w:val="none"/>
          <w:lang w:val="en-US" w:eastAsia="zh-CN"/>
        </w:rPr>
        <w:t>的及本合同项下合同义务仍未履行完毕</w:t>
      </w:r>
      <w:r>
        <w:rPr>
          <w:rFonts w:hint="eastAsia" w:ascii="宋体" w:hAnsi="宋体" w:eastAsia="宋体" w:cs="宋体"/>
          <w:color w:val="auto"/>
          <w:sz w:val="21"/>
          <w:szCs w:val="21"/>
          <w:highlight w:val="none"/>
        </w:rPr>
        <w:t>的，乙方必须在不可撤销银行履约保函</w:t>
      </w:r>
      <w:r>
        <w:rPr>
          <w:rFonts w:hint="eastAsia" w:ascii="宋体" w:hAnsi="宋体" w:eastAsia="宋体" w:cs="宋体"/>
          <w:color w:val="auto"/>
          <w:kern w:val="2"/>
          <w:szCs w:val="21"/>
          <w:highlight w:val="none"/>
        </w:rPr>
        <w:t>或履约保证保险</w:t>
      </w:r>
      <w:r>
        <w:rPr>
          <w:rFonts w:hint="eastAsia" w:ascii="宋体" w:hAnsi="宋体" w:eastAsia="宋体" w:cs="宋体"/>
          <w:color w:val="auto"/>
          <w:sz w:val="21"/>
          <w:szCs w:val="21"/>
          <w:highlight w:val="none"/>
        </w:rPr>
        <w:t>或担保公司履约担保书到期15日前无条件办理办妥延期手续或重新提供</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否则视为乙方违约，甲方有权在不可撤销银行履约保函</w:t>
      </w:r>
      <w:r>
        <w:rPr>
          <w:rFonts w:hint="eastAsia" w:ascii="宋体" w:hAnsi="宋体" w:eastAsia="宋体" w:cs="宋体"/>
          <w:color w:val="auto"/>
          <w:kern w:val="2"/>
          <w:szCs w:val="21"/>
          <w:highlight w:val="none"/>
        </w:rPr>
        <w:t>或履约保证保险</w:t>
      </w:r>
      <w:r>
        <w:rPr>
          <w:rFonts w:hint="eastAsia" w:ascii="宋体" w:hAnsi="宋体" w:eastAsia="宋体" w:cs="宋体"/>
          <w:color w:val="auto"/>
          <w:sz w:val="21"/>
          <w:szCs w:val="21"/>
          <w:highlight w:val="none"/>
        </w:rPr>
        <w:t>或担保公司履约担保书到期前向出具履约担保的机构提取履约担保。在不可撤销银行履约保函</w:t>
      </w:r>
      <w:r>
        <w:rPr>
          <w:rFonts w:hint="eastAsia" w:ascii="宋体" w:hAnsi="宋体" w:eastAsia="宋体" w:cs="宋体"/>
          <w:color w:val="auto"/>
          <w:kern w:val="2"/>
          <w:szCs w:val="21"/>
          <w:highlight w:val="none"/>
        </w:rPr>
        <w:t>或履约保证保险</w:t>
      </w:r>
      <w:r>
        <w:rPr>
          <w:rFonts w:hint="eastAsia" w:ascii="宋体" w:hAnsi="宋体" w:eastAsia="宋体" w:cs="宋体"/>
          <w:color w:val="auto"/>
          <w:sz w:val="21"/>
          <w:szCs w:val="21"/>
          <w:highlight w:val="none"/>
        </w:rPr>
        <w:t>或担保公司履约担保书到期后乙方未按甲方要求重新提供的，甲方有权要求乙方以履约担保金额为限承担违约金，违约金可直接从未付货款中扣除。</w:t>
      </w:r>
    </w:p>
    <w:p w14:paraId="780160C9">
      <w:pPr>
        <w:keepNext w:val="0"/>
        <w:keepLines w:val="0"/>
        <w:pageBreakBefore w:val="0"/>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在合同履行过程中，不论何种原因导致履约担保数额不符合招标文件</w:t>
      </w:r>
      <w:r>
        <w:rPr>
          <w:rFonts w:hint="eastAsia" w:ascii="宋体" w:hAnsi="宋体" w:eastAsia="宋体" w:cs="宋体"/>
          <w:color w:val="auto"/>
          <w:sz w:val="21"/>
          <w:szCs w:val="21"/>
          <w:highlight w:val="none"/>
          <w:lang w:val="en-US" w:eastAsia="zh-CN"/>
        </w:rPr>
        <w:t>及本合同</w:t>
      </w:r>
      <w:r>
        <w:rPr>
          <w:rFonts w:hint="eastAsia" w:ascii="宋体" w:hAnsi="宋体" w:eastAsia="宋体" w:cs="宋体"/>
          <w:color w:val="auto"/>
          <w:sz w:val="21"/>
          <w:szCs w:val="21"/>
          <w:highlight w:val="none"/>
        </w:rPr>
        <w:t>要求的，乙方应当在5日内予以补足。逾期不予补足的，甲方有权按需补足的金额要求乙方承担违约金，并要求限期补足。如乙方仍不补足的，甲方有权单方解除本合同，违约金可直接从未付合同款或履约担保中扣除。</w:t>
      </w:r>
    </w:p>
    <w:p w14:paraId="54685678">
      <w:pPr>
        <w:keepNext w:val="0"/>
        <w:keepLines w:val="0"/>
        <w:pageBreakBefore w:val="0"/>
        <w:kinsoku/>
        <w:wordWrap/>
        <w:overflowPunct/>
        <w:topLinePunct w:val="0"/>
        <w:bidi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本合同中提及的“没收履约担保”“扣除履约担保”“使用履约担保予以支付”“启用履约担保”等，如履约担保为保证金形式的，则该含义为没收保证金、扣除保证金、直接使用保证金等；如履约担保为银行不可撤销履约保函（</w:t>
      </w:r>
      <w:r>
        <w:rPr>
          <w:rFonts w:hint="eastAsia" w:ascii="宋体" w:hAnsi="宋体" w:eastAsia="宋体" w:cs="宋体"/>
          <w:color w:val="auto"/>
          <w:kern w:val="2"/>
          <w:szCs w:val="21"/>
          <w:highlight w:val="none"/>
        </w:rPr>
        <w:t>或履约保证保险</w:t>
      </w:r>
      <w:r>
        <w:rPr>
          <w:rFonts w:hint="eastAsia" w:ascii="宋体" w:hAnsi="宋体" w:eastAsia="宋体" w:cs="宋体"/>
          <w:color w:val="auto"/>
          <w:sz w:val="21"/>
          <w:szCs w:val="21"/>
          <w:highlight w:val="none"/>
          <w:lang w:val="en-US" w:eastAsia="zh-CN"/>
        </w:rPr>
        <w:t>或担保公司履约担保书），则该含义为：要求乙方承担与保函或履约担保书同等金额的款项或违约金等，并向银行</w:t>
      </w:r>
      <w:r>
        <w:rPr>
          <w:rFonts w:hint="eastAsia" w:ascii="宋体" w:hAnsi="宋体" w:eastAsia="宋体" w:cs="宋体"/>
          <w:color w:val="auto"/>
          <w:kern w:val="2"/>
          <w:szCs w:val="21"/>
          <w:highlight w:val="none"/>
        </w:rPr>
        <w:t>（</w:t>
      </w:r>
      <w:r>
        <w:rPr>
          <w:rFonts w:hint="eastAsia" w:ascii="宋体" w:hAnsi="宋体" w:eastAsia="宋体" w:cs="宋体"/>
          <w:color w:val="auto"/>
          <w:kern w:val="2"/>
          <w:szCs w:val="21"/>
          <w:highlight w:val="none"/>
          <w:lang w:val="en-US" w:eastAsia="zh-CN"/>
        </w:rPr>
        <w:t>或保险</w:t>
      </w:r>
      <w:r>
        <w:rPr>
          <w:rFonts w:hint="eastAsia" w:ascii="宋体" w:hAnsi="宋体" w:eastAsia="宋体" w:cs="宋体"/>
          <w:color w:val="auto"/>
          <w:kern w:val="2"/>
          <w:szCs w:val="21"/>
          <w:highlight w:val="none"/>
        </w:rPr>
        <w:t>或担保）机构</w:t>
      </w:r>
      <w:r>
        <w:rPr>
          <w:rFonts w:hint="eastAsia" w:ascii="宋体" w:hAnsi="宋体" w:eastAsia="宋体" w:cs="宋体"/>
          <w:color w:val="auto"/>
          <w:sz w:val="21"/>
          <w:szCs w:val="21"/>
          <w:highlight w:val="none"/>
          <w:lang w:val="en-US" w:eastAsia="zh-CN"/>
        </w:rPr>
        <w:t>索赔。</w:t>
      </w:r>
    </w:p>
    <w:p w14:paraId="2904201F">
      <w:pPr>
        <w:keepNext w:val="0"/>
        <w:keepLines w:val="0"/>
        <w:pageBreakBefore w:val="0"/>
        <w:kinsoku/>
        <w:wordWrap/>
        <w:overflowPunct/>
        <w:topLinePunct w:val="0"/>
        <w:autoSpaceDE/>
        <w:autoSpaceDN/>
        <w:bidi w:val="0"/>
        <w:spacing w:line="360" w:lineRule="auto"/>
        <w:ind w:firstLine="422" w:firstLineChars="200"/>
        <w:textAlignment w:val="auto"/>
        <w:outlineLvl w:val="1"/>
        <w:rPr>
          <w:rFonts w:hint="eastAsia" w:ascii="宋体" w:hAnsi="宋体" w:eastAsia="宋体" w:cs="宋体"/>
          <w:b/>
          <w:color w:val="auto"/>
          <w:sz w:val="21"/>
          <w:szCs w:val="21"/>
          <w:highlight w:val="none"/>
        </w:rPr>
      </w:pPr>
      <w:bookmarkStart w:id="714" w:name="_Toc13115"/>
      <w:bookmarkStart w:id="715" w:name="_Toc9803"/>
      <w:r>
        <w:rPr>
          <w:rFonts w:hint="eastAsia" w:ascii="宋体" w:hAnsi="宋体" w:eastAsia="宋体" w:cs="宋体"/>
          <w:b/>
          <w:color w:val="auto"/>
          <w:sz w:val="21"/>
          <w:szCs w:val="21"/>
          <w:highlight w:val="none"/>
        </w:rPr>
        <w:t>第九条 违约责任</w:t>
      </w:r>
      <w:bookmarkEnd w:id="714"/>
      <w:bookmarkEnd w:id="715"/>
    </w:p>
    <w:p w14:paraId="2DDD9B48">
      <w:pPr>
        <w:keepNext w:val="0"/>
        <w:keepLines w:val="0"/>
        <w:pageBreakBefore w:val="0"/>
        <w:widowControl/>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cs="宋体"/>
          <w:color w:val="auto"/>
          <w:sz w:val="21"/>
          <w:szCs w:val="21"/>
          <w:highlight w:val="none"/>
          <w:lang w:val="en-US" w:eastAsia="zh-CN"/>
        </w:rPr>
        <w:t>.乙方未在约定的时间内完成交货的，每逾期1日（应急供货的，每逾期30分钟），乙方须按当月供货货物金额（含销项税）的1%向甲方支付违约金，最高不超过当月供货货物金额（含销项税）的10%。乙方逾期超过10日的（应急供货的，逾期超5小时），甲方可单方解除本合同，乙方除前述逾期违约金外，还应额外按暂定总合同价（含销项税）的5%向甲方支付违约金，并赔偿甲方因此产生的所有损失（包括但不限于甲方再行采购的费用、委托第三方继续履行时超出本合同费用部分等）。</w:t>
      </w:r>
    </w:p>
    <w:p w14:paraId="3108C617">
      <w:pPr>
        <w:keepNext w:val="0"/>
        <w:keepLines w:val="0"/>
        <w:pageBreakBefore w:val="0"/>
        <w:widowControl/>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乙方未按合同约定履行货物的更换、退货责任，</w:t>
      </w:r>
      <w:r>
        <w:rPr>
          <w:rFonts w:hint="eastAsia" w:ascii="宋体" w:hAnsi="宋体" w:eastAsia="宋体" w:cs="宋体"/>
          <w:color w:val="auto"/>
          <w:sz w:val="21"/>
          <w:szCs w:val="21"/>
          <w:highlight w:val="none"/>
          <w:lang w:eastAsia="zh-CN"/>
        </w:rPr>
        <w:t>每违反一次，</w:t>
      </w:r>
      <w:r>
        <w:rPr>
          <w:rFonts w:hint="eastAsia" w:ascii="宋体" w:hAnsi="宋体" w:eastAsia="宋体" w:cs="宋体"/>
          <w:color w:val="auto"/>
          <w:sz w:val="21"/>
          <w:szCs w:val="21"/>
          <w:highlight w:val="none"/>
        </w:rPr>
        <w:t>乙方须按当月供货货物</w:t>
      </w:r>
      <w:r>
        <w:rPr>
          <w:rFonts w:hint="eastAsia" w:ascii="宋体" w:hAnsi="宋体" w:eastAsia="宋体" w:cs="宋体"/>
          <w:color w:val="auto"/>
          <w:sz w:val="21"/>
          <w:szCs w:val="21"/>
          <w:highlight w:val="none"/>
          <w:lang w:val="en-US" w:eastAsia="zh-CN"/>
        </w:rPr>
        <w:t>金额</w:t>
      </w:r>
      <w:r>
        <w:rPr>
          <w:rFonts w:hint="eastAsia" w:ascii="宋体" w:hAnsi="宋体" w:eastAsia="宋体" w:cs="宋体"/>
          <w:color w:val="auto"/>
          <w:sz w:val="21"/>
          <w:szCs w:val="21"/>
          <w:highlight w:val="none"/>
        </w:rPr>
        <w:t>（含销项税）的3%向甲方支付违约金，最高不超过当月供货货物金额（含销项税）的10%。</w:t>
      </w:r>
    </w:p>
    <w:p w14:paraId="1FFB999F">
      <w:pPr>
        <w:keepNext w:val="0"/>
        <w:keepLines w:val="0"/>
        <w:pageBreakBefore w:val="0"/>
        <w:widowControl/>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乙方所交货物经检验累计出现3次以上（含本数）不合格的情况，甲方有权单方解除本合同及没收全部履约担保。</w:t>
      </w:r>
    </w:p>
    <w:p w14:paraId="466411D3">
      <w:pPr>
        <w:keepNext w:val="0"/>
        <w:keepLines w:val="0"/>
        <w:pageBreakBefore w:val="0"/>
        <w:widowControl/>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cs="宋体"/>
          <w:color w:val="auto"/>
          <w:szCs w:val="21"/>
          <w:highlight w:val="none"/>
          <w:lang w:val="en-US" w:eastAsia="zh-CN"/>
        </w:rPr>
        <w:t>4.</w:t>
      </w:r>
      <w:r>
        <w:rPr>
          <w:rFonts w:hint="eastAsia" w:ascii="宋体" w:hAnsi="宋体" w:eastAsia="宋体" w:cs="宋体"/>
          <w:color w:val="auto"/>
          <w:sz w:val="21"/>
          <w:szCs w:val="21"/>
          <w:highlight w:val="none"/>
        </w:rPr>
        <w:t>乙方未按约定履行售后服务义务的，甲方有权要求限期改正，如逾期仍未改正的，甲方有权要求其他第三方提供相关服务，因此产生的费用全部由乙方承担，并且甲方有权单方解除本合同，</w:t>
      </w:r>
      <w:r>
        <w:rPr>
          <w:rFonts w:hint="eastAsia" w:ascii="宋体" w:hAnsi="宋体" w:eastAsia="宋体" w:cs="宋体"/>
          <w:color w:val="auto"/>
          <w:sz w:val="21"/>
          <w:szCs w:val="21"/>
          <w:highlight w:val="none"/>
          <w:lang w:eastAsia="zh-CN"/>
        </w:rPr>
        <w:t>同时甲方有权没收全部</w:t>
      </w:r>
      <w:r>
        <w:rPr>
          <w:rFonts w:hint="eastAsia" w:ascii="宋体" w:hAnsi="宋体" w:eastAsia="宋体" w:cs="宋体"/>
          <w:color w:val="auto"/>
          <w:sz w:val="21"/>
          <w:szCs w:val="21"/>
          <w:highlight w:val="none"/>
        </w:rPr>
        <w:t>履约担保。</w:t>
      </w:r>
    </w:p>
    <w:p w14:paraId="7BE595AB">
      <w:pPr>
        <w:keepNext w:val="0"/>
        <w:keepLines w:val="0"/>
        <w:pageBreakBefore w:val="0"/>
        <w:widowControl/>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在质保期内，因乙方所供货物质量问题导致甲方设备运行出现异常、故障、发生安全事故或引起其他损失和造成不良后果的，乙方应在接到甲方通知后</w:t>
      </w:r>
      <w:r>
        <w:rPr>
          <w:rFonts w:hint="eastAsia" w:ascii="宋体" w:hAnsi="宋体" w:eastAsia="宋体" w:cs="宋体"/>
          <w:color w:val="auto"/>
          <w:sz w:val="21"/>
          <w:szCs w:val="21"/>
          <w:highlight w:val="none"/>
          <w:u w:val="single"/>
          <w:lang w:val="en-US" w:eastAsia="zh-CN"/>
        </w:rPr>
        <w:t>4</w:t>
      </w:r>
      <w:r>
        <w:rPr>
          <w:rFonts w:hint="eastAsia" w:ascii="宋体" w:hAnsi="宋体" w:eastAsia="宋体" w:cs="宋体"/>
          <w:color w:val="auto"/>
          <w:sz w:val="21"/>
          <w:szCs w:val="21"/>
          <w:highlight w:val="none"/>
        </w:rPr>
        <w:t>小时内到达现场确认情况，并承担全部责任及损失赔偿。</w:t>
      </w:r>
    </w:p>
    <w:p w14:paraId="1110C90A">
      <w:pPr>
        <w:keepNext w:val="0"/>
        <w:keepLines w:val="0"/>
        <w:pageBreakBefore w:val="0"/>
        <w:widowControl/>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乙方自甲方通知货物不合格之时起，甲方有权要求乙方必须</w:t>
      </w:r>
      <w:r>
        <w:rPr>
          <w:rFonts w:hint="eastAsia" w:ascii="宋体" w:hAnsi="宋体" w:eastAsia="宋体" w:cs="宋体"/>
          <w:color w:val="auto"/>
          <w:sz w:val="21"/>
          <w:szCs w:val="21"/>
          <w:highlight w:val="none"/>
          <w:lang w:val="en-US" w:eastAsia="zh-CN"/>
        </w:rPr>
        <w:t>及时补供货</w:t>
      </w:r>
      <w:r>
        <w:rPr>
          <w:rFonts w:hint="eastAsia" w:ascii="宋体" w:hAnsi="宋体" w:eastAsia="宋体" w:cs="宋体"/>
          <w:color w:val="auto"/>
          <w:sz w:val="21"/>
          <w:szCs w:val="21"/>
          <w:highlight w:val="none"/>
        </w:rPr>
        <w:t>，乙方接到通知后，</w:t>
      </w:r>
      <w:r>
        <w:rPr>
          <w:rFonts w:hint="eastAsia" w:ascii="宋体" w:hAnsi="宋体" w:eastAsia="宋体" w:cs="宋体"/>
          <w:color w:val="auto"/>
          <w:szCs w:val="21"/>
          <w:highlight w:val="none"/>
          <w:u w:val="single"/>
          <w:lang w:val="en-US" w:eastAsia="zh-CN"/>
        </w:rPr>
        <w:t>5</w:t>
      </w:r>
      <w:r>
        <w:rPr>
          <w:rFonts w:hint="eastAsia" w:ascii="宋体" w:hAnsi="宋体" w:eastAsia="宋体" w:cs="宋体"/>
          <w:color w:val="auto"/>
          <w:szCs w:val="21"/>
          <w:highlight w:val="none"/>
          <w:lang w:val="en-US" w:eastAsia="zh-CN"/>
        </w:rPr>
        <w:t>日</w:t>
      </w:r>
      <w:r>
        <w:rPr>
          <w:rFonts w:hint="eastAsia" w:ascii="宋体" w:hAnsi="宋体" w:eastAsia="宋体" w:cs="宋体"/>
          <w:color w:val="auto"/>
          <w:sz w:val="21"/>
          <w:szCs w:val="21"/>
          <w:highlight w:val="none"/>
        </w:rPr>
        <w:t>内将等量的合格货物送交甲方，否则按</w:t>
      </w:r>
      <w:r>
        <w:rPr>
          <w:rFonts w:hint="eastAsia" w:ascii="宋体" w:hAnsi="宋体" w:eastAsia="宋体" w:cs="宋体"/>
          <w:color w:val="auto"/>
          <w:sz w:val="21"/>
          <w:szCs w:val="21"/>
          <w:highlight w:val="none"/>
          <w:lang w:eastAsia="zh-Hans"/>
        </w:rPr>
        <w:t>本合同第九条第</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Hans"/>
        </w:rPr>
        <w:t>款</w:t>
      </w:r>
      <w:r>
        <w:rPr>
          <w:rFonts w:hint="eastAsia" w:ascii="宋体" w:hAnsi="宋体" w:eastAsia="宋体" w:cs="宋体"/>
          <w:color w:val="auto"/>
          <w:sz w:val="21"/>
          <w:szCs w:val="21"/>
          <w:highlight w:val="none"/>
        </w:rPr>
        <w:t>处理。</w:t>
      </w:r>
    </w:p>
    <w:p w14:paraId="69606BF6">
      <w:pPr>
        <w:keepNext w:val="0"/>
        <w:keepLines w:val="0"/>
        <w:pageBreakBefore w:val="0"/>
        <w:widowControl/>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cs="宋体"/>
          <w:color w:val="auto"/>
          <w:sz w:val="21"/>
          <w:szCs w:val="21"/>
          <w:highlight w:val="none"/>
          <w:lang w:val="en-US" w:eastAsia="zh-CN"/>
        </w:rPr>
        <w:t>7</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乙方保证对其在履行合同约定过程中所获悉的属于甲方的且无法从公开渠道获得的文件资料及项目信息予以严格保密并应采取相应的保密措施，保证其自身及工作人员不私自使用或向任何第三方</w:t>
      </w:r>
      <w:r>
        <w:rPr>
          <w:rFonts w:hint="eastAsia" w:ascii="宋体" w:hAnsi="宋体" w:eastAsia="宋体" w:cs="宋体"/>
          <w:color w:val="auto"/>
          <w:sz w:val="21"/>
          <w:szCs w:val="21"/>
          <w:highlight w:val="none"/>
          <w:lang w:eastAsia="zh-CN"/>
        </w:rPr>
        <w:t>泄露</w:t>
      </w:r>
      <w:r>
        <w:rPr>
          <w:rFonts w:hint="eastAsia" w:ascii="宋体" w:hAnsi="宋体" w:eastAsia="宋体" w:cs="宋体"/>
          <w:color w:val="auto"/>
          <w:sz w:val="21"/>
          <w:szCs w:val="21"/>
          <w:highlight w:val="none"/>
        </w:rPr>
        <w:t>，否则，视为乙方违约，甲方有权要求乙方支付履约担保等额的违约金，且乙方须承担由此给甲方造成的损失。乙方及其工作人员的保密义务不因本合同的终止而终止，直至相关保密信息被合法公开时止。</w:t>
      </w:r>
    </w:p>
    <w:p w14:paraId="28ADFC82">
      <w:pPr>
        <w:keepNext w:val="0"/>
        <w:keepLines w:val="0"/>
        <w:pageBreakBefore w:val="0"/>
        <w:widowControl/>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cs="宋体"/>
          <w:color w:val="auto"/>
          <w:sz w:val="21"/>
          <w:szCs w:val="21"/>
          <w:highlight w:val="none"/>
          <w:lang w:val="en-US" w:eastAsia="zh-CN"/>
        </w:rPr>
        <w:t>8</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因货物的质量问题而发生争议，由广东省或东莞市质检部门进行质量鉴定。货物符合质量标准的，鉴定费用由甲方承担；货物不符合质量标准的，鉴定费用由乙方承担。</w:t>
      </w:r>
    </w:p>
    <w:p w14:paraId="5C701362">
      <w:pPr>
        <w:snapToGrid w:val="0"/>
        <w:spacing w:line="360" w:lineRule="auto"/>
        <w:ind w:firstLine="371" w:firstLineChars="177"/>
        <w:rPr>
          <w:rFonts w:ascii="Times New Roman" w:hAnsi="宋体" w:eastAsia="宋体"/>
          <w:color w:val="auto"/>
          <w:szCs w:val="21"/>
          <w:highlight w:val="none"/>
        </w:rPr>
      </w:pPr>
      <w:r>
        <w:rPr>
          <w:rFonts w:hint="eastAsia" w:cs="宋体"/>
          <w:color w:val="auto"/>
          <w:sz w:val="21"/>
          <w:szCs w:val="21"/>
          <w:highlight w:val="none"/>
          <w:lang w:val="en-US" w:eastAsia="zh-CN"/>
        </w:rPr>
        <w:t>9.</w:t>
      </w:r>
      <w:r>
        <w:rPr>
          <w:rFonts w:ascii="Times New Roman"/>
          <w:color w:val="auto"/>
          <w:szCs w:val="21"/>
          <w:highlight w:val="none"/>
        </w:rPr>
        <w:t>在交货或合同履行过程中，若因货物检测不合格、或货物使用过程中出现质量问题，甲方有权将该批次供货退回乙方，因此产生的货物损耗及运输等一切费用，由乙方自行承担，同时乙方应承担因此造成的一切损失的赔偿责任。若自甲方通知货物不合格之时起48个小时之内乙方未将不合格货物运离甲方的，甲方可自行或委托第三方对不合格货物进行处置，除该批货物无需支付任何货款外，乙方还必须承担甲方处置该批不合格货物所</w:t>
      </w:r>
      <w:r>
        <w:rPr>
          <w:rFonts w:ascii="Times New Roman" w:hAnsi="宋体" w:eastAsia="宋体"/>
          <w:color w:val="auto"/>
          <w:szCs w:val="21"/>
          <w:highlight w:val="none"/>
        </w:rPr>
        <w:t>需的全部费用，以及赔偿因此给甲方造成的一切损失。</w:t>
      </w:r>
    </w:p>
    <w:p w14:paraId="15C46622">
      <w:pPr>
        <w:ind w:firstLine="371" w:firstLineChars="177"/>
        <w:rPr>
          <w:rFonts w:ascii="Times New Roman" w:hAnsi="宋体" w:eastAsia="宋体"/>
          <w:color w:val="auto"/>
          <w:szCs w:val="21"/>
          <w:highlight w:val="none"/>
        </w:rPr>
      </w:pPr>
      <w:r>
        <w:rPr>
          <w:rFonts w:hint="eastAsia" w:ascii="宋体" w:hAnsi="宋体" w:eastAsia="宋体" w:cs="宋体"/>
          <w:color w:val="auto"/>
          <w:szCs w:val="21"/>
          <w:highlight w:val="none"/>
          <w:lang w:val="en-US" w:eastAsia="zh-CN"/>
        </w:rPr>
        <w:t>1</w:t>
      </w:r>
      <w:r>
        <w:rPr>
          <w:rFonts w:hint="eastAsia" w:ascii="宋体" w:cs="宋体"/>
          <w:color w:val="auto"/>
          <w:szCs w:val="21"/>
          <w:highlight w:val="none"/>
          <w:lang w:val="en-US" w:eastAsia="zh-CN"/>
        </w:rPr>
        <w:t>0</w:t>
      </w:r>
      <w:r>
        <w:rPr>
          <w:rFonts w:hint="eastAsia" w:ascii="宋体" w:hAnsi="宋体" w:eastAsia="宋体" w:cs="宋体"/>
          <w:color w:val="auto"/>
          <w:szCs w:val="21"/>
          <w:highlight w:val="none"/>
          <w:lang w:val="en-US" w:eastAsia="zh-CN"/>
        </w:rPr>
        <w:t>.</w:t>
      </w:r>
      <w:r>
        <w:rPr>
          <w:rFonts w:ascii="Times New Roman" w:hAnsi="宋体" w:eastAsia="宋体"/>
          <w:color w:val="auto"/>
          <w:szCs w:val="21"/>
          <w:highlight w:val="none"/>
        </w:rPr>
        <w:t>乙方不得拖欠第三方任何款项，否则，甲方有权从合同应付款中或启动履约担保直接支付给第三方。若造成甲方参加诉讼，相关费用（包括但不限于诉讼费、律师费、鉴定费、公证费、交通住宿费等全部）及损失全部由乙方承担。</w:t>
      </w:r>
    </w:p>
    <w:p w14:paraId="5D2C2398">
      <w:pPr>
        <w:ind w:firstLine="371" w:firstLineChars="177"/>
        <w:rPr>
          <w:rFonts w:hint="eastAsia" w:eastAsia="宋体"/>
          <w:color w:val="auto"/>
          <w:highlight w:val="none"/>
          <w:lang w:val="en-US" w:eastAsia="zh-CN"/>
        </w:rPr>
      </w:pPr>
      <w:r>
        <w:rPr>
          <w:rFonts w:hint="eastAsia" w:ascii="宋体" w:hAnsi="宋体" w:eastAsia="宋体" w:cs="宋体"/>
          <w:color w:val="auto"/>
          <w:szCs w:val="21"/>
          <w:highlight w:val="none"/>
          <w:lang w:val="en-US" w:eastAsia="zh-CN"/>
        </w:rPr>
        <w:t>1</w:t>
      </w:r>
      <w:r>
        <w:rPr>
          <w:rFonts w:hint="eastAsia" w:ascii="宋体" w:cs="宋体"/>
          <w:color w:val="auto"/>
          <w:szCs w:val="21"/>
          <w:highlight w:val="none"/>
          <w:lang w:val="en-US" w:eastAsia="zh-CN"/>
        </w:rPr>
        <w:t>1</w:t>
      </w:r>
      <w:r>
        <w:rPr>
          <w:rFonts w:hint="eastAsia" w:ascii="宋体" w:hAnsi="宋体" w:eastAsia="宋体" w:cs="宋体"/>
          <w:color w:val="auto"/>
          <w:szCs w:val="21"/>
          <w:highlight w:val="none"/>
          <w:lang w:val="en-US" w:eastAsia="zh-CN"/>
        </w:rPr>
        <w:t>.</w:t>
      </w:r>
      <w:r>
        <w:rPr>
          <w:rFonts w:ascii="Times New Roman"/>
          <w:bCs/>
          <w:color w:val="auto"/>
          <w:szCs w:val="21"/>
          <w:highlight w:val="none"/>
        </w:rPr>
        <w:t>甲方根据本合同的约定要求退货，或因本合同被解除或提前终止而需要退货的，乙方在收到甲方发出退货通知后48小时内无条件将退货货物运回，若乙方逾期未将不合格货物运离甲方储存地的，甲方可自行或委托第三方对不合格货物进行处置，除该批货物无需支付任何货款外，乙方还必须承担甲方处置该批不合格货物所需的全部费用，以及给甲方造成的一切损失。乙方应自退货之日起5日内返还甲方已全部支付的货款及其税费，并承担因此产生的全部费用，以及赔偿因此造成甲方的损失</w:t>
      </w:r>
      <w:r>
        <w:rPr>
          <w:rFonts w:hint="eastAsia" w:ascii="Times New Roman"/>
          <w:bCs/>
          <w:color w:val="auto"/>
          <w:szCs w:val="21"/>
          <w:highlight w:val="none"/>
          <w:lang w:eastAsia="zh-CN"/>
        </w:rPr>
        <w:t>。</w:t>
      </w:r>
    </w:p>
    <w:p w14:paraId="514AC40C">
      <w:pPr>
        <w:keepNext w:val="0"/>
        <w:keepLines w:val="0"/>
        <w:pageBreakBefore w:val="0"/>
        <w:kinsoku/>
        <w:wordWrap/>
        <w:overflowPunct/>
        <w:topLinePunct w:val="0"/>
        <w:autoSpaceDE/>
        <w:autoSpaceDN/>
        <w:bidi w:val="0"/>
        <w:spacing w:line="360" w:lineRule="auto"/>
        <w:ind w:firstLine="420" w:firstLineChars="200"/>
        <w:textAlignment w:val="auto"/>
        <w:outlineLvl w:val="1"/>
        <w:rPr>
          <w:rFonts w:hint="eastAsia" w:ascii="宋体" w:hAnsi="宋体" w:eastAsia="宋体" w:cs="宋体"/>
          <w:b/>
          <w:color w:val="auto"/>
          <w:sz w:val="21"/>
          <w:szCs w:val="21"/>
          <w:highlight w:val="none"/>
        </w:rPr>
      </w:pPr>
      <w:r>
        <w:rPr>
          <w:rFonts w:hint="eastAsia" w:cs="宋体"/>
          <w:color w:val="auto"/>
          <w:sz w:val="21"/>
          <w:szCs w:val="21"/>
          <w:highlight w:val="none"/>
          <w:lang w:val="en-US" w:eastAsia="zh-CN"/>
        </w:rPr>
        <w:t>12.</w:t>
      </w:r>
      <w:r>
        <w:rPr>
          <w:rFonts w:hint="eastAsia"/>
          <w:color w:val="auto"/>
          <w:highlight w:val="none"/>
        </w:rPr>
        <w:t>本合同中对相关违约情形有违约责任约定的，从其约定</w:t>
      </w:r>
      <w:r>
        <w:rPr>
          <w:rFonts w:hint="eastAsia"/>
          <w:color w:val="auto"/>
          <w:highlight w:val="none"/>
          <w:lang w:eastAsia="zh-CN"/>
        </w:rPr>
        <w:t>；</w:t>
      </w:r>
      <w:r>
        <w:rPr>
          <w:rFonts w:hint="eastAsia"/>
          <w:color w:val="auto"/>
          <w:highlight w:val="none"/>
        </w:rPr>
        <w:t>如出现违反合同条款的行为但无相关违约责任约定的情况时，甲方有权责令乙方限期整改，若乙方拒绝整改或整改后仍不符合甲方要求，乙方每次应按照暂定含税合同总价的5%支付违约金，甲方有权单方解除本合同及没收全部履约担保</w:t>
      </w:r>
      <w:r>
        <w:rPr>
          <w:rFonts w:hint="eastAsia" w:ascii="宋体" w:hAnsi="宋体" w:eastAsia="宋体" w:cs="宋体"/>
          <w:color w:val="auto"/>
          <w:sz w:val="21"/>
          <w:szCs w:val="21"/>
          <w:highlight w:val="none"/>
        </w:rPr>
        <w:t>。</w:t>
      </w:r>
      <w:bookmarkStart w:id="716" w:name="_Toc18183"/>
      <w:bookmarkStart w:id="717" w:name="_Toc14325"/>
    </w:p>
    <w:p w14:paraId="42747A2A">
      <w:pPr>
        <w:keepNext w:val="0"/>
        <w:keepLines w:val="0"/>
        <w:pageBreakBefore w:val="0"/>
        <w:kinsoku/>
        <w:wordWrap/>
        <w:overflowPunct/>
        <w:topLinePunct w:val="0"/>
        <w:autoSpaceDE/>
        <w:autoSpaceDN/>
        <w:bidi w:val="0"/>
        <w:spacing w:line="360" w:lineRule="auto"/>
        <w:ind w:firstLine="422" w:firstLineChars="200"/>
        <w:textAlignment w:val="auto"/>
        <w:outlineLvl w:val="1"/>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第十条 不可抗力</w:t>
      </w:r>
      <w:bookmarkEnd w:id="716"/>
      <w:bookmarkEnd w:id="717"/>
    </w:p>
    <w:p w14:paraId="5DF20817">
      <w:pPr>
        <w:snapToGrid w:val="0"/>
        <w:spacing w:line="360" w:lineRule="auto"/>
        <w:ind w:firstLine="371" w:firstLineChars="17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任何一方因不可抗力引起的履行延迟或履行不能的，不需承担违约责任。不可抗力指战争、动乱、瘟疫、洪水、地震或其他灾害，以及其他不可预见、不可防止并不能避免或克服的事件。受不可抗力影响的一方应尽快通知另一方，并在不可抗力事件发生后7日内，提供</w:t>
      </w:r>
      <w:r>
        <w:rPr>
          <w:rFonts w:hint="eastAsia" w:ascii="宋体" w:hAnsi="宋体" w:eastAsia="宋体" w:cs="宋体"/>
          <w:color w:val="auto"/>
          <w:sz w:val="21"/>
          <w:szCs w:val="21"/>
          <w:highlight w:val="none"/>
          <w:lang w:val="en-US" w:eastAsia="zh-CN"/>
        </w:rPr>
        <w:t>有效</w:t>
      </w:r>
      <w:r>
        <w:rPr>
          <w:rFonts w:hint="eastAsia" w:ascii="宋体" w:hAnsi="宋体" w:eastAsia="宋体" w:cs="宋体"/>
          <w:color w:val="auto"/>
          <w:sz w:val="21"/>
          <w:szCs w:val="21"/>
          <w:highlight w:val="none"/>
        </w:rPr>
        <w:t>证明文件。如果不可抗力事件发生后，乙方不能按甲方每次的最迟交货期交货的，则甲方有权单方解除本合同并不承担任何责任。</w:t>
      </w:r>
    </w:p>
    <w:p w14:paraId="1EE71770">
      <w:pPr>
        <w:keepNext w:val="0"/>
        <w:keepLines w:val="0"/>
        <w:pageBreakBefore w:val="0"/>
        <w:kinsoku/>
        <w:wordWrap/>
        <w:overflowPunct/>
        <w:topLinePunct w:val="0"/>
        <w:autoSpaceDE/>
        <w:autoSpaceDN/>
        <w:bidi w:val="0"/>
        <w:spacing w:line="360" w:lineRule="auto"/>
        <w:ind w:firstLine="422" w:firstLineChars="200"/>
        <w:textAlignment w:val="auto"/>
        <w:outlineLvl w:val="1"/>
        <w:rPr>
          <w:rFonts w:hint="eastAsia" w:ascii="宋体" w:hAnsi="宋体" w:eastAsia="宋体" w:cs="宋体"/>
          <w:b/>
          <w:color w:val="auto"/>
          <w:sz w:val="21"/>
          <w:szCs w:val="21"/>
          <w:highlight w:val="none"/>
        </w:rPr>
      </w:pPr>
      <w:bookmarkStart w:id="718" w:name="_Toc30084"/>
      <w:bookmarkStart w:id="719" w:name="_Toc23318"/>
      <w:r>
        <w:rPr>
          <w:rFonts w:hint="eastAsia" w:ascii="宋体" w:hAnsi="宋体" w:eastAsia="宋体" w:cs="宋体"/>
          <w:b/>
          <w:color w:val="auto"/>
          <w:sz w:val="21"/>
          <w:szCs w:val="21"/>
          <w:highlight w:val="none"/>
        </w:rPr>
        <w:t>第十一条 承诺与保证</w:t>
      </w:r>
      <w:bookmarkEnd w:id="718"/>
      <w:bookmarkEnd w:id="719"/>
    </w:p>
    <w:p w14:paraId="22043A3F">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保证对其销售的货物拥有完全的所有权/处置权或取得相关授权，无任何著作权、商标权、专利权或其他知识产权方面的权利限制或瑕疵，如第三方以本合同产品侵权为由提起侵权主张，乙方须与第三方交涉并承担由此发生的责任、费用和经济赔偿。由于乙方提供的产品的任何一部分不符合知识产权等规定，</w:t>
      </w:r>
      <w:r>
        <w:rPr>
          <w:rFonts w:hint="eastAsia" w:cs="宋体"/>
          <w:color w:val="auto"/>
          <w:sz w:val="21"/>
          <w:szCs w:val="21"/>
          <w:highlight w:val="none"/>
          <w:lang w:val="en-US" w:eastAsia="zh-CN"/>
        </w:rPr>
        <w:t>甲方有权解除合同</w:t>
      </w:r>
      <w:r>
        <w:rPr>
          <w:rFonts w:hint="eastAsia" w:ascii="宋体" w:hAnsi="宋体" w:eastAsia="宋体" w:cs="宋体"/>
          <w:color w:val="auto"/>
          <w:sz w:val="21"/>
          <w:szCs w:val="21"/>
          <w:highlight w:val="none"/>
          <w:lang w:val="en-US" w:eastAsia="zh-CN"/>
        </w:rPr>
        <w:t>及</w:t>
      </w:r>
      <w:r>
        <w:rPr>
          <w:rFonts w:hint="eastAsia" w:ascii="宋体" w:hAnsi="宋体" w:eastAsia="宋体" w:cs="宋体"/>
          <w:color w:val="auto"/>
          <w:sz w:val="21"/>
          <w:szCs w:val="21"/>
          <w:highlight w:val="none"/>
        </w:rPr>
        <w:t>没收全部履约担保</w:t>
      </w:r>
      <w:r>
        <w:rPr>
          <w:rFonts w:hint="eastAsia" w:cs="宋体"/>
          <w:color w:val="auto"/>
          <w:sz w:val="21"/>
          <w:szCs w:val="21"/>
          <w:highlight w:val="none"/>
          <w:lang w:val="en-US" w:eastAsia="zh-CN"/>
        </w:rPr>
        <w:t>，</w:t>
      </w:r>
      <w:r>
        <w:rPr>
          <w:rFonts w:hint="eastAsia" w:ascii="宋体" w:hAnsi="宋体" w:eastAsia="宋体" w:cs="宋体"/>
          <w:color w:val="auto"/>
          <w:sz w:val="21"/>
          <w:szCs w:val="21"/>
          <w:highlight w:val="none"/>
        </w:rPr>
        <w:t>乙方承担因此给甲方造成的全部损失（包括但不限于甲方为维护自身权益所支付的律师费、诉讼费、鉴定费、差旅费以及甲方依法向第三方支付的赔偿款</w:t>
      </w:r>
      <w:r>
        <w:rPr>
          <w:rFonts w:hint="eastAsia" w:cs="宋体"/>
          <w:color w:val="auto"/>
          <w:sz w:val="21"/>
          <w:szCs w:val="21"/>
          <w:highlight w:val="none"/>
          <w:lang w:eastAsia="zh-CN"/>
        </w:rPr>
        <w:t>、</w:t>
      </w:r>
      <w:r>
        <w:rPr>
          <w:rFonts w:hint="eastAsia" w:cs="宋体"/>
          <w:color w:val="auto"/>
          <w:sz w:val="21"/>
          <w:szCs w:val="21"/>
          <w:highlight w:val="none"/>
          <w:lang w:val="en-US" w:eastAsia="zh-CN"/>
        </w:rPr>
        <w:t>甲方另行委托第三方重新供货、修复工程所产生的</w:t>
      </w:r>
      <w:r>
        <w:rPr>
          <w:rFonts w:hint="eastAsia" w:ascii="宋体" w:hAnsi="宋体" w:eastAsia="宋体" w:cs="宋体"/>
          <w:color w:val="auto"/>
          <w:sz w:val="21"/>
          <w:szCs w:val="21"/>
          <w:highlight w:val="none"/>
        </w:rPr>
        <w:t>全部费用）</w:t>
      </w:r>
      <w:r>
        <w:rPr>
          <w:rFonts w:hint="eastAsia" w:ascii="宋体" w:hAnsi="宋体" w:eastAsia="宋体" w:cs="宋体"/>
          <w:color w:val="auto"/>
          <w:sz w:val="21"/>
          <w:szCs w:val="21"/>
          <w:highlight w:val="none"/>
          <w:lang w:eastAsia="zh-CN"/>
        </w:rPr>
        <w:t>。</w:t>
      </w:r>
    </w:p>
    <w:p w14:paraId="63C2BAC2">
      <w:pPr>
        <w:keepNext w:val="0"/>
        <w:keepLines w:val="0"/>
        <w:pageBreakBefore w:val="0"/>
        <w:kinsoku/>
        <w:wordWrap/>
        <w:overflowPunct/>
        <w:topLinePunct w:val="0"/>
        <w:autoSpaceDE/>
        <w:autoSpaceDN/>
        <w:bidi w:val="0"/>
        <w:spacing w:line="360" w:lineRule="auto"/>
        <w:ind w:firstLine="422" w:firstLineChars="200"/>
        <w:textAlignment w:val="auto"/>
        <w:outlineLvl w:val="1"/>
        <w:rPr>
          <w:rFonts w:hint="eastAsia" w:ascii="宋体" w:hAnsi="宋体" w:eastAsia="宋体" w:cs="宋体"/>
          <w:b/>
          <w:color w:val="auto"/>
          <w:sz w:val="21"/>
          <w:szCs w:val="21"/>
          <w:highlight w:val="none"/>
        </w:rPr>
      </w:pPr>
      <w:bookmarkStart w:id="720" w:name="_Toc21474"/>
      <w:bookmarkStart w:id="721" w:name="_Toc3458"/>
      <w:r>
        <w:rPr>
          <w:rFonts w:hint="eastAsia" w:ascii="宋体" w:hAnsi="宋体" w:eastAsia="宋体" w:cs="宋体"/>
          <w:b/>
          <w:color w:val="auto"/>
          <w:sz w:val="21"/>
          <w:szCs w:val="21"/>
          <w:highlight w:val="none"/>
        </w:rPr>
        <w:t>第十二条 合同争议的解决</w:t>
      </w:r>
      <w:bookmarkEnd w:id="720"/>
      <w:bookmarkEnd w:id="721"/>
    </w:p>
    <w:p w14:paraId="5421C7F3">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双方因本合同发生争议的，可协商解决。协商不成的，任何一方可向甲方住所地有管辖权的人民法院提起诉讼。因乙方违约，除应承担合同约定的违约、损失赔偿等责任外，乙方还应承担甲方为解决纠纷而产生的所有费用，包括但不限于律师费、诉讼费及处理费、诉讼担保费、保全费、执行费、公证费、鉴定费、差旅费等。</w:t>
      </w:r>
    </w:p>
    <w:p w14:paraId="7206A2A4">
      <w:pPr>
        <w:keepNext w:val="0"/>
        <w:keepLines w:val="0"/>
        <w:pageBreakBefore w:val="0"/>
        <w:kinsoku/>
        <w:wordWrap/>
        <w:overflowPunct/>
        <w:topLinePunct w:val="0"/>
        <w:autoSpaceDE/>
        <w:autoSpaceDN/>
        <w:bidi w:val="0"/>
        <w:spacing w:line="360" w:lineRule="auto"/>
        <w:ind w:firstLine="422" w:firstLineChars="200"/>
        <w:textAlignment w:val="auto"/>
        <w:outlineLvl w:val="1"/>
        <w:rPr>
          <w:rFonts w:hint="eastAsia" w:ascii="宋体" w:hAnsi="宋体" w:eastAsia="宋体" w:cs="宋体"/>
          <w:b/>
          <w:color w:val="auto"/>
          <w:sz w:val="21"/>
          <w:szCs w:val="21"/>
          <w:highlight w:val="none"/>
        </w:rPr>
      </w:pPr>
      <w:bookmarkStart w:id="722" w:name="_Toc21412"/>
      <w:bookmarkStart w:id="723" w:name="_Toc26516"/>
      <w:r>
        <w:rPr>
          <w:rFonts w:hint="eastAsia" w:ascii="宋体" w:hAnsi="宋体" w:eastAsia="宋体" w:cs="宋体"/>
          <w:b/>
          <w:color w:val="auto"/>
          <w:sz w:val="21"/>
          <w:szCs w:val="21"/>
          <w:highlight w:val="none"/>
        </w:rPr>
        <w:t>第十三条 其他</w:t>
      </w:r>
      <w:bookmarkEnd w:id="722"/>
      <w:bookmarkEnd w:id="723"/>
    </w:p>
    <w:p w14:paraId="494CE280">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乙方确认：本合同中列明的乙方“地址”为有效的收件地址，甲方对乙方的相关通知、函件等可通过特快专递方式送达至该地址。甲方通过特快专递方式向乙方“地址”发出相关通知、函件等3日后，即视为有效送达。乙方更换地址的，应</w:t>
      </w:r>
      <w:r>
        <w:rPr>
          <w:rFonts w:hint="eastAsia" w:ascii="宋体" w:hAnsi="宋体" w:eastAsia="宋体" w:cs="宋体"/>
          <w:color w:val="auto"/>
          <w:sz w:val="21"/>
          <w:szCs w:val="21"/>
          <w:highlight w:val="none"/>
          <w:lang w:eastAsia="zh-CN"/>
        </w:rPr>
        <w:t>在</w:t>
      </w:r>
      <w:r>
        <w:rPr>
          <w:rFonts w:hint="eastAsia" w:ascii="宋体" w:hAnsi="宋体" w:eastAsia="宋体" w:cs="宋体"/>
          <w:color w:val="auto"/>
          <w:sz w:val="21"/>
          <w:szCs w:val="21"/>
          <w:highlight w:val="none"/>
        </w:rPr>
        <w:t>1日内书面告知甲方。</w:t>
      </w:r>
      <w:r>
        <w:rPr>
          <w:rFonts w:hint="eastAsia" w:ascii="宋体" w:hAnsi="宋体" w:eastAsia="宋体" w:cs="宋体"/>
          <w:color w:val="auto"/>
          <w:sz w:val="21"/>
          <w:szCs w:val="21"/>
          <w:highlight w:val="none"/>
          <w:lang w:val="en-US" w:eastAsia="zh-CN"/>
        </w:rPr>
        <w:t>地址的</w:t>
      </w:r>
      <w:r>
        <w:rPr>
          <w:rFonts w:hint="eastAsia" w:ascii="宋体" w:hAnsi="宋体" w:eastAsia="宋体" w:cs="宋体"/>
          <w:color w:val="auto"/>
          <w:sz w:val="21"/>
          <w:szCs w:val="21"/>
          <w:highlight w:val="none"/>
        </w:rPr>
        <w:t>适用范围包括双方非诉时各类通知、合同等文件以及就合同发生纠纷时相关文件和法律文书的送达，同时包括在争议进入民事诉讼程序后的一审、二审、再审和执行程序。</w:t>
      </w:r>
    </w:p>
    <w:p w14:paraId="4F8918A6">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乙方须做好安全防护措施，合同履行过程中出现的安全事故由乙方自行承担。乙方人员在甲方场所必须遵守甲方的一切规章制度和安全条例，服从甲方的监督。乙方在提供本合同项下所有供货及服务的过程中，如因违反甲方相关规章制度、安全条例，或因不服从甲方监督而发生安全事故的，其结果与责任均由乙方负责，甲方无须承担任何结果与责任。</w:t>
      </w:r>
    </w:p>
    <w:p w14:paraId="7C058449">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Cs w:val="21"/>
          <w:highlight w:val="none"/>
        </w:rPr>
        <w:t>合同期内，</w:t>
      </w:r>
      <w:r>
        <w:rPr>
          <w:rFonts w:hint="eastAsia" w:ascii="宋体" w:hAnsi="宋体" w:eastAsia="宋体" w:cs="宋体"/>
          <w:color w:val="auto"/>
          <w:szCs w:val="21"/>
          <w:highlight w:val="none"/>
          <w:lang w:val="en-US" w:eastAsia="zh-CN"/>
        </w:rPr>
        <w:t>甲</w:t>
      </w:r>
      <w:r>
        <w:rPr>
          <w:rFonts w:hint="eastAsia" w:ascii="宋体" w:hAnsi="宋体" w:eastAsia="宋体" w:cs="宋体"/>
          <w:color w:val="auto"/>
          <w:szCs w:val="21"/>
          <w:highlight w:val="none"/>
        </w:rPr>
        <w:t>方不承诺具体采购数量，实际采购数量以</w:t>
      </w:r>
      <w:r>
        <w:rPr>
          <w:rFonts w:hint="eastAsia" w:ascii="宋体" w:hAnsi="宋体" w:eastAsia="宋体" w:cs="宋体"/>
          <w:color w:val="auto"/>
          <w:szCs w:val="21"/>
          <w:highlight w:val="none"/>
          <w:lang w:val="en-US" w:eastAsia="zh-CN"/>
        </w:rPr>
        <w:t>甲</w:t>
      </w:r>
      <w:r>
        <w:rPr>
          <w:rFonts w:hint="eastAsia" w:ascii="宋体" w:hAnsi="宋体" w:eastAsia="宋体" w:cs="宋体"/>
          <w:color w:val="auto"/>
          <w:szCs w:val="21"/>
          <w:highlight w:val="none"/>
        </w:rPr>
        <w:t>方根据项目进度及实际需求发出的有效采购订单为准</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甲</w:t>
      </w:r>
      <w:r>
        <w:rPr>
          <w:rFonts w:hint="eastAsia" w:ascii="宋体" w:hAnsi="宋体" w:eastAsia="宋体" w:cs="宋体"/>
          <w:color w:val="auto"/>
          <w:szCs w:val="21"/>
          <w:highlight w:val="none"/>
        </w:rPr>
        <w:t>方有权根据项目实际需要，选择与</w:t>
      </w:r>
      <w:r>
        <w:rPr>
          <w:rFonts w:hint="eastAsia" w:ascii="宋体" w:hAnsi="宋体" w:eastAsia="宋体" w:cs="宋体"/>
          <w:color w:val="auto"/>
          <w:szCs w:val="21"/>
          <w:highlight w:val="none"/>
          <w:lang w:val="en-US" w:eastAsia="zh-CN"/>
        </w:rPr>
        <w:t>其他第三方</w:t>
      </w:r>
      <w:r>
        <w:rPr>
          <w:rFonts w:hint="eastAsia" w:ascii="宋体" w:hAnsi="宋体" w:eastAsia="宋体" w:cs="宋体"/>
          <w:color w:val="auto"/>
          <w:szCs w:val="21"/>
          <w:highlight w:val="none"/>
        </w:rPr>
        <w:t>建立采购合作关系，无需就此向</w:t>
      </w:r>
      <w:r>
        <w:rPr>
          <w:rFonts w:hint="eastAsia" w:ascii="宋体" w:hAnsi="宋体" w:eastAsia="宋体" w:cs="宋体"/>
          <w:color w:val="auto"/>
          <w:szCs w:val="21"/>
          <w:highlight w:val="none"/>
          <w:lang w:val="en-US" w:eastAsia="zh-CN"/>
        </w:rPr>
        <w:t>乙方</w:t>
      </w:r>
      <w:r>
        <w:rPr>
          <w:rFonts w:hint="eastAsia" w:ascii="宋体" w:hAnsi="宋体" w:eastAsia="宋体" w:cs="宋体"/>
          <w:color w:val="auto"/>
          <w:szCs w:val="21"/>
          <w:highlight w:val="none"/>
        </w:rPr>
        <w:t>承担额外通知或赔偿责任。</w:t>
      </w:r>
      <w:r>
        <w:rPr>
          <w:rFonts w:hint="eastAsia" w:ascii="宋体" w:hAnsi="宋体" w:eastAsia="宋体" w:cs="宋体"/>
          <w:color w:val="auto"/>
          <w:szCs w:val="21"/>
          <w:highlight w:val="none"/>
          <w:lang w:val="en-US" w:eastAsia="zh-CN"/>
        </w:rPr>
        <w:t>乙方应</w:t>
      </w:r>
      <w:r>
        <w:rPr>
          <w:rFonts w:hint="eastAsia" w:ascii="宋体" w:hAnsi="宋体" w:eastAsia="宋体" w:cs="宋体"/>
          <w:color w:val="auto"/>
          <w:szCs w:val="21"/>
          <w:highlight w:val="none"/>
        </w:rPr>
        <w:t>知晓并同意上述约定，不得因</w:t>
      </w:r>
      <w:r>
        <w:rPr>
          <w:rFonts w:hint="eastAsia" w:ascii="宋体" w:hAnsi="宋体" w:eastAsia="宋体" w:cs="宋体"/>
          <w:color w:val="auto"/>
          <w:szCs w:val="21"/>
          <w:highlight w:val="none"/>
          <w:lang w:val="en-US" w:eastAsia="zh-CN"/>
        </w:rPr>
        <w:t>甲方</w:t>
      </w:r>
      <w:r>
        <w:rPr>
          <w:rFonts w:hint="eastAsia" w:ascii="宋体" w:hAnsi="宋体" w:eastAsia="宋体" w:cs="宋体"/>
          <w:color w:val="auto"/>
          <w:szCs w:val="21"/>
          <w:highlight w:val="none"/>
        </w:rPr>
        <w:t>未确定具体采购数量或与其他</w:t>
      </w:r>
      <w:r>
        <w:rPr>
          <w:rFonts w:hint="eastAsia" w:ascii="宋体" w:hAnsi="宋体" w:eastAsia="宋体" w:cs="宋体"/>
          <w:color w:val="auto"/>
          <w:szCs w:val="21"/>
          <w:highlight w:val="none"/>
          <w:lang w:val="en-US" w:eastAsia="zh-CN"/>
        </w:rPr>
        <w:t>第三方</w:t>
      </w:r>
      <w:r>
        <w:rPr>
          <w:rFonts w:hint="eastAsia" w:ascii="宋体" w:hAnsi="宋体" w:eastAsia="宋体" w:cs="宋体"/>
          <w:color w:val="auto"/>
          <w:szCs w:val="21"/>
          <w:highlight w:val="none"/>
        </w:rPr>
        <w:t>合作而主张</w:t>
      </w:r>
      <w:r>
        <w:rPr>
          <w:rFonts w:hint="eastAsia" w:ascii="宋体" w:hAnsi="宋体" w:eastAsia="宋体" w:cs="宋体"/>
          <w:color w:val="auto"/>
          <w:szCs w:val="21"/>
          <w:highlight w:val="none"/>
          <w:lang w:val="en-US" w:eastAsia="zh-CN"/>
        </w:rPr>
        <w:t>甲方</w:t>
      </w:r>
      <w:r>
        <w:rPr>
          <w:rFonts w:hint="eastAsia" w:ascii="宋体" w:hAnsi="宋体" w:eastAsia="宋体" w:cs="宋体"/>
          <w:color w:val="auto"/>
          <w:szCs w:val="21"/>
          <w:highlight w:val="none"/>
        </w:rPr>
        <w:t>违约。</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本合同一式</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份，其中甲方执</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份，乙方执</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份，招标代理机构执</w:t>
      </w:r>
      <w:r>
        <w:rPr>
          <w:rFonts w:hint="eastAsia" w:ascii="宋体" w:hAnsi="宋体" w:eastAsia="宋体" w:cs="宋体"/>
          <w:color w:val="auto"/>
          <w:sz w:val="21"/>
          <w:szCs w:val="21"/>
          <w:highlight w:val="none"/>
          <w:u w:val="single"/>
        </w:rPr>
        <w:t xml:space="preserve"> 壹 </w:t>
      </w:r>
      <w:r>
        <w:rPr>
          <w:rFonts w:hint="eastAsia" w:ascii="宋体" w:hAnsi="宋体" w:eastAsia="宋体" w:cs="宋体"/>
          <w:color w:val="auto"/>
          <w:sz w:val="21"/>
          <w:szCs w:val="21"/>
          <w:highlight w:val="none"/>
        </w:rPr>
        <w:t>份，每份均具有同等法律效力。</w:t>
      </w:r>
    </w:p>
    <w:p w14:paraId="4A759EAF">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本合同经双方法定代表人或负责人签名并盖章后生效。</w:t>
      </w:r>
    </w:p>
    <w:p w14:paraId="6DB6EE5A">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6.本合同未尽事宜，由双方友好协商处理，另行签订补充协议。</w:t>
      </w:r>
      <w:r>
        <w:rPr>
          <w:rFonts w:hint="eastAsia" w:ascii="宋体" w:hAnsi="宋体" w:eastAsia="宋体" w:cs="宋体"/>
          <w:color w:val="auto"/>
          <w:sz w:val="21"/>
          <w:szCs w:val="21"/>
          <w:highlight w:val="none"/>
        </w:rPr>
        <w:t>合同所有附件及本项目的招标文件、答疑文件、投标文件、补充通知及相关承诺、协议等均为本合</w:t>
      </w:r>
      <w:r>
        <w:rPr>
          <w:rFonts w:hint="eastAsia" w:ascii="宋体" w:hAnsi="宋体" w:eastAsia="宋体" w:cs="宋体"/>
          <w:color w:val="auto"/>
          <w:sz w:val="21"/>
          <w:szCs w:val="21"/>
          <w:highlight w:val="none"/>
          <w:lang w:val="en-US" w:eastAsia="zh-CN"/>
        </w:rPr>
        <w:t>同有效组成</w:t>
      </w:r>
      <w:r>
        <w:rPr>
          <w:rFonts w:hint="eastAsia" w:ascii="宋体" w:hAnsi="宋体" w:eastAsia="宋体" w:cs="宋体"/>
          <w:color w:val="auto"/>
          <w:sz w:val="21"/>
          <w:szCs w:val="21"/>
          <w:highlight w:val="none"/>
        </w:rPr>
        <w:t>部分，与本合同同具法律效力，该等文件与本合同正文约定不一致的，以有利于甲方的约定为准。</w:t>
      </w:r>
    </w:p>
    <w:p w14:paraId="2D12FB9D">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p>
    <w:p w14:paraId="7D9F4072">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附件</w:t>
      </w:r>
      <w:r>
        <w:rPr>
          <w:rFonts w:hint="eastAsia" w:ascii="宋体" w:hAnsi="宋体" w:eastAsia="宋体" w:cs="宋体"/>
          <w:color w:val="auto"/>
          <w:sz w:val="21"/>
          <w:szCs w:val="21"/>
          <w:highlight w:val="none"/>
          <w:lang w:eastAsia="zh-CN"/>
        </w:rPr>
        <w:t>：1.东莞市碧水信息科技有限公司货物到货验收表</w:t>
      </w:r>
    </w:p>
    <w:p w14:paraId="6D2DE746">
      <w:pPr>
        <w:keepNext w:val="0"/>
        <w:keepLines w:val="0"/>
        <w:pageBreakBefore w:val="0"/>
        <w:kinsoku/>
        <w:wordWrap/>
        <w:overflowPunct/>
        <w:topLinePunct w:val="0"/>
        <w:autoSpaceDE/>
        <w:autoSpaceDN/>
        <w:bidi w:val="0"/>
        <w:spacing w:line="360" w:lineRule="auto"/>
        <w:ind w:firstLine="1050" w:firstLineChars="5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w:t>
      </w:r>
      <w:r>
        <w:rPr>
          <w:rFonts w:hint="eastAsia" w:ascii="宋体" w:hAnsi="宋体" w:eastAsia="宋体" w:cs="宋体"/>
          <w:color w:val="auto"/>
          <w:sz w:val="21"/>
          <w:szCs w:val="21"/>
          <w:highlight w:val="none"/>
          <w:lang w:val="en-US" w:eastAsia="zh-CN"/>
        </w:rPr>
        <w:t>送货清单</w:t>
      </w:r>
    </w:p>
    <w:p w14:paraId="34A85AF0">
      <w:pPr>
        <w:keepNext w:val="0"/>
        <w:keepLines w:val="0"/>
        <w:pageBreakBefore w:val="0"/>
        <w:kinsoku/>
        <w:wordWrap/>
        <w:overflowPunct/>
        <w:topLinePunct w:val="0"/>
        <w:autoSpaceDE/>
        <w:autoSpaceDN/>
        <w:bidi w:val="0"/>
        <w:spacing w:line="360" w:lineRule="auto"/>
        <w:ind w:firstLine="1050" w:firstLineChars="5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东莞市碧水信息科技有限公司2025年度</w:t>
      </w:r>
      <w:r>
        <w:rPr>
          <w:rFonts w:hint="eastAsia" w:ascii="宋体" w:hAnsi="宋体" w:eastAsia="宋体" w:cs="宋体"/>
          <w:color w:val="auto"/>
          <w:sz w:val="21"/>
          <w:szCs w:val="21"/>
          <w:highlight w:val="none"/>
          <w:lang w:val="en-US" w:eastAsia="zh-CN"/>
        </w:rPr>
        <w:t>阀门</w:t>
      </w:r>
      <w:r>
        <w:rPr>
          <w:rFonts w:hint="eastAsia" w:ascii="宋体" w:hAnsi="宋体" w:eastAsia="宋体" w:cs="宋体"/>
          <w:color w:val="auto"/>
          <w:sz w:val="21"/>
          <w:szCs w:val="21"/>
          <w:highlight w:val="none"/>
          <w:lang w:eastAsia="zh-CN"/>
        </w:rPr>
        <w:t>采购清单及价格表</w:t>
      </w:r>
    </w:p>
    <w:p w14:paraId="25D5348B">
      <w:pPr>
        <w:keepNext w:val="0"/>
        <w:keepLines w:val="0"/>
        <w:pageBreakBefore w:val="0"/>
        <w:numPr>
          <w:ilvl w:val="0"/>
          <w:numId w:val="0"/>
        </w:numPr>
        <w:kinsoku/>
        <w:wordWrap/>
        <w:overflowPunct/>
        <w:topLinePunct w:val="0"/>
        <w:autoSpaceDE/>
        <w:autoSpaceDN/>
        <w:bidi w:val="0"/>
        <w:spacing w:line="360" w:lineRule="auto"/>
        <w:ind w:firstLine="1058" w:firstLineChars="504"/>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.廉洁协议书</w:t>
      </w:r>
    </w:p>
    <w:p w14:paraId="5AACFF6C">
      <w:pPr>
        <w:keepNext w:val="0"/>
        <w:keepLines w:val="0"/>
        <w:pageBreakBefore w:val="0"/>
        <w:numPr>
          <w:ilvl w:val="0"/>
          <w:numId w:val="0"/>
        </w:numPr>
        <w:kinsoku/>
        <w:wordWrap/>
        <w:overflowPunct/>
        <w:topLinePunct w:val="0"/>
        <w:autoSpaceDE/>
        <w:autoSpaceDN/>
        <w:bidi w:val="0"/>
        <w:spacing w:line="360" w:lineRule="auto"/>
        <w:ind w:firstLine="1058" w:firstLineChars="504"/>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5.用户需求书</w:t>
      </w:r>
    </w:p>
    <w:p w14:paraId="4AA4E938">
      <w:pPr>
        <w:keepNext w:val="0"/>
        <w:keepLines w:val="0"/>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p>
    <w:p w14:paraId="38EBFDEC">
      <w:pPr>
        <w:keepNext w:val="0"/>
        <w:keepLines w:val="0"/>
        <w:pageBreakBefore w:val="0"/>
        <w:numPr>
          <w:ilvl w:val="0"/>
          <w:numId w:val="0"/>
        </w:numPr>
        <w:kinsoku/>
        <w:wordWrap/>
        <w:overflowPunct/>
        <w:topLinePunct w:val="0"/>
        <w:bidi w:val="0"/>
        <w:spacing w:line="360" w:lineRule="auto"/>
        <w:ind w:right="0"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sz w:val="21"/>
          <w:szCs w:val="21"/>
          <w:highlight w:val="none"/>
        </w:rPr>
        <w:t>（以下无正文</w:t>
      </w:r>
      <w:r>
        <w:rPr>
          <w:rFonts w:hint="eastAsia" w:ascii="宋体" w:hAnsi="宋体" w:eastAsia="宋体" w:cs="宋体"/>
          <w:color w:val="auto"/>
          <w:sz w:val="21"/>
          <w:szCs w:val="21"/>
          <w:highlight w:val="none"/>
          <w:lang w:val="en-US" w:eastAsia="zh-CN"/>
        </w:rPr>
        <w:t>内容为签字盖章页</w:t>
      </w:r>
      <w:r>
        <w:rPr>
          <w:rFonts w:hint="eastAsia" w:ascii="宋体" w:hAnsi="宋体" w:eastAsia="宋体" w:cs="宋体"/>
          <w:color w:val="auto"/>
          <w:sz w:val="21"/>
          <w:szCs w:val="21"/>
          <w:highlight w:val="none"/>
        </w:rPr>
        <w:t>）</w:t>
      </w:r>
    </w:p>
    <w:p w14:paraId="31AB0A87">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p>
    <w:p w14:paraId="0E166F12">
      <w:pPr>
        <w:keepNext w:val="0"/>
        <w:keepLines w:val="0"/>
        <w:pageBreakBefore w:val="0"/>
        <w:numPr>
          <w:ilvl w:val="0"/>
          <w:numId w:val="0"/>
        </w:numPr>
        <w:kinsoku/>
        <w:wordWrap/>
        <w:overflowPunct/>
        <w:topLinePunct w:val="0"/>
        <w:bidi w:val="0"/>
        <w:spacing w:line="360" w:lineRule="auto"/>
        <w:ind w:left="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甲方（盖章）：                              乙方（盖章）： </w:t>
      </w:r>
    </w:p>
    <w:p w14:paraId="1F96B84C">
      <w:pPr>
        <w:keepNext w:val="0"/>
        <w:keepLines w:val="0"/>
        <w:pageBreakBefore w:val="0"/>
        <w:numPr>
          <w:ilvl w:val="0"/>
          <w:numId w:val="0"/>
        </w:numPr>
        <w:kinsoku/>
        <w:wordWrap/>
        <w:overflowPunct/>
        <w:topLinePunct w:val="0"/>
        <w:bidi w:val="0"/>
        <w:spacing w:line="360" w:lineRule="auto"/>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法定代表（或负责）人：                      法定代表（或负责）人：</w:t>
      </w:r>
    </w:p>
    <w:p w14:paraId="6C4BE781">
      <w:pPr>
        <w:keepNext w:val="0"/>
        <w:keepLines w:val="0"/>
        <w:pageBreakBefore w:val="0"/>
        <w:numPr>
          <w:ilvl w:val="0"/>
          <w:numId w:val="0"/>
        </w:numPr>
        <w:kinsoku/>
        <w:wordWrap/>
        <w:overflowPunct/>
        <w:topLinePunct w:val="0"/>
        <w:bidi w:val="0"/>
        <w:spacing w:line="360" w:lineRule="auto"/>
        <w:ind w:left="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地址：                         　　　　　   地址： </w:t>
      </w:r>
    </w:p>
    <w:p w14:paraId="676FEA33">
      <w:pPr>
        <w:keepNext w:val="0"/>
        <w:keepLines w:val="0"/>
        <w:pageBreakBefore w:val="0"/>
        <w:numPr>
          <w:ilvl w:val="0"/>
          <w:numId w:val="0"/>
        </w:numPr>
        <w:kinsoku/>
        <w:wordWrap/>
        <w:overflowPunct/>
        <w:topLinePunct w:val="0"/>
        <w:bidi w:val="0"/>
        <w:spacing w:line="360" w:lineRule="auto"/>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                                      电话：</w:t>
      </w:r>
    </w:p>
    <w:p w14:paraId="477D8F79">
      <w:pPr>
        <w:keepNext w:val="0"/>
        <w:keepLines w:val="0"/>
        <w:pageBreakBefore w:val="0"/>
        <w:numPr>
          <w:ilvl w:val="0"/>
          <w:numId w:val="0"/>
        </w:numPr>
        <w:kinsoku/>
        <w:wordWrap/>
        <w:overflowPunct/>
        <w:topLinePunct w:val="0"/>
        <w:bidi w:val="0"/>
        <w:spacing w:line="360" w:lineRule="auto"/>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名称：                                      名称： </w:t>
      </w:r>
    </w:p>
    <w:p w14:paraId="38831444">
      <w:pPr>
        <w:keepNext w:val="0"/>
        <w:keepLines w:val="0"/>
        <w:pageBreakBefore w:val="0"/>
        <w:numPr>
          <w:ilvl w:val="0"/>
          <w:numId w:val="0"/>
        </w:numPr>
        <w:kinsoku/>
        <w:wordWrap/>
        <w:overflowPunct/>
        <w:topLinePunct w:val="0"/>
        <w:bidi w:val="0"/>
        <w:spacing w:line="360" w:lineRule="auto"/>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开户银行：                                  开户银行： </w:t>
      </w:r>
    </w:p>
    <w:p w14:paraId="55C74B14">
      <w:pPr>
        <w:keepNext w:val="0"/>
        <w:keepLines w:val="0"/>
        <w:pageBreakBefore w:val="0"/>
        <w:numPr>
          <w:ilvl w:val="0"/>
          <w:numId w:val="0"/>
        </w:numPr>
        <w:kinsoku/>
        <w:wordWrap/>
        <w:overflowPunct/>
        <w:topLinePunct w:val="0"/>
        <w:bidi w:val="0"/>
        <w:spacing w:line="360" w:lineRule="auto"/>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银行账号：                                  银行账号：</w:t>
      </w:r>
    </w:p>
    <w:p w14:paraId="0C566938">
      <w:pPr>
        <w:keepNext w:val="0"/>
        <w:keepLines w:val="0"/>
        <w:pageBreakBefore w:val="0"/>
        <w:numPr>
          <w:ilvl w:val="0"/>
          <w:numId w:val="0"/>
        </w:numPr>
        <w:kinsoku/>
        <w:wordWrap/>
        <w:overflowPunct/>
        <w:topLinePunct w:val="0"/>
        <w:bidi w:val="0"/>
        <w:spacing w:line="360" w:lineRule="auto"/>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税号：                                      税号：</w:t>
      </w:r>
    </w:p>
    <w:p w14:paraId="1C5E3716">
      <w:pPr>
        <w:keepNext w:val="0"/>
        <w:keepLines w:val="0"/>
        <w:pageBreakBefore w:val="0"/>
        <w:kinsoku/>
        <w:wordWrap/>
        <w:overflowPunct/>
        <w:topLinePunct w:val="0"/>
        <w:bidi w:val="0"/>
        <w:spacing w:beforeLines="0" w:afterLines="0" w:line="360" w:lineRule="auto"/>
        <w:textAlignment w:val="auto"/>
        <w:rPr>
          <w:rFonts w:hint="eastAsia" w:ascii="宋体" w:hAnsi="宋体" w:eastAsia="宋体" w:cs="宋体"/>
          <w:color w:val="auto"/>
          <w:sz w:val="21"/>
          <w:szCs w:val="21"/>
          <w:highlight w:val="none"/>
        </w:rPr>
      </w:pPr>
    </w:p>
    <w:p w14:paraId="6C9CEE44">
      <w:pPr>
        <w:keepNext w:val="0"/>
        <w:keepLines w:val="0"/>
        <w:pageBreakBefore w:val="0"/>
        <w:widowControl/>
        <w:numPr>
          <w:ilvl w:val="0"/>
          <w:numId w:val="0"/>
        </w:numPr>
        <w:kinsoku/>
        <w:wordWrap/>
        <w:overflowPunct/>
        <w:topLinePunct w:val="0"/>
        <w:autoSpaceDE/>
        <w:autoSpaceDN/>
        <w:bidi w:val="0"/>
        <w:spacing w:before="0" w:beforeLines="0" w:after="0" w:afterLines="0" w:line="360" w:lineRule="auto"/>
        <w:ind w:left="0" w:lef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签约日期：</w:t>
      </w:r>
    </w:p>
    <w:p w14:paraId="04AB298E">
      <w:pPr>
        <w:keepNext w:val="0"/>
        <w:keepLines w:val="0"/>
        <w:pageBreakBefore w:val="0"/>
        <w:widowControl/>
        <w:numPr>
          <w:ilvl w:val="0"/>
          <w:numId w:val="0"/>
        </w:numPr>
        <w:kinsoku/>
        <w:wordWrap/>
        <w:overflowPunct/>
        <w:topLinePunct w:val="0"/>
        <w:autoSpaceDE/>
        <w:autoSpaceDN/>
        <w:bidi w:val="0"/>
        <w:spacing w:before="0" w:beforeLines="0" w:after="0" w:afterLines="0" w:line="360" w:lineRule="auto"/>
        <w:ind w:left="0" w:leftChars="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签约地点：</w:t>
      </w:r>
    </w:p>
    <w:p w14:paraId="04FF7231">
      <w:pPr>
        <w:keepNext w:val="0"/>
        <w:keepLines w:val="0"/>
        <w:pageBreakBefore w:val="0"/>
        <w:kinsoku/>
        <w:wordWrap/>
        <w:overflowPunct/>
        <w:topLinePunct w:val="0"/>
        <w:bidi w:val="0"/>
        <w:spacing w:line="360" w:lineRule="auto"/>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br w:type="page"/>
      </w:r>
    </w:p>
    <w:p w14:paraId="60F43908">
      <w:pPr>
        <w:pStyle w:val="3"/>
        <w:bidi w:val="0"/>
        <w:rPr>
          <w:rFonts w:hint="eastAsia" w:ascii="宋体" w:hAnsi="宋体" w:eastAsia="宋体" w:cs="宋体"/>
          <w:color w:val="auto"/>
          <w:highlight w:val="none"/>
          <w:lang w:val="en-US" w:eastAsia="zh-CN"/>
        </w:rPr>
      </w:pPr>
      <w:bookmarkStart w:id="724" w:name="_Toc11643"/>
      <w:r>
        <w:rPr>
          <w:rFonts w:hint="eastAsia" w:ascii="宋体" w:hAnsi="宋体" w:eastAsia="宋体" w:cs="宋体"/>
          <w:color w:val="auto"/>
          <w:highlight w:val="none"/>
          <w:lang w:val="en-US" w:eastAsia="zh-CN"/>
        </w:rPr>
        <w:t>附件1：东莞市碧水信息科技有限公司货物到货验收表</w:t>
      </w:r>
      <w:bookmarkEnd w:id="724"/>
    </w:p>
    <w:p w14:paraId="37DB17FB">
      <w:pPr>
        <w:widowControl w:val="0"/>
        <w:spacing w:after="0" w:line="600" w:lineRule="exact"/>
        <w:jc w:val="center"/>
        <w:rPr>
          <w:rFonts w:hint="eastAsia" w:ascii="宋体" w:hAnsi="宋体" w:eastAsia="宋体" w:cs="宋体"/>
          <w:b/>
          <w:bCs w:val="0"/>
          <w:color w:val="auto"/>
          <w:spacing w:val="-10"/>
          <w:kern w:val="2"/>
          <w:sz w:val="44"/>
          <w:szCs w:val="44"/>
          <w:highlight w:val="none"/>
          <w:lang w:val="en-US" w:eastAsia="zh-CN" w:bidi="ar-SA"/>
        </w:rPr>
      </w:pPr>
      <w:r>
        <w:rPr>
          <w:rFonts w:hint="eastAsia" w:ascii="宋体" w:hAnsi="宋体" w:eastAsia="宋体" w:cs="宋体"/>
          <w:b/>
          <w:bCs w:val="0"/>
          <w:color w:val="auto"/>
          <w:spacing w:val="-10"/>
          <w:kern w:val="2"/>
          <w:sz w:val="44"/>
          <w:szCs w:val="44"/>
          <w:highlight w:val="none"/>
          <w:lang w:val="en-US" w:eastAsia="zh-CN" w:bidi="ar-SA"/>
        </w:rPr>
        <w:t>东莞市碧水信息科技有限公司货物到货验收表</w:t>
      </w:r>
    </w:p>
    <w:p w14:paraId="5B2EA5FF">
      <w:pPr>
        <w:rPr>
          <w:rFonts w:hint="eastAsia" w:ascii="宋体" w:hAnsi="宋体" w:eastAsia="宋体" w:cs="宋体"/>
          <w:b w:val="0"/>
          <w:bCs/>
          <w:snapToGrid/>
          <w:color w:val="auto"/>
          <w:kern w:val="2"/>
          <w:sz w:val="22"/>
          <w:szCs w:val="22"/>
          <w:highlight w:val="none"/>
          <w:lang w:eastAsia="zh-CN"/>
        </w:rPr>
      </w:pPr>
      <w:r>
        <w:rPr>
          <w:rFonts w:hint="eastAsia" w:ascii="宋体" w:hAnsi="宋体" w:eastAsia="宋体" w:cs="宋体"/>
          <w:b w:val="0"/>
          <w:bCs/>
          <w:snapToGrid/>
          <w:color w:val="auto"/>
          <w:kern w:val="2"/>
          <w:sz w:val="22"/>
          <w:szCs w:val="22"/>
          <w:highlight w:val="none"/>
          <w:lang w:eastAsia="zh-CN"/>
        </w:rPr>
        <w:t xml:space="preserve">编号：                                     </w:t>
      </w:r>
    </w:p>
    <w:tbl>
      <w:tblPr>
        <w:tblStyle w:val="20"/>
        <w:tblW w:w="5000" w:type="pct"/>
        <w:jc w:val="center"/>
        <w:tblLayout w:type="autofit"/>
        <w:tblCellMar>
          <w:top w:w="0" w:type="dxa"/>
          <w:left w:w="108" w:type="dxa"/>
          <w:bottom w:w="0" w:type="dxa"/>
          <w:right w:w="108" w:type="dxa"/>
        </w:tblCellMar>
      </w:tblPr>
      <w:tblGrid>
        <w:gridCol w:w="1356"/>
        <w:gridCol w:w="3309"/>
        <w:gridCol w:w="209"/>
        <w:gridCol w:w="701"/>
        <w:gridCol w:w="1115"/>
        <w:gridCol w:w="3606"/>
      </w:tblGrid>
      <w:tr w14:paraId="5988F0BB">
        <w:tblPrEx>
          <w:tblCellMar>
            <w:top w:w="0" w:type="dxa"/>
            <w:left w:w="108" w:type="dxa"/>
            <w:bottom w:w="0" w:type="dxa"/>
            <w:right w:w="108" w:type="dxa"/>
          </w:tblCellMar>
        </w:tblPrEx>
        <w:trPr>
          <w:trHeight w:val="437" w:hRule="atLeast"/>
          <w:jc w:val="center"/>
        </w:trPr>
        <w:tc>
          <w:tcPr>
            <w:tcW w:w="650" w:type="pct"/>
            <w:tcBorders>
              <w:top w:val="single" w:color="auto" w:sz="4" w:space="0"/>
              <w:left w:val="single" w:color="auto" w:sz="4" w:space="0"/>
              <w:bottom w:val="single" w:color="auto" w:sz="4" w:space="0"/>
              <w:right w:val="single" w:color="auto" w:sz="4" w:space="0"/>
            </w:tcBorders>
            <w:noWrap/>
            <w:vAlign w:val="center"/>
          </w:tcPr>
          <w:p w14:paraId="14BCAD08">
            <w:pPr>
              <w:widowControl/>
              <w:kinsoku/>
              <w:autoSpaceDE/>
              <w:autoSpaceDN/>
              <w:adjustRightInd/>
              <w:snapToGrid w:val="0"/>
              <w:spacing w:line="300" w:lineRule="exact"/>
              <w:jc w:val="left"/>
              <w:textAlignment w:val="auto"/>
              <w:rPr>
                <w:rFonts w:hint="eastAsia" w:ascii="宋体" w:hAnsi="宋体" w:eastAsia="宋体" w:cs="宋体"/>
                <w:b w:val="0"/>
                <w:bCs/>
                <w:snapToGrid/>
                <w:color w:val="auto"/>
                <w:kern w:val="0"/>
                <w:sz w:val="22"/>
                <w:szCs w:val="22"/>
                <w:highlight w:val="none"/>
                <w:lang w:eastAsia="zh-CN"/>
              </w:rPr>
            </w:pPr>
            <w:r>
              <w:rPr>
                <w:rFonts w:hint="eastAsia" w:ascii="宋体" w:hAnsi="宋体" w:eastAsia="宋体" w:cs="宋体"/>
                <w:b w:val="0"/>
                <w:bCs/>
                <w:snapToGrid/>
                <w:color w:val="auto"/>
                <w:kern w:val="0"/>
                <w:sz w:val="22"/>
                <w:szCs w:val="22"/>
                <w:highlight w:val="none"/>
                <w:lang w:eastAsia="zh-CN"/>
              </w:rPr>
              <w:t>合同名称</w:t>
            </w:r>
          </w:p>
        </w:tc>
        <w:tc>
          <w:tcPr>
            <w:tcW w:w="4349" w:type="pct"/>
            <w:gridSpan w:val="5"/>
            <w:tcBorders>
              <w:top w:val="single" w:color="auto" w:sz="4" w:space="0"/>
              <w:left w:val="single" w:color="auto" w:sz="4" w:space="0"/>
              <w:bottom w:val="single" w:color="auto" w:sz="4" w:space="0"/>
              <w:right w:val="single" w:color="auto" w:sz="4" w:space="0"/>
            </w:tcBorders>
            <w:noWrap/>
            <w:vAlign w:val="center"/>
          </w:tcPr>
          <w:p w14:paraId="7D1DEF58">
            <w:pPr>
              <w:widowControl/>
              <w:kinsoku/>
              <w:autoSpaceDE/>
              <w:autoSpaceDN/>
              <w:adjustRightInd/>
              <w:snapToGrid w:val="0"/>
              <w:spacing w:line="300" w:lineRule="exact"/>
              <w:jc w:val="left"/>
              <w:textAlignment w:val="auto"/>
              <w:rPr>
                <w:rFonts w:hint="eastAsia" w:ascii="宋体" w:hAnsi="宋体" w:eastAsia="宋体" w:cs="宋体"/>
                <w:b w:val="0"/>
                <w:bCs/>
                <w:snapToGrid/>
                <w:color w:val="auto"/>
                <w:kern w:val="0"/>
                <w:sz w:val="22"/>
                <w:szCs w:val="22"/>
                <w:highlight w:val="none"/>
                <w:lang w:eastAsia="zh-CN"/>
              </w:rPr>
            </w:pPr>
            <w:r>
              <w:rPr>
                <w:rFonts w:hint="eastAsia" w:cs="宋体"/>
                <w:b w:val="0"/>
                <w:bCs/>
                <w:snapToGrid/>
                <w:color w:val="auto"/>
                <w:kern w:val="0"/>
                <w:sz w:val="22"/>
                <w:szCs w:val="22"/>
                <w:highlight w:val="none"/>
                <w:lang w:eastAsia="zh-CN"/>
              </w:rPr>
              <w:t>东莞市碧水信息科技有限公司2025年度球墨铸铁阀门采购项目（第三次招标）</w:t>
            </w:r>
          </w:p>
        </w:tc>
      </w:tr>
      <w:tr w14:paraId="1B8A10EE">
        <w:tblPrEx>
          <w:tblCellMar>
            <w:top w:w="0" w:type="dxa"/>
            <w:left w:w="108" w:type="dxa"/>
            <w:bottom w:w="0" w:type="dxa"/>
            <w:right w:w="108" w:type="dxa"/>
          </w:tblCellMar>
        </w:tblPrEx>
        <w:trPr>
          <w:trHeight w:val="460" w:hRule="atLeast"/>
          <w:jc w:val="center"/>
        </w:trPr>
        <w:tc>
          <w:tcPr>
            <w:tcW w:w="650" w:type="pct"/>
            <w:tcBorders>
              <w:top w:val="single" w:color="auto" w:sz="4" w:space="0"/>
              <w:left w:val="single" w:color="auto" w:sz="4" w:space="0"/>
              <w:bottom w:val="single" w:color="auto" w:sz="4" w:space="0"/>
              <w:right w:val="single" w:color="auto" w:sz="4" w:space="0"/>
            </w:tcBorders>
            <w:noWrap/>
            <w:vAlign w:val="center"/>
          </w:tcPr>
          <w:p w14:paraId="4B7D9661">
            <w:pPr>
              <w:widowControl/>
              <w:kinsoku/>
              <w:autoSpaceDE/>
              <w:autoSpaceDN/>
              <w:adjustRightInd/>
              <w:snapToGrid w:val="0"/>
              <w:spacing w:line="300" w:lineRule="exact"/>
              <w:jc w:val="left"/>
              <w:textAlignment w:val="auto"/>
              <w:rPr>
                <w:rFonts w:hint="eastAsia" w:ascii="宋体" w:hAnsi="宋体" w:eastAsia="宋体" w:cs="宋体"/>
                <w:b w:val="0"/>
                <w:bCs/>
                <w:snapToGrid/>
                <w:color w:val="auto"/>
                <w:kern w:val="0"/>
                <w:sz w:val="22"/>
                <w:szCs w:val="22"/>
                <w:highlight w:val="none"/>
                <w:lang w:eastAsia="zh-CN"/>
              </w:rPr>
            </w:pPr>
            <w:r>
              <w:rPr>
                <w:rFonts w:hint="eastAsia" w:ascii="宋体" w:hAnsi="宋体" w:eastAsia="宋体" w:cs="宋体"/>
                <w:b w:val="0"/>
                <w:bCs/>
                <w:snapToGrid/>
                <w:color w:val="auto"/>
                <w:kern w:val="0"/>
                <w:sz w:val="22"/>
                <w:szCs w:val="22"/>
                <w:highlight w:val="none"/>
                <w:lang w:eastAsia="zh-CN"/>
              </w:rPr>
              <w:t>供货单位</w:t>
            </w:r>
          </w:p>
        </w:tc>
        <w:tc>
          <w:tcPr>
            <w:tcW w:w="1612" w:type="pct"/>
            <w:tcBorders>
              <w:top w:val="single" w:color="auto" w:sz="4" w:space="0"/>
              <w:left w:val="single" w:color="auto" w:sz="4" w:space="0"/>
              <w:bottom w:val="single" w:color="auto" w:sz="4" w:space="0"/>
              <w:right w:val="single" w:color="auto" w:sz="4" w:space="0"/>
            </w:tcBorders>
            <w:noWrap/>
            <w:vAlign w:val="center"/>
          </w:tcPr>
          <w:p w14:paraId="17DCD06C">
            <w:pPr>
              <w:widowControl/>
              <w:kinsoku/>
              <w:autoSpaceDE/>
              <w:autoSpaceDN/>
              <w:adjustRightInd/>
              <w:snapToGrid w:val="0"/>
              <w:spacing w:line="300" w:lineRule="exact"/>
              <w:jc w:val="left"/>
              <w:textAlignment w:val="auto"/>
              <w:rPr>
                <w:rFonts w:hint="eastAsia" w:ascii="宋体" w:hAnsi="宋体" w:eastAsia="宋体" w:cs="宋体"/>
                <w:b w:val="0"/>
                <w:bCs/>
                <w:snapToGrid/>
                <w:color w:val="auto"/>
                <w:kern w:val="0"/>
                <w:sz w:val="22"/>
                <w:szCs w:val="22"/>
                <w:highlight w:val="none"/>
                <w:lang w:val="en-US" w:eastAsia="zh-CN"/>
              </w:rPr>
            </w:pPr>
          </w:p>
        </w:tc>
        <w:tc>
          <w:tcPr>
            <w:tcW w:w="979" w:type="pct"/>
            <w:gridSpan w:val="3"/>
            <w:tcBorders>
              <w:top w:val="single" w:color="auto" w:sz="4" w:space="0"/>
              <w:left w:val="single" w:color="auto" w:sz="4" w:space="0"/>
              <w:bottom w:val="single" w:color="auto" w:sz="4" w:space="0"/>
              <w:right w:val="single" w:color="auto" w:sz="4" w:space="0"/>
            </w:tcBorders>
            <w:noWrap/>
            <w:vAlign w:val="center"/>
          </w:tcPr>
          <w:p w14:paraId="26551185">
            <w:pPr>
              <w:widowControl/>
              <w:kinsoku/>
              <w:autoSpaceDE/>
              <w:autoSpaceDN/>
              <w:adjustRightInd/>
              <w:snapToGrid w:val="0"/>
              <w:spacing w:line="300" w:lineRule="exact"/>
              <w:jc w:val="center"/>
              <w:textAlignment w:val="auto"/>
              <w:rPr>
                <w:rFonts w:hint="eastAsia" w:ascii="宋体" w:hAnsi="宋体" w:eastAsia="宋体" w:cs="宋体"/>
                <w:b w:val="0"/>
                <w:bCs/>
                <w:snapToGrid/>
                <w:color w:val="auto"/>
                <w:kern w:val="0"/>
                <w:sz w:val="22"/>
                <w:szCs w:val="22"/>
                <w:highlight w:val="none"/>
                <w:lang w:eastAsia="zh-CN"/>
              </w:rPr>
            </w:pPr>
            <w:r>
              <w:rPr>
                <w:rFonts w:hint="eastAsia" w:ascii="宋体" w:hAnsi="宋体" w:eastAsia="宋体" w:cs="宋体"/>
                <w:b w:val="0"/>
                <w:bCs/>
                <w:snapToGrid/>
                <w:color w:val="auto"/>
                <w:kern w:val="0"/>
                <w:sz w:val="22"/>
                <w:szCs w:val="22"/>
                <w:highlight w:val="none"/>
                <w:lang w:eastAsia="zh-CN"/>
              </w:rPr>
              <w:t>到货时间</w:t>
            </w:r>
          </w:p>
        </w:tc>
        <w:tc>
          <w:tcPr>
            <w:tcW w:w="1757" w:type="pct"/>
            <w:tcBorders>
              <w:top w:val="single" w:color="auto" w:sz="4" w:space="0"/>
              <w:left w:val="single" w:color="auto" w:sz="4" w:space="0"/>
              <w:bottom w:val="single" w:color="auto" w:sz="4" w:space="0"/>
              <w:right w:val="single" w:color="auto" w:sz="4" w:space="0"/>
            </w:tcBorders>
            <w:noWrap/>
            <w:vAlign w:val="center"/>
          </w:tcPr>
          <w:p w14:paraId="5B76763A">
            <w:pPr>
              <w:widowControl/>
              <w:kinsoku/>
              <w:autoSpaceDE/>
              <w:autoSpaceDN/>
              <w:adjustRightInd/>
              <w:snapToGrid w:val="0"/>
              <w:spacing w:line="300" w:lineRule="exact"/>
              <w:jc w:val="left"/>
              <w:textAlignment w:val="auto"/>
              <w:rPr>
                <w:rFonts w:hint="eastAsia" w:ascii="宋体" w:hAnsi="宋体" w:eastAsia="宋体" w:cs="宋体"/>
                <w:b w:val="0"/>
                <w:bCs/>
                <w:snapToGrid/>
                <w:color w:val="auto"/>
                <w:kern w:val="0"/>
                <w:sz w:val="22"/>
                <w:szCs w:val="22"/>
                <w:highlight w:val="none"/>
                <w:lang w:eastAsia="zh-CN"/>
              </w:rPr>
            </w:pPr>
            <w:r>
              <w:rPr>
                <w:rFonts w:hint="eastAsia" w:ascii="宋体" w:hAnsi="宋体" w:eastAsia="宋体" w:cs="宋体"/>
                <w:b w:val="0"/>
                <w:bCs/>
                <w:snapToGrid/>
                <w:color w:val="auto"/>
                <w:kern w:val="0"/>
                <w:sz w:val="22"/>
                <w:szCs w:val="22"/>
                <w:highlight w:val="none"/>
                <w:lang w:eastAsia="zh-CN"/>
              </w:rPr>
              <w:t xml:space="preserve">         年    月    日</w:t>
            </w:r>
          </w:p>
        </w:tc>
      </w:tr>
      <w:tr w14:paraId="722357CD">
        <w:tblPrEx>
          <w:tblCellMar>
            <w:top w:w="0" w:type="dxa"/>
            <w:left w:w="108" w:type="dxa"/>
            <w:bottom w:w="0" w:type="dxa"/>
            <w:right w:w="108" w:type="dxa"/>
          </w:tblCellMar>
        </w:tblPrEx>
        <w:trPr>
          <w:trHeight w:val="460" w:hRule="atLeast"/>
          <w:jc w:val="center"/>
        </w:trPr>
        <w:tc>
          <w:tcPr>
            <w:tcW w:w="650" w:type="pct"/>
            <w:tcBorders>
              <w:top w:val="single" w:color="auto" w:sz="4" w:space="0"/>
              <w:left w:val="single" w:color="auto" w:sz="4" w:space="0"/>
              <w:bottom w:val="single" w:color="auto" w:sz="4" w:space="0"/>
              <w:right w:val="single" w:color="auto" w:sz="4" w:space="0"/>
            </w:tcBorders>
            <w:noWrap/>
            <w:vAlign w:val="center"/>
          </w:tcPr>
          <w:p w14:paraId="73C9576E">
            <w:pPr>
              <w:widowControl/>
              <w:kinsoku/>
              <w:autoSpaceDE/>
              <w:autoSpaceDN/>
              <w:adjustRightInd/>
              <w:snapToGrid w:val="0"/>
              <w:spacing w:line="300" w:lineRule="exact"/>
              <w:jc w:val="left"/>
              <w:textAlignment w:val="auto"/>
              <w:rPr>
                <w:rFonts w:hint="eastAsia" w:ascii="宋体" w:hAnsi="宋体" w:eastAsia="宋体" w:cs="宋体"/>
                <w:b w:val="0"/>
                <w:bCs/>
                <w:snapToGrid/>
                <w:color w:val="auto"/>
                <w:kern w:val="0"/>
                <w:sz w:val="22"/>
                <w:szCs w:val="22"/>
                <w:highlight w:val="none"/>
                <w:lang w:eastAsia="zh-CN"/>
              </w:rPr>
            </w:pPr>
            <w:r>
              <w:rPr>
                <w:rFonts w:hint="eastAsia" w:ascii="宋体" w:hAnsi="宋体" w:eastAsia="宋体" w:cs="宋体"/>
                <w:b w:val="0"/>
                <w:bCs/>
                <w:snapToGrid/>
                <w:color w:val="auto"/>
                <w:kern w:val="0"/>
                <w:sz w:val="22"/>
                <w:szCs w:val="22"/>
                <w:highlight w:val="none"/>
                <w:lang w:val="en-US" w:eastAsia="zh-CN"/>
              </w:rPr>
              <w:t>采购</w:t>
            </w:r>
            <w:r>
              <w:rPr>
                <w:rFonts w:hint="eastAsia" w:ascii="宋体" w:hAnsi="宋体" w:eastAsia="宋体" w:cs="宋体"/>
                <w:b w:val="0"/>
                <w:bCs/>
                <w:snapToGrid/>
                <w:color w:val="auto"/>
                <w:kern w:val="0"/>
                <w:sz w:val="22"/>
                <w:szCs w:val="22"/>
                <w:highlight w:val="none"/>
                <w:lang w:eastAsia="zh-CN"/>
              </w:rPr>
              <w:t>单位</w:t>
            </w:r>
          </w:p>
        </w:tc>
        <w:tc>
          <w:tcPr>
            <w:tcW w:w="1612" w:type="pct"/>
            <w:tcBorders>
              <w:top w:val="single" w:color="auto" w:sz="4" w:space="0"/>
              <w:left w:val="single" w:color="auto" w:sz="4" w:space="0"/>
              <w:bottom w:val="single" w:color="auto" w:sz="4" w:space="0"/>
              <w:right w:val="single" w:color="auto" w:sz="4" w:space="0"/>
            </w:tcBorders>
            <w:noWrap/>
            <w:vAlign w:val="center"/>
          </w:tcPr>
          <w:p w14:paraId="5F71CBAA">
            <w:pPr>
              <w:widowControl/>
              <w:kinsoku/>
              <w:autoSpaceDE/>
              <w:autoSpaceDN/>
              <w:adjustRightInd/>
              <w:snapToGrid w:val="0"/>
              <w:spacing w:line="300" w:lineRule="exact"/>
              <w:jc w:val="left"/>
              <w:textAlignment w:val="auto"/>
              <w:rPr>
                <w:rFonts w:hint="eastAsia" w:ascii="宋体" w:hAnsi="宋体" w:eastAsia="宋体" w:cs="宋体"/>
                <w:b w:val="0"/>
                <w:bCs/>
                <w:snapToGrid/>
                <w:color w:val="auto"/>
                <w:kern w:val="0"/>
                <w:sz w:val="22"/>
                <w:szCs w:val="22"/>
                <w:highlight w:val="none"/>
                <w:lang w:eastAsia="zh-CN"/>
              </w:rPr>
            </w:pPr>
          </w:p>
        </w:tc>
        <w:tc>
          <w:tcPr>
            <w:tcW w:w="979" w:type="pct"/>
            <w:gridSpan w:val="3"/>
            <w:tcBorders>
              <w:top w:val="single" w:color="auto" w:sz="4" w:space="0"/>
              <w:left w:val="single" w:color="auto" w:sz="4" w:space="0"/>
              <w:bottom w:val="single" w:color="auto" w:sz="4" w:space="0"/>
              <w:right w:val="single" w:color="auto" w:sz="4" w:space="0"/>
            </w:tcBorders>
            <w:noWrap/>
            <w:vAlign w:val="center"/>
          </w:tcPr>
          <w:p w14:paraId="3B8C2263">
            <w:pPr>
              <w:widowControl/>
              <w:kinsoku/>
              <w:autoSpaceDE/>
              <w:autoSpaceDN/>
              <w:adjustRightInd/>
              <w:snapToGrid w:val="0"/>
              <w:spacing w:line="300" w:lineRule="exact"/>
              <w:jc w:val="center"/>
              <w:textAlignment w:val="auto"/>
              <w:rPr>
                <w:rFonts w:hint="eastAsia" w:ascii="宋体" w:hAnsi="宋体" w:eastAsia="宋体" w:cs="宋体"/>
                <w:b w:val="0"/>
                <w:bCs/>
                <w:snapToGrid/>
                <w:color w:val="auto"/>
                <w:kern w:val="0"/>
                <w:sz w:val="22"/>
                <w:szCs w:val="22"/>
                <w:highlight w:val="none"/>
                <w:lang w:eastAsia="zh-CN"/>
              </w:rPr>
            </w:pPr>
            <w:r>
              <w:rPr>
                <w:rFonts w:hint="eastAsia" w:ascii="宋体" w:hAnsi="宋体" w:eastAsia="宋体" w:cs="宋体"/>
                <w:b w:val="0"/>
                <w:bCs/>
                <w:snapToGrid/>
                <w:color w:val="auto"/>
                <w:kern w:val="0"/>
                <w:sz w:val="22"/>
                <w:szCs w:val="22"/>
                <w:highlight w:val="none"/>
                <w:lang w:eastAsia="zh-CN"/>
              </w:rPr>
              <w:t>验收时间</w:t>
            </w:r>
          </w:p>
        </w:tc>
        <w:tc>
          <w:tcPr>
            <w:tcW w:w="1757" w:type="pct"/>
            <w:tcBorders>
              <w:top w:val="single" w:color="auto" w:sz="4" w:space="0"/>
              <w:left w:val="single" w:color="auto" w:sz="4" w:space="0"/>
              <w:bottom w:val="single" w:color="auto" w:sz="4" w:space="0"/>
              <w:right w:val="single" w:color="auto" w:sz="4" w:space="0"/>
            </w:tcBorders>
            <w:noWrap/>
            <w:vAlign w:val="center"/>
          </w:tcPr>
          <w:p w14:paraId="16907154">
            <w:pPr>
              <w:widowControl/>
              <w:kinsoku/>
              <w:autoSpaceDE/>
              <w:autoSpaceDN/>
              <w:adjustRightInd/>
              <w:snapToGrid w:val="0"/>
              <w:spacing w:line="300" w:lineRule="exact"/>
              <w:jc w:val="left"/>
              <w:textAlignment w:val="auto"/>
              <w:rPr>
                <w:rFonts w:hint="eastAsia" w:ascii="宋体" w:hAnsi="宋体" w:eastAsia="宋体" w:cs="宋体"/>
                <w:b w:val="0"/>
                <w:bCs/>
                <w:snapToGrid/>
                <w:color w:val="auto"/>
                <w:kern w:val="0"/>
                <w:sz w:val="22"/>
                <w:szCs w:val="22"/>
                <w:highlight w:val="none"/>
                <w:lang w:eastAsia="zh-CN"/>
              </w:rPr>
            </w:pPr>
            <w:r>
              <w:rPr>
                <w:rFonts w:hint="eastAsia" w:ascii="宋体" w:hAnsi="宋体" w:eastAsia="宋体" w:cs="宋体"/>
                <w:b w:val="0"/>
                <w:bCs/>
                <w:snapToGrid/>
                <w:color w:val="auto"/>
                <w:kern w:val="0"/>
                <w:sz w:val="22"/>
                <w:szCs w:val="22"/>
                <w:highlight w:val="none"/>
                <w:lang w:eastAsia="zh-CN"/>
              </w:rPr>
              <w:t xml:space="preserve">         年    月    日</w:t>
            </w:r>
          </w:p>
        </w:tc>
      </w:tr>
      <w:tr w14:paraId="388A8EF1">
        <w:tblPrEx>
          <w:tblCellMar>
            <w:top w:w="0" w:type="dxa"/>
            <w:left w:w="108" w:type="dxa"/>
            <w:bottom w:w="0" w:type="dxa"/>
            <w:right w:w="108" w:type="dxa"/>
          </w:tblCellMar>
        </w:tblPrEx>
        <w:trPr>
          <w:trHeight w:val="1356" w:hRule="atLeast"/>
          <w:jc w:val="center"/>
        </w:trPr>
        <w:tc>
          <w:tcPr>
            <w:tcW w:w="650" w:type="pct"/>
            <w:tcBorders>
              <w:top w:val="single" w:color="auto" w:sz="4" w:space="0"/>
              <w:left w:val="single" w:color="auto" w:sz="4" w:space="0"/>
              <w:right w:val="single" w:color="auto" w:sz="4" w:space="0"/>
            </w:tcBorders>
            <w:noWrap/>
            <w:vAlign w:val="center"/>
          </w:tcPr>
          <w:p w14:paraId="431C889D">
            <w:pPr>
              <w:widowControl/>
              <w:kinsoku/>
              <w:autoSpaceDE/>
              <w:autoSpaceDN/>
              <w:adjustRightInd/>
              <w:snapToGrid w:val="0"/>
              <w:spacing w:line="300" w:lineRule="exact"/>
              <w:ind w:left="-105" w:leftChars="-50" w:right="-105" w:rightChars="-50"/>
              <w:jc w:val="center"/>
              <w:textAlignment w:val="auto"/>
              <w:rPr>
                <w:rFonts w:hint="eastAsia" w:ascii="宋体" w:hAnsi="宋体" w:eastAsia="宋体" w:cs="宋体"/>
                <w:b w:val="0"/>
                <w:bCs/>
                <w:snapToGrid/>
                <w:color w:val="auto"/>
                <w:kern w:val="0"/>
                <w:sz w:val="22"/>
                <w:szCs w:val="22"/>
                <w:highlight w:val="none"/>
                <w:lang w:eastAsia="zh-CN"/>
              </w:rPr>
            </w:pPr>
            <w:r>
              <w:rPr>
                <w:rFonts w:hint="eastAsia" w:ascii="宋体" w:hAnsi="宋体" w:eastAsia="宋体" w:cs="宋体"/>
                <w:b w:val="0"/>
                <w:bCs/>
                <w:snapToGrid/>
                <w:color w:val="auto"/>
                <w:kern w:val="0"/>
                <w:sz w:val="22"/>
                <w:szCs w:val="22"/>
                <w:highlight w:val="none"/>
                <w:lang w:eastAsia="zh-CN"/>
              </w:rPr>
              <w:t>到货</w:t>
            </w:r>
          </w:p>
          <w:p w14:paraId="7CC2BD3C">
            <w:pPr>
              <w:widowControl/>
              <w:kinsoku/>
              <w:autoSpaceDE/>
              <w:autoSpaceDN/>
              <w:adjustRightInd/>
              <w:snapToGrid w:val="0"/>
              <w:spacing w:line="300" w:lineRule="exact"/>
              <w:ind w:left="-105" w:leftChars="-50" w:right="-105" w:rightChars="-50"/>
              <w:jc w:val="center"/>
              <w:textAlignment w:val="auto"/>
              <w:rPr>
                <w:rFonts w:hint="eastAsia" w:ascii="宋体" w:hAnsi="宋体" w:eastAsia="宋体" w:cs="宋体"/>
                <w:b w:val="0"/>
                <w:bCs/>
                <w:snapToGrid/>
                <w:color w:val="auto"/>
                <w:kern w:val="0"/>
                <w:sz w:val="22"/>
                <w:szCs w:val="22"/>
                <w:highlight w:val="none"/>
                <w:lang w:eastAsia="zh-CN"/>
              </w:rPr>
            </w:pPr>
            <w:r>
              <w:rPr>
                <w:rFonts w:hint="eastAsia" w:ascii="宋体" w:hAnsi="宋体" w:eastAsia="宋体" w:cs="宋体"/>
                <w:b w:val="0"/>
                <w:bCs/>
                <w:snapToGrid/>
                <w:color w:val="auto"/>
                <w:kern w:val="0"/>
                <w:sz w:val="22"/>
                <w:szCs w:val="22"/>
                <w:highlight w:val="none"/>
                <w:lang w:eastAsia="zh-CN"/>
              </w:rPr>
              <w:t>清单</w:t>
            </w:r>
          </w:p>
        </w:tc>
        <w:tc>
          <w:tcPr>
            <w:tcW w:w="4349" w:type="pct"/>
            <w:gridSpan w:val="5"/>
            <w:tcBorders>
              <w:top w:val="single" w:color="auto" w:sz="4" w:space="0"/>
              <w:left w:val="single" w:color="auto" w:sz="4" w:space="0"/>
              <w:bottom w:val="single" w:color="auto" w:sz="4" w:space="0"/>
              <w:right w:val="single" w:color="auto" w:sz="4" w:space="0"/>
            </w:tcBorders>
            <w:noWrap w:val="0"/>
            <w:vAlign w:val="center"/>
          </w:tcPr>
          <w:p w14:paraId="230F0BC6">
            <w:pPr>
              <w:widowControl/>
              <w:kinsoku/>
              <w:autoSpaceDE/>
              <w:autoSpaceDN/>
              <w:adjustRightInd/>
              <w:snapToGrid w:val="0"/>
              <w:spacing w:line="300" w:lineRule="exact"/>
              <w:jc w:val="center"/>
              <w:textAlignment w:val="auto"/>
              <w:rPr>
                <w:rFonts w:hint="eastAsia" w:ascii="宋体" w:hAnsi="宋体" w:eastAsia="宋体" w:cs="宋体"/>
                <w:b w:val="0"/>
                <w:bCs/>
                <w:snapToGrid/>
                <w:color w:val="auto"/>
                <w:kern w:val="0"/>
                <w:sz w:val="22"/>
                <w:szCs w:val="22"/>
                <w:highlight w:val="none"/>
                <w:lang w:val="en-US" w:eastAsia="zh-CN"/>
              </w:rPr>
            </w:pPr>
            <w:r>
              <w:rPr>
                <w:rFonts w:hint="eastAsia" w:ascii="宋体" w:hAnsi="宋体" w:eastAsia="宋体" w:cs="宋体"/>
                <w:b w:val="0"/>
                <w:bCs w:val="0"/>
                <w:color w:val="auto"/>
                <w:sz w:val="24"/>
                <w:szCs w:val="24"/>
                <w:highlight w:val="none"/>
                <w:lang w:val="en-US" w:eastAsia="zh-CN"/>
              </w:rPr>
              <w:t>已供货物详见附件清单</w:t>
            </w:r>
          </w:p>
        </w:tc>
      </w:tr>
      <w:tr w14:paraId="638BD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0" w:type="pct"/>
            <w:vMerge w:val="restart"/>
            <w:tcBorders>
              <w:top w:val="single" w:color="auto" w:sz="4" w:space="0"/>
              <w:left w:val="single" w:color="auto" w:sz="4" w:space="0"/>
              <w:right w:val="single" w:color="auto" w:sz="4" w:space="0"/>
            </w:tcBorders>
            <w:noWrap w:val="0"/>
            <w:vAlign w:val="center"/>
          </w:tcPr>
          <w:p w14:paraId="2B16320A">
            <w:pPr>
              <w:widowControl w:val="0"/>
              <w:kinsoku/>
              <w:autoSpaceDE/>
              <w:autoSpaceDN/>
              <w:adjustRightInd/>
              <w:snapToGrid w:val="0"/>
              <w:spacing w:line="300" w:lineRule="exact"/>
              <w:jc w:val="center"/>
              <w:textAlignment w:val="auto"/>
              <w:rPr>
                <w:rFonts w:hint="eastAsia" w:ascii="宋体" w:hAnsi="宋体" w:eastAsia="宋体" w:cs="宋体"/>
                <w:b w:val="0"/>
                <w:bCs/>
                <w:snapToGrid/>
                <w:color w:val="auto"/>
                <w:kern w:val="0"/>
                <w:sz w:val="22"/>
                <w:szCs w:val="22"/>
                <w:highlight w:val="none"/>
                <w:lang w:eastAsia="zh-CN"/>
              </w:rPr>
            </w:pPr>
            <w:r>
              <w:rPr>
                <w:rFonts w:hint="eastAsia" w:ascii="宋体" w:hAnsi="宋体" w:eastAsia="宋体" w:cs="宋体"/>
                <w:b w:val="0"/>
                <w:bCs/>
                <w:snapToGrid/>
                <w:color w:val="auto"/>
                <w:kern w:val="0"/>
                <w:sz w:val="22"/>
                <w:szCs w:val="22"/>
                <w:highlight w:val="none"/>
                <w:lang w:eastAsia="zh-CN"/>
              </w:rPr>
              <w:t>进场</w:t>
            </w:r>
          </w:p>
          <w:p w14:paraId="771115A7">
            <w:pPr>
              <w:widowControl w:val="0"/>
              <w:kinsoku/>
              <w:autoSpaceDE/>
              <w:autoSpaceDN/>
              <w:adjustRightInd/>
              <w:snapToGrid w:val="0"/>
              <w:spacing w:line="300" w:lineRule="exact"/>
              <w:jc w:val="center"/>
              <w:textAlignment w:val="auto"/>
              <w:rPr>
                <w:rFonts w:hint="eastAsia" w:ascii="宋体" w:hAnsi="宋体" w:eastAsia="宋体" w:cs="宋体"/>
                <w:b w:val="0"/>
                <w:bCs/>
                <w:snapToGrid/>
                <w:color w:val="auto"/>
                <w:kern w:val="0"/>
                <w:sz w:val="22"/>
                <w:szCs w:val="22"/>
                <w:highlight w:val="none"/>
                <w:lang w:eastAsia="zh-CN"/>
              </w:rPr>
            </w:pPr>
            <w:r>
              <w:rPr>
                <w:rFonts w:hint="eastAsia" w:ascii="宋体" w:hAnsi="宋体" w:eastAsia="宋体" w:cs="宋体"/>
                <w:b w:val="0"/>
                <w:bCs/>
                <w:snapToGrid/>
                <w:color w:val="auto"/>
                <w:kern w:val="0"/>
                <w:sz w:val="22"/>
                <w:szCs w:val="22"/>
                <w:highlight w:val="none"/>
                <w:lang w:eastAsia="zh-CN"/>
              </w:rPr>
              <w:t>检查</w:t>
            </w:r>
          </w:p>
          <w:p w14:paraId="1C6BEF76">
            <w:pPr>
              <w:widowControl w:val="0"/>
              <w:kinsoku/>
              <w:autoSpaceDE/>
              <w:autoSpaceDN/>
              <w:adjustRightInd/>
              <w:snapToGrid w:val="0"/>
              <w:spacing w:line="300" w:lineRule="exact"/>
              <w:jc w:val="center"/>
              <w:textAlignment w:val="auto"/>
              <w:rPr>
                <w:rFonts w:hint="eastAsia" w:ascii="宋体" w:hAnsi="宋体" w:eastAsia="宋体" w:cs="宋体"/>
                <w:b w:val="0"/>
                <w:bCs/>
                <w:snapToGrid/>
                <w:color w:val="auto"/>
                <w:kern w:val="0"/>
                <w:sz w:val="22"/>
                <w:szCs w:val="22"/>
                <w:highlight w:val="none"/>
                <w:lang w:eastAsia="zh-CN"/>
              </w:rPr>
            </w:pPr>
            <w:r>
              <w:rPr>
                <w:rFonts w:hint="eastAsia" w:ascii="宋体" w:hAnsi="宋体" w:eastAsia="宋体" w:cs="宋体"/>
                <w:b w:val="0"/>
                <w:bCs/>
                <w:snapToGrid/>
                <w:color w:val="auto"/>
                <w:kern w:val="0"/>
                <w:sz w:val="22"/>
                <w:szCs w:val="22"/>
                <w:highlight w:val="none"/>
                <w:lang w:eastAsia="zh-CN"/>
              </w:rPr>
              <w:t>情况</w:t>
            </w:r>
          </w:p>
        </w:tc>
        <w:tc>
          <w:tcPr>
            <w:tcW w:w="1612" w:type="pct"/>
            <w:tcBorders>
              <w:top w:val="single" w:color="auto" w:sz="4" w:space="0"/>
              <w:left w:val="single" w:color="auto" w:sz="4" w:space="0"/>
              <w:right w:val="single" w:color="auto" w:sz="4" w:space="0"/>
            </w:tcBorders>
            <w:noWrap w:val="0"/>
            <w:vAlign w:val="center"/>
          </w:tcPr>
          <w:p w14:paraId="296F3F79">
            <w:pPr>
              <w:widowControl w:val="0"/>
              <w:kinsoku/>
              <w:autoSpaceDE/>
              <w:autoSpaceDN/>
              <w:adjustRightInd/>
              <w:snapToGrid w:val="0"/>
              <w:spacing w:line="300" w:lineRule="exact"/>
              <w:jc w:val="both"/>
              <w:textAlignment w:val="auto"/>
              <w:rPr>
                <w:rFonts w:hint="eastAsia" w:ascii="宋体" w:hAnsi="宋体" w:eastAsia="宋体" w:cs="宋体"/>
                <w:b w:val="0"/>
                <w:bCs/>
                <w:snapToGrid/>
                <w:color w:val="auto"/>
                <w:kern w:val="0"/>
                <w:sz w:val="22"/>
                <w:szCs w:val="22"/>
                <w:highlight w:val="none"/>
                <w:lang w:eastAsia="zh-CN"/>
              </w:rPr>
            </w:pPr>
            <w:r>
              <w:rPr>
                <w:rFonts w:hint="eastAsia" w:ascii="宋体" w:hAnsi="宋体" w:eastAsia="宋体" w:cs="宋体"/>
                <w:b w:val="0"/>
                <w:bCs/>
                <w:snapToGrid/>
                <w:color w:val="auto"/>
                <w:kern w:val="0"/>
                <w:sz w:val="22"/>
                <w:szCs w:val="22"/>
                <w:highlight w:val="none"/>
                <w:lang w:eastAsia="zh-CN"/>
              </w:rPr>
              <w:t>货物数量是否齐全，如否请备注缺货或错货情况</w:t>
            </w:r>
          </w:p>
        </w:tc>
        <w:tc>
          <w:tcPr>
            <w:tcW w:w="2736" w:type="pct"/>
            <w:gridSpan w:val="4"/>
            <w:tcBorders>
              <w:top w:val="single" w:color="auto" w:sz="4" w:space="0"/>
              <w:left w:val="single" w:color="auto" w:sz="4" w:space="0"/>
              <w:right w:val="single" w:color="auto" w:sz="4" w:space="0"/>
            </w:tcBorders>
            <w:noWrap w:val="0"/>
            <w:vAlign w:val="center"/>
          </w:tcPr>
          <w:p w14:paraId="66954720">
            <w:pPr>
              <w:widowControl w:val="0"/>
              <w:kinsoku/>
              <w:autoSpaceDE/>
              <w:autoSpaceDN/>
              <w:adjustRightInd/>
              <w:snapToGrid w:val="0"/>
              <w:spacing w:line="300" w:lineRule="exact"/>
              <w:ind w:firstLine="0" w:firstLineChars="0"/>
              <w:jc w:val="both"/>
              <w:textAlignment w:val="auto"/>
              <w:rPr>
                <w:rFonts w:hint="eastAsia" w:ascii="宋体" w:hAnsi="宋体" w:eastAsia="宋体" w:cs="宋体"/>
                <w:b w:val="0"/>
                <w:bCs/>
                <w:snapToGrid/>
                <w:color w:val="auto"/>
                <w:kern w:val="0"/>
                <w:sz w:val="22"/>
                <w:szCs w:val="22"/>
                <w:highlight w:val="none"/>
                <w:lang w:eastAsia="zh-CN"/>
              </w:rPr>
            </w:pPr>
            <w:r>
              <w:rPr>
                <w:rFonts w:hint="eastAsia" w:ascii="宋体" w:hAnsi="宋体" w:eastAsia="宋体" w:cs="宋体"/>
                <w:b w:val="0"/>
                <w:bCs/>
                <w:snapToGrid/>
                <w:color w:val="auto"/>
                <w:kern w:val="0"/>
                <w:sz w:val="22"/>
                <w:szCs w:val="22"/>
                <w:highlight w:val="none"/>
                <w:lang w:eastAsia="zh-CN"/>
              </w:rPr>
              <w:sym w:font="Wingdings 2" w:char="00A3"/>
            </w:r>
            <w:r>
              <w:rPr>
                <w:rFonts w:hint="eastAsia" w:ascii="宋体" w:hAnsi="宋体" w:eastAsia="宋体" w:cs="宋体"/>
                <w:b w:val="0"/>
                <w:bCs/>
                <w:snapToGrid/>
                <w:color w:val="auto"/>
                <w:kern w:val="0"/>
                <w:sz w:val="22"/>
                <w:szCs w:val="22"/>
                <w:highlight w:val="none"/>
                <w:lang w:eastAsia="zh-CN"/>
              </w:rPr>
              <w:t>是</w:t>
            </w:r>
            <w:r>
              <w:rPr>
                <w:rFonts w:hint="eastAsia" w:ascii="宋体" w:hAnsi="宋体" w:eastAsia="宋体" w:cs="宋体"/>
                <w:b w:val="0"/>
                <w:bCs/>
                <w:snapToGrid/>
                <w:color w:val="auto"/>
                <w:kern w:val="0"/>
                <w:sz w:val="22"/>
                <w:szCs w:val="22"/>
                <w:highlight w:val="none"/>
                <w:lang w:val="en-US" w:eastAsia="zh-CN"/>
              </w:rPr>
              <w:t xml:space="preserve">   </w:t>
            </w:r>
            <w:r>
              <w:rPr>
                <w:rFonts w:hint="eastAsia" w:ascii="宋体" w:hAnsi="宋体" w:eastAsia="宋体" w:cs="宋体"/>
                <w:b w:val="0"/>
                <w:bCs/>
                <w:snapToGrid/>
                <w:color w:val="auto"/>
                <w:kern w:val="0"/>
                <w:sz w:val="22"/>
                <w:szCs w:val="22"/>
                <w:highlight w:val="none"/>
                <w:lang w:eastAsia="zh-CN"/>
              </w:rPr>
              <w:sym w:font="Wingdings 2" w:char="00A3"/>
            </w:r>
            <w:r>
              <w:rPr>
                <w:rFonts w:hint="eastAsia" w:ascii="宋体" w:hAnsi="宋体" w:eastAsia="宋体" w:cs="宋体"/>
                <w:b w:val="0"/>
                <w:bCs/>
                <w:snapToGrid/>
                <w:color w:val="auto"/>
                <w:kern w:val="0"/>
                <w:sz w:val="22"/>
                <w:szCs w:val="22"/>
                <w:highlight w:val="none"/>
                <w:lang w:eastAsia="zh-CN"/>
              </w:rPr>
              <w:t>否</w:t>
            </w:r>
          </w:p>
          <w:p w14:paraId="601C95FC">
            <w:pPr>
              <w:widowControl w:val="0"/>
              <w:spacing w:after="0" w:line="300" w:lineRule="exact"/>
              <w:ind w:firstLine="0" w:firstLineChars="0"/>
              <w:jc w:val="both"/>
              <w:rPr>
                <w:rFonts w:hint="eastAsia" w:ascii="宋体" w:hAnsi="宋体" w:eastAsia="宋体" w:cs="宋体"/>
                <w:bCs/>
                <w:color w:val="auto"/>
                <w:kern w:val="2"/>
                <w:sz w:val="21"/>
                <w:szCs w:val="24"/>
                <w:highlight w:val="none"/>
                <w:lang w:val="en-US" w:eastAsia="zh-CN" w:bidi="ar-SA"/>
              </w:rPr>
            </w:pPr>
            <w:r>
              <w:rPr>
                <w:rFonts w:hint="eastAsia" w:ascii="宋体" w:hAnsi="宋体" w:eastAsia="宋体" w:cs="宋体"/>
                <w:b w:val="0"/>
                <w:bCs/>
                <w:color w:val="auto"/>
                <w:kern w:val="0"/>
                <w:sz w:val="22"/>
                <w:szCs w:val="22"/>
                <w:highlight w:val="none"/>
                <w:lang w:val="en-US" w:eastAsia="zh-CN" w:bidi="ar-SA"/>
              </w:rPr>
              <w:t>备注：</w:t>
            </w:r>
          </w:p>
        </w:tc>
      </w:tr>
      <w:tr w14:paraId="2FC36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0" w:type="pct"/>
            <w:vMerge w:val="continue"/>
            <w:tcBorders>
              <w:left w:val="single" w:color="auto" w:sz="4" w:space="0"/>
              <w:right w:val="single" w:color="auto" w:sz="4" w:space="0"/>
            </w:tcBorders>
            <w:noWrap w:val="0"/>
            <w:vAlign w:val="center"/>
          </w:tcPr>
          <w:p w14:paraId="1C4D25A9">
            <w:pPr>
              <w:widowControl w:val="0"/>
              <w:kinsoku/>
              <w:autoSpaceDE/>
              <w:autoSpaceDN/>
              <w:adjustRightInd/>
              <w:snapToGrid w:val="0"/>
              <w:spacing w:line="300" w:lineRule="exact"/>
              <w:jc w:val="center"/>
              <w:textAlignment w:val="auto"/>
              <w:rPr>
                <w:rFonts w:hint="eastAsia" w:ascii="宋体" w:hAnsi="宋体" w:eastAsia="宋体" w:cs="宋体"/>
                <w:b w:val="0"/>
                <w:bCs/>
                <w:snapToGrid/>
                <w:color w:val="auto"/>
                <w:kern w:val="0"/>
                <w:sz w:val="22"/>
                <w:szCs w:val="22"/>
                <w:highlight w:val="none"/>
                <w:lang w:eastAsia="zh-CN"/>
              </w:rPr>
            </w:pPr>
          </w:p>
        </w:tc>
        <w:tc>
          <w:tcPr>
            <w:tcW w:w="1612" w:type="pct"/>
            <w:tcBorders>
              <w:top w:val="single" w:color="auto" w:sz="4" w:space="0"/>
              <w:left w:val="single" w:color="auto" w:sz="4" w:space="0"/>
              <w:right w:val="single" w:color="auto" w:sz="4" w:space="0"/>
            </w:tcBorders>
            <w:noWrap w:val="0"/>
            <w:vAlign w:val="center"/>
          </w:tcPr>
          <w:p w14:paraId="5B4B8442">
            <w:pPr>
              <w:widowControl w:val="0"/>
              <w:kinsoku/>
              <w:autoSpaceDE/>
              <w:autoSpaceDN/>
              <w:adjustRightInd/>
              <w:snapToGrid w:val="0"/>
              <w:spacing w:line="300" w:lineRule="exact"/>
              <w:jc w:val="both"/>
              <w:textAlignment w:val="auto"/>
              <w:rPr>
                <w:rFonts w:hint="eastAsia" w:ascii="宋体" w:hAnsi="宋体" w:eastAsia="宋体" w:cs="宋体"/>
                <w:b w:val="0"/>
                <w:bCs/>
                <w:snapToGrid/>
                <w:color w:val="auto"/>
                <w:kern w:val="0"/>
                <w:sz w:val="22"/>
                <w:szCs w:val="22"/>
                <w:highlight w:val="none"/>
                <w:lang w:eastAsia="zh-CN"/>
              </w:rPr>
            </w:pPr>
            <w:r>
              <w:rPr>
                <w:rFonts w:hint="eastAsia" w:ascii="宋体" w:hAnsi="宋体" w:eastAsia="宋体" w:cs="宋体"/>
                <w:b w:val="0"/>
                <w:bCs/>
                <w:snapToGrid/>
                <w:color w:val="auto"/>
                <w:kern w:val="0"/>
                <w:sz w:val="22"/>
                <w:szCs w:val="22"/>
                <w:highlight w:val="none"/>
                <w:lang w:eastAsia="zh-CN"/>
              </w:rPr>
              <w:t>货物是否完好无损，如否请备注货损情况</w:t>
            </w:r>
          </w:p>
        </w:tc>
        <w:tc>
          <w:tcPr>
            <w:tcW w:w="2736" w:type="pct"/>
            <w:gridSpan w:val="4"/>
            <w:tcBorders>
              <w:top w:val="single" w:color="auto" w:sz="4" w:space="0"/>
              <w:left w:val="single" w:color="auto" w:sz="4" w:space="0"/>
              <w:right w:val="single" w:color="auto" w:sz="4" w:space="0"/>
            </w:tcBorders>
            <w:noWrap w:val="0"/>
            <w:vAlign w:val="center"/>
          </w:tcPr>
          <w:p w14:paraId="074C01B3">
            <w:pPr>
              <w:widowControl w:val="0"/>
              <w:kinsoku/>
              <w:autoSpaceDE/>
              <w:autoSpaceDN/>
              <w:adjustRightInd/>
              <w:snapToGrid w:val="0"/>
              <w:spacing w:line="300" w:lineRule="exact"/>
              <w:ind w:firstLine="0" w:firstLineChars="0"/>
              <w:jc w:val="both"/>
              <w:textAlignment w:val="auto"/>
              <w:rPr>
                <w:rFonts w:hint="eastAsia" w:ascii="宋体" w:hAnsi="宋体" w:eastAsia="宋体" w:cs="宋体"/>
                <w:b w:val="0"/>
                <w:bCs/>
                <w:snapToGrid/>
                <w:color w:val="auto"/>
                <w:kern w:val="0"/>
                <w:sz w:val="22"/>
                <w:szCs w:val="22"/>
                <w:highlight w:val="none"/>
                <w:lang w:eastAsia="zh-CN"/>
              </w:rPr>
            </w:pPr>
            <w:r>
              <w:rPr>
                <w:rFonts w:hint="eastAsia" w:ascii="宋体" w:hAnsi="宋体" w:eastAsia="宋体" w:cs="宋体"/>
                <w:b w:val="0"/>
                <w:bCs/>
                <w:snapToGrid/>
                <w:color w:val="auto"/>
                <w:kern w:val="0"/>
                <w:sz w:val="22"/>
                <w:szCs w:val="22"/>
                <w:highlight w:val="none"/>
                <w:lang w:eastAsia="zh-CN"/>
              </w:rPr>
              <w:sym w:font="Wingdings 2" w:char="00A3"/>
            </w:r>
            <w:r>
              <w:rPr>
                <w:rFonts w:hint="eastAsia" w:ascii="宋体" w:hAnsi="宋体" w:eastAsia="宋体" w:cs="宋体"/>
                <w:b w:val="0"/>
                <w:bCs/>
                <w:snapToGrid/>
                <w:color w:val="auto"/>
                <w:kern w:val="0"/>
                <w:sz w:val="22"/>
                <w:szCs w:val="22"/>
                <w:highlight w:val="none"/>
                <w:lang w:eastAsia="zh-CN"/>
              </w:rPr>
              <w:t>是</w:t>
            </w:r>
            <w:r>
              <w:rPr>
                <w:rFonts w:hint="eastAsia" w:ascii="宋体" w:hAnsi="宋体" w:eastAsia="宋体" w:cs="宋体"/>
                <w:b w:val="0"/>
                <w:bCs/>
                <w:snapToGrid/>
                <w:color w:val="auto"/>
                <w:kern w:val="0"/>
                <w:sz w:val="22"/>
                <w:szCs w:val="22"/>
                <w:highlight w:val="none"/>
                <w:lang w:val="en-US" w:eastAsia="zh-CN"/>
              </w:rPr>
              <w:t xml:space="preserve">   </w:t>
            </w:r>
            <w:r>
              <w:rPr>
                <w:rFonts w:hint="eastAsia" w:ascii="宋体" w:hAnsi="宋体" w:eastAsia="宋体" w:cs="宋体"/>
                <w:b w:val="0"/>
                <w:bCs/>
                <w:snapToGrid/>
                <w:color w:val="auto"/>
                <w:kern w:val="0"/>
                <w:sz w:val="22"/>
                <w:szCs w:val="22"/>
                <w:highlight w:val="none"/>
                <w:lang w:eastAsia="zh-CN"/>
              </w:rPr>
              <w:sym w:font="Wingdings 2" w:char="00A3"/>
            </w:r>
            <w:r>
              <w:rPr>
                <w:rFonts w:hint="eastAsia" w:ascii="宋体" w:hAnsi="宋体" w:eastAsia="宋体" w:cs="宋体"/>
                <w:b w:val="0"/>
                <w:bCs/>
                <w:snapToGrid/>
                <w:color w:val="auto"/>
                <w:kern w:val="0"/>
                <w:sz w:val="22"/>
                <w:szCs w:val="22"/>
                <w:highlight w:val="none"/>
                <w:lang w:eastAsia="zh-CN"/>
              </w:rPr>
              <w:t>否</w:t>
            </w:r>
          </w:p>
          <w:p w14:paraId="517C2E5F">
            <w:pPr>
              <w:widowControl w:val="0"/>
              <w:kinsoku/>
              <w:autoSpaceDE/>
              <w:autoSpaceDN/>
              <w:adjustRightInd/>
              <w:snapToGrid w:val="0"/>
              <w:spacing w:line="300" w:lineRule="exact"/>
              <w:jc w:val="both"/>
              <w:textAlignment w:val="auto"/>
              <w:rPr>
                <w:rFonts w:hint="eastAsia" w:ascii="宋体" w:hAnsi="宋体" w:eastAsia="宋体" w:cs="宋体"/>
                <w:b w:val="0"/>
                <w:bCs/>
                <w:snapToGrid/>
                <w:color w:val="auto"/>
                <w:kern w:val="0"/>
                <w:sz w:val="22"/>
                <w:szCs w:val="22"/>
                <w:highlight w:val="none"/>
                <w:lang w:eastAsia="zh-CN"/>
              </w:rPr>
            </w:pPr>
            <w:r>
              <w:rPr>
                <w:rFonts w:hint="eastAsia" w:ascii="宋体" w:hAnsi="宋体" w:eastAsia="宋体" w:cs="宋体"/>
                <w:b w:val="0"/>
                <w:bCs/>
                <w:snapToGrid/>
                <w:color w:val="auto"/>
                <w:kern w:val="0"/>
                <w:sz w:val="22"/>
                <w:szCs w:val="22"/>
                <w:highlight w:val="none"/>
                <w:lang w:val="en-US" w:eastAsia="zh-CN"/>
              </w:rPr>
              <w:t>备注：</w:t>
            </w:r>
          </w:p>
        </w:tc>
      </w:tr>
      <w:tr w14:paraId="41233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0" w:type="pct"/>
            <w:vMerge w:val="continue"/>
            <w:tcBorders>
              <w:left w:val="single" w:color="auto" w:sz="4" w:space="0"/>
              <w:right w:val="single" w:color="auto" w:sz="4" w:space="0"/>
            </w:tcBorders>
            <w:noWrap w:val="0"/>
            <w:vAlign w:val="center"/>
          </w:tcPr>
          <w:p w14:paraId="7AFA6DD1">
            <w:pPr>
              <w:widowControl w:val="0"/>
              <w:kinsoku/>
              <w:autoSpaceDE/>
              <w:autoSpaceDN/>
              <w:adjustRightInd/>
              <w:snapToGrid w:val="0"/>
              <w:spacing w:line="300" w:lineRule="exact"/>
              <w:jc w:val="center"/>
              <w:textAlignment w:val="auto"/>
              <w:rPr>
                <w:rFonts w:hint="eastAsia" w:ascii="宋体" w:hAnsi="宋体" w:eastAsia="宋体" w:cs="宋体"/>
                <w:b w:val="0"/>
                <w:bCs/>
                <w:snapToGrid/>
                <w:color w:val="auto"/>
                <w:kern w:val="0"/>
                <w:sz w:val="22"/>
                <w:szCs w:val="22"/>
                <w:highlight w:val="none"/>
                <w:lang w:eastAsia="zh-CN"/>
              </w:rPr>
            </w:pPr>
          </w:p>
        </w:tc>
        <w:tc>
          <w:tcPr>
            <w:tcW w:w="1612" w:type="pct"/>
            <w:tcBorders>
              <w:top w:val="single" w:color="auto" w:sz="4" w:space="0"/>
              <w:left w:val="single" w:color="auto" w:sz="4" w:space="0"/>
              <w:right w:val="single" w:color="auto" w:sz="4" w:space="0"/>
            </w:tcBorders>
            <w:noWrap w:val="0"/>
            <w:vAlign w:val="center"/>
          </w:tcPr>
          <w:p w14:paraId="209FE983">
            <w:pPr>
              <w:widowControl w:val="0"/>
              <w:kinsoku/>
              <w:autoSpaceDE/>
              <w:autoSpaceDN/>
              <w:adjustRightInd/>
              <w:snapToGrid w:val="0"/>
              <w:spacing w:line="300" w:lineRule="exact"/>
              <w:jc w:val="both"/>
              <w:textAlignment w:val="auto"/>
              <w:rPr>
                <w:rFonts w:hint="eastAsia" w:ascii="宋体" w:hAnsi="宋体" w:eastAsia="宋体" w:cs="宋体"/>
                <w:b w:val="0"/>
                <w:bCs/>
                <w:snapToGrid/>
                <w:color w:val="auto"/>
                <w:kern w:val="0"/>
                <w:sz w:val="22"/>
                <w:szCs w:val="22"/>
                <w:highlight w:val="none"/>
                <w:lang w:eastAsia="zh-CN"/>
              </w:rPr>
            </w:pPr>
            <w:r>
              <w:rPr>
                <w:rFonts w:hint="eastAsia" w:ascii="宋体" w:hAnsi="宋体" w:eastAsia="宋体" w:cs="宋体"/>
                <w:b w:val="0"/>
                <w:bCs/>
                <w:snapToGrid/>
                <w:color w:val="auto"/>
                <w:kern w:val="0"/>
                <w:sz w:val="22"/>
                <w:szCs w:val="22"/>
                <w:highlight w:val="none"/>
                <w:lang w:eastAsia="zh-CN"/>
              </w:rPr>
              <w:t>随货物备品备件和专用工具情况，如有缺请备注</w:t>
            </w:r>
          </w:p>
        </w:tc>
        <w:tc>
          <w:tcPr>
            <w:tcW w:w="2736" w:type="pct"/>
            <w:gridSpan w:val="4"/>
            <w:tcBorders>
              <w:top w:val="single" w:color="auto" w:sz="4" w:space="0"/>
              <w:left w:val="single" w:color="auto" w:sz="4" w:space="0"/>
              <w:right w:val="single" w:color="auto" w:sz="4" w:space="0"/>
            </w:tcBorders>
            <w:noWrap w:val="0"/>
            <w:vAlign w:val="center"/>
          </w:tcPr>
          <w:p w14:paraId="179F0B50">
            <w:pPr>
              <w:widowControl w:val="0"/>
              <w:kinsoku/>
              <w:autoSpaceDE/>
              <w:autoSpaceDN/>
              <w:adjustRightInd/>
              <w:snapToGrid w:val="0"/>
              <w:spacing w:line="300" w:lineRule="exact"/>
              <w:ind w:firstLine="0" w:firstLineChars="0"/>
              <w:jc w:val="both"/>
              <w:textAlignment w:val="auto"/>
              <w:rPr>
                <w:rFonts w:hint="eastAsia" w:ascii="宋体" w:hAnsi="宋体" w:eastAsia="宋体" w:cs="宋体"/>
                <w:b w:val="0"/>
                <w:bCs/>
                <w:snapToGrid/>
                <w:color w:val="auto"/>
                <w:kern w:val="0"/>
                <w:sz w:val="22"/>
                <w:szCs w:val="22"/>
                <w:highlight w:val="none"/>
                <w:lang w:eastAsia="zh-CN"/>
              </w:rPr>
            </w:pPr>
            <w:r>
              <w:rPr>
                <w:rFonts w:hint="eastAsia" w:ascii="宋体" w:hAnsi="宋体" w:eastAsia="宋体" w:cs="宋体"/>
                <w:b w:val="0"/>
                <w:bCs/>
                <w:snapToGrid/>
                <w:color w:val="auto"/>
                <w:kern w:val="0"/>
                <w:sz w:val="22"/>
                <w:szCs w:val="22"/>
                <w:highlight w:val="none"/>
                <w:lang w:eastAsia="zh-CN"/>
              </w:rPr>
              <w:sym w:font="Wingdings 2" w:char="00A3"/>
            </w:r>
            <w:r>
              <w:rPr>
                <w:rFonts w:hint="eastAsia" w:ascii="宋体" w:hAnsi="宋体" w:eastAsia="宋体" w:cs="宋体"/>
                <w:b w:val="0"/>
                <w:bCs/>
                <w:snapToGrid/>
                <w:color w:val="auto"/>
                <w:kern w:val="0"/>
                <w:sz w:val="22"/>
                <w:szCs w:val="22"/>
                <w:highlight w:val="none"/>
                <w:lang w:eastAsia="zh-CN"/>
              </w:rPr>
              <w:t>是</w:t>
            </w:r>
            <w:r>
              <w:rPr>
                <w:rFonts w:hint="eastAsia" w:ascii="宋体" w:hAnsi="宋体" w:eastAsia="宋体" w:cs="宋体"/>
                <w:b w:val="0"/>
                <w:bCs/>
                <w:snapToGrid/>
                <w:color w:val="auto"/>
                <w:kern w:val="0"/>
                <w:sz w:val="22"/>
                <w:szCs w:val="22"/>
                <w:highlight w:val="none"/>
                <w:lang w:val="en-US" w:eastAsia="zh-CN"/>
              </w:rPr>
              <w:t xml:space="preserve">   </w:t>
            </w:r>
            <w:r>
              <w:rPr>
                <w:rFonts w:hint="eastAsia" w:ascii="宋体" w:hAnsi="宋体" w:eastAsia="宋体" w:cs="宋体"/>
                <w:b w:val="0"/>
                <w:bCs/>
                <w:snapToGrid/>
                <w:color w:val="auto"/>
                <w:kern w:val="0"/>
                <w:sz w:val="22"/>
                <w:szCs w:val="22"/>
                <w:highlight w:val="none"/>
                <w:lang w:eastAsia="zh-CN"/>
              </w:rPr>
              <w:sym w:font="Wingdings 2" w:char="00A3"/>
            </w:r>
            <w:r>
              <w:rPr>
                <w:rFonts w:hint="eastAsia" w:ascii="宋体" w:hAnsi="宋体" w:eastAsia="宋体" w:cs="宋体"/>
                <w:b w:val="0"/>
                <w:bCs/>
                <w:snapToGrid/>
                <w:color w:val="auto"/>
                <w:kern w:val="0"/>
                <w:sz w:val="22"/>
                <w:szCs w:val="22"/>
                <w:highlight w:val="none"/>
                <w:lang w:eastAsia="zh-CN"/>
              </w:rPr>
              <w:t>否</w:t>
            </w:r>
          </w:p>
          <w:p w14:paraId="209CB509">
            <w:pPr>
              <w:widowControl w:val="0"/>
              <w:kinsoku/>
              <w:autoSpaceDE/>
              <w:autoSpaceDN/>
              <w:adjustRightInd/>
              <w:snapToGrid w:val="0"/>
              <w:spacing w:line="300" w:lineRule="exact"/>
              <w:jc w:val="both"/>
              <w:textAlignment w:val="auto"/>
              <w:rPr>
                <w:rFonts w:hint="eastAsia" w:ascii="宋体" w:hAnsi="宋体" w:eastAsia="宋体" w:cs="宋体"/>
                <w:b w:val="0"/>
                <w:bCs/>
                <w:snapToGrid/>
                <w:color w:val="auto"/>
                <w:kern w:val="0"/>
                <w:sz w:val="22"/>
                <w:szCs w:val="22"/>
                <w:highlight w:val="none"/>
                <w:lang w:eastAsia="zh-CN"/>
              </w:rPr>
            </w:pPr>
            <w:r>
              <w:rPr>
                <w:rFonts w:hint="eastAsia" w:ascii="宋体" w:hAnsi="宋体" w:eastAsia="宋体" w:cs="宋体"/>
                <w:b w:val="0"/>
                <w:bCs/>
                <w:snapToGrid/>
                <w:color w:val="auto"/>
                <w:kern w:val="0"/>
                <w:sz w:val="22"/>
                <w:szCs w:val="22"/>
                <w:highlight w:val="none"/>
                <w:lang w:val="en-US" w:eastAsia="zh-CN"/>
              </w:rPr>
              <w:t>备注：</w:t>
            </w:r>
          </w:p>
        </w:tc>
      </w:tr>
      <w:tr w14:paraId="79398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0" w:type="pct"/>
            <w:vMerge w:val="continue"/>
            <w:tcBorders>
              <w:left w:val="single" w:color="auto" w:sz="4" w:space="0"/>
              <w:right w:val="single" w:color="auto" w:sz="4" w:space="0"/>
            </w:tcBorders>
            <w:noWrap w:val="0"/>
            <w:vAlign w:val="center"/>
          </w:tcPr>
          <w:p w14:paraId="7A239AEF">
            <w:pPr>
              <w:widowControl w:val="0"/>
              <w:kinsoku/>
              <w:autoSpaceDE/>
              <w:autoSpaceDN/>
              <w:adjustRightInd/>
              <w:snapToGrid w:val="0"/>
              <w:spacing w:line="300" w:lineRule="exact"/>
              <w:jc w:val="center"/>
              <w:textAlignment w:val="auto"/>
              <w:rPr>
                <w:rFonts w:hint="eastAsia" w:ascii="宋体" w:hAnsi="宋体" w:eastAsia="宋体" w:cs="宋体"/>
                <w:b w:val="0"/>
                <w:bCs/>
                <w:snapToGrid/>
                <w:color w:val="auto"/>
                <w:kern w:val="0"/>
                <w:sz w:val="22"/>
                <w:szCs w:val="22"/>
                <w:highlight w:val="none"/>
                <w:lang w:eastAsia="zh-CN"/>
              </w:rPr>
            </w:pPr>
          </w:p>
        </w:tc>
        <w:tc>
          <w:tcPr>
            <w:tcW w:w="1612" w:type="pct"/>
            <w:tcBorders>
              <w:top w:val="single" w:color="auto" w:sz="4" w:space="0"/>
              <w:left w:val="single" w:color="auto" w:sz="4" w:space="0"/>
              <w:right w:val="single" w:color="auto" w:sz="4" w:space="0"/>
            </w:tcBorders>
            <w:noWrap w:val="0"/>
            <w:vAlign w:val="center"/>
          </w:tcPr>
          <w:p w14:paraId="75FCA233">
            <w:pPr>
              <w:widowControl w:val="0"/>
              <w:kinsoku/>
              <w:autoSpaceDE/>
              <w:autoSpaceDN/>
              <w:adjustRightInd/>
              <w:snapToGrid w:val="0"/>
              <w:spacing w:line="300" w:lineRule="exact"/>
              <w:jc w:val="both"/>
              <w:textAlignment w:val="auto"/>
              <w:rPr>
                <w:rFonts w:hint="eastAsia" w:ascii="宋体" w:hAnsi="宋体" w:eastAsia="宋体" w:cs="宋体"/>
                <w:b w:val="0"/>
                <w:bCs/>
                <w:snapToGrid/>
                <w:color w:val="auto"/>
                <w:kern w:val="0"/>
                <w:sz w:val="22"/>
                <w:szCs w:val="22"/>
                <w:highlight w:val="none"/>
                <w:lang w:eastAsia="zh-CN"/>
              </w:rPr>
            </w:pPr>
            <w:r>
              <w:rPr>
                <w:rFonts w:hint="eastAsia" w:ascii="宋体" w:hAnsi="宋体" w:eastAsia="宋体" w:cs="宋体"/>
                <w:b w:val="0"/>
                <w:bCs/>
                <w:snapToGrid/>
                <w:color w:val="auto"/>
                <w:kern w:val="0"/>
                <w:sz w:val="22"/>
                <w:szCs w:val="22"/>
                <w:highlight w:val="none"/>
                <w:lang w:eastAsia="zh-CN"/>
              </w:rPr>
              <w:t>货物和配件材质是否</w:t>
            </w:r>
            <w:r>
              <w:rPr>
                <w:rFonts w:hint="eastAsia" w:ascii="宋体" w:hAnsi="宋体" w:eastAsia="宋体" w:cs="宋体"/>
                <w:b w:val="0"/>
                <w:bCs/>
                <w:snapToGrid/>
                <w:color w:val="auto"/>
                <w:kern w:val="0"/>
                <w:sz w:val="22"/>
                <w:szCs w:val="22"/>
                <w:highlight w:val="none"/>
                <w:lang w:val="en-US" w:eastAsia="zh-CN"/>
              </w:rPr>
              <w:t>符合需求</w:t>
            </w:r>
            <w:r>
              <w:rPr>
                <w:rFonts w:hint="eastAsia" w:ascii="宋体" w:hAnsi="宋体" w:eastAsia="宋体" w:cs="宋体"/>
                <w:b w:val="0"/>
                <w:bCs/>
                <w:snapToGrid/>
                <w:color w:val="auto"/>
                <w:kern w:val="0"/>
                <w:sz w:val="22"/>
                <w:szCs w:val="22"/>
                <w:highlight w:val="none"/>
                <w:lang w:eastAsia="zh-CN"/>
              </w:rPr>
              <w:t>，如否请备注情况</w:t>
            </w:r>
          </w:p>
        </w:tc>
        <w:tc>
          <w:tcPr>
            <w:tcW w:w="2736" w:type="pct"/>
            <w:gridSpan w:val="4"/>
            <w:tcBorders>
              <w:top w:val="single" w:color="auto" w:sz="4" w:space="0"/>
              <w:left w:val="single" w:color="auto" w:sz="4" w:space="0"/>
              <w:right w:val="single" w:color="auto" w:sz="4" w:space="0"/>
            </w:tcBorders>
            <w:noWrap w:val="0"/>
            <w:vAlign w:val="center"/>
          </w:tcPr>
          <w:p w14:paraId="77326578">
            <w:pPr>
              <w:widowControl w:val="0"/>
              <w:kinsoku/>
              <w:autoSpaceDE/>
              <w:autoSpaceDN/>
              <w:adjustRightInd/>
              <w:snapToGrid w:val="0"/>
              <w:spacing w:line="300" w:lineRule="exact"/>
              <w:ind w:firstLine="0" w:firstLineChars="0"/>
              <w:jc w:val="both"/>
              <w:textAlignment w:val="auto"/>
              <w:rPr>
                <w:rFonts w:hint="eastAsia" w:ascii="宋体" w:hAnsi="宋体" w:eastAsia="宋体" w:cs="宋体"/>
                <w:b w:val="0"/>
                <w:bCs/>
                <w:snapToGrid/>
                <w:color w:val="auto"/>
                <w:kern w:val="0"/>
                <w:sz w:val="22"/>
                <w:szCs w:val="22"/>
                <w:highlight w:val="none"/>
                <w:lang w:eastAsia="zh-CN"/>
              </w:rPr>
            </w:pPr>
            <w:r>
              <w:rPr>
                <w:rFonts w:hint="eastAsia" w:ascii="宋体" w:hAnsi="宋体" w:eastAsia="宋体" w:cs="宋体"/>
                <w:b w:val="0"/>
                <w:bCs/>
                <w:snapToGrid/>
                <w:color w:val="auto"/>
                <w:kern w:val="0"/>
                <w:sz w:val="22"/>
                <w:szCs w:val="22"/>
                <w:highlight w:val="none"/>
                <w:lang w:eastAsia="zh-CN"/>
              </w:rPr>
              <w:sym w:font="Wingdings 2" w:char="00A3"/>
            </w:r>
            <w:r>
              <w:rPr>
                <w:rFonts w:hint="eastAsia" w:ascii="宋体" w:hAnsi="宋体" w:eastAsia="宋体" w:cs="宋体"/>
                <w:b w:val="0"/>
                <w:bCs/>
                <w:snapToGrid/>
                <w:color w:val="auto"/>
                <w:kern w:val="0"/>
                <w:sz w:val="22"/>
                <w:szCs w:val="22"/>
                <w:highlight w:val="none"/>
                <w:lang w:eastAsia="zh-CN"/>
              </w:rPr>
              <w:t>是</w:t>
            </w:r>
            <w:r>
              <w:rPr>
                <w:rFonts w:hint="eastAsia" w:ascii="宋体" w:hAnsi="宋体" w:eastAsia="宋体" w:cs="宋体"/>
                <w:b w:val="0"/>
                <w:bCs/>
                <w:snapToGrid/>
                <w:color w:val="auto"/>
                <w:kern w:val="0"/>
                <w:sz w:val="22"/>
                <w:szCs w:val="22"/>
                <w:highlight w:val="none"/>
                <w:lang w:val="en-US" w:eastAsia="zh-CN"/>
              </w:rPr>
              <w:t xml:space="preserve">   </w:t>
            </w:r>
            <w:r>
              <w:rPr>
                <w:rFonts w:hint="eastAsia" w:ascii="宋体" w:hAnsi="宋体" w:eastAsia="宋体" w:cs="宋体"/>
                <w:b w:val="0"/>
                <w:bCs/>
                <w:snapToGrid/>
                <w:color w:val="auto"/>
                <w:kern w:val="0"/>
                <w:sz w:val="22"/>
                <w:szCs w:val="22"/>
                <w:highlight w:val="none"/>
                <w:lang w:eastAsia="zh-CN"/>
              </w:rPr>
              <w:sym w:font="Wingdings 2" w:char="00A3"/>
            </w:r>
            <w:r>
              <w:rPr>
                <w:rFonts w:hint="eastAsia" w:ascii="宋体" w:hAnsi="宋体" w:eastAsia="宋体" w:cs="宋体"/>
                <w:b w:val="0"/>
                <w:bCs/>
                <w:snapToGrid/>
                <w:color w:val="auto"/>
                <w:kern w:val="0"/>
                <w:sz w:val="22"/>
                <w:szCs w:val="22"/>
                <w:highlight w:val="none"/>
                <w:lang w:eastAsia="zh-CN"/>
              </w:rPr>
              <w:t>否</w:t>
            </w:r>
          </w:p>
          <w:p w14:paraId="49AB024D">
            <w:pPr>
              <w:widowControl w:val="0"/>
              <w:kinsoku/>
              <w:autoSpaceDE/>
              <w:autoSpaceDN/>
              <w:adjustRightInd/>
              <w:snapToGrid w:val="0"/>
              <w:spacing w:line="300" w:lineRule="exact"/>
              <w:jc w:val="both"/>
              <w:textAlignment w:val="auto"/>
              <w:rPr>
                <w:rFonts w:hint="eastAsia" w:ascii="宋体" w:hAnsi="宋体" w:eastAsia="宋体" w:cs="宋体"/>
                <w:b w:val="0"/>
                <w:bCs/>
                <w:snapToGrid/>
                <w:color w:val="auto"/>
                <w:kern w:val="0"/>
                <w:sz w:val="22"/>
                <w:szCs w:val="22"/>
                <w:highlight w:val="none"/>
                <w:lang w:eastAsia="zh-CN"/>
              </w:rPr>
            </w:pPr>
            <w:r>
              <w:rPr>
                <w:rFonts w:hint="eastAsia" w:ascii="宋体" w:hAnsi="宋体" w:eastAsia="宋体" w:cs="宋体"/>
                <w:b w:val="0"/>
                <w:bCs/>
                <w:snapToGrid/>
                <w:color w:val="auto"/>
                <w:kern w:val="0"/>
                <w:sz w:val="22"/>
                <w:szCs w:val="22"/>
                <w:highlight w:val="none"/>
                <w:lang w:val="en-US" w:eastAsia="zh-CN"/>
              </w:rPr>
              <w:t>备注：</w:t>
            </w:r>
          </w:p>
        </w:tc>
      </w:tr>
      <w:tr w14:paraId="3D56A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0" w:type="pct"/>
            <w:vMerge w:val="continue"/>
            <w:tcBorders>
              <w:left w:val="single" w:color="auto" w:sz="4" w:space="0"/>
              <w:right w:val="single" w:color="auto" w:sz="4" w:space="0"/>
            </w:tcBorders>
            <w:noWrap w:val="0"/>
            <w:vAlign w:val="center"/>
          </w:tcPr>
          <w:p w14:paraId="55F7CE10">
            <w:pPr>
              <w:widowControl w:val="0"/>
              <w:kinsoku/>
              <w:autoSpaceDE/>
              <w:autoSpaceDN/>
              <w:adjustRightInd/>
              <w:snapToGrid w:val="0"/>
              <w:spacing w:line="300" w:lineRule="exact"/>
              <w:jc w:val="center"/>
              <w:textAlignment w:val="auto"/>
              <w:rPr>
                <w:rFonts w:hint="eastAsia" w:ascii="宋体" w:hAnsi="宋体" w:eastAsia="宋体" w:cs="宋体"/>
                <w:b w:val="0"/>
                <w:bCs/>
                <w:snapToGrid/>
                <w:color w:val="auto"/>
                <w:kern w:val="0"/>
                <w:sz w:val="22"/>
                <w:szCs w:val="22"/>
                <w:highlight w:val="none"/>
                <w:lang w:eastAsia="zh-CN"/>
              </w:rPr>
            </w:pPr>
          </w:p>
        </w:tc>
        <w:tc>
          <w:tcPr>
            <w:tcW w:w="1612" w:type="pct"/>
            <w:tcBorders>
              <w:top w:val="single" w:color="auto" w:sz="4" w:space="0"/>
              <w:left w:val="single" w:color="auto" w:sz="4" w:space="0"/>
              <w:right w:val="single" w:color="auto" w:sz="4" w:space="0"/>
            </w:tcBorders>
            <w:noWrap w:val="0"/>
            <w:vAlign w:val="center"/>
          </w:tcPr>
          <w:p w14:paraId="5A23F5E0">
            <w:pPr>
              <w:widowControl w:val="0"/>
              <w:kinsoku/>
              <w:autoSpaceDE/>
              <w:autoSpaceDN/>
              <w:adjustRightInd/>
              <w:snapToGrid w:val="0"/>
              <w:spacing w:line="300" w:lineRule="exact"/>
              <w:jc w:val="both"/>
              <w:textAlignment w:val="auto"/>
              <w:rPr>
                <w:rFonts w:hint="eastAsia" w:ascii="宋体" w:hAnsi="宋体" w:eastAsia="宋体" w:cs="宋体"/>
                <w:b w:val="0"/>
                <w:bCs/>
                <w:snapToGrid/>
                <w:color w:val="auto"/>
                <w:kern w:val="0"/>
                <w:sz w:val="22"/>
                <w:szCs w:val="22"/>
                <w:highlight w:val="none"/>
                <w:lang w:eastAsia="zh-CN"/>
              </w:rPr>
            </w:pPr>
            <w:r>
              <w:rPr>
                <w:rFonts w:hint="eastAsia" w:ascii="宋体" w:hAnsi="宋体" w:eastAsia="宋体" w:cs="宋体"/>
                <w:b w:val="0"/>
                <w:bCs/>
                <w:snapToGrid/>
                <w:color w:val="auto"/>
                <w:kern w:val="0"/>
                <w:sz w:val="22"/>
                <w:szCs w:val="22"/>
                <w:highlight w:val="none"/>
                <w:lang w:eastAsia="zh-CN"/>
              </w:rPr>
              <w:t>货物和配件性能参数是否</w:t>
            </w:r>
            <w:r>
              <w:rPr>
                <w:rFonts w:hint="eastAsia" w:ascii="宋体" w:hAnsi="宋体" w:eastAsia="宋体" w:cs="宋体"/>
                <w:b w:val="0"/>
                <w:bCs/>
                <w:snapToGrid/>
                <w:color w:val="auto"/>
                <w:kern w:val="0"/>
                <w:sz w:val="22"/>
                <w:szCs w:val="22"/>
                <w:highlight w:val="none"/>
                <w:lang w:val="en-US" w:eastAsia="zh-CN"/>
              </w:rPr>
              <w:t>符合需求</w:t>
            </w:r>
            <w:r>
              <w:rPr>
                <w:rFonts w:hint="eastAsia" w:ascii="宋体" w:hAnsi="宋体" w:eastAsia="宋体" w:cs="宋体"/>
                <w:b w:val="0"/>
                <w:bCs/>
                <w:snapToGrid/>
                <w:color w:val="auto"/>
                <w:kern w:val="0"/>
                <w:sz w:val="22"/>
                <w:szCs w:val="22"/>
                <w:highlight w:val="none"/>
                <w:lang w:eastAsia="zh-CN"/>
              </w:rPr>
              <w:t>，如否请备注情况</w:t>
            </w:r>
          </w:p>
        </w:tc>
        <w:tc>
          <w:tcPr>
            <w:tcW w:w="2736" w:type="pct"/>
            <w:gridSpan w:val="4"/>
            <w:tcBorders>
              <w:top w:val="single" w:color="auto" w:sz="4" w:space="0"/>
              <w:left w:val="single" w:color="auto" w:sz="4" w:space="0"/>
              <w:right w:val="single" w:color="auto" w:sz="4" w:space="0"/>
            </w:tcBorders>
            <w:noWrap w:val="0"/>
            <w:vAlign w:val="center"/>
          </w:tcPr>
          <w:p w14:paraId="77A98EFE">
            <w:pPr>
              <w:widowControl w:val="0"/>
              <w:kinsoku/>
              <w:autoSpaceDE/>
              <w:autoSpaceDN/>
              <w:adjustRightInd/>
              <w:snapToGrid w:val="0"/>
              <w:spacing w:line="300" w:lineRule="exact"/>
              <w:ind w:firstLine="0" w:firstLineChars="0"/>
              <w:jc w:val="both"/>
              <w:textAlignment w:val="auto"/>
              <w:rPr>
                <w:rFonts w:hint="eastAsia" w:ascii="宋体" w:hAnsi="宋体" w:eastAsia="宋体" w:cs="宋体"/>
                <w:b w:val="0"/>
                <w:bCs/>
                <w:snapToGrid/>
                <w:color w:val="auto"/>
                <w:kern w:val="0"/>
                <w:sz w:val="22"/>
                <w:szCs w:val="22"/>
                <w:highlight w:val="none"/>
                <w:lang w:eastAsia="zh-CN"/>
              </w:rPr>
            </w:pPr>
            <w:r>
              <w:rPr>
                <w:rFonts w:hint="eastAsia" w:ascii="宋体" w:hAnsi="宋体" w:eastAsia="宋体" w:cs="宋体"/>
                <w:b w:val="0"/>
                <w:bCs/>
                <w:snapToGrid/>
                <w:color w:val="auto"/>
                <w:kern w:val="0"/>
                <w:sz w:val="22"/>
                <w:szCs w:val="22"/>
                <w:highlight w:val="none"/>
                <w:lang w:eastAsia="zh-CN"/>
              </w:rPr>
              <w:sym w:font="Wingdings 2" w:char="00A3"/>
            </w:r>
            <w:r>
              <w:rPr>
                <w:rFonts w:hint="eastAsia" w:ascii="宋体" w:hAnsi="宋体" w:eastAsia="宋体" w:cs="宋体"/>
                <w:b w:val="0"/>
                <w:bCs/>
                <w:snapToGrid/>
                <w:color w:val="auto"/>
                <w:kern w:val="0"/>
                <w:sz w:val="22"/>
                <w:szCs w:val="22"/>
                <w:highlight w:val="none"/>
                <w:lang w:eastAsia="zh-CN"/>
              </w:rPr>
              <w:t>是</w:t>
            </w:r>
            <w:r>
              <w:rPr>
                <w:rFonts w:hint="eastAsia" w:ascii="宋体" w:hAnsi="宋体" w:eastAsia="宋体" w:cs="宋体"/>
                <w:b w:val="0"/>
                <w:bCs/>
                <w:snapToGrid/>
                <w:color w:val="auto"/>
                <w:kern w:val="0"/>
                <w:sz w:val="22"/>
                <w:szCs w:val="22"/>
                <w:highlight w:val="none"/>
                <w:lang w:val="en-US" w:eastAsia="zh-CN"/>
              </w:rPr>
              <w:t xml:space="preserve">   </w:t>
            </w:r>
            <w:r>
              <w:rPr>
                <w:rFonts w:hint="eastAsia" w:ascii="宋体" w:hAnsi="宋体" w:eastAsia="宋体" w:cs="宋体"/>
                <w:b w:val="0"/>
                <w:bCs/>
                <w:snapToGrid/>
                <w:color w:val="auto"/>
                <w:kern w:val="0"/>
                <w:sz w:val="22"/>
                <w:szCs w:val="22"/>
                <w:highlight w:val="none"/>
                <w:lang w:eastAsia="zh-CN"/>
              </w:rPr>
              <w:sym w:font="Wingdings 2" w:char="00A3"/>
            </w:r>
            <w:r>
              <w:rPr>
                <w:rFonts w:hint="eastAsia" w:ascii="宋体" w:hAnsi="宋体" w:eastAsia="宋体" w:cs="宋体"/>
                <w:b w:val="0"/>
                <w:bCs/>
                <w:snapToGrid/>
                <w:color w:val="auto"/>
                <w:kern w:val="0"/>
                <w:sz w:val="22"/>
                <w:szCs w:val="22"/>
                <w:highlight w:val="none"/>
                <w:lang w:eastAsia="zh-CN"/>
              </w:rPr>
              <w:t>否</w:t>
            </w:r>
          </w:p>
          <w:p w14:paraId="5097871F">
            <w:pPr>
              <w:widowControl w:val="0"/>
              <w:kinsoku/>
              <w:autoSpaceDE/>
              <w:autoSpaceDN/>
              <w:adjustRightInd/>
              <w:snapToGrid w:val="0"/>
              <w:spacing w:line="300" w:lineRule="exact"/>
              <w:jc w:val="both"/>
              <w:textAlignment w:val="auto"/>
              <w:rPr>
                <w:rFonts w:hint="eastAsia" w:ascii="宋体" w:hAnsi="宋体" w:eastAsia="宋体" w:cs="宋体"/>
                <w:b w:val="0"/>
                <w:bCs/>
                <w:snapToGrid/>
                <w:color w:val="auto"/>
                <w:kern w:val="0"/>
                <w:sz w:val="22"/>
                <w:szCs w:val="22"/>
                <w:highlight w:val="none"/>
                <w:lang w:eastAsia="zh-CN"/>
              </w:rPr>
            </w:pPr>
            <w:r>
              <w:rPr>
                <w:rFonts w:hint="eastAsia" w:ascii="宋体" w:hAnsi="宋体" w:eastAsia="宋体" w:cs="宋体"/>
                <w:b w:val="0"/>
                <w:bCs/>
                <w:snapToGrid/>
                <w:color w:val="auto"/>
                <w:kern w:val="0"/>
                <w:sz w:val="22"/>
                <w:szCs w:val="22"/>
                <w:highlight w:val="none"/>
                <w:lang w:val="en-US" w:eastAsia="zh-CN"/>
              </w:rPr>
              <w:t>备注：</w:t>
            </w:r>
          </w:p>
        </w:tc>
      </w:tr>
      <w:tr w14:paraId="03183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0" w:type="pct"/>
            <w:vMerge w:val="continue"/>
            <w:tcBorders>
              <w:left w:val="single" w:color="auto" w:sz="4" w:space="0"/>
              <w:bottom w:val="single" w:color="auto" w:sz="4" w:space="0"/>
              <w:right w:val="single" w:color="auto" w:sz="4" w:space="0"/>
            </w:tcBorders>
            <w:noWrap w:val="0"/>
            <w:vAlign w:val="center"/>
          </w:tcPr>
          <w:p w14:paraId="211D6107">
            <w:pPr>
              <w:widowControl w:val="0"/>
              <w:kinsoku/>
              <w:autoSpaceDE/>
              <w:autoSpaceDN/>
              <w:adjustRightInd/>
              <w:snapToGrid w:val="0"/>
              <w:spacing w:line="300" w:lineRule="exact"/>
              <w:jc w:val="center"/>
              <w:textAlignment w:val="auto"/>
              <w:rPr>
                <w:rFonts w:hint="eastAsia" w:ascii="宋体" w:hAnsi="宋体" w:eastAsia="宋体" w:cs="宋体"/>
                <w:b w:val="0"/>
                <w:bCs/>
                <w:snapToGrid/>
                <w:color w:val="auto"/>
                <w:kern w:val="0"/>
                <w:sz w:val="22"/>
                <w:szCs w:val="22"/>
                <w:highlight w:val="none"/>
                <w:lang w:eastAsia="zh-CN"/>
              </w:rPr>
            </w:pPr>
          </w:p>
        </w:tc>
        <w:tc>
          <w:tcPr>
            <w:tcW w:w="1612" w:type="pct"/>
            <w:tcBorders>
              <w:top w:val="single" w:color="auto" w:sz="4" w:space="0"/>
              <w:left w:val="single" w:color="auto" w:sz="4" w:space="0"/>
              <w:right w:val="single" w:color="auto" w:sz="4" w:space="0"/>
            </w:tcBorders>
            <w:noWrap w:val="0"/>
            <w:vAlign w:val="center"/>
          </w:tcPr>
          <w:p w14:paraId="5953B414">
            <w:pPr>
              <w:widowControl w:val="0"/>
              <w:kinsoku/>
              <w:autoSpaceDE/>
              <w:autoSpaceDN/>
              <w:adjustRightInd/>
              <w:snapToGrid w:val="0"/>
              <w:spacing w:line="300" w:lineRule="exact"/>
              <w:jc w:val="both"/>
              <w:textAlignment w:val="auto"/>
              <w:rPr>
                <w:rFonts w:hint="eastAsia" w:ascii="宋体" w:hAnsi="宋体" w:eastAsia="宋体" w:cs="宋体"/>
                <w:b w:val="0"/>
                <w:bCs/>
                <w:snapToGrid/>
                <w:color w:val="auto"/>
                <w:kern w:val="0"/>
                <w:sz w:val="22"/>
                <w:szCs w:val="22"/>
                <w:highlight w:val="none"/>
                <w:lang w:eastAsia="zh-CN"/>
              </w:rPr>
            </w:pPr>
            <w:r>
              <w:rPr>
                <w:rFonts w:hint="eastAsia" w:ascii="宋体" w:hAnsi="宋体" w:eastAsia="宋体" w:cs="宋体"/>
                <w:b w:val="0"/>
                <w:bCs/>
                <w:snapToGrid/>
                <w:color w:val="auto"/>
                <w:kern w:val="0"/>
                <w:sz w:val="22"/>
                <w:szCs w:val="22"/>
                <w:highlight w:val="none"/>
                <w:lang w:eastAsia="zh-CN"/>
              </w:rPr>
              <w:t>到货资料检查</w:t>
            </w:r>
          </w:p>
        </w:tc>
        <w:tc>
          <w:tcPr>
            <w:tcW w:w="2736" w:type="pct"/>
            <w:gridSpan w:val="4"/>
            <w:tcBorders>
              <w:top w:val="single" w:color="auto" w:sz="4" w:space="0"/>
              <w:left w:val="single" w:color="auto" w:sz="4" w:space="0"/>
              <w:right w:val="single" w:color="auto" w:sz="4" w:space="0"/>
            </w:tcBorders>
            <w:noWrap w:val="0"/>
            <w:vAlign w:val="center"/>
          </w:tcPr>
          <w:p w14:paraId="78A7D6E2">
            <w:pPr>
              <w:widowControl w:val="0"/>
              <w:kinsoku/>
              <w:autoSpaceDE/>
              <w:autoSpaceDN/>
              <w:adjustRightInd/>
              <w:snapToGrid w:val="0"/>
              <w:spacing w:line="300" w:lineRule="exact"/>
              <w:jc w:val="both"/>
              <w:textAlignment w:val="auto"/>
              <w:rPr>
                <w:rFonts w:hint="eastAsia" w:ascii="宋体" w:hAnsi="宋体" w:eastAsia="宋体" w:cs="宋体"/>
                <w:b w:val="0"/>
                <w:bCs/>
                <w:snapToGrid/>
                <w:color w:val="auto"/>
                <w:kern w:val="0"/>
                <w:sz w:val="22"/>
                <w:szCs w:val="22"/>
                <w:highlight w:val="none"/>
                <w:lang w:eastAsia="zh-CN"/>
              </w:rPr>
            </w:pPr>
            <w:r>
              <w:rPr>
                <w:rFonts w:hint="eastAsia" w:ascii="宋体" w:hAnsi="宋体" w:eastAsia="宋体" w:cs="宋体"/>
                <w:b w:val="0"/>
                <w:bCs/>
                <w:snapToGrid/>
                <w:color w:val="auto"/>
                <w:kern w:val="0"/>
                <w:sz w:val="22"/>
                <w:szCs w:val="22"/>
                <w:highlight w:val="none"/>
                <w:lang w:eastAsia="zh-CN"/>
              </w:rPr>
              <w:sym w:font="Wingdings 2" w:char="00A3"/>
            </w:r>
            <w:r>
              <w:rPr>
                <w:rFonts w:hint="eastAsia" w:ascii="宋体" w:hAnsi="宋体" w:eastAsia="宋体" w:cs="宋体"/>
                <w:b w:val="0"/>
                <w:bCs/>
                <w:snapToGrid/>
                <w:color w:val="auto"/>
                <w:kern w:val="0"/>
                <w:sz w:val="22"/>
                <w:szCs w:val="22"/>
                <w:highlight w:val="none"/>
                <w:lang w:val="en-US" w:eastAsia="zh-CN"/>
              </w:rPr>
              <w:t>产品说明书</w:t>
            </w:r>
            <w:r>
              <w:rPr>
                <w:rFonts w:hint="eastAsia" w:ascii="宋体" w:hAnsi="宋体" w:eastAsia="宋体" w:cs="宋体"/>
                <w:b w:val="0"/>
                <w:bCs/>
                <w:snapToGrid/>
                <w:color w:val="auto"/>
                <w:kern w:val="0"/>
                <w:sz w:val="22"/>
                <w:szCs w:val="22"/>
                <w:highlight w:val="none"/>
                <w:lang w:eastAsia="zh-CN"/>
              </w:rPr>
              <w:t>、</w:t>
            </w:r>
            <w:r>
              <w:rPr>
                <w:rFonts w:hint="eastAsia" w:ascii="宋体" w:hAnsi="宋体" w:eastAsia="宋体" w:cs="宋体"/>
                <w:b w:val="0"/>
                <w:bCs/>
                <w:snapToGrid/>
                <w:color w:val="auto"/>
                <w:kern w:val="0"/>
                <w:sz w:val="22"/>
                <w:szCs w:val="22"/>
                <w:highlight w:val="none"/>
                <w:lang w:eastAsia="zh-CN"/>
              </w:rPr>
              <w:sym w:font="Wingdings 2" w:char="00A3"/>
            </w:r>
            <w:r>
              <w:rPr>
                <w:rFonts w:hint="eastAsia" w:ascii="宋体" w:hAnsi="宋体" w:eastAsia="宋体" w:cs="宋体"/>
                <w:b w:val="0"/>
                <w:bCs/>
                <w:snapToGrid/>
                <w:color w:val="auto"/>
                <w:kern w:val="0"/>
                <w:sz w:val="22"/>
                <w:szCs w:val="22"/>
                <w:highlight w:val="none"/>
                <w:lang w:eastAsia="zh-CN"/>
              </w:rPr>
              <w:t>产品合格证、</w:t>
            </w:r>
            <w:r>
              <w:rPr>
                <w:rFonts w:hint="eastAsia" w:ascii="宋体" w:hAnsi="宋体" w:eastAsia="宋体" w:cs="宋体"/>
                <w:b w:val="0"/>
                <w:bCs/>
                <w:snapToGrid/>
                <w:color w:val="auto"/>
                <w:kern w:val="0"/>
                <w:sz w:val="22"/>
                <w:szCs w:val="22"/>
                <w:highlight w:val="none"/>
                <w:lang w:eastAsia="zh-CN"/>
              </w:rPr>
              <w:sym w:font="Wingdings 2" w:char="00A3"/>
            </w:r>
            <w:r>
              <w:rPr>
                <w:rFonts w:hint="eastAsia" w:ascii="宋体" w:hAnsi="宋体" w:eastAsia="宋体" w:cs="宋体"/>
                <w:b w:val="0"/>
                <w:bCs/>
                <w:snapToGrid/>
                <w:color w:val="auto"/>
                <w:kern w:val="0"/>
                <w:sz w:val="22"/>
                <w:szCs w:val="22"/>
                <w:highlight w:val="none"/>
                <w:lang w:eastAsia="zh-CN"/>
              </w:rPr>
              <w:t>保修单、</w:t>
            </w:r>
            <w:r>
              <w:rPr>
                <w:rFonts w:hint="eastAsia" w:ascii="宋体" w:hAnsi="宋体" w:eastAsia="宋体" w:cs="宋体"/>
                <w:b w:val="0"/>
                <w:bCs/>
                <w:snapToGrid/>
                <w:color w:val="auto"/>
                <w:kern w:val="0"/>
                <w:sz w:val="22"/>
                <w:szCs w:val="22"/>
                <w:highlight w:val="none"/>
                <w:lang w:eastAsia="zh-CN"/>
              </w:rPr>
              <w:sym w:font="Wingdings 2" w:char="00A3"/>
            </w:r>
            <w:r>
              <w:rPr>
                <w:rFonts w:hint="eastAsia" w:ascii="宋体" w:hAnsi="宋体" w:eastAsia="宋体" w:cs="宋体"/>
                <w:b w:val="0"/>
                <w:bCs/>
                <w:snapToGrid/>
                <w:color w:val="auto"/>
                <w:kern w:val="0"/>
                <w:sz w:val="22"/>
                <w:szCs w:val="22"/>
                <w:highlight w:val="none"/>
                <w:lang w:val="en-US" w:eastAsia="zh-CN"/>
              </w:rPr>
              <w:t>出厂检测</w:t>
            </w:r>
            <w:r>
              <w:rPr>
                <w:rFonts w:hint="eastAsia" w:ascii="宋体" w:hAnsi="宋体" w:eastAsia="宋体" w:cs="宋体"/>
                <w:b w:val="0"/>
                <w:bCs/>
                <w:snapToGrid/>
                <w:color w:val="auto"/>
                <w:kern w:val="0"/>
                <w:sz w:val="22"/>
                <w:szCs w:val="22"/>
                <w:highlight w:val="none"/>
                <w:lang w:eastAsia="zh-CN"/>
              </w:rPr>
              <w:t>报告、</w:t>
            </w:r>
            <w:r>
              <w:rPr>
                <w:rFonts w:hint="eastAsia" w:ascii="宋体" w:hAnsi="宋体" w:eastAsia="宋体" w:cs="宋体"/>
                <w:b w:val="0"/>
                <w:bCs/>
                <w:snapToGrid/>
                <w:color w:val="auto"/>
                <w:kern w:val="0"/>
                <w:sz w:val="22"/>
                <w:szCs w:val="22"/>
                <w:highlight w:val="none"/>
                <w:lang w:eastAsia="zh-CN"/>
              </w:rPr>
              <w:sym w:font="Wingdings 2" w:char="00A3"/>
            </w:r>
            <w:r>
              <w:rPr>
                <w:rFonts w:hint="eastAsia" w:ascii="宋体" w:hAnsi="宋体" w:eastAsia="宋体" w:cs="宋体"/>
                <w:b w:val="0"/>
                <w:bCs/>
                <w:snapToGrid/>
                <w:color w:val="auto"/>
                <w:kern w:val="0"/>
                <w:sz w:val="22"/>
                <w:szCs w:val="22"/>
                <w:highlight w:val="none"/>
                <w:lang w:eastAsia="zh-CN"/>
              </w:rPr>
              <w:t xml:space="preserve">技术图纸、其他      </w:t>
            </w:r>
          </w:p>
        </w:tc>
      </w:tr>
      <w:tr w14:paraId="0C89D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0" w:type="pct"/>
            <w:vMerge w:val="continue"/>
            <w:tcBorders>
              <w:left w:val="single" w:color="auto" w:sz="4" w:space="0"/>
              <w:bottom w:val="single" w:color="auto" w:sz="4" w:space="0"/>
              <w:right w:val="single" w:color="auto" w:sz="4" w:space="0"/>
            </w:tcBorders>
            <w:noWrap w:val="0"/>
            <w:vAlign w:val="center"/>
          </w:tcPr>
          <w:p w14:paraId="67EC30DB">
            <w:pPr>
              <w:widowControl w:val="0"/>
              <w:kinsoku/>
              <w:autoSpaceDE/>
              <w:autoSpaceDN/>
              <w:adjustRightInd/>
              <w:snapToGrid w:val="0"/>
              <w:spacing w:line="300" w:lineRule="exact"/>
              <w:jc w:val="center"/>
              <w:textAlignment w:val="auto"/>
              <w:rPr>
                <w:rFonts w:hint="eastAsia" w:ascii="宋体" w:hAnsi="宋体" w:eastAsia="宋体" w:cs="宋体"/>
                <w:b w:val="0"/>
                <w:bCs/>
                <w:snapToGrid/>
                <w:color w:val="auto"/>
                <w:kern w:val="0"/>
                <w:sz w:val="22"/>
                <w:szCs w:val="22"/>
                <w:highlight w:val="none"/>
                <w:lang w:eastAsia="zh-CN"/>
              </w:rPr>
            </w:pPr>
          </w:p>
        </w:tc>
        <w:tc>
          <w:tcPr>
            <w:tcW w:w="1612" w:type="pct"/>
            <w:tcBorders>
              <w:top w:val="single" w:color="auto" w:sz="4" w:space="0"/>
              <w:left w:val="single" w:color="auto" w:sz="4" w:space="0"/>
              <w:right w:val="single" w:color="auto" w:sz="4" w:space="0"/>
            </w:tcBorders>
            <w:noWrap w:val="0"/>
            <w:vAlign w:val="center"/>
          </w:tcPr>
          <w:p w14:paraId="1F522ACC">
            <w:pPr>
              <w:widowControl w:val="0"/>
              <w:kinsoku/>
              <w:autoSpaceDE/>
              <w:autoSpaceDN/>
              <w:adjustRightInd/>
              <w:snapToGrid w:val="0"/>
              <w:spacing w:line="300" w:lineRule="exact"/>
              <w:jc w:val="both"/>
              <w:textAlignment w:val="auto"/>
              <w:rPr>
                <w:rFonts w:hint="eastAsia" w:ascii="宋体" w:hAnsi="宋体" w:eastAsia="宋体" w:cs="宋体"/>
                <w:b w:val="0"/>
                <w:bCs/>
                <w:snapToGrid/>
                <w:color w:val="auto"/>
                <w:kern w:val="0"/>
                <w:sz w:val="22"/>
                <w:szCs w:val="22"/>
                <w:highlight w:val="none"/>
                <w:lang w:eastAsia="zh-CN"/>
              </w:rPr>
            </w:pPr>
            <w:r>
              <w:rPr>
                <w:rFonts w:hint="eastAsia" w:ascii="宋体" w:hAnsi="宋体" w:eastAsia="宋体" w:cs="宋体"/>
                <w:b w:val="0"/>
                <w:bCs/>
                <w:snapToGrid/>
                <w:color w:val="auto"/>
                <w:kern w:val="0"/>
                <w:sz w:val="22"/>
                <w:szCs w:val="22"/>
                <w:highlight w:val="none"/>
                <w:lang w:eastAsia="zh-CN"/>
              </w:rPr>
              <w:t>是否需要送检</w:t>
            </w:r>
          </w:p>
        </w:tc>
        <w:tc>
          <w:tcPr>
            <w:tcW w:w="2736" w:type="pct"/>
            <w:gridSpan w:val="4"/>
            <w:tcBorders>
              <w:top w:val="single" w:color="auto" w:sz="4" w:space="0"/>
              <w:left w:val="single" w:color="auto" w:sz="4" w:space="0"/>
              <w:right w:val="single" w:color="auto" w:sz="4" w:space="0"/>
            </w:tcBorders>
            <w:noWrap w:val="0"/>
            <w:vAlign w:val="center"/>
          </w:tcPr>
          <w:p w14:paraId="2BDDE421">
            <w:pPr>
              <w:widowControl w:val="0"/>
              <w:kinsoku/>
              <w:autoSpaceDE/>
              <w:autoSpaceDN/>
              <w:adjustRightInd/>
              <w:snapToGrid w:val="0"/>
              <w:spacing w:line="300" w:lineRule="exact"/>
              <w:ind w:firstLine="880" w:firstLineChars="400"/>
              <w:jc w:val="both"/>
              <w:textAlignment w:val="auto"/>
              <w:rPr>
                <w:rFonts w:hint="eastAsia" w:ascii="宋体" w:hAnsi="宋体" w:eastAsia="宋体" w:cs="宋体"/>
                <w:b w:val="0"/>
                <w:bCs/>
                <w:snapToGrid/>
                <w:color w:val="auto"/>
                <w:kern w:val="0"/>
                <w:sz w:val="22"/>
                <w:szCs w:val="22"/>
                <w:highlight w:val="none"/>
                <w:lang w:eastAsia="zh-CN"/>
              </w:rPr>
            </w:pPr>
            <w:r>
              <w:rPr>
                <w:rFonts w:hint="eastAsia" w:ascii="宋体" w:hAnsi="宋体" w:eastAsia="宋体" w:cs="宋体"/>
                <w:b w:val="0"/>
                <w:bCs/>
                <w:snapToGrid/>
                <w:color w:val="auto"/>
                <w:kern w:val="0"/>
                <w:sz w:val="22"/>
                <w:szCs w:val="22"/>
                <w:highlight w:val="none"/>
                <w:lang w:eastAsia="zh-CN"/>
              </w:rPr>
              <w:sym w:font="Wingdings 2" w:char="00A3"/>
            </w:r>
            <w:r>
              <w:rPr>
                <w:rFonts w:hint="eastAsia" w:ascii="宋体" w:hAnsi="宋体" w:eastAsia="宋体" w:cs="宋体"/>
                <w:b w:val="0"/>
                <w:bCs/>
                <w:snapToGrid/>
                <w:color w:val="auto"/>
                <w:kern w:val="0"/>
                <w:sz w:val="22"/>
                <w:szCs w:val="22"/>
                <w:highlight w:val="none"/>
                <w:lang w:eastAsia="zh-CN"/>
              </w:rPr>
              <w:t>是</w:t>
            </w:r>
            <w:r>
              <w:rPr>
                <w:rFonts w:hint="eastAsia" w:ascii="宋体" w:hAnsi="宋体" w:eastAsia="宋体" w:cs="宋体"/>
                <w:b w:val="0"/>
                <w:bCs/>
                <w:snapToGrid/>
                <w:color w:val="auto"/>
                <w:kern w:val="0"/>
                <w:sz w:val="22"/>
                <w:szCs w:val="22"/>
                <w:highlight w:val="none"/>
                <w:lang w:val="en-US" w:eastAsia="zh-CN"/>
              </w:rPr>
              <w:t xml:space="preserve">            </w:t>
            </w:r>
            <w:r>
              <w:rPr>
                <w:rFonts w:hint="eastAsia" w:ascii="宋体" w:hAnsi="宋体" w:eastAsia="宋体" w:cs="宋体"/>
                <w:b w:val="0"/>
                <w:bCs/>
                <w:snapToGrid/>
                <w:color w:val="auto"/>
                <w:kern w:val="0"/>
                <w:sz w:val="22"/>
                <w:szCs w:val="22"/>
                <w:highlight w:val="none"/>
                <w:lang w:eastAsia="zh-CN"/>
              </w:rPr>
              <w:sym w:font="Wingdings 2" w:char="00A3"/>
            </w:r>
            <w:r>
              <w:rPr>
                <w:rFonts w:hint="eastAsia" w:ascii="宋体" w:hAnsi="宋体" w:eastAsia="宋体" w:cs="宋体"/>
                <w:b w:val="0"/>
                <w:bCs/>
                <w:snapToGrid/>
                <w:color w:val="auto"/>
                <w:kern w:val="0"/>
                <w:sz w:val="22"/>
                <w:szCs w:val="22"/>
                <w:highlight w:val="none"/>
                <w:lang w:eastAsia="zh-CN"/>
              </w:rPr>
              <w:t>否</w:t>
            </w:r>
          </w:p>
        </w:tc>
      </w:tr>
      <w:tr w14:paraId="3ECF9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0" w:type="pct"/>
            <w:vMerge w:val="continue"/>
            <w:tcBorders>
              <w:left w:val="single" w:color="auto" w:sz="4" w:space="0"/>
              <w:bottom w:val="single" w:color="auto" w:sz="4" w:space="0"/>
              <w:right w:val="single" w:color="auto" w:sz="4" w:space="0"/>
            </w:tcBorders>
            <w:noWrap w:val="0"/>
            <w:vAlign w:val="center"/>
          </w:tcPr>
          <w:p w14:paraId="7C3656C9">
            <w:pPr>
              <w:widowControl w:val="0"/>
              <w:kinsoku/>
              <w:autoSpaceDE/>
              <w:autoSpaceDN/>
              <w:adjustRightInd/>
              <w:snapToGrid w:val="0"/>
              <w:spacing w:line="300" w:lineRule="exact"/>
              <w:jc w:val="center"/>
              <w:textAlignment w:val="auto"/>
              <w:rPr>
                <w:rFonts w:hint="eastAsia" w:ascii="宋体" w:hAnsi="宋体" w:eastAsia="宋体" w:cs="宋体"/>
                <w:b w:val="0"/>
                <w:bCs/>
                <w:snapToGrid/>
                <w:color w:val="auto"/>
                <w:kern w:val="0"/>
                <w:sz w:val="22"/>
                <w:szCs w:val="22"/>
                <w:highlight w:val="none"/>
                <w:lang w:eastAsia="zh-CN"/>
              </w:rPr>
            </w:pPr>
          </w:p>
        </w:tc>
        <w:tc>
          <w:tcPr>
            <w:tcW w:w="1612" w:type="pct"/>
            <w:tcBorders>
              <w:top w:val="single" w:color="auto" w:sz="4" w:space="0"/>
              <w:left w:val="single" w:color="auto" w:sz="4" w:space="0"/>
              <w:right w:val="single" w:color="auto" w:sz="4" w:space="0"/>
            </w:tcBorders>
            <w:noWrap w:val="0"/>
            <w:vAlign w:val="center"/>
          </w:tcPr>
          <w:p w14:paraId="0FBE969C">
            <w:pPr>
              <w:widowControl w:val="0"/>
              <w:kinsoku/>
              <w:autoSpaceDE/>
              <w:autoSpaceDN/>
              <w:adjustRightInd/>
              <w:snapToGrid w:val="0"/>
              <w:spacing w:line="300" w:lineRule="exact"/>
              <w:jc w:val="both"/>
              <w:textAlignment w:val="auto"/>
              <w:rPr>
                <w:rFonts w:hint="eastAsia" w:ascii="宋体" w:hAnsi="宋体" w:eastAsia="宋体" w:cs="宋体"/>
                <w:b w:val="0"/>
                <w:bCs/>
                <w:snapToGrid/>
                <w:color w:val="auto"/>
                <w:kern w:val="0"/>
                <w:sz w:val="22"/>
                <w:szCs w:val="22"/>
                <w:highlight w:val="none"/>
                <w:lang w:eastAsia="zh-CN"/>
              </w:rPr>
            </w:pPr>
            <w:r>
              <w:rPr>
                <w:rFonts w:hint="eastAsia" w:ascii="宋体" w:hAnsi="宋体" w:eastAsia="宋体" w:cs="宋体"/>
                <w:b w:val="0"/>
                <w:bCs/>
                <w:snapToGrid/>
                <w:color w:val="auto"/>
                <w:kern w:val="0"/>
                <w:sz w:val="22"/>
                <w:szCs w:val="22"/>
                <w:highlight w:val="none"/>
                <w:lang w:eastAsia="zh-CN"/>
              </w:rPr>
              <w:t>其他问题</w:t>
            </w:r>
          </w:p>
        </w:tc>
        <w:tc>
          <w:tcPr>
            <w:tcW w:w="2736" w:type="pct"/>
            <w:gridSpan w:val="4"/>
            <w:tcBorders>
              <w:top w:val="single" w:color="auto" w:sz="4" w:space="0"/>
              <w:left w:val="single" w:color="auto" w:sz="4" w:space="0"/>
              <w:right w:val="single" w:color="auto" w:sz="4" w:space="0"/>
            </w:tcBorders>
            <w:noWrap w:val="0"/>
            <w:vAlign w:val="center"/>
          </w:tcPr>
          <w:p w14:paraId="7EDAC30A">
            <w:pPr>
              <w:widowControl w:val="0"/>
              <w:kinsoku/>
              <w:autoSpaceDE/>
              <w:autoSpaceDN/>
              <w:adjustRightInd/>
              <w:snapToGrid w:val="0"/>
              <w:spacing w:line="300" w:lineRule="exact"/>
              <w:jc w:val="both"/>
              <w:textAlignment w:val="auto"/>
              <w:rPr>
                <w:rFonts w:hint="eastAsia" w:ascii="宋体" w:hAnsi="宋体" w:eastAsia="宋体" w:cs="宋体"/>
                <w:b w:val="0"/>
                <w:bCs/>
                <w:snapToGrid/>
                <w:color w:val="auto"/>
                <w:kern w:val="0"/>
                <w:sz w:val="22"/>
                <w:szCs w:val="22"/>
                <w:highlight w:val="none"/>
                <w:lang w:eastAsia="zh-CN"/>
              </w:rPr>
            </w:pPr>
          </w:p>
        </w:tc>
      </w:tr>
      <w:tr w14:paraId="4C245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2363" w:type="pct"/>
            <w:gridSpan w:val="3"/>
            <w:tcBorders>
              <w:left w:val="single" w:color="auto" w:sz="4" w:space="0"/>
              <w:bottom w:val="single" w:color="auto" w:sz="4" w:space="0"/>
              <w:right w:val="single" w:color="auto" w:sz="4" w:space="0"/>
            </w:tcBorders>
            <w:noWrap w:val="0"/>
            <w:vAlign w:val="center"/>
          </w:tcPr>
          <w:p w14:paraId="43A84969">
            <w:pPr>
              <w:widowControl w:val="0"/>
              <w:kinsoku/>
              <w:autoSpaceDE/>
              <w:autoSpaceDN/>
              <w:adjustRightInd/>
              <w:snapToGrid w:val="0"/>
              <w:spacing w:line="300" w:lineRule="exact"/>
              <w:jc w:val="center"/>
              <w:textAlignment w:val="auto"/>
              <w:rPr>
                <w:rFonts w:hint="eastAsia" w:ascii="宋体" w:hAnsi="宋体" w:eastAsia="宋体" w:cs="宋体"/>
                <w:b w:val="0"/>
                <w:bCs/>
                <w:snapToGrid/>
                <w:color w:val="auto"/>
                <w:kern w:val="0"/>
                <w:sz w:val="22"/>
                <w:szCs w:val="22"/>
                <w:highlight w:val="none"/>
                <w:lang w:eastAsia="zh-CN"/>
              </w:rPr>
            </w:pPr>
            <w:r>
              <w:rPr>
                <w:rFonts w:hint="eastAsia" w:ascii="宋体" w:hAnsi="宋体" w:eastAsia="宋体" w:cs="宋体"/>
                <w:b w:val="0"/>
                <w:bCs/>
                <w:snapToGrid/>
                <w:color w:val="auto"/>
                <w:kern w:val="0"/>
                <w:sz w:val="22"/>
                <w:szCs w:val="22"/>
                <w:highlight w:val="none"/>
                <w:lang w:eastAsia="zh-CN"/>
              </w:rPr>
              <w:t>现场到货验收意见</w:t>
            </w:r>
          </w:p>
        </w:tc>
        <w:tc>
          <w:tcPr>
            <w:tcW w:w="2636" w:type="pct"/>
            <w:gridSpan w:val="3"/>
            <w:tcBorders>
              <w:top w:val="single" w:color="auto" w:sz="4" w:space="0"/>
              <w:left w:val="single" w:color="auto" w:sz="4" w:space="0"/>
              <w:right w:val="single" w:color="auto" w:sz="4" w:space="0"/>
            </w:tcBorders>
            <w:noWrap w:val="0"/>
            <w:vAlign w:val="center"/>
          </w:tcPr>
          <w:p w14:paraId="1E1C23A3">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Autospacing="0" w:line="560" w:lineRule="exact"/>
              <w:ind w:left="0" w:right="0" w:firstLine="620" w:firstLineChars="200"/>
              <w:textAlignment w:val="auto"/>
              <w:rPr>
                <w:rFonts w:hint="eastAsia" w:ascii="宋体" w:hAnsi="宋体" w:eastAsia="宋体" w:cs="宋体"/>
                <w:b w:val="0"/>
                <w:bCs/>
                <w:snapToGrid/>
                <w:color w:val="auto"/>
                <w:kern w:val="2"/>
                <w:sz w:val="31"/>
                <w:szCs w:val="24"/>
                <w:highlight w:val="none"/>
                <w:lang w:eastAsia="zh-CN"/>
              </w:rPr>
            </w:pPr>
          </w:p>
          <w:p w14:paraId="7AF0B58A">
            <w:pPr>
              <w:rPr>
                <w:rFonts w:hint="eastAsia" w:ascii="宋体" w:hAnsi="宋体" w:eastAsia="宋体" w:cs="宋体"/>
                <w:color w:val="auto"/>
                <w:highlight w:val="none"/>
                <w:lang w:eastAsia="zh-CN"/>
              </w:rPr>
            </w:pPr>
          </w:p>
          <w:p w14:paraId="0AF02FC1">
            <w:pPr>
              <w:rPr>
                <w:rFonts w:hint="eastAsia" w:ascii="宋体" w:hAnsi="宋体" w:eastAsia="宋体" w:cs="宋体"/>
                <w:color w:val="auto"/>
                <w:highlight w:val="none"/>
                <w:lang w:eastAsia="zh-CN"/>
              </w:rPr>
            </w:pPr>
          </w:p>
        </w:tc>
      </w:tr>
      <w:tr w14:paraId="15EEB2B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70" w:hRule="atLeast"/>
          <w:jc w:val="center"/>
        </w:trPr>
        <w:tc>
          <w:tcPr>
            <w:tcW w:w="5000" w:type="pct"/>
            <w:gridSpan w:val="6"/>
            <w:tcBorders>
              <w:top w:val="single" w:color="auto" w:sz="6" w:space="0"/>
              <w:left w:val="single" w:color="auto" w:sz="6" w:space="0"/>
              <w:bottom w:val="single" w:color="auto" w:sz="6" w:space="0"/>
              <w:right w:val="single" w:color="auto" w:sz="6" w:space="0"/>
            </w:tcBorders>
            <w:noWrap/>
            <w:vAlign w:val="center"/>
          </w:tcPr>
          <w:p w14:paraId="16C16CF4">
            <w:pPr>
              <w:widowControl w:val="0"/>
              <w:kinsoku/>
              <w:autoSpaceDE/>
              <w:autoSpaceDN/>
              <w:adjustRightInd/>
              <w:snapToGrid w:val="0"/>
              <w:spacing w:line="300" w:lineRule="exact"/>
              <w:jc w:val="center"/>
              <w:textAlignment w:val="auto"/>
              <w:rPr>
                <w:rFonts w:hint="eastAsia" w:ascii="宋体" w:hAnsi="宋体" w:eastAsia="宋体" w:cs="宋体"/>
                <w:bCs/>
                <w:snapToGrid/>
                <w:color w:val="auto"/>
                <w:kern w:val="0"/>
                <w:sz w:val="22"/>
                <w:szCs w:val="22"/>
                <w:highlight w:val="none"/>
                <w:lang w:eastAsia="zh-CN"/>
              </w:rPr>
            </w:pPr>
            <w:r>
              <w:rPr>
                <w:rFonts w:hint="eastAsia" w:ascii="宋体" w:hAnsi="宋体" w:eastAsia="宋体" w:cs="宋体"/>
                <w:b w:val="0"/>
                <w:bCs/>
                <w:snapToGrid/>
                <w:color w:val="auto"/>
                <w:kern w:val="2"/>
                <w:sz w:val="22"/>
                <w:szCs w:val="22"/>
                <w:highlight w:val="none"/>
                <w:lang w:eastAsia="zh-CN"/>
              </w:rPr>
              <w:t xml:space="preserve">参 加  验 收 的 单 位 和 代 表 （签 </w:t>
            </w:r>
            <w:r>
              <w:rPr>
                <w:rFonts w:hint="eastAsia" w:ascii="宋体" w:hAnsi="宋体" w:eastAsia="宋体" w:cs="宋体"/>
                <w:b w:val="0"/>
                <w:bCs/>
                <w:snapToGrid/>
                <w:color w:val="auto"/>
                <w:kern w:val="2"/>
                <w:sz w:val="22"/>
                <w:szCs w:val="22"/>
                <w:highlight w:val="none"/>
                <w:lang w:val="en-US" w:eastAsia="zh-CN"/>
              </w:rPr>
              <w:t>字</w:t>
            </w:r>
            <w:r>
              <w:rPr>
                <w:rFonts w:hint="eastAsia" w:ascii="宋体" w:hAnsi="宋体" w:eastAsia="宋体" w:cs="宋体"/>
                <w:b w:val="0"/>
                <w:bCs/>
                <w:snapToGrid/>
                <w:color w:val="auto"/>
                <w:kern w:val="2"/>
                <w:sz w:val="22"/>
                <w:szCs w:val="22"/>
                <w:highlight w:val="none"/>
                <w:lang w:eastAsia="zh-CN"/>
              </w:rPr>
              <w:t>）</w:t>
            </w:r>
          </w:p>
        </w:tc>
      </w:tr>
      <w:tr w14:paraId="27C82EC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7" w:hRule="atLeast"/>
          <w:jc w:val="center"/>
        </w:trPr>
        <w:tc>
          <w:tcPr>
            <w:tcW w:w="2702" w:type="pct"/>
            <w:gridSpan w:val="4"/>
            <w:tcBorders>
              <w:top w:val="single" w:color="auto" w:sz="6" w:space="0"/>
              <w:left w:val="single" w:color="auto" w:sz="6" w:space="0"/>
              <w:bottom w:val="single" w:color="auto" w:sz="6" w:space="0"/>
              <w:right w:val="single" w:color="auto" w:sz="6" w:space="0"/>
            </w:tcBorders>
            <w:noWrap/>
            <w:vAlign w:val="top"/>
          </w:tcPr>
          <w:p w14:paraId="781B7C51">
            <w:pPr>
              <w:widowControl w:val="0"/>
              <w:kinsoku/>
              <w:autoSpaceDE/>
              <w:autoSpaceDN/>
              <w:adjustRightInd/>
              <w:snapToGrid w:val="0"/>
              <w:spacing w:line="300" w:lineRule="exact"/>
              <w:jc w:val="both"/>
              <w:textAlignment w:val="auto"/>
              <w:rPr>
                <w:rFonts w:hint="eastAsia" w:ascii="宋体" w:hAnsi="宋体" w:eastAsia="宋体" w:cs="宋体"/>
                <w:b w:val="0"/>
                <w:bCs/>
                <w:snapToGrid/>
                <w:color w:val="auto"/>
                <w:kern w:val="2"/>
                <w:sz w:val="22"/>
                <w:szCs w:val="22"/>
                <w:highlight w:val="none"/>
                <w:lang w:val="en-US" w:eastAsia="zh-CN"/>
              </w:rPr>
            </w:pPr>
            <w:r>
              <w:rPr>
                <w:rFonts w:hint="eastAsia" w:ascii="宋体" w:hAnsi="宋体" w:eastAsia="宋体" w:cs="宋体"/>
                <w:b w:val="0"/>
                <w:bCs/>
                <w:snapToGrid/>
                <w:color w:val="auto"/>
                <w:kern w:val="2"/>
                <w:sz w:val="22"/>
                <w:szCs w:val="22"/>
                <w:highlight w:val="none"/>
                <w:lang w:val="en-US" w:eastAsia="zh-CN"/>
              </w:rPr>
              <w:t>供货</w:t>
            </w:r>
            <w:r>
              <w:rPr>
                <w:rFonts w:hint="eastAsia" w:ascii="宋体" w:hAnsi="宋体" w:eastAsia="宋体" w:cs="宋体"/>
                <w:b w:val="0"/>
                <w:bCs/>
                <w:snapToGrid/>
                <w:color w:val="auto"/>
                <w:kern w:val="2"/>
                <w:sz w:val="22"/>
                <w:szCs w:val="22"/>
                <w:highlight w:val="none"/>
                <w:lang w:eastAsia="zh-CN"/>
              </w:rPr>
              <w:t>单位</w:t>
            </w:r>
            <w:r>
              <w:rPr>
                <w:rFonts w:hint="eastAsia" w:ascii="宋体" w:hAnsi="宋体" w:eastAsia="宋体" w:cs="宋体"/>
                <w:b w:val="0"/>
                <w:bCs/>
                <w:snapToGrid/>
                <w:color w:val="auto"/>
                <w:kern w:val="2"/>
                <w:sz w:val="22"/>
                <w:szCs w:val="22"/>
                <w:highlight w:val="none"/>
                <w:lang w:val="en-US" w:eastAsia="zh-CN"/>
              </w:rPr>
              <w:t xml:space="preserve">  </w:t>
            </w:r>
          </w:p>
        </w:tc>
        <w:tc>
          <w:tcPr>
            <w:tcW w:w="2297" w:type="pct"/>
            <w:gridSpan w:val="2"/>
            <w:tcBorders>
              <w:top w:val="single" w:color="auto" w:sz="6" w:space="0"/>
              <w:left w:val="single" w:color="auto" w:sz="6" w:space="0"/>
              <w:bottom w:val="single" w:color="auto" w:sz="6" w:space="0"/>
              <w:right w:val="single" w:color="auto" w:sz="6" w:space="0"/>
            </w:tcBorders>
            <w:noWrap w:val="0"/>
            <w:vAlign w:val="top"/>
          </w:tcPr>
          <w:p w14:paraId="320C46C5">
            <w:pPr>
              <w:widowControl w:val="0"/>
              <w:kinsoku/>
              <w:autoSpaceDE/>
              <w:autoSpaceDN/>
              <w:adjustRightInd/>
              <w:snapToGrid w:val="0"/>
              <w:spacing w:line="300" w:lineRule="exact"/>
              <w:jc w:val="both"/>
              <w:textAlignment w:val="auto"/>
              <w:rPr>
                <w:rFonts w:hint="eastAsia" w:ascii="宋体" w:hAnsi="宋体" w:eastAsia="宋体" w:cs="宋体"/>
                <w:b w:val="0"/>
                <w:bCs/>
                <w:snapToGrid/>
                <w:color w:val="auto"/>
                <w:kern w:val="0"/>
                <w:sz w:val="22"/>
                <w:szCs w:val="22"/>
                <w:highlight w:val="none"/>
                <w:lang w:val="en-US" w:eastAsia="zh-CN"/>
              </w:rPr>
            </w:pPr>
            <w:r>
              <w:rPr>
                <w:rFonts w:hint="eastAsia" w:ascii="宋体" w:hAnsi="宋体" w:eastAsia="宋体" w:cs="宋体"/>
                <w:b w:val="0"/>
                <w:bCs/>
                <w:snapToGrid/>
                <w:color w:val="auto"/>
                <w:kern w:val="2"/>
                <w:sz w:val="22"/>
                <w:szCs w:val="22"/>
                <w:highlight w:val="none"/>
                <w:lang w:val="en-US" w:eastAsia="zh-CN"/>
              </w:rPr>
              <w:t>采购</w:t>
            </w:r>
            <w:r>
              <w:rPr>
                <w:rFonts w:hint="eastAsia" w:ascii="宋体" w:hAnsi="宋体" w:eastAsia="宋体" w:cs="宋体"/>
                <w:b w:val="0"/>
                <w:bCs/>
                <w:snapToGrid/>
                <w:color w:val="auto"/>
                <w:kern w:val="2"/>
                <w:sz w:val="22"/>
                <w:szCs w:val="22"/>
                <w:highlight w:val="none"/>
                <w:lang w:eastAsia="zh-CN"/>
              </w:rPr>
              <w:t>单位</w:t>
            </w:r>
            <w:r>
              <w:rPr>
                <w:rFonts w:hint="eastAsia" w:ascii="宋体" w:hAnsi="宋体" w:eastAsia="宋体" w:cs="宋体"/>
                <w:b w:val="0"/>
                <w:bCs/>
                <w:snapToGrid/>
                <w:color w:val="auto"/>
                <w:kern w:val="2"/>
                <w:sz w:val="22"/>
                <w:szCs w:val="22"/>
                <w:highlight w:val="none"/>
                <w:lang w:val="en-US" w:eastAsia="zh-CN"/>
              </w:rPr>
              <w:t xml:space="preserve">  </w:t>
            </w:r>
          </w:p>
        </w:tc>
      </w:tr>
      <w:tr w14:paraId="77C3D28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85" w:hRule="atLeast"/>
          <w:jc w:val="center"/>
        </w:trPr>
        <w:tc>
          <w:tcPr>
            <w:tcW w:w="5000" w:type="pct"/>
            <w:gridSpan w:val="6"/>
            <w:tcBorders>
              <w:top w:val="single" w:color="auto" w:sz="6" w:space="0"/>
              <w:left w:val="single" w:color="auto" w:sz="6" w:space="0"/>
              <w:bottom w:val="single" w:color="auto" w:sz="6" w:space="0"/>
              <w:right w:val="single" w:color="auto" w:sz="6" w:space="0"/>
            </w:tcBorders>
            <w:noWrap/>
            <w:vAlign w:val="top"/>
          </w:tcPr>
          <w:p w14:paraId="1562DD3C">
            <w:pPr>
              <w:widowControl w:val="0"/>
              <w:kinsoku/>
              <w:autoSpaceDE/>
              <w:autoSpaceDN/>
              <w:adjustRightInd/>
              <w:snapToGrid w:val="0"/>
              <w:spacing w:line="300" w:lineRule="exact"/>
              <w:jc w:val="both"/>
              <w:textAlignment w:val="auto"/>
              <w:rPr>
                <w:rFonts w:hint="eastAsia" w:ascii="宋体" w:hAnsi="宋体" w:eastAsia="宋体" w:cs="宋体"/>
                <w:b w:val="0"/>
                <w:bCs/>
                <w:snapToGrid/>
                <w:color w:val="auto"/>
                <w:kern w:val="2"/>
                <w:sz w:val="22"/>
                <w:szCs w:val="22"/>
                <w:highlight w:val="none"/>
                <w:lang w:val="en-US" w:eastAsia="zh-CN"/>
              </w:rPr>
            </w:pPr>
            <w:r>
              <w:rPr>
                <w:rFonts w:hint="eastAsia" w:ascii="宋体" w:hAnsi="宋体" w:eastAsia="宋体" w:cs="宋体"/>
                <w:b w:val="0"/>
                <w:bCs/>
                <w:snapToGrid/>
                <w:color w:val="auto"/>
                <w:kern w:val="2"/>
                <w:sz w:val="22"/>
                <w:szCs w:val="22"/>
                <w:highlight w:val="none"/>
                <w:lang w:val="en-US" w:eastAsia="zh-CN"/>
              </w:rPr>
              <w:t>注：对于需要调试和整体验收的项目，本验收表签署仅代表货物到场，不代表完全认可货物的质量，不代表货物所有权转移。</w:t>
            </w:r>
          </w:p>
        </w:tc>
      </w:tr>
    </w:tbl>
    <w:p w14:paraId="48A139F9">
      <w:pPr>
        <w:ind w:firstLine="440" w:firstLineChars="200"/>
        <w:jc w:val="left"/>
        <w:rPr>
          <w:rFonts w:hint="eastAsia" w:ascii="宋体" w:hAnsi="宋体" w:eastAsia="宋体" w:cs="宋体"/>
          <w:b w:val="0"/>
          <w:bCs/>
          <w:snapToGrid/>
          <w:color w:val="auto"/>
          <w:kern w:val="2"/>
          <w:sz w:val="22"/>
          <w:szCs w:val="22"/>
          <w:highlight w:val="none"/>
          <w:lang w:eastAsia="zh-CN"/>
        </w:rPr>
      </w:pPr>
    </w:p>
    <w:p w14:paraId="4D9059B9">
      <w:pPr>
        <w:ind w:firstLine="440" w:firstLineChars="200"/>
        <w:jc w:val="left"/>
        <w:rPr>
          <w:rFonts w:hint="eastAsia" w:ascii="宋体" w:hAnsi="宋体" w:eastAsia="宋体" w:cs="宋体"/>
          <w:b/>
          <w:bCs/>
          <w:color w:val="auto"/>
          <w:highlight w:val="none"/>
          <w:lang w:val="en-US" w:eastAsia="zh-CN"/>
        </w:rPr>
      </w:pPr>
      <w:r>
        <w:rPr>
          <w:rFonts w:hint="eastAsia" w:ascii="宋体" w:hAnsi="宋体" w:eastAsia="宋体" w:cs="宋体"/>
          <w:b w:val="0"/>
          <w:bCs/>
          <w:snapToGrid/>
          <w:color w:val="auto"/>
          <w:kern w:val="2"/>
          <w:sz w:val="22"/>
          <w:szCs w:val="22"/>
          <w:highlight w:val="none"/>
          <w:lang w:eastAsia="zh-CN"/>
        </w:rPr>
        <w:t>此表一式</w:t>
      </w:r>
      <w:r>
        <w:rPr>
          <w:rFonts w:hint="eastAsia" w:ascii="宋体" w:hAnsi="宋体" w:eastAsia="宋体" w:cs="宋体"/>
          <w:b w:val="0"/>
          <w:bCs/>
          <w:snapToGrid/>
          <w:color w:val="auto"/>
          <w:kern w:val="2"/>
          <w:sz w:val="22"/>
          <w:szCs w:val="22"/>
          <w:highlight w:val="none"/>
          <w:lang w:val="en-US" w:eastAsia="zh-CN"/>
        </w:rPr>
        <w:t>两</w:t>
      </w:r>
      <w:r>
        <w:rPr>
          <w:rFonts w:hint="eastAsia" w:ascii="宋体" w:hAnsi="宋体" w:eastAsia="宋体" w:cs="宋体"/>
          <w:b w:val="0"/>
          <w:bCs/>
          <w:snapToGrid/>
          <w:color w:val="auto"/>
          <w:kern w:val="2"/>
          <w:sz w:val="22"/>
          <w:szCs w:val="22"/>
          <w:highlight w:val="none"/>
          <w:lang w:eastAsia="zh-CN"/>
        </w:rPr>
        <w:t>份，</w:t>
      </w:r>
      <w:r>
        <w:rPr>
          <w:rFonts w:hint="eastAsia" w:ascii="宋体" w:hAnsi="宋体" w:eastAsia="宋体" w:cs="宋体"/>
          <w:b w:val="0"/>
          <w:bCs/>
          <w:snapToGrid/>
          <w:color w:val="auto"/>
          <w:kern w:val="2"/>
          <w:sz w:val="22"/>
          <w:szCs w:val="22"/>
          <w:highlight w:val="none"/>
          <w:lang w:val="en-US" w:eastAsia="zh-CN"/>
        </w:rPr>
        <w:t>供货</w:t>
      </w:r>
      <w:r>
        <w:rPr>
          <w:rFonts w:hint="eastAsia" w:ascii="宋体" w:hAnsi="宋体" w:eastAsia="宋体" w:cs="宋体"/>
          <w:b w:val="0"/>
          <w:bCs/>
          <w:snapToGrid/>
          <w:color w:val="auto"/>
          <w:kern w:val="2"/>
          <w:sz w:val="22"/>
          <w:szCs w:val="22"/>
          <w:highlight w:val="none"/>
          <w:lang w:eastAsia="zh-CN"/>
        </w:rPr>
        <w:t>单位、</w:t>
      </w:r>
      <w:r>
        <w:rPr>
          <w:rFonts w:hint="eastAsia" w:ascii="宋体" w:hAnsi="宋体" w:eastAsia="宋体" w:cs="宋体"/>
          <w:b w:val="0"/>
          <w:bCs/>
          <w:snapToGrid/>
          <w:color w:val="auto"/>
          <w:kern w:val="2"/>
          <w:sz w:val="22"/>
          <w:szCs w:val="22"/>
          <w:highlight w:val="none"/>
          <w:lang w:val="en-US" w:eastAsia="zh-CN"/>
        </w:rPr>
        <w:t>采购</w:t>
      </w:r>
      <w:r>
        <w:rPr>
          <w:rFonts w:hint="eastAsia" w:ascii="宋体" w:hAnsi="宋体" w:eastAsia="宋体" w:cs="宋体"/>
          <w:b w:val="0"/>
          <w:bCs/>
          <w:snapToGrid/>
          <w:color w:val="auto"/>
          <w:kern w:val="2"/>
          <w:sz w:val="22"/>
          <w:szCs w:val="22"/>
          <w:highlight w:val="none"/>
          <w:lang w:eastAsia="zh-CN"/>
        </w:rPr>
        <w:t>单位各存一份。</w:t>
      </w:r>
    </w:p>
    <w:p w14:paraId="49BF8D1E">
      <w:pPr>
        <w:bidi w:val="0"/>
        <w:rPr>
          <w:rFonts w:hint="eastAsia" w:ascii="宋体" w:hAnsi="宋体" w:eastAsia="宋体" w:cs="宋体"/>
          <w:b/>
          <w:bCs/>
          <w:color w:val="auto"/>
          <w:highlight w:val="none"/>
          <w:lang w:val="en-US" w:eastAsia="zh-CN"/>
        </w:rPr>
      </w:pPr>
    </w:p>
    <w:p w14:paraId="60A9DE34">
      <w:pPr>
        <w:bidi w:val="0"/>
        <w:rPr>
          <w:rFonts w:hint="eastAsia" w:ascii="宋体" w:hAnsi="宋体" w:eastAsia="宋体" w:cs="宋体"/>
          <w:b/>
          <w:bCs/>
          <w:color w:val="auto"/>
          <w:highlight w:val="none"/>
          <w:lang w:val="en-US" w:eastAsia="zh-CN"/>
        </w:rPr>
      </w:pPr>
    </w:p>
    <w:p w14:paraId="4E5CBE49">
      <w:pPr>
        <w:pStyle w:val="3"/>
        <w:bidi w:val="0"/>
        <w:rPr>
          <w:rFonts w:hint="eastAsia" w:ascii="宋体" w:hAnsi="宋体" w:eastAsia="宋体" w:cs="宋体"/>
          <w:b/>
          <w:bCs/>
          <w:color w:val="auto"/>
          <w:highlight w:val="none"/>
          <w:lang w:val="en-US" w:eastAsia="zh-CN"/>
        </w:rPr>
      </w:pPr>
      <w:r>
        <w:rPr>
          <w:rFonts w:hint="eastAsia" w:ascii="宋体" w:hAnsi="宋体" w:eastAsia="宋体" w:cs="宋体"/>
          <w:color w:val="auto"/>
          <w:highlight w:val="none"/>
          <w:lang w:val="en-US" w:eastAsia="zh-CN"/>
        </w:rPr>
        <w:t>附件</w:t>
      </w:r>
      <w:r>
        <w:rPr>
          <w:rFonts w:hint="eastAsia" w:ascii="宋体" w:hAnsi="宋体" w:eastAsia="宋体" w:cs="宋体"/>
          <w:b/>
          <w:bCs/>
          <w:color w:val="auto"/>
          <w:highlight w:val="none"/>
          <w:lang w:val="en-US" w:eastAsia="zh-CN"/>
        </w:rPr>
        <w:t>2：送货清单</w:t>
      </w:r>
    </w:p>
    <w:tbl>
      <w:tblPr>
        <w:tblStyle w:val="130"/>
        <w:tblW w:w="5000"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981"/>
        <w:gridCol w:w="1480"/>
        <w:gridCol w:w="1484"/>
        <w:gridCol w:w="989"/>
        <w:gridCol w:w="1698"/>
        <w:gridCol w:w="1505"/>
        <w:gridCol w:w="2057"/>
      </w:tblGrid>
      <w:tr w14:paraId="6A62EA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5000" w:type="pct"/>
            <w:gridSpan w:val="7"/>
            <w:tcMar>
              <w:top w:w="57" w:type="dxa"/>
              <w:left w:w="57" w:type="dxa"/>
              <w:bottom w:w="57" w:type="dxa"/>
              <w:right w:w="57" w:type="dxa"/>
            </w:tcMar>
            <w:vAlign w:val="top"/>
          </w:tcPr>
          <w:p w14:paraId="6ACDF3DD">
            <w:pPr>
              <w:bidi w:val="0"/>
              <w:jc w:val="center"/>
              <w:rPr>
                <w:rFonts w:hint="eastAsia" w:ascii="宋体" w:hAnsi="宋体" w:eastAsia="宋体" w:cs="宋体"/>
                <w:color w:val="auto"/>
                <w:szCs w:val="21"/>
                <w:highlight w:val="none"/>
              </w:rPr>
            </w:pPr>
            <w:r>
              <w:rPr>
                <w:rFonts w:hint="eastAsia" w:ascii="宋体" w:hAnsi="宋体" w:eastAsia="宋体" w:cs="宋体"/>
                <w:b/>
                <w:bCs/>
                <w:color w:val="auto"/>
                <w:highlight w:val="none"/>
              </w:rPr>
              <w:t>送货清单</w:t>
            </w:r>
          </w:p>
        </w:tc>
      </w:tr>
      <w:tr w14:paraId="0A76AF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481" w:type="pct"/>
            <w:tcMar>
              <w:top w:w="57" w:type="dxa"/>
              <w:left w:w="57" w:type="dxa"/>
              <w:bottom w:w="57" w:type="dxa"/>
              <w:right w:w="57" w:type="dxa"/>
            </w:tcMar>
            <w:vAlign w:val="center"/>
          </w:tcPr>
          <w:p w14:paraId="6BBEC5B1">
            <w:pPr>
              <w:bidi w:val="0"/>
              <w:jc w:val="center"/>
              <w:rPr>
                <w:rFonts w:hint="eastAsia" w:ascii="宋体" w:hAnsi="宋体" w:eastAsia="宋体" w:cs="宋体"/>
                <w:color w:val="auto"/>
                <w:highlight w:val="none"/>
              </w:rPr>
            </w:pPr>
            <w:r>
              <w:rPr>
                <w:rFonts w:hint="eastAsia" w:ascii="宋体" w:hAnsi="宋体" w:eastAsia="宋体" w:cs="宋体"/>
                <w:color w:val="auto"/>
                <w:highlight w:val="none"/>
              </w:rPr>
              <w:t>序号</w:t>
            </w:r>
          </w:p>
        </w:tc>
        <w:tc>
          <w:tcPr>
            <w:tcW w:w="726" w:type="pct"/>
            <w:tcMar>
              <w:top w:w="57" w:type="dxa"/>
              <w:left w:w="57" w:type="dxa"/>
              <w:bottom w:w="57" w:type="dxa"/>
              <w:right w:w="57" w:type="dxa"/>
            </w:tcMar>
            <w:vAlign w:val="center"/>
          </w:tcPr>
          <w:p w14:paraId="35C0CA05">
            <w:pPr>
              <w:bidi w:val="0"/>
              <w:jc w:val="center"/>
              <w:rPr>
                <w:rFonts w:hint="eastAsia" w:ascii="宋体" w:hAnsi="宋体" w:eastAsia="宋体" w:cs="宋体"/>
                <w:color w:val="auto"/>
                <w:highlight w:val="none"/>
              </w:rPr>
            </w:pPr>
            <w:r>
              <w:rPr>
                <w:rFonts w:hint="eastAsia" w:ascii="宋体" w:hAnsi="宋体" w:eastAsia="宋体" w:cs="宋体"/>
                <w:color w:val="auto"/>
                <w:highlight w:val="none"/>
              </w:rPr>
              <w:t>货物名称</w:t>
            </w:r>
          </w:p>
        </w:tc>
        <w:tc>
          <w:tcPr>
            <w:tcW w:w="727" w:type="pct"/>
            <w:tcMar>
              <w:top w:w="57" w:type="dxa"/>
              <w:left w:w="57" w:type="dxa"/>
              <w:bottom w:w="57" w:type="dxa"/>
              <w:right w:w="57" w:type="dxa"/>
            </w:tcMar>
            <w:vAlign w:val="center"/>
          </w:tcPr>
          <w:p w14:paraId="79A74CE7">
            <w:pPr>
              <w:bidi w:val="0"/>
              <w:jc w:val="center"/>
              <w:rPr>
                <w:rFonts w:hint="eastAsia" w:ascii="宋体" w:hAnsi="宋体" w:eastAsia="宋体" w:cs="宋体"/>
                <w:color w:val="auto"/>
                <w:highlight w:val="none"/>
              </w:rPr>
            </w:pPr>
            <w:r>
              <w:rPr>
                <w:rFonts w:hint="eastAsia" w:ascii="宋体" w:hAnsi="宋体" w:eastAsia="宋体" w:cs="宋体"/>
                <w:color w:val="auto"/>
                <w:highlight w:val="none"/>
              </w:rPr>
              <w:t>规格型号</w:t>
            </w:r>
          </w:p>
        </w:tc>
        <w:tc>
          <w:tcPr>
            <w:tcW w:w="485" w:type="pct"/>
            <w:tcMar>
              <w:top w:w="57" w:type="dxa"/>
              <w:left w:w="57" w:type="dxa"/>
              <w:bottom w:w="57" w:type="dxa"/>
              <w:right w:w="57" w:type="dxa"/>
            </w:tcMar>
            <w:vAlign w:val="center"/>
          </w:tcPr>
          <w:p w14:paraId="59BB1F97">
            <w:pPr>
              <w:bidi w:val="0"/>
              <w:jc w:val="center"/>
              <w:rPr>
                <w:rFonts w:hint="eastAsia" w:ascii="宋体" w:hAnsi="宋体" w:eastAsia="宋体" w:cs="宋体"/>
                <w:color w:val="auto"/>
                <w:highlight w:val="none"/>
              </w:rPr>
            </w:pPr>
            <w:r>
              <w:rPr>
                <w:rFonts w:hint="eastAsia" w:ascii="宋体" w:hAnsi="宋体" w:eastAsia="宋体" w:cs="宋体"/>
                <w:color w:val="auto"/>
                <w:highlight w:val="none"/>
              </w:rPr>
              <w:t>数量</w:t>
            </w:r>
          </w:p>
        </w:tc>
        <w:tc>
          <w:tcPr>
            <w:tcW w:w="833" w:type="pct"/>
            <w:tcMar>
              <w:top w:w="57" w:type="dxa"/>
              <w:left w:w="57" w:type="dxa"/>
              <w:bottom w:w="57" w:type="dxa"/>
              <w:right w:w="57" w:type="dxa"/>
            </w:tcMar>
            <w:vAlign w:val="center"/>
          </w:tcPr>
          <w:p w14:paraId="65104679">
            <w:pPr>
              <w:bidi w:val="0"/>
              <w:jc w:val="center"/>
              <w:rPr>
                <w:rFonts w:hint="eastAsia" w:ascii="宋体" w:hAnsi="宋体" w:eastAsia="宋体" w:cs="宋体"/>
                <w:color w:val="auto"/>
                <w:highlight w:val="none"/>
              </w:rPr>
            </w:pPr>
            <w:r>
              <w:rPr>
                <w:rFonts w:hint="eastAsia" w:ascii="宋体" w:hAnsi="宋体" w:eastAsia="宋体" w:cs="宋体"/>
                <w:color w:val="auto"/>
                <w:highlight w:val="none"/>
              </w:rPr>
              <w:t>不含税中标综合</w:t>
            </w:r>
          </w:p>
          <w:p w14:paraId="28A9EE92">
            <w:pPr>
              <w:bidi w:val="0"/>
              <w:jc w:val="center"/>
              <w:rPr>
                <w:rFonts w:hint="eastAsia" w:ascii="宋体" w:hAnsi="宋体" w:eastAsia="宋体" w:cs="宋体"/>
                <w:color w:val="auto"/>
                <w:highlight w:val="none"/>
              </w:rPr>
            </w:pPr>
            <w:r>
              <w:rPr>
                <w:rFonts w:hint="eastAsia" w:ascii="宋体" w:hAnsi="宋体" w:eastAsia="宋体" w:cs="宋体"/>
                <w:color w:val="auto"/>
                <w:highlight w:val="none"/>
              </w:rPr>
              <w:t>单价(元)</w:t>
            </w:r>
          </w:p>
        </w:tc>
        <w:tc>
          <w:tcPr>
            <w:tcW w:w="738" w:type="pct"/>
            <w:tcMar>
              <w:top w:w="57" w:type="dxa"/>
              <w:left w:w="57" w:type="dxa"/>
              <w:bottom w:w="57" w:type="dxa"/>
              <w:right w:w="57" w:type="dxa"/>
            </w:tcMar>
            <w:vAlign w:val="center"/>
          </w:tcPr>
          <w:p w14:paraId="1D0D61CE">
            <w:pPr>
              <w:bidi w:val="0"/>
              <w:jc w:val="center"/>
              <w:rPr>
                <w:rFonts w:hint="eastAsia" w:ascii="宋体" w:hAnsi="宋体" w:eastAsia="宋体" w:cs="宋体"/>
                <w:color w:val="auto"/>
                <w:highlight w:val="none"/>
              </w:rPr>
            </w:pPr>
            <w:r>
              <w:rPr>
                <w:rFonts w:hint="eastAsia" w:ascii="宋体" w:hAnsi="宋体" w:eastAsia="宋体" w:cs="宋体"/>
                <w:color w:val="auto"/>
                <w:highlight w:val="none"/>
              </w:rPr>
              <w:t>不含税小计</w:t>
            </w:r>
          </w:p>
          <w:p w14:paraId="0901DF0B">
            <w:pPr>
              <w:bidi w:val="0"/>
              <w:jc w:val="center"/>
              <w:rPr>
                <w:rFonts w:hint="eastAsia" w:ascii="宋体" w:hAnsi="宋体" w:eastAsia="宋体" w:cs="宋体"/>
                <w:color w:val="auto"/>
                <w:highlight w:val="none"/>
              </w:rPr>
            </w:pPr>
            <w:r>
              <w:rPr>
                <w:rFonts w:hint="eastAsia" w:ascii="宋体" w:hAnsi="宋体" w:eastAsia="宋体" w:cs="宋体"/>
                <w:color w:val="auto"/>
                <w:highlight w:val="none"/>
              </w:rPr>
              <w:t>(元)</w:t>
            </w:r>
          </w:p>
        </w:tc>
        <w:tc>
          <w:tcPr>
            <w:tcW w:w="1007" w:type="pct"/>
            <w:tcMar>
              <w:top w:w="57" w:type="dxa"/>
              <w:left w:w="57" w:type="dxa"/>
              <w:bottom w:w="57" w:type="dxa"/>
              <w:right w:w="57" w:type="dxa"/>
            </w:tcMar>
            <w:vAlign w:val="center"/>
          </w:tcPr>
          <w:p w14:paraId="1D0F17B1">
            <w:pPr>
              <w:bidi w:val="0"/>
              <w:jc w:val="center"/>
              <w:rPr>
                <w:rFonts w:hint="eastAsia" w:ascii="宋体" w:hAnsi="宋体" w:eastAsia="宋体" w:cs="宋体"/>
                <w:color w:val="auto"/>
                <w:highlight w:val="none"/>
              </w:rPr>
            </w:pPr>
            <w:r>
              <w:rPr>
                <w:rFonts w:hint="eastAsia" w:ascii="宋体" w:hAnsi="宋体" w:eastAsia="宋体" w:cs="宋体"/>
                <w:color w:val="auto"/>
                <w:highlight w:val="none"/>
              </w:rPr>
              <w:t>备注</w:t>
            </w:r>
          </w:p>
        </w:tc>
      </w:tr>
      <w:tr w14:paraId="4D573C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481" w:type="pct"/>
            <w:tcMar>
              <w:top w:w="57" w:type="dxa"/>
              <w:left w:w="57" w:type="dxa"/>
              <w:bottom w:w="57" w:type="dxa"/>
              <w:right w:w="57" w:type="dxa"/>
            </w:tcMar>
            <w:vAlign w:val="center"/>
          </w:tcPr>
          <w:p w14:paraId="3F384685">
            <w:pPr>
              <w:bidi w:val="0"/>
              <w:jc w:val="center"/>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726" w:type="pct"/>
            <w:tcMar>
              <w:top w:w="57" w:type="dxa"/>
              <w:left w:w="57" w:type="dxa"/>
              <w:bottom w:w="57" w:type="dxa"/>
              <w:right w:w="57" w:type="dxa"/>
            </w:tcMar>
            <w:vAlign w:val="center"/>
          </w:tcPr>
          <w:p w14:paraId="330BAE74">
            <w:pPr>
              <w:bidi w:val="0"/>
              <w:jc w:val="center"/>
              <w:rPr>
                <w:rFonts w:hint="eastAsia" w:ascii="宋体" w:hAnsi="宋体" w:eastAsia="宋体" w:cs="宋体"/>
                <w:color w:val="auto"/>
                <w:highlight w:val="none"/>
              </w:rPr>
            </w:pPr>
          </w:p>
        </w:tc>
        <w:tc>
          <w:tcPr>
            <w:tcW w:w="727" w:type="pct"/>
            <w:tcMar>
              <w:top w:w="57" w:type="dxa"/>
              <w:left w:w="57" w:type="dxa"/>
              <w:bottom w:w="57" w:type="dxa"/>
              <w:right w:w="57" w:type="dxa"/>
            </w:tcMar>
            <w:vAlign w:val="center"/>
          </w:tcPr>
          <w:p w14:paraId="537780FF">
            <w:pPr>
              <w:bidi w:val="0"/>
              <w:jc w:val="center"/>
              <w:rPr>
                <w:rFonts w:hint="eastAsia" w:ascii="宋体" w:hAnsi="宋体" w:eastAsia="宋体" w:cs="宋体"/>
                <w:color w:val="auto"/>
                <w:highlight w:val="none"/>
              </w:rPr>
            </w:pPr>
          </w:p>
        </w:tc>
        <w:tc>
          <w:tcPr>
            <w:tcW w:w="485" w:type="pct"/>
            <w:tcMar>
              <w:top w:w="57" w:type="dxa"/>
              <w:left w:w="57" w:type="dxa"/>
              <w:bottom w:w="57" w:type="dxa"/>
              <w:right w:w="57" w:type="dxa"/>
            </w:tcMar>
            <w:vAlign w:val="center"/>
          </w:tcPr>
          <w:p w14:paraId="506604AC">
            <w:pPr>
              <w:bidi w:val="0"/>
              <w:jc w:val="center"/>
              <w:rPr>
                <w:rFonts w:hint="eastAsia" w:ascii="宋体" w:hAnsi="宋体" w:eastAsia="宋体" w:cs="宋体"/>
                <w:color w:val="auto"/>
                <w:highlight w:val="none"/>
              </w:rPr>
            </w:pPr>
          </w:p>
        </w:tc>
        <w:tc>
          <w:tcPr>
            <w:tcW w:w="833" w:type="pct"/>
            <w:tcMar>
              <w:top w:w="57" w:type="dxa"/>
              <w:left w:w="57" w:type="dxa"/>
              <w:bottom w:w="57" w:type="dxa"/>
              <w:right w:w="57" w:type="dxa"/>
            </w:tcMar>
            <w:vAlign w:val="center"/>
          </w:tcPr>
          <w:p w14:paraId="2A668BE0">
            <w:pPr>
              <w:bidi w:val="0"/>
              <w:jc w:val="center"/>
              <w:rPr>
                <w:rFonts w:hint="eastAsia" w:ascii="宋体" w:hAnsi="宋体" w:eastAsia="宋体" w:cs="宋体"/>
                <w:color w:val="auto"/>
                <w:highlight w:val="none"/>
              </w:rPr>
            </w:pPr>
          </w:p>
        </w:tc>
        <w:tc>
          <w:tcPr>
            <w:tcW w:w="738" w:type="pct"/>
            <w:tcMar>
              <w:top w:w="57" w:type="dxa"/>
              <w:left w:w="57" w:type="dxa"/>
              <w:bottom w:w="57" w:type="dxa"/>
              <w:right w:w="57" w:type="dxa"/>
            </w:tcMar>
            <w:vAlign w:val="center"/>
          </w:tcPr>
          <w:p w14:paraId="2A756636">
            <w:pPr>
              <w:bidi w:val="0"/>
              <w:jc w:val="center"/>
              <w:rPr>
                <w:rFonts w:hint="eastAsia" w:ascii="宋体" w:hAnsi="宋体" w:eastAsia="宋体" w:cs="宋体"/>
                <w:color w:val="auto"/>
                <w:highlight w:val="none"/>
              </w:rPr>
            </w:pPr>
          </w:p>
        </w:tc>
        <w:tc>
          <w:tcPr>
            <w:tcW w:w="1007" w:type="pct"/>
            <w:tcMar>
              <w:top w:w="57" w:type="dxa"/>
              <w:left w:w="57" w:type="dxa"/>
              <w:bottom w:w="57" w:type="dxa"/>
              <w:right w:w="57" w:type="dxa"/>
            </w:tcMar>
            <w:vAlign w:val="center"/>
          </w:tcPr>
          <w:p w14:paraId="043B6CF3">
            <w:pPr>
              <w:bidi w:val="0"/>
              <w:jc w:val="center"/>
              <w:rPr>
                <w:rFonts w:hint="eastAsia" w:ascii="宋体" w:hAnsi="宋体" w:eastAsia="宋体" w:cs="宋体"/>
                <w:color w:val="auto"/>
                <w:highlight w:val="none"/>
              </w:rPr>
            </w:pPr>
          </w:p>
        </w:tc>
      </w:tr>
      <w:tr w14:paraId="28CCB6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2" w:hRule="atLeast"/>
        </w:trPr>
        <w:tc>
          <w:tcPr>
            <w:tcW w:w="481" w:type="pct"/>
            <w:tcMar>
              <w:top w:w="57" w:type="dxa"/>
              <w:left w:w="57" w:type="dxa"/>
              <w:bottom w:w="57" w:type="dxa"/>
              <w:right w:w="57" w:type="dxa"/>
            </w:tcMar>
            <w:vAlign w:val="center"/>
          </w:tcPr>
          <w:p w14:paraId="0C5B91B9">
            <w:pPr>
              <w:bidi w:val="0"/>
              <w:jc w:val="center"/>
              <w:rPr>
                <w:rFonts w:hint="eastAsia" w:ascii="宋体" w:hAnsi="宋体" w:eastAsia="宋体" w:cs="宋体"/>
                <w:color w:val="auto"/>
                <w:highlight w:val="none"/>
              </w:rPr>
            </w:pPr>
            <w:r>
              <w:rPr>
                <w:rFonts w:hint="eastAsia" w:ascii="宋体" w:hAnsi="宋体" w:eastAsia="宋体" w:cs="宋体"/>
                <w:color w:val="auto"/>
                <w:highlight w:val="none"/>
              </w:rPr>
              <w:t>2</w:t>
            </w:r>
          </w:p>
        </w:tc>
        <w:tc>
          <w:tcPr>
            <w:tcW w:w="726" w:type="pct"/>
            <w:tcMar>
              <w:top w:w="57" w:type="dxa"/>
              <w:left w:w="57" w:type="dxa"/>
              <w:bottom w:w="57" w:type="dxa"/>
              <w:right w:w="57" w:type="dxa"/>
            </w:tcMar>
            <w:vAlign w:val="center"/>
          </w:tcPr>
          <w:p w14:paraId="60D2990D">
            <w:pPr>
              <w:bidi w:val="0"/>
              <w:jc w:val="center"/>
              <w:rPr>
                <w:rFonts w:hint="eastAsia" w:ascii="宋体" w:hAnsi="宋体" w:eastAsia="宋体" w:cs="宋体"/>
                <w:color w:val="auto"/>
                <w:highlight w:val="none"/>
              </w:rPr>
            </w:pPr>
          </w:p>
        </w:tc>
        <w:tc>
          <w:tcPr>
            <w:tcW w:w="727" w:type="pct"/>
            <w:tcMar>
              <w:top w:w="57" w:type="dxa"/>
              <w:left w:w="57" w:type="dxa"/>
              <w:bottom w:w="57" w:type="dxa"/>
              <w:right w:w="57" w:type="dxa"/>
            </w:tcMar>
            <w:vAlign w:val="center"/>
          </w:tcPr>
          <w:p w14:paraId="3D44549A">
            <w:pPr>
              <w:bidi w:val="0"/>
              <w:jc w:val="center"/>
              <w:rPr>
                <w:rFonts w:hint="eastAsia" w:ascii="宋体" w:hAnsi="宋体" w:eastAsia="宋体" w:cs="宋体"/>
                <w:color w:val="auto"/>
                <w:highlight w:val="none"/>
              </w:rPr>
            </w:pPr>
          </w:p>
        </w:tc>
        <w:tc>
          <w:tcPr>
            <w:tcW w:w="485" w:type="pct"/>
            <w:tcMar>
              <w:top w:w="57" w:type="dxa"/>
              <w:left w:w="57" w:type="dxa"/>
              <w:bottom w:w="57" w:type="dxa"/>
              <w:right w:w="57" w:type="dxa"/>
            </w:tcMar>
            <w:vAlign w:val="center"/>
          </w:tcPr>
          <w:p w14:paraId="4D7EE897">
            <w:pPr>
              <w:bidi w:val="0"/>
              <w:jc w:val="center"/>
              <w:rPr>
                <w:rFonts w:hint="eastAsia" w:ascii="宋体" w:hAnsi="宋体" w:eastAsia="宋体" w:cs="宋体"/>
                <w:color w:val="auto"/>
                <w:highlight w:val="none"/>
              </w:rPr>
            </w:pPr>
          </w:p>
        </w:tc>
        <w:tc>
          <w:tcPr>
            <w:tcW w:w="833" w:type="pct"/>
            <w:tcMar>
              <w:top w:w="57" w:type="dxa"/>
              <w:left w:w="57" w:type="dxa"/>
              <w:bottom w:w="57" w:type="dxa"/>
              <w:right w:w="57" w:type="dxa"/>
            </w:tcMar>
            <w:vAlign w:val="center"/>
          </w:tcPr>
          <w:p w14:paraId="32240004">
            <w:pPr>
              <w:bidi w:val="0"/>
              <w:jc w:val="center"/>
              <w:rPr>
                <w:rFonts w:hint="eastAsia" w:ascii="宋体" w:hAnsi="宋体" w:eastAsia="宋体" w:cs="宋体"/>
                <w:color w:val="auto"/>
                <w:highlight w:val="none"/>
              </w:rPr>
            </w:pPr>
          </w:p>
        </w:tc>
        <w:tc>
          <w:tcPr>
            <w:tcW w:w="738" w:type="pct"/>
            <w:tcMar>
              <w:top w:w="57" w:type="dxa"/>
              <w:left w:w="57" w:type="dxa"/>
              <w:bottom w:w="57" w:type="dxa"/>
              <w:right w:w="57" w:type="dxa"/>
            </w:tcMar>
            <w:vAlign w:val="center"/>
          </w:tcPr>
          <w:p w14:paraId="4AA5F94F">
            <w:pPr>
              <w:bidi w:val="0"/>
              <w:jc w:val="center"/>
              <w:rPr>
                <w:rFonts w:hint="eastAsia" w:ascii="宋体" w:hAnsi="宋体" w:eastAsia="宋体" w:cs="宋体"/>
                <w:color w:val="auto"/>
                <w:highlight w:val="none"/>
              </w:rPr>
            </w:pPr>
          </w:p>
        </w:tc>
        <w:tc>
          <w:tcPr>
            <w:tcW w:w="1007" w:type="pct"/>
            <w:tcMar>
              <w:top w:w="57" w:type="dxa"/>
              <w:left w:w="57" w:type="dxa"/>
              <w:bottom w:w="57" w:type="dxa"/>
              <w:right w:w="57" w:type="dxa"/>
            </w:tcMar>
            <w:vAlign w:val="center"/>
          </w:tcPr>
          <w:p w14:paraId="310BF3A7">
            <w:pPr>
              <w:bidi w:val="0"/>
              <w:jc w:val="center"/>
              <w:rPr>
                <w:rFonts w:hint="eastAsia" w:ascii="宋体" w:hAnsi="宋体" w:eastAsia="宋体" w:cs="宋体"/>
                <w:color w:val="auto"/>
                <w:highlight w:val="none"/>
              </w:rPr>
            </w:pPr>
          </w:p>
        </w:tc>
      </w:tr>
      <w:tr w14:paraId="59BEF7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9" w:hRule="atLeast"/>
        </w:trPr>
        <w:tc>
          <w:tcPr>
            <w:tcW w:w="481" w:type="pct"/>
            <w:tcMar>
              <w:top w:w="57" w:type="dxa"/>
              <w:left w:w="57" w:type="dxa"/>
              <w:bottom w:w="57" w:type="dxa"/>
              <w:right w:w="57" w:type="dxa"/>
            </w:tcMar>
            <w:vAlign w:val="center"/>
          </w:tcPr>
          <w:p w14:paraId="078C102C">
            <w:pPr>
              <w:bidi w:val="0"/>
              <w:jc w:val="center"/>
              <w:rPr>
                <w:rFonts w:hint="eastAsia" w:ascii="宋体" w:hAnsi="宋体" w:eastAsia="宋体" w:cs="宋体"/>
                <w:color w:val="auto"/>
                <w:highlight w:val="none"/>
              </w:rPr>
            </w:pPr>
            <w:r>
              <w:rPr>
                <w:rFonts w:hint="eastAsia" w:ascii="宋体" w:hAnsi="宋体" w:eastAsia="宋体" w:cs="宋体"/>
                <w:color w:val="auto"/>
                <w:highlight w:val="none"/>
              </w:rPr>
              <w:t>3</w:t>
            </w:r>
          </w:p>
        </w:tc>
        <w:tc>
          <w:tcPr>
            <w:tcW w:w="726" w:type="pct"/>
            <w:tcMar>
              <w:top w:w="57" w:type="dxa"/>
              <w:left w:w="57" w:type="dxa"/>
              <w:bottom w:w="57" w:type="dxa"/>
              <w:right w:w="57" w:type="dxa"/>
            </w:tcMar>
            <w:vAlign w:val="center"/>
          </w:tcPr>
          <w:p w14:paraId="329C2638">
            <w:pPr>
              <w:bidi w:val="0"/>
              <w:jc w:val="center"/>
              <w:rPr>
                <w:rFonts w:hint="eastAsia" w:ascii="宋体" w:hAnsi="宋体" w:eastAsia="宋体" w:cs="宋体"/>
                <w:color w:val="auto"/>
                <w:highlight w:val="none"/>
              </w:rPr>
            </w:pPr>
          </w:p>
        </w:tc>
        <w:tc>
          <w:tcPr>
            <w:tcW w:w="727" w:type="pct"/>
            <w:tcMar>
              <w:top w:w="57" w:type="dxa"/>
              <w:left w:w="57" w:type="dxa"/>
              <w:bottom w:w="57" w:type="dxa"/>
              <w:right w:w="57" w:type="dxa"/>
            </w:tcMar>
            <w:vAlign w:val="center"/>
          </w:tcPr>
          <w:p w14:paraId="7D27CA36">
            <w:pPr>
              <w:bidi w:val="0"/>
              <w:jc w:val="center"/>
              <w:rPr>
                <w:rFonts w:hint="eastAsia" w:ascii="宋体" w:hAnsi="宋体" w:eastAsia="宋体" w:cs="宋体"/>
                <w:color w:val="auto"/>
                <w:highlight w:val="none"/>
              </w:rPr>
            </w:pPr>
          </w:p>
        </w:tc>
        <w:tc>
          <w:tcPr>
            <w:tcW w:w="485" w:type="pct"/>
            <w:tcMar>
              <w:top w:w="57" w:type="dxa"/>
              <w:left w:w="57" w:type="dxa"/>
              <w:bottom w:w="57" w:type="dxa"/>
              <w:right w:w="57" w:type="dxa"/>
            </w:tcMar>
            <w:vAlign w:val="center"/>
          </w:tcPr>
          <w:p w14:paraId="11950F83">
            <w:pPr>
              <w:bidi w:val="0"/>
              <w:jc w:val="center"/>
              <w:rPr>
                <w:rFonts w:hint="eastAsia" w:ascii="宋体" w:hAnsi="宋体" w:eastAsia="宋体" w:cs="宋体"/>
                <w:color w:val="auto"/>
                <w:highlight w:val="none"/>
              </w:rPr>
            </w:pPr>
          </w:p>
        </w:tc>
        <w:tc>
          <w:tcPr>
            <w:tcW w:w="833" w:type="pct"/>
            <w:tcMar>
              <w:top w:w="57" w:type="dxa"/>
              <w:left w:w="57" w:type="dxa"/>
              <w:bottom w:w="57" w:type="dxa"/>
              <w:right w:w="57" w:type="dxa"/>
            </w:tcMar>
            <w:vAlign w:val="center"/>
          </w:tcPr>
          <w:p w14:paraId="46009542">
            <w:pPr>
              <w:bidi w:val="0"/>
              <w:jc w:val="center"/>
              <w:rPr>
                <w:rFonts w:hint="eastAsia" w:ascii="宋体" w:hAnsi="宋体" w:eastAsia="宋体" w:cs="宋体"/>
                <w:color w:val="auto"/>
                <w:highlight w:val="none"/>
              </w:rPr>
            </w:pPr>
          </w:p>
        </w:tc>
        <w:tc>
          <w:tcPr>
            <w:tcW w:w="738" w:type="pct"/>
            <w:tcMar>
              <w:top w:w="57" w:type="dxa"/>
              <w:left w:w="57" w:type="dxa"/>
              <w:bottom w:w="57" w:type="dxa"/>
              <w:right w:w="57" w:type="dxa"/>
            </w:tcMar>
            <w:vAlign w:val="center"/>
          </w:tcPr>
          <w:p w14:paraId="5586681C">
            <w:pPr>
              <w:bidi w:val="0"/>
              <w:jc w:val="center"/>
              <w:rPr>
                <w:rFonts w:hint="eastAsia" w:ascii="宋体" w:hAnsi="宋体" w:eastAsia="宋体" w:cs="宋体"/>
                <w:color w:val="auto"/>
                <w:highlight w:val="none"/>
              </w:rPr>
            </w:pPr>
          </w:p>
        </w:tc>
        <w:tc>
          <w:tcPr>
            <w:tcW w:w="1007" w:type="pct"/>
            <w:tcMar>
              <w:top w:w="57" w:type="dxa"/>
              <w:left w:w="57" w:type="dxa"/>
              <w:bottom w:w="57" w:type="dxa"/>
              <w:right w:w="57" w:type="dxa"/>
            </w:tcMar>
            <w:vAlign w:val="center"/>
          </w:tcPr>
          <w:p w14:paraId="2244F6BB">
            <w:pPr>
              <w:bidi w:val="0"/>
              <w:jc w:val="center"/>
              <w:rPr>
                <w:rFonts w:hint="eastAsia" w:ascii="宋体" w:hAnsi="宋体" w:eastAsia="宋体" w:cs="宋体"/>
                <w:color w:val="auto"/>
                <w:highlight w:val="none"/>
              </w:rPr>
            </w:pPr>
          </w:p>
        </w:tc>
      </w:tr>
      <w:tr w14:paraId="39995B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4" w:hRule="atLeast"/>
        </w:trPr>
        <w:tc>
          <w:tcPr>
            <w:tcW w:w="481" w:type="pct"/>
            <w:tcMar>
              <w:top w:w="57" w:type="dxa"/>
              <w:left w:w="57" w:type="dxa"/>
              <w:bottom w:w="57" w:type="dxa"/>
              <w:right w:w="57" w:type="dxa"/>
            </w:tcMar>
            <w:vAlign w:val="center"/>
          </w:tcPr>
          <w:p w14:paraId="4E4A4E9A">
            <w:pPr>
              <w:bidi w:val="0"/>
              <w:jc w:val="center"/>
              <w:rPr>
                <w:rFonts w:hint="eastAsia" w:ascii="宋体" w:hAnsi="宋体" w:eastAsia="宋体" w:cs="宋体"/>
                <w:color w:val="auto"/>
                <w:highlight w:val="none"/>
              </w:rPr>
            </w:pPr>
            <w:r>
              <w:rPr>
                <w:rFonts w:hint="eastAsia" w:ascii="宋体" w:hAnsi="宋体" w:eastAsia="宋体" w:cs="宋体"/>
                <w:color w:val="auto"/>
                <w:highlight w:val="none"/>
              </w:rPr>
              <w:t>4</w:t>
            </w:r>
          </w:p>
        </w:tc>
        <w:tc>
          <w:tcPr>
            <w:tcW w:w="726" w:type="pct"/>
            <w:tcMar>
              <w:top w:w="57" w:type="dxa"/>
              <w:left w:w="57" w:type="dxa"/>
              <w:bottom w:w="57" w:type="dxa"/>
              <w:right w:w="57" w:type="dxa"/>
            </w:tcMar>
            <w:vAlign w:val="center"/>
          </w:tcPr>
          <w:p w14:paraId="3AD3F8F8">
            <w:pPr>
              <w:bidi w:val="0"/>
              <w:jc w:val="center"/>
              <w:rPr>
                <w:rFonts w:hint="eastAsia" w:ascii="宋体" w:hAnsi="宋体" w:eastAsia="宋体" w:cs="宋体"/>
                <w:color w:val="auto"/>
                <w:highlight w:val="none"/>
              </w:rPr>
            </w:pPr>
          </w:p>
        </w:tc>
        <w:tc>
          <w:tcPr>
            <w:tcW w:w="727" w:type="pct"/>
            <w:tcMar>
              <w:top w:w="57" w:type="dxa"/>
              <w:left w:w="57" w:type="dxa"/>
              <w:bottom w:w="57" w:type="dxa"/>
              <w:right w:w="57" w:type="dxa"/>
            </w:tcMar>
            <w:vAlign w:val="center"/>
          </w:tcPr>
          <w:p w14:paraId="0706C1BA">
            <w:pPr>
              <w:bidi w:val="0"/>
              <w:jc w:val="center"/>
              <w:rPr>
                <w:rFonts w:hint="eastAsia" w:ascii="宋体" w:hAnsi="宋体" w:eastAsia="宋体" w:cs="宋体"/>
                <w:color w:val="auto"/>
                <w:highlight w:val="none"/>
              </w:rPr>
            </w:pPr>
          </w:p>
        </w:tc>
        <w:tc>
          <w:tcPr>
            <w:tcW w:w="485" w:type="pct"/>
            <w:tcMar>
              <w:top w:w="57" w:type="dxa"/>
              <w:left w:w="57" w:type="dxa"/>
              <w:bottom w:w="57" w:type="dxa"/>
              <w:right w:w="57" w:type="dxa"/>
            </w:tcMar>
            <w:vAlign w:val="center"/>
          </w:tcPr>
          <w:p w14:paraId="219D29F8">
            <w:pPr>
              <w:bidi w:val="0"/>
              <w:jc w:val="center"/>
              <w:rPr>
                <w:rFonts w:hint="eastAsia" w:ascii="宋体" w:hAnsi="宋体" w:eastAsia="宋体" w:cs="宋体"/>
                <w:color w:val="auto"/>
                <w:highlight w:val="none"/>
              </w:rPr>
            </w:pPr>
          </w:p>
        </w:tc>
        <w:tc>
          <w:tcPr>
            <w:tcW w:w="833" w:type="pct"/>
            <w:tcMar>
              <w:top w:w="57" w:type="dxa"/>
              <w:left w:w="57" w:type="dxa"/>
              <w:bottom w:w="57" w:type="dxa"/>
              <w:right w:w="57" w:type="dxa"/>
            </w:tcMar>
            <w:vAlign w:val="center"/>
          </w:tcPr>
          <w:p w14:paraId="0ED32372">
            <w:pPr>
              <w:bidi w:val="0"/>
              <w:jc w:val="center"/>
              <w:rPr>
                <w:rFonts w:hint="eastAsia" w:ascii="宋体" w:hAnsi="宋体" w:eastAsia="宋体" w:cs="宋体"/>
                <w:color w:val="auto"/>
                <w:highlight w:val="none"/>
              </w:rPr>
            </w:pPr>
          </w:p>
        </w:tc>
        <w:tc>
          <w:tcPr>
            <w:tcW w:w="738" w:type="pct"/>
            <w:tcMar>
              <w:top w:w="57" w:type="dxa"/>
              <w:left w:w="57" w:type="dxa"/>
              <w:bottom w:w="57" w:type="dxa"/>
              <w:right w:w="57" w:type="dxa"/>
            </w:tcMar>
            <w:vAlign w:val="center"/>
          </w:tcPr>
          <w:p w14:paraId="14978521">
            <w:pPr>
              <w:bidi w:val="0"/>
              <w:jc w:val="center"/>
              <w:rPr>
                <w:rFonts w:hint="eastAsia" w:ascii="宋体" w:hAnsi="宋体" w:eastAsia="宋体" w:cs="宋体"/>
                <w:color w:val="auto"/>
                <w:highlight w:val="none"/>
              </w:rPr>
            </w:pPr>
          </w:p>
        </w:tc>
        <w:tc>
          <w:tcPr>
            <w:tcW w:w="1007" w:type="pct"/>
            <w:tcMar>
              <w:top w:w="57" w:type="dxa"/>
              <w:left w:w="57" w:type="dxa"/>
              <w:bottom w:w="57" w:type="dxa"/>
              <w:right w:w="57" w:type="dxa"/>
            </w:tcMar>
            <w:vAlign w:val="center"/>
          </w:tcPr>
          <w:p w14:paraId="6259E0E8">
            <w:pPr>
              <w:bidi w:val="0"/>
              <w:jc w:val="center"/>
              <w:rPr>
                <w:rFonts w:hint="eastAsia" w:ascii="宋体" w:hAnsi="宋体" w:eastAsia="宋体" w:cs="宋体"/>
                <w:color w:val="auto"/>
                <w:highlight w:val="none"/>
              </w:rPr>
            </w:pPr>
          </w:p>
        </w:tc>
      </w:tr>
      <w:tr w14:paraId="71D6C7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0" w:hRule="atLeast"/>
        </w:trPr>
        <w:tc>
          <w:tcPr>
            <w:tcW w:w="3253" w:type="pct"/>
            <w:gridSpan w:val="5"/>
            <w:tcMar>
              <w:top w:w="57" w:type="dxa"/>
              <w:left w:w="57" w:type="dxa"/>
              <w:bottom w:w="57" w:type="dxa"/>
              <w:right w:w="57" w:type="dxa"/>
            </w:tcMar>
            <w:vAlign w:val="top"/>
          </w:tcPr>
          <w:p w14:paraId="3788EC34">
            <w:pPr>
              <w:bidi w:val="0"/>
              <w:jc w:val="center"/>
              <w:rPr>
                <w:rFonts w:hint="eastAsia" w:ascii="宋体" w:hAnsi="宋体" w:eastAsia="宋体" w:cs="宋体"/>
                <w:b/>
                <w:bCs/>
                <w:color w:val="auto"/>
                <w:highlight w:val="none"/>
              </w:rPr>
            </w:pPr>
            <w:r>
              <w:rPr>
                <w:rFonts w:hint="eastAsia" w:ascii="宋体" w:hAnsi="宋体" w:eastAsia="宋体" w:cs="宋体"/>
                <w:b/>
                <w:bCs/>
                <w:color w:val="auto"/>
                <w:highlight w:val="none"/>
              </w:rPr>
              <w:t>不含税合计(元)</w:t>
            </w:r>
          </w:p>
        </w:tc>
        <w:tc>
          <w:tcPr>
            <w:tcW w:w="738" w:type="pct"/>
            <w:tcMar>
              <w:top w:w="57" w:type="dxa"/>
              <w:left w:w="57" w:type="dxa"/>
              <w:bottom w:w="57" w:type="dxa"/>
              <w:right w:w="57" w:type="dxa"/>
            </w:tcMar>
            <w:vAlign w:val="top"/>
          </w:tcPr>
          <w:p w14:paraId="7EC04D25">
            <w:pPr>
              <w:bidi w:val="0"/>
              <w:jc w:val="center"/>
              <w:rPr>
                <w:rFonts w:hint="eastAsia" w:ascii="宋体" w:hAnsi="宋体" w:eastAsia="宋体" w:cs="宋体"/>
                <w:b/>
                <w:bCs/>
                <w:color w:val="auto"/>
                <w:highlight w:val="none"/>
              </w:rPr>
            </w:pPr>
          </w:p>
        </w:tc>
        <w:tc>
          <w:tcPr>
            <w:tcW w:w="1007" w:type="pct"/>
            <w:tcMar>
              <w:top w:w="57" w:type="dxa"/>
              <w:left w:w="57" w:type="dxa"/>
              <w:bottom w:w="57" w:type="dxa"/>
              <w:right w:w="57" w:type="dxa"/>
            </w:tcMar>
            <w:vAlign w:val="top"/>
          </w:tcPr>
          <w:p w14:paraId="25D8459F">
            <w:pPr>
              <w:bidi w:val="0"/>
              <w:jc w:val="center"/>
              <w:rPr>
                <w:rFonts w:hint="eastAsia" w:ascii="宋体" w:hAnsi="宋体" w:eastAsia="宋体" w:cs="宋体"/>
                <w:b/>
                <w:bCs/>
                <w:color w:val="auto"/>
                <w:highlight w:val="none"/>
              </w:rPr>
            </w:pPr>
          </w:p>
        </w:tc>
      </w:tr>
      <w:tr w14:paraId="120A84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2" w:hRule="atLeast"/>
        </w:trPr>
        <w:tc>
          <w:tcPr>
            <w:tcW w:w="3253" w:type="pct"/>
            <w:gridSpan w:val="5"/>
            <w:tcMar>
              <w:top w:w="57" w:type="dxa"/>
              <w:left w:w="57" w:type="dxa"/>
              <w:bottom w:w="57" w:type="dxa"/>
              <w:right w:w="57" w:type="dxa"/>
            </w:tcMar>
            <w:vAlign w:val="top"/>
          </w:tcPr>
          <w:p w14:paraId="292FE7E7">
            <w:pPr>
              <w:bidi w:val="0"/>
              <w:jc w:val="center"/>
              <w:rPr>
                <w:rFonts w:hint="eastAsia" w:ascii="宋体" w:hAnsi="宋体" w:eastAsia="宋体" w:cs="宋体"/>
                <w:b/>
                <w:bCs/>
                <w:color w:val="auto"/>
                <w:highlight w:val="none"/>
              </w:rPr>
            </w:pPr>
            <w:r>
              <w:rPr>
                <w:rFonts w:hint="eastAsia" w:ascii="宋体" w:hAnsi="宋体" w:eastAsia="宋体" w:cs="宋体"/>
                <w:b/>
                <w:bCs/>
                <w:color w:val="auto"/>
                <w:highlight w:val="none"/>
              </w:rPr>
              <w:t>税率( % )</w:t>
            </w:r>
          </w:p>
        </w:tc>
        <w:tc>
          <w:tcPr>
            <w:tcW w:w="738" w:type="pct"/>
            <w:tcMar>
              <w:top w:w="57" w:type="dxa"/>
              <w:left w:w="57" w:type="dxa"/>
              <w:bottom w:w="57" w:type="dxa"/>
              <w:right w:w="57" w:type="dxa"/>
            </w:tcMar>
            <w:vAlign w:val="top"/>
          </w:tcPr>
          <w:p w14:paraId="50363813">
            <w:pPr>
              <w:bidi w:val="0"/>
              <w:jc w:val="center"/>
              <w:rPr>
                <w:rFonts w:hint="eastAsia" w:ascii="宋体" w:hAnsi="宋体" w:eastAsia="宋体" w:cs="宋体"/>
                <w:b/>
                <w:bCs/>
                <w:color w:val="auto"/>
                <w:highlight w:val="none"/>
              </w:rPr>
            </w:pPr>
          </w:p>
        </w:tc>
        <w:tc>
          <w:tcPr>
            <w:tcW w:w="1007" w:type="pct"/>
            <w:tcMar>
              <w:top w:w="57" w:type="dxa"/>
              <w:left w:w="57" w:type="dxa"/>
              <w:bottom w:w="57" w:type="dxa"/>
              <w:right w:w="57" w:type="dxa"/>
            </w:tcMar>
            <w:vAlign w:val="top"/>
          </w:tcPr>
          <w:p w14:paraId="229CCF34">
            <w:pPr>
              <w:bidi w:val="0"/>
              <w:jc w:val="center"/>
              <w:rPr>
                <w:rFonts w:hint="eastAsia" w:ascii="宋体" w:hAnsi="宋体" w:eastAsia="宋体" w:cs="宋体"/>
                <w:b/>
                <w:bCs/>
                <w:color w:val="auto"/>
                <w:highlight w:val="none"/>
              </w:rPr>
            </w:pPr>
          </w:p>
        </w:tc>
      </w:tr>
      <w:tr w14:paraId="702FEE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5000" w:type="pct"/>
            <w:gridSpan w:val="7"/>
            <w:tcMar>
              <w:top w:w="57" w:type="dxa"/>
              <w:left w:w="57" w:type="dxa"/>
              <w:bottom w:w="57" w:type="dxa"/>
              <w:right w:w="57" w:type="dxa"/>
            </w:tcMar>
            <w:vAlign w:val="top"/>
          </w:tcPr>
          <w:p w14:paraId="5433427D">
            <w:pPr>
              <w:bidi w:val="0"/>
              <w:jc w:val="center"/>
              <w:rPr>
                <w:rFonts w:hint="eastAsia" w:ascii="宋体" w:hAnsi="宋体" w:eastAsia="宋体" w:cs="宋体"/>
                <w:b/>
                <w:bCs/>
                <w:color w:val="auto"/>
                <w:highlight w:val="none"/>
              </w:rPr>
            </w:pPr>
            <w:r>
              <w:rPr>
                <w:rFonts w:hint="eastAsia" w:ascii="宋体" w:hAnsi="宋体" w:eastAsia="宋体" w:cs="宋体"/>
                <w:b/>
                <w:bCs/>
                <w:color w:val="auto"/>
                <w:highlight w:val="none"/>
              </w:rPr>
              <w:t>收货要求</w:t>
            </w:r>
          </w:p>
        </w:tc>
      </w:tr>
      <w:tr w14:paraId="5D8723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8" w:hRule="atLeast"/>
        </w:trPr>
        <w:tc>
          <w:tcPr>
            <w:tcW w:w="481" w:type="pct"/>
            <w:tcMar>
              <w:top w:w="57" w:type="dxa"/>
              <w:left w:w="57" w:type="dxa"/>
              <w:bottom w:w="57" w:type="dxa"/>
              <w:right w:w="57" w:type="dxa"/>
            </w:tcMar>
            <w:vAlign w:val="top"/>
          </w:tcPr>
          <w:p w14:paraId="213EAF33">
            <w:pPr>
              <w:spacing w:before="161" w:line="185" w:lineRule="auto"/>
              <w:ind w:left="38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454" w:type="pct"/>
            <w:gridSpan w:val="2"/>
            <w:tcMar>
              <w:top w:w="57" w:type="dxa"/>
              <w:left w:w="57" w:type="dxa"/>
              <w:bottom w:w="57" w:type="dxa"/>
              <w:right w:w="57" w:type="dxa"/>
            </w:tcMar>
            <w:vAlign w:val="top"/>
          </w:tcPr>
          <w:p w14:paraId="52571B44">
            <w:pPr>
              <w:spacing w:before="136" w:line="220" w:lineRule="auto"/>
              <w:ind w:left="920"/>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收货时间</w:t>
            </w:r>
          </w:p>
        </w:tc>
        <w:tc>
          <w:tcPr>
            <w:tcW w:w="3064" w:type="pct"/>
            <w:gridSpan w:val="4"/>
            <w:tcMar>
              <w:top w:w="57" w:type="dxa"/>
              <w:left w:w="57" w:type="dxa"/>
              <w:bottom w:w="57" w:type="dxa"/>
              <w:right w:w="57" w:type="dxa"/>
            </w:tcMar>
            <w:vAlign w:val="top"/>
          </w:tcPr>
          <w:p w14:paraId="4428EBBC">
            <w:pPr>
              <w:rPr>
                <w:rFonts w:hint="eastAsia" w:ascii="宋体" w:hAnsi="宋体" w:eastAsia="宋体" w:cs="宋体"/>
                <w:color w:val="auto"/>
                <w:sz w:val="21"/>
                <w:szCs w:val="21"/>
                <w:highlight w:val="none"/>
              </w:rPr>
            </w:pPr>
          </w:p>
        </w:tc>
      </w:tr>
      <w:tr w14:paraId="0B1236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481" w:type="pct"/>
            <w:tcMar>
              <w:top w:w="57" w:type="dxa"/>
              <w:left w:w="57" w:type="dxa"/>
              <w:bottom w:w="57" w:type="dxa"/>
              <w:right w:w="57" w:type="dxa"/>
            </w:tcMar>
            <w:vAlign w:val="top"/>
          </w:tcPr>
          <w:p w14:paraId="605D8E59">
            <w:pPr>
              <w:spacing w:before="158" w:line="184" w:lineRule="auto"/>
              <w:ind w:left="37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454" w:type="pct"/>
            <w:gridSpan w:val="2"/>
            <w:tcMar>
              <w:top w:w="57" w:type="dxa"/>
              <w:left w:w="57" w:type="dxa"/>
              <w:bottom w:w="57" w:type="dxa"/>
              <w:right w:w="57" w:type="dxa"/>
            </w:tcMar>
            <w:vAlign w:val="top"/>
          </w:tcPr>
          <w:p w14:paraId="03872F27">
            <w:pPr>
              <w:spacing w:before="132" w:line="220" w:lineRule="auto"/>
              <w:ind w:left="920"/>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收货地点</w:t>
            </w:r>
          </w:p>
        </w:tc>
        <w:tc>
          <w:tcPr>
            <w:tcW w:w="3064" w:type="pct"/>
            <w:gridSpan w:val="4"/>
            <w:tcMar>
              <w:top w:w="57" w:type="dxa"/>
              <w:left w:w="57" w:type="dxa"/>
              <w:bottom w:w="57" w:type="dxa"/>
              <w:right w:w="57" w:type="dxa"/>
            </w:tcMar>
            <w:vAlign w:val="top"/>
          </w:tcPr>
          <w:p w14:paraId="22842C7B">
            <w:pPr>
              <w:rPr>
                <w:rFonts w:hint="eastAsia" w:ascii="宋体" w:hAnsi="宋体" w:eastAsia="宋体" w:cs="宋体"/>
                <w:color w:val="auto"/>
                <w:sz w:val="21"/>
                <w:szCs w:val="21"/>
                <w:highlight w:val="none"/>
              </w:rPr>
            </w:pPr>
          </w:p>
        </w:tc>
      </w:tr>
      <w:tr w14:paraId="545664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481" w:type="pct"/>
            <w:tcMar>
              <w:top w:w="57" w:type="dxa"/>
              <w:left w:w="57" w:type="dxa"/>
              <w:bottom w:w="57" w:type="dxa"/>
              <w:right w:w="57" w:type="dxa"/>
            </w:tcMar>
            <w:vAlign w:val="top"/>
          </w:tcPr>
          <w:p w14:paraId="548BC293">
            <w:pPr>
              <w:spacing w:before="194" w:line="184" w:lineRule="auto"/>
              <w:ind w:left="374"/>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454" w:type="pct"/>
            <w:gridSpan w:val="2"/>
            <w:tcMar>
              <w:top w:w="57" w:type="dxa"/>
              <w:left w:w="57" w:type="dxa"/>
              <w:bottom w:w="57" w:type="dxa"/>
              <w:right w:w="57" w:type="dxa"/>
            </w:tcMar>
            <w:vAlign w:val="top"/>
          </w:tcPr>
          <w:p w14:paraId="695FDC9A">
            <w:pPr>
              <w:spacing w:before="168" w:line="220" w:lineRule="auto"/>
              <w:ind w:left="841"/>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收货联系人</w:t>
            </w:r>
          </w:p>
        </w:tc>
        <w:tc>
          <w:tcPr>
            <w:tcW w:w="1318" w:type="pct"/>
            <w:gridSpan w:val="2"/>
            <w:tcMar>
              <w:top w:w="57" w:type="dxa"/>
              <w:left w:w="57" w:type="dxa"/>
              <w:bottom w:w="57" w:type="dxa"/>
              <w:right w:w="57" w:type="dxa"/>
            </w:tcMar>
            <w:vAlign w:val="top"/>
          </w:tcPr>
          <w:p w14:paraId="2B5BF841">
            <w:pPr>
              <w:rPr>
                <w:rFonts w:hint="eastAsia" w:ascii="宋体" w:hAnsi="宋体" w:eastAsia="宋体" w:cs="宋体"/>
                <w:color w:val="auto"/>
                <w:sz w:val="21"/>
                <w:szCs w:val="21"/>
                <w:highlight w:val="none"/>
              </w:rPr>
            </w:pPr>
          </w:p>
        </w:tc>
        <w:tc>
          <w:tcPr>
            <w:tcW w:w="738" w:type="pct"/>
            <w:tcMar>
              <w:top w:w="57" w:type="dxa"/>
              <w:left w:w="57" w:type="dxa"/>
              <w:bottom w:w="57" w:type="dxa"/>
              <w:right w:w="57" w:type="dxa"/>
            </w:tcMar>
            <w:vAlign w:val="top"/>
          </w:tcPr>
          <w:p w14:paraId="09930978">
            <w:pPr>
              <w:spacing w:before="168" w:line="223" w:lineRule="auto"/>
              <w:ind w:left="310"/>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联系电话</w:t>
            </w:r>
          </w:p>
        </w:tc>
        <w:tc>
          <w:tcPr>
            <w:tcW w:w="1007" w:type="pct"/>
            <w:tcMar>
              <w:top w:w="57" w:type="dxa"/>
              <w:left w:w="57" w:type="dxa"/>
              <w:bottom w:w="57" w:type="dxa"/>
              <w:right w:w="57" w:type="dxa"/>
            </w:tcMar>
            <w:vAlign w:val="top"/>
          </w:tcPr>
          <w:p w14:paraId="4AC6533E">
            <w:pPr>
              <w:rPr>
                <w:rFonts w:hint="eastAsia" w:ascii="宋体" w:hAnsi="宋体" w:eastAsia="宋体" w:cs="宋体"/>
                <w:color w:val="auto"/>
                <w:sz w:val="21"/>
                <w:szCs w:val="21"/>
                <w:highlight w:val="none"/>
              </w:rPr>
            </w:pPr>
          </w:p>
        </w:tc>
      </w:tr>
      <w:tr w14:paraId="59C168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481" w:type="pct"/>
            <w:tcMar>
              <w:top w:w="57" w:type="dxa"/>
              <w:left w:w="57" w:type="dxa"/>
              <w:bottom w:w="57" w:type="dxa"/>
              <w:right w:w="57" w:type="dxa"/>
            </w:tcMar>
            <w:vAlign w:val="top"/>
          </w:tcPr>
          <w:p w14:paraId="164C1452">
            <w:pPr>
              <w:spacing w:before="230" w:line="184" w:lineRule="auto"/>
              <w:ind w:left="37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1454" w:type="pct"/>
            <w:gridSpan w:val="2"/>
            <w:tcMar>
              <w:top w:w="57" w:type="dxa"/>
              <w:left w:w="57" w:type="dxa"/>
              <w:bottom w:w="57" w:type="dxa"/>
              <w:right w:w="57" w:type="dxa"/>
            </w:tcMar>
            <w:vAlign w:val="top"/>
          </w:tcPr>
          <w:p w14:paraId="33667AE9">
            <w:pPr>
              <w:spacing w:before="205" w:line="221" w:lineRule="auto"/>
              <w:ind w:left="915"/>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其他要求</w:t>
            </w:r>
          </w:p>
        </w:tc>
        <w:tc>
          <w:tcPr>
            <w:tcW w:w="3064" w:type="pct"/>
            <w:gridSpan w:val="4"/>
            <w:tcMar>
              <w:top w:w="57" w:type="dxa"/>
              <w:left w:w="57" w:type="dxa"/>
              <w:bottom w:w="57" w:type="dxa"/>
              <w:right w:w="57" w:type="dxa"/>
            </w:tcMar>
            <w:vAlign w:val="top"/>
          </w:tcPr>
          <w:p w14:paraId="5D821238">
            <w:pPr>
              <w:rPr>
                <w:rFonts w:hint="eastAsia" w:ascii="宋体" w:hAnsi="宋体" w:eastAsia="宋体" w:cs="宋体"/>
                <w:color w:val="auto"/>
                <w:sz w:val="21"/>
                <w:szCs w:val="21"/>
                <w:highlight w:val="none"/>
              </w:rPr>
            </w:pPr>
          </w:p>
        </w:tc>
      </w:tr>
      <w:tr w14:paraId="536347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1" w:hRule="atLeast"/>
        </w:trPr>
        <w:tc>
          <w:tcPr>
            <w:tcW w:w="5000" w:type="pct"/>
            <w:gridSpan w:val="7"/>
            <w:tcMar>
              <w:top w:w="57" w:type="dxa"/>
              <w:left w:w="57" w:type="dxa"/>
              <w:bottom w:w="57" w:type="dxa"/>
              <w:right w:w="57" w:type="dxa"/>
            </w:tcMar>
            <w:vAlign w:val="top"/>
          </w:tcPr>
          <w:p w14:paraId="59A44031">
            <w:pPr>
              <w:spacing w:before="158" w:line="22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送货联系信息</w:t>
            </w:r>
          </w:p>
        </w:tc>
      </w:tr>
      <w:tr w14:paraId="563519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1935" w:type="pct"/>
            <w:gridSpan w:val="3"/>
            <w:tcMar>
              <w:top w:w="57" w:type="dxa"/>
              <w:left w:w="57" w:type="dxa"/>
              <w:bottom w:w="57" w:type="dxa"/>
              <w:right w:w="57" w:type="dxa"/>
            </w:tcMar>
            <w:vAlign w:val="top"/>
          </w:tcPr>
          <w:p w14:paraId="70441399">
            <w:pPr>
              <w:spacing w:before="193" w:line="220" w:lineRule="auto"/>
              <w:ind w:left="1245"/>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送货联系人</w:t>
            </w:r>
          </w:p>
        </w:tc>
        <w:tc>
          <w:tcPr>
            <w:tcW w:w="1318" w:type="pct"/>
            <w:gridSpan w:val="2"/>
            <w:tcMar>
              <w:top w:w="57" w:type="dxa"/>
              <w:left w:w="57" w:type="dxa"/>
              <w:bottom w:w="57" w:type="dxa"/>
              <w:right w:w="57" w:type="dxa"/>
            </w:tcMar>
            <w:vAlign w:val="top"/>
          </w:tcPr>
          <w:p w14:paraId="7CABD92F">
            <w:pPr>
              <w:rPr>
                <w:rFonts w:hint="eastAsia" w:ascii="宋体" w:hAnsi="宋体" w:eastAsia="宋体" w:cs="宋体"/>
                <w:color w:val="auto"/>
                <w:sz w:val="21"/>
                <w:szCs w:val="21"/>
                <w:highlight w:val="none"/>
              </w:rPr>
            </w:pPr>
          </w:p>
        </w:tc>
        <w:tc>
          <w:tcPr>
            <w:tcW w:w="738" w:type="pct"/>
            <w:tcMar>
              <w:top w:w="57" w:type="dxa"/>
              <w:left w:w="57" w:type="dxa"/>
              <w:bottom w:w="57" w:type="dxa"/>
              <w:right w:w="57" w:type="dxa"/>
            </w:tcMar>
            <w:vAlign w:val="top"/>
          </w:tcPr>
          <w:p w14:paraId="7BCD6F4F">
            <w:pPr>
              <w:spacing w:before="193" w:line="223" w:lineRule="auto"/>
              <w:ind w:left="310"/>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联系电话</w:t>
            </w:r>
          </w:p>
        </w:tc>
        <w:tc>
          <w:tcPr>
            <w:tcW w:w="1007" w:type="pct"/>
            <w:tcMar>
              <w:top w:w="57" w:type="dxa"/>
              <w:left w:w="57" w:type="dxa"/>
              <w:bottom w:w="57" w:type="dxa"/>
              <w:right w:w="57" w:type="dxa"/>
            </w:tcMar>
            <w:vAlign w:val="top"/>
          </w:tcPr>
          <w:p w14:paraId="1AE19B21">
            <w:pPr>
              <w:rPr>
                <w:rFonts w:hint="eastAsia" w:ascii="宋体" w:hAnsi="宋体" w:eastAsia="宋体" w:cs="宋体"/>
                <w:color w:val="auto"/>
                <w:sz w:val="21"/>
                <w:szCs w:val="21"/>
                <w:highlight w:val="none"/>
              </w:rPr>
            </w:pPr>
          </w:p>
        </w:tc>
      </w:tr>
      <w:tr w14:paraId="2C3699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45" w:hRule="atLeast"/>
        </w:trPr>
        <w:tc>
          <w:tcPr>
            <w:tcW w:w="2420" w:type="pct"/>
            <w:gridSpan w:val="4"/>
            <w:tcMar>
              <w:top w:w="57" w:type="dxa"/>
              <w:left w:w="57" w:type="dxa"/>
              <w:bottom w:w="57" w:type="dxa"/>
              <w:right w:w="57" w:type="dxa"/>
            </w:tcMar>
            <w:vAlign w:val="top"/>
          </w:tcPr>
          <w:p w14:paraId="4F2FCBEE">
            <w:pPr>
              <w:spacing w:before="46" w:line="220" w:lineRule="auto"/>
              <w:ind w:left="1341"/>
              <w:rPr>
                <w:rFonts w:hint="eastAsia" w:ascii="宋体" w:hAnsi="宋体" w:eastAsia="宋体" w:cs="宋体"/>
                <w:color w:val="auto"/>
                <w:spacing w:val="-2"/>
                <w:sz w:val="21"/>
                <w:szCs w:val="21"/>
                <w:highlight w:val="none"/>
              </w:rPr>
            </w:pPr>
          </w:p>
          <w:p w14:paraId="2EEF9C47">
            <w:pPr>
              <w:spacing w:before="46" w:line="220" w:lineRule="auto"/>
              <w:ind w:left="1341"/>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收货单位盖章确认：</w:t>
            </w:r>
          </w:p>
          <w:p w14:paraId="4C2B06A3">
            <w:pPr>
              <w:spacing w:line="248" w:lineRule="auto"/>
              <w:rPr>
                <w:rFonts w:hint="eastAsia" w:ascii="宋体" w:hAnsi="宋体" w:eastAsia="宋体" w:cs="宋体"/>
                <w:color w:val="auto"/>
                <w:sz w:val="21"/>
                <w:szCs w:val="21"/>
                <w:highlight w:val="none"/>
              </w:rPr>
            </w:pPr>
          </w:p>
          <w:p w14:paraId="16B1B150">
            <w:pPr>
              <w:spacing w:line="249" w:lineRule="auto"/>
              <w:rPr>
                <w:rFonts w:hint="eastAsia" w:ascii="宋体" w:hAnsi="宋体" w:eastAsia="宋体" w:cs="宋体"/>
                <w:color w:val="auto"/>
                <w:sz w:val="21"/>
                <w:szCs w:val="21"/>
                <w:highlight w:val="none"/>
              </w:rPr>
            </w:pPr>
          </w:p>
          <w:p w14:paraId="6394F2BD">
            <w:pPr>
              <w:spacing w:line="249" w:lineRule="auto"/>
              <w:rPr>
                <w:rFonts w:hint="eastAsia" w:ascii="宋体" w:hAnsi="宋体" w:eastAsia="宋体" w:cs="宋体"/>
                <w:color w:val="auto"/>
                <w:sz w:val="21"/>
                <w:szCs w:val="21"/>
                <w:highlight w:val="none"/>
              </w:rPr>
            </w:pPr>
          </w:p>
          <w:p w14:paraId="39888CA9">
            <w:pPr>
              <w:spacing w:line="249" w:lineRule="auto"/>
              <w:rPr>
                <w:rFonts w:hint="eastAsia" w:ascii="宋体" w:hAnsi="宋体" w:eastAsia="宋体" w:cs="宋体"/>
                <w:color w:val="auto"/>
                <w:sz w:val="21"/>
                <w:szCs w:val="21"/>
                <w:highlight w:val="none"/>
              </w:rPr>
            </w:pPr>
          </w:p>
          <w:p w14:paraId="08566CD5">
            <w:pPr>
              <w:spacing w:before="52" w:line="220" w:lineRule="auto"/>
              <w:ind w:left="1341"/>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2"/>
                <w:sz w:val="21"/>
                <w:szCs w:val="21"/>
                <w:highlight w:val="none"/>
              </w:rPr>
              <w:t>收货单位代表签字</w:t>
            </w:r>
            <w:r>
              <w:rPr>
                <w:rFonts w:hint="eastAsia" w:ascii="宋体" w:hAnsi="宋体" w:eastAsia="宋体" w:cs="宋体"/>
                <w:color w:val="auto"/>
                <w:spacing w:val="-2"/>
                <w:sz w:val="21"/>
                <w:szCs w:val="21"/>
                <w:highlight w:val="none"/>
                <w:lang w:val="en-US" w:eastAsia="zh-CN"/>
              </w:rPr>
              <w:t>：</w:t>
            </w:r>
          </w:p>
          <w:p w14:paraId="141E2CCA">
            <w:pPr>
              <w:spacing w:before="201" w:line="220" w:lineRule="auto"/>
              <w:ind w:left="2495"/>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年</w:t>
            </w:r>
            <w:r>
              <w:rPr>
                <w:rFonts w:hint="eastAsia" w:ascii="宋体" w:hAnsi="宋体" w:eastAsia="宋体" w:cs="宋体"/>
                <w:color w:val="auto"/>
                <w:spacing w:val="11"/>
                <w:sz w:val="21"/>
                <w:szCs w:val="21"/>
                <w:highlight w:val="none"/>
              </w:rPr>
              <w:t xml:space="preserve"> </w:t>
            </w:r>
            <w:r>
              <w:rPr>
                <w:rFonts w:hint="eastAsia" w:ascii="宋体" w:hAnsi="宋体" w:eastAsia="宋体" w:cs="宋体"/>
                <w:color w:val="auto"/>
                <w:spacing w:val="11"/>
                <w:sz w:val="21"/>
                <w:szCs w:val="21"/>
                <w:highlight w:val="none"/>
                <w:lang w:val="en-US" w:eastAsia="zh-CN"/>
              </w:rPr>
              <w:t xml:space="preserve">  </w:t>
            </w:r>
            <w:r>
              <w:rPr>
                <w:rFonts w:hint="eastAsia" w:ascii="宋体" w:hAnsi="宋体" w:eastAsia="宋体" w:cs="宋体"/>
                <w:color w:val="auto"/>
                <w:spacing w:val="-6"/>
                <w:sz w:val="21"/>
                <w:szCs w:val="21"/>
                <w:highlight w:val="none"/>
              </w:rPr>
              <w:t>月</w:t>
            </w:r>
            <w:r>
              <w:rPr>
                <w:rFonts w:hint="eastAsia" w:ascii="宋体" w:hAnsi="宋体" w:eastAsia="宋体" w:cs="宋体"/>
                <w:color w:val="auto"/>
                <w:spacing w:val="8"/>
                <w:sz w:val="21"/>
                <w:szCs w:val="21"/>
                <w:highlight w:val="none"/>
              </w:rPr>
              <w:t xml:space="preserve">   </w:t>
            </w:r>
            <w:r>
              <w:rPr>
                <w:rFonts w:hint="eastAsia" w:ascii="宋体" w:hAnsi="宋体" w:eastAsia="宋体" w:cs="宋体"/>
                <w:color w:val="auto"/>
                <w:spacing w:val="-6"/>
                <w:sz w:val="21"/>
                <w:szCs w:val="21"/>
                <w:highlight w:val="none"/>
              </w:rPr>
              <w:t>日</w:t>
            </w:r>
          </w:p>
        </w:tc>
        <w:tc>
          <w:tcPr>
            <w:tcW w:w="2579" w:type="pct"/>
            <w:gridSpan w:val="3"/>
            <w:tcMar>
              <w:top w:w="57" w:type="dxa"/>
              <w:left w:w="57" w:type="dxa"/>
              <w:bottom w:w="57" w:type="dxa"/>
              <w:right w:w="57" w:type="dxa"/>
            </w:tcMar>
            <w:vAlign w:val="top"/>
          </w:tcPr>
          <w:p w14:paraId="653BA9D4">
            <w:pPr>
              <w:spacing w:before="46" w:line="220" w:lineRule="auto"/>
              <w:ind w:left="1464"/>
              <w:rPr>
                <w:rFonts w:hint="eastAsia" w:ascii="宋体" w:hAnsi="宋体" w:eastAsia="宋体" w:cs="宋体"/>
                <w:color w:val="auto"/>
                <w:spacing w:val="-1"/>
                <w:sz w:val="21"/>
                <w:szCs w:val="21"/>
                <w:highlight w:val="none"/>
              </w:rPr>
            </w:pPr>
          </w:p>
          <w:p w14:paraId="785A794A">
            <w:pPr>
              <w:spacing w:before="46" w:line="220" w:lineRule="auto"/>
              <w:ind w:left="1464"/>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送货单位盖章确认：</w:t>
            </w:r>
          </w:p>
          <w:p w14:paraId="4601B2E8">
            <w:pPr>
              <w:spacing w:line="248" w:lineRule="auto"/>
              <w:rPr>
                <w:rFonts w:hint="eastAsia" w:ascii="宋体" w:hAnsi="宋体" w:eastAsia="宋体" w:cs="宋体"/>
                <w:color w:val="auto"/>
                <w:sz w:val="21"/>
                <w:szCs w:val="21"/>
                <w:highlight w:val="none"/>
              </w:rPr>
            </w:pPr>
          </w:p>
          <w:p w14:paraId="0971CBF9">
            <w:pPr>
              <w:spacing w:line="249" w:lineRule="auto"/>
              <w:rPr>
                <w:rFonts w:hint="eastAsia" w:ascii="宋体" w:hAnsi="宋体" w:eastAsia="宋体" w:cs="宋体"/>
                <w:color w:val="auto"/>
                <w:sz w:val="21"/>
                <w:szCs w:val="21"/>
                <w:highlight w:val="none"/>
              </w:rPr>
            </w:pPr>
          </w:p>
          <w:p w14:paraId="1F968981">
            <w:pPr>
              <w:spacing w:line="249" w:lineRule="auto"/>
              <w:rPr>
                <w:rFonts w:hint="eastAsia" w:ascii="宋体" w:hAnsi="宋体" w:eastAsia="宋体" w:cs="宋体"/>
                <w:color w:val="auto"/>
                <w:sz w:val="21"/>
                <w:szCs w:val="21"/>
                <w:highlight w:val="none"/>
              </w:rPr>
            </w:pPr>
          </w:p>
          <w:p w14:paraId="5DCCE081">
            <w:pPr>
              <w:spacing w:line="249" w:lineRule="auto"/>
              <w:rPr>
                <w:rFonts w:hint="eastAsia" w:ascii="宋体" w:hAnsi="宋体" w:eastAsia="宋体" w:cs="宋体"/>
                <w:color w:val="auto"/>
                <w:sz w:val="21"/>
                <w:szCs w:val="21"/>
                <w:highlight w:val="none"/>
              </w:rPr>
            </w:pPr>
          </w:p>
          <w:p w14:paraId="06005840">
            <w:pPr>
              <w:spacing w:before="52" w:line="220" w:lineRule="auto"/>
              <w:ind w:left="1464"/>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
                <w:sz w:val="21"/>
                <w:szCs w:val="21"/>
                <w:highlight w:val="none"/>
              </w:rPr>
              <w:t>送货单位代表签字</w:t>
            </w:r>
            <w:r>
              <w:rPr>
                <w:rFonts w:hint="eastAsia" w:ascii="宋体" w:hAnsi="宋体" w:eastAsia="宋体" w:cs="宋体"/>
                <w:color w:val="auto"/>
                <w:spacing w:val="-1"/>
                <w:sz w:val="21"/>
                <w:szCs w:val="21"/>
                <w:highlight w:val="none"/>
                <w:lang w:eastAsia="zh-CN"/>
              </w:rPr>
              <w:t>：</w:t>
            </w:r>
          </w:p>
          <w:p w14:paraId="36FA3866">
            <w:pPr>
              <w:spacing w:before="201" w:line="220" w:lineRule="auto"/>
              <w:ind w:left="2746"/>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年</w:t>
            </w:r>
            <w:r>
              <w:rPr>
                <w:rFonts w:hint="eastAsia" w:ascii="宋体" w:hAnsi="宋体" w:eastAsia="宋体" w:cs="宋体"/>
                <w:color w:val="auto"/>
                <w:spacing w:val="6"/>
                <w:sz w:val="21"/>
                <w:szCs w:val="21"/>
                <w:highlight w:val="none"/>
              </w:rPr>
              <w:t xml:space="preserve"> </w:t>
            </w:r>
            <w:r>
              <w:rPr>
                <w:rFonts w:hint="eastAsia" w:ascii="宋体" w:hAnsi="宋体" w:eastAsia="宋体" w:cs="宋体"/>
                <w:color w:val="auto"/>
                <w:spacing w:val="6"/>
                <w:sz w:val="21"/>
                <w:szCs w:val="21"/>
                <w:highlight w:val="none"/>
                <w:lang w:val="en-US" w:eastAsia="zh-CN"/>
              </w:rPr>
              <w:t xml:space="preserve">  </w:t>
            </w:r>
            <w:r>
              <w:rPr>
                <w:rFonts w:hint="eastAsia" w:ascii="宋体" w:hAnsi="宋体" w:eastAsia="宋体" w:cs="宋体"/>
                <w:color w:val="auto"/>
                <w:spacing w:val="-6"/>
                <w:sz w:val="21"/>
                <w:szCs w:val="21"/>
                <w:highlight w:val="none"/>
              </w:rPr>
              <w:t>月</w:t>
            </w:r>
            <w:r>
              <w:rPr>
                <w:rFonts w:hint="eastAsia" w:ascii="宋体" w:hAnsi="宋体" w:eastAsia="宋体" w:cs="宋体"/>
                <w:color w:val="auto"/>
                <w:spacing w:val="16"/>
                <w:sz w:val="21"/>
                <w:szCs w:val="21"/>
                <w:highlight w:val="none"/>
              </w:rPr>
              <w:t xml:space="preserve"> </w:t>
            </w:r>
            <w:r>
              <w:rPr>
                <w:rFonts w:hint="eastAsia" w:ascii="宋体" w:hAnsi="宋体" w:eastAsia="宋体" w:cs="宋体"/>
                <w:color w:val="auto"/>
                <w:spacing w:val="16"/>
                <w:sz w:val="21"/>
                <w:szCs w:val="21"/>
                <w:highlight w:val="none"/>
                <w:lang w:val="en-US" w:eastAsia="zh-CN"/>
              </w:rPr>
              <w:t xml:space="preserve"> </w:t>
            </w:r>
            <w:r>
              <w:rPr>
                <w:rFonts w:hint="eastAsia" w:ascii="宋体" w:hAnsi="宋体" w:eastAsia="宋体" w:cs="宋体"/>
                <w:color w:val="auto"/>
                <w:spacing w:val="16"/>
                <w:sz w:val="21"/>
                <w:szCs w:val="21"/>
                <w:highlight w:val="none"/>
              </w:rPr>
              <w:t xml:space="preserve"> </w:t>
            </w:r>
            <w:r>
              <w:rPr>
                <w:rFonts w:hint="eastAsia" w:ascii="宋体" w:hAnsi="宋体" w:eastAsia="宋体" w:cs="宋体"/>
                <w:color w:val="auto"/>
                <w:spacing w:val="-6"/>
                <w:sz w:val="21"/>
                <w:szCs w:val="21"/>
                <w:highlight w:val="none"/>
              </w:rPr>
              <w:t>日</w:t>
            </w:r>
          </w:p>
        </w:tc>
      </w:tr>
    </w:tbl>
    <w:p w14:paraId="23399DCA">
      <w:pPr>
        <w:rPr>
          <w:rFonts w:hint="eastAsia" w:ascii="宋体" w:hAnsi="宋体" w:eastAsia="宋体" w:cs="宋体"/>
          <w:color w:val="auto"/>
          <w:highlight w:val="none"/>
          <w:lang w:val="en-US" w:eastAsia="zh-CN"/>
        </w:rPr>
      </w:pPr>
    </w:p>
    <w:p w14:paraId="1199D685">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br w:type="page"/>
      </w:r>
    </w:p>
    <w:p w14:paraId="05B6D161">
      <w:pPr>
        <w:pStyle w:val="3"/>
        <w:bidi w:val="0"/>
        <w:rPr>
          <w:rFonts w:hint="eastAsia" w:ascii="宋体" w:hAnsi="宋体" w:eastAsia="宋体" w:cs="宋体"/>
          <w:color w:val="auto"/>
          <w:highlight w:val="none"/>
          <w:lang w:val="en-US" w:eastAsia="zh-CN"/>
        </w:rPr>
      </w:pPr>
      <w:bookmarkStart w:id="725" w:name="_Toc3569"/>
      <w:r>
        <w:rPr>
          <w:rFonts w:hint="eastAsia" w:ascii="宋体" w:hAnsi="宋体" w:eastAsia="宋体" w:cs="宋体"/>
          <w:color w:val="auto"/>
          <w:highlight w:val="none"/>
          <w:lang w:val="en-US" w:eastAsia="zh-CN"/>
        </w:rPr>
        <w:t>附件3：</w:t>
      </w:r>
      <w:bookmarkEnd w:id="725"/>
      <w:r>
        <w:rPr>
          <w:rFonts w:hint="eastAsia" w:ascii="宋体" w:hAnsi="宋体" w:eastAsia="宋体" w:cs="宋体"/>
          <w:color w:val="auto"/>
          <w:highlight w:val="none"/>
          <w:lang w:val="en-US" w:eastAsia="zh-CN"/>
        </w:rPr>
        <w:t>东莞市碧水信息科技有限公司2025年度</w:t>
      </w:r>
      <w:r>
        <w:rPr>
          <w:rFonts w:hint="eastAsia" w:ascii="宋体" w:hAnsi="宋体" w:eastAsia="宋体" w:cs="宋体"/>
          <w:color w:val="auto"/>
          <w:sz w:val="21"/>
          <w:szCs w:val="21"/>
          <w:highlight w:val="none"/>
          <w:lang w:val="en-US" w:eastAsia="zh-CN"/>
        </w:rPr>
        <w:t>阀门</w:t>
      </w:r>
      <w:r>
        <w:rPr>
          <w:rFonts w:hint="eastAsia" w:ascii="宋体" w:hAnsi="宋体" w:eastAsia="宋体" w:cs="宋体"/>
          <w:color w:val="auto"/>
          <w:highlight w:val="none"/>
          <w:lang w:val="en-US" w:eastAsia="zh-CN"/>
        </w:rPr>
        <w:t>采购清单及价格表</w:t>
      </w:r>
    </w:p>
    <w:tbl>
      <w:tblPr>
        <w:tblStyle w:val="20"/>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23"/>
        <w:gridCol w:w="1504"/>
        <w:gridCol w:w="1506"/>
        <w:gridCol w:w="1483"/>
        <w:gridCol w:w="966"/>
        <w:gridCol w:w="1014"/>
        <w:gridCol w:w="1397"/>
        <w:gridCol w:w="1897"/>
      </w:tblGrid>
      <w:tr w14:paraId="150B4A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EEA8B1">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序号</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D415D4">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物品名称</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F5621B">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规格</w:t>
            </w:r>
            <w:r>
              <w:rPr>
                <w:rFonts w:hint="eastAsia" w:ascii="宋体" w:hAnsi="宋体" w:eastAsia="宋体" w:cs="宋体"/>
                <w:b/>
                <w:bCs/>
                <w:i w:val="0"/>
                <w:iCs w:val="0"/>
                <w:color w:val="auto"/>
                <w:kern w:val="0"/>
                <w:sz w:val="21"/>
                <w:szCs w:val="21"/>
                <w:highlight w:val="none"/>
                <w:u w:val="none"/>
                <w:lang w:val="en-US" w:eastAsia="zh-CN" w:bidi="ar"/>
              </w:rPr>
              <w:br w:type="textWrapping"/>
            </w:r>
            <w:r>
              <w:rPr>
                <w:rFonts w:hint="eastAsia" w:ascii="宋体" w:hAnsi="宋体" w:eastAsia="宋体" w:cs="宋体"/>
                <w:b/>
                <w:bCs/>
                <w:i w:val="0"/>
                <w:iCs w:val="0"/>
                <w:color w:val="auto"/>
                <w:kern w:val="0"/>
                <w:sz w:val="21"/>
                <w:szCs w:val="21"/>
                <w:highlight w:val="none"/>
                <w:u w:val="none"/>
                <w:lang w:val="en-US" w:eastAsia="zh-CN" w:bidi="ar"/>
              </w:rPr>
              <w:t>（公称直径）</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623F09">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材质</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D767A">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单位</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07C62E">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b/>
                <w:bCs/>
                <w:i w:val="0"/>
                <w:iCs w:val="0"/>
                <w:color w:val="auto"/>
                <w:sz w:val="21"/>
                <w:szCs w:val="21"/>
                <w:highlight w:val="none"/>
                <w:u w:val="none"/>
                <w:lang w:val="en-US" w:eastAsia="zh-CN"/>
              </w:rPr>
              <w:t>计划</w:t>
            </w:r>
          </w:p>
          <w:p w14:paraId="13FA4387">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b/>
                <w:bCs/>
                <w:i w:val="0"/>
                <w:iCs w:val="0"/>
                <w:color w:val="auto"/>
                <w:sz w:val="21"/>
                <w:szCs w:val="21"/>
                <w:highlight w:val="none"/>
                <w:u w:val="none"/>
                <w:lang w:val="en-US" w:eastAsia="zh-CN"/>
              </w:rPr>
              <w:t>数量</w:t>
            </w:r>
          </w:p>
        </w:tc>
        <w:tc>
          <w:tcPr>
            <w:tcW w:w="6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1DBB9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不含税预算综合单价</w:t>
            </w:r>
          </w:p>
          <w:p w14:paraId="08A4EAC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（元）</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38089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bCs/>
                <w:i w:val="0"/>
                <w:iCs w:val="0"/>
                <w:color w:val="auto"/>
                <w:sz w:val="21"/>
                <w:szCs w:val="21"/>
                <w:highlight w:val="none"/>
                <w:u w:val="none"/>
              </w:rPr>
            </w:pPr>
            <w:r>
              <w:rPr>
                <w:rFonts w:hint="eastAsia" w:cs="宋体"/>
                <w:b/>
                <w:bCs/>
                <w:i w:val="0"/>
                <w:iCs w:val="0"/>
                <w:color w:val="auto"/>
                <w:kern w:val="0"/>
                <w:sz w:val="21"/>
                <w:szCs w:val="21"/>
                <w:highlight w:val="none"/>
                <w:u w:val="none"/>
                <w:lang w:val="en-US" w:eastAsia="zh-CN" w:bidi="ar"/>
              </w:rPr>
              <w:t>备注</w:t>
            </w:r>
          </w:p>
        </w:tc>
      </w:tr>
      <w:tr w14:paraId="242B3C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7F830">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1</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432A04">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法兰闸阀</w:t>
            </w:r>
          </w:p>
        </w:tc>
        <w:tc>
          <w:tcPr>
            <w:tcW w:w="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D37DB">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DN50</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0FDC43">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93758E">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DBDD8C">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80</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384BD">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129.33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C26C8">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7D7083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3C8E2">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2</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622F66">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法兰闸阀</w:t>
            </w:r>
          </w:p>
        </w:tc>
        <w:tc>
          <w:tcPr>
            <w:tcW w:w="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4FC1D">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DN65</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8AD7D1">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F9D628">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9C960E">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10</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6C32C">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155.00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AB411">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027D04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BBA75">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3</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865086">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法兰闸阀</w:t>
            </w:r>
          </w:p>
        </w:tc>
        <w:tc>
          <w:tcPr>
            <w:tcW w:w="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195CE">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DN80</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CBCE8F">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8A4136">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C498DF">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421</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40E31">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165.33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8F51D">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1DC82B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24160">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4</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3F5957">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法兰闸阀</w:t>
            </w:r>
          </w:p>
        </w:tc>
        <w:tc>
          <w:tcPr>
            <w:tcW w:w="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88A37">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DN100</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D549FD">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9993E4">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BDD6E4">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1049</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844B9">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183.67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E8F45">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0AA755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D1466">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5</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E0FCAA">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法兰闸阀</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A4C8DB">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DN125</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97AE23">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F5FA37">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081360">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3</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D5DBE">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289.67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F2119">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24B04C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4CE80">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6</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A0E3E4">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法兰闸阀</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018564">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DN150</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390C6F">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9DE7BB">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6FF7D3">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320</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89EB0">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336.00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379A2">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3F6BBB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72995">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7</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742865">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法兰闸阀</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4F0D3E">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DN200</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B9C95C">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5319C">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EF1F39">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260</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D43AC">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556.00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B431A">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69604B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91951">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8</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E2C534">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法兰闸阀</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A8A34B">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DN250</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28FA7E">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2EC158">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021A61">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10</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858E8">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975.67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AE097">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63618B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1565F">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9</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D4BE1">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法兰闸阀</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4DB526">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DN300</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3474F2">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CE86E4">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066092">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30</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F4528">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1,496.33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2BCC1">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6EFC4A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38F53">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10</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71FDE2">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法兰闸阀</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99A817">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DN350</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B68E06">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60174">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F135E7">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3</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9AC40">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2,312.00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2BE36">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514619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09D99">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11</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0A01BD">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法兰闸阀</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2D419C">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DN400</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CA8561">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869F77">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EBB05E">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15</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83899">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2,892.00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F70E9">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0DE646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2A953">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12</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E7D757">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法兰闸阀</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9518B9">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DN450</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4B5511">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3B64FF">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875368">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3</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C7FC0">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3,833.00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4E413">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4EC549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8EF20">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13</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51E6E">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法兰闸阀</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821322">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DN500</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927D6B">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2E2C02">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1E1972">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4</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9FE99">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5,553.67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A1F50">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43A639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8FF54">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14</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201E1E">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法兰闸阀</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1B08F7">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DN600</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E9AC2E">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5C0404">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BEAE42">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4</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21AE9">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6,990.00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160CB">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238070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3CBA6">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15</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E13E6A">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法兰蝶阀</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394886">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DN50</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5A6CD8">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90B296">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F6E360">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6</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6B710">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137.67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16DC4">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2DD281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292E8">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16</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3BDA25">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法兰蝶阀</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B54F7E">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DN65</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EF1D8E">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74C83D">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E508B1">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3</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38731">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169.67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D2732">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33458C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1C135">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17</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69258B">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法兰蝶阀</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F32468">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DN80</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EB98B6">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1237A4">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A824DE">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85</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B8482">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208.67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3E25F">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4DC106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29520">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18</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5E8066">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法兰蝶阀</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725600">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DN100</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2F487E">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3EA14F">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044FDD">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200</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5C646">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248.67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8ADD9">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6BDE8B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C38B9">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19</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F4E8E3">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法兰蝶阀</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72B4D">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DN125</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B71EEC">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4D5E3D">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AE01CD">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3</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BF8A6">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324.33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0C652">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27AEF9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7EE0C">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20</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231F83">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法兰蝶阀</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617A86">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DN150</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89EA9B">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4D1EF1">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6441F4">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120</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99E12">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358.67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FDDE2">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04897A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F59DF">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21</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7AD591">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法兰蝶阀</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6183CE">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DN200</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17774B">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215F3E">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51316A">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95</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EB778">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533.00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75462">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7B03B9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E2C48">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22</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704D5B">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法兰蝶阀</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38038D">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DN250</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6765D0">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2C5CE">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3891DE">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6</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A684B">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738.33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FECBE">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5C39DE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47381">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23</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2C49AD">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法兰蝶阀</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72C830">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DN300</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5D7AAC">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7330DF">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51FAAF">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84</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DFEAA">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1,054.00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6891E">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6B9C1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1D22B">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24</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364062">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法兰蝶阀</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A76B8">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DN350</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17AA8E">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88E4AD">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8EAD84">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3</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A7A68">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1,523.33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4F8B8">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20D00D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A6CBA">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25</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4B07AA">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法兰蝶阀</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1067CA">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DN400</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14722E">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944A99">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78CFE6">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49</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68CFD">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2,319.67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BB47E">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41B343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57961">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26</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89D9DC">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法兰蝶阀</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B80B76">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DN450</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E98155">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6F4688">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D36836">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3</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DFCE8">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2,676.00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A31CB">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463B8F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1FE4F">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27</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B7A49A">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法兰蝶阀</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29E31B">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DN500</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F202E1">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BF87D8">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D7CD3A">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11</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5B8EC">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3,258.33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3A6A1">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1CB3A9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0FF49">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28</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549C75">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法兰蝶阀</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AB8A42">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DN600</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5C0D71">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B22C1A">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4F8143">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21</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14461">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5,168.00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FB19C">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543097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996D0">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29</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93DD19">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法兰蝶阀</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ABF9D">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DN700</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D1D299">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54EE8">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E44CC8">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3</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CCC13">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11,224.00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40220">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4096BB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28725">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30</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4ECDD2">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法兰蝶阀</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404570">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DN750</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45BE94">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88E2BF">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BCA45">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3</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49E5F">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12,003.00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54C69">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286BB4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68F06">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31</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6329D8">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法兰蝶阀</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0328D5">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DN800</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FF530F">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7ABF6D">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4D99B6">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3</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C9DEE">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13,378.33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2634F">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088978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CC59F">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32</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D1346">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法兰蝶阀</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FFDBA4">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DN900</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A5BB47">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62541C">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4107FE">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3</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EDB5F">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16,590.00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CC5EE">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3DEB2D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5BA1A">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33</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7D16F1">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法兰蝶阀</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3E43F3">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DN1000</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94C65B">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103ACD">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81D56E">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11</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2CC24">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20,574.67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A4B2C">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7ED49F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21D81">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34</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095DF8">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法兰蝶阀</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8AD981">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DN1200</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C1AA6A">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EB2F91">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622D3E">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5</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703B5">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35,056.33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DE98D">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6121A1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BF2D9">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35</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34BF9A">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法兰蝶阀</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337CB2">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DN1400</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A7E2A8">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13B2F4">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5BD555">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3</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AB305">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60,067.00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8F63F">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2AC6C1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81E73">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36</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709B8F">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法兰蝶阀</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8CB8AD">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DN1600</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CD2BAB">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D20916">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BBFD58">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3</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27F2E">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111,724.67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B577C">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04F0EA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CE1AE">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37</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03B383">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对夹式蝶阀</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94BA36">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DN50</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21550C">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E29B30">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C1773D">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3</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8B704">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69.33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6767C">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3CC758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B7512">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38</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EAE3F2">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对夹式蝶阀</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83F652">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DN65</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FC97D4">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DC8D8A">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D01BFA">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3</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F3372">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82.00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9B1A9">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1A415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55044">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39</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B24285">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对夹式蝶阀</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81A83C">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DN80</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DEF1AC">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A4665D">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AE40FE">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9</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B09B0">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92.67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E51E5">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579EB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159A0">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40</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AEC1C7">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对夹式蝶阀</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DD76D2">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DN100</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6E6E43">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FAB258">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E95ADD">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30</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8AAF2">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114.33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DB75D">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251EDD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C5A3C">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41</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E87696">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对夹式蝶阀</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71C887">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DN150</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196F70">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2CF8CB">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C1A231">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11</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F6B20">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147.67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90E8E">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7E8C5C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3B4B7">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42</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8516C7">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对夹式蝶阀</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A7CBB6">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DN200</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082C98">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9342D4">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1E9036">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5</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82DD1">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400.67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D52D2">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33557E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437DA">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43</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F3CF3B">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对夹式蝶阀</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EB87E7">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DN250</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F8D95">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BC8760">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069B7E">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3</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A5FEF">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537.67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AD453">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0FED8E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43970">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44</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AAFD2F">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对夹式蝶阀</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F72632">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DN300</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E18870">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0D508F">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461738">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3</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23D0D">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856.33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2B18E">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008278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D4FF5">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45</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739596">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对夹式蝶阀</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E1504E">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DN350</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664FE4">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38D066">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0C405">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3</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D2E70">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1,097.33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F5498">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25CE14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A3B43">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46</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EB2622">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对夹式蝶阀</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44C08E">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DN400</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DE571C">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F4D937">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EB6917">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4</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84A41">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1,698.33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14580">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67ABBB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B60BA">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47</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EC7A13">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对夹式蝶阀</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80EEC7">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DN500</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868FB0">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DE141B">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C9F9E6">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4</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A231D">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2,650.67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2FBCE">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62A0E1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04AD1">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48</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254CBD">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对夹式蝶阀</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E7B6D4">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DN600</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735289">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F2CB9A">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2B422F">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4</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A8200">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4,559.67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CFABF">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66D98F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EA245">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49</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D871CC">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法兰止回阀</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1F8A1D">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DN50</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4AE9B1">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7B3DDB">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3A498C">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4</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70A0A">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131.67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23089">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021F99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CF877">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50</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CD80CC">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法兰止回阀</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1CEBB8">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DN65</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7A532">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A98B2">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9EFFB7">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4</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2608B">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177.33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B7C7E">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7A9314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52BD4">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51</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4B6EE3">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法兰止回阀</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150A64">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DN80</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9F6474">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1BE3FC">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4E644F">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38</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E69B9">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219.67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AF70B">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15C38F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FCDAF">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52</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8F0021">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法兰止回阀</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091EE6">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DN100</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DAE247">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8CDD03">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17B7FC">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70</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C7483">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241.67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77F47">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08C2E7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6A123">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53</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95B2A4">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法兰止回阀</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A54A94">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DN125</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193FD1">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3AEA7F">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ABDCFF">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4</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24BD4">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358.00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9BA33">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224508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24F90">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54</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73A5E8">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法兰止回阀</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6AFAF0">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DN150</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78D07A">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076151">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3B97F8">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150</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EE8B3">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418.33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C0C5A">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6AACA5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A834D">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55</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496799">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法兰止回阀</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CE0387">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DN200</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366A7D">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A0DA30">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9BE752">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8</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486EC">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691.67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00F45">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5D1270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8BB14">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56</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622539">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法兰止回阀</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51B31E">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DN250</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A8D0F4">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ED6031">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EA198F">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4</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45FF7">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1,471.33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FD55C">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7C6E21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75D26">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57</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47C228">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法兰止回阀</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3A0D82">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DN300</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284A5C">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DFECA8">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3F275A">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4</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AC602">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2,060.00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620DA">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0D99C9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E5538">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58</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8DAC10">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法兰止回阀</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B3A859">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DN350</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8E1303">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9A62BE">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383A9B">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4</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60D3D">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2,372.67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96AB7">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0E977D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A53F4">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59</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5FBD93">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法兰止回阀</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6DC8DE">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DN400</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EA769F">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64D948">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FFB5A9">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4</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D4D86">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3,265.00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D678A">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6B59A0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1F247">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60</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8DE8D0">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法兰止回阀</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A2A128">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DN500</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D90063">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7D8DE7">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CBFA59">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4</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E6D16">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5,355.33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1479E">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013BBD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42A4B">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61</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D04B18">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法兰止回阀</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54D6FC">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DN600</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EB65B7">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7BA61C">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5C5D08">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4</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B490A">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7,116.33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9B066">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6688A6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3A097">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62</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905E4D">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复合式排气阀</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5D446D">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DN50</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828E59">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8B653A">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9C2D7A">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25</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FD583">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438.00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69B50">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73C0B8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7570D">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63</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67C013">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复合式排气阀</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B1EB46">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DN80</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F12457">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00D641">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FA38F4">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12</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363BF">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533.00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2901D">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0D2BF2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8DE40">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64</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EC8D21">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复合式排气阀</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38B5F">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DN100</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889057">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4CEA1">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5531DF">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6</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E7758">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584.00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E6AB4">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38B10F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56F44">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65</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E555AD">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复合式排气阀</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47C031">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DN150</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BC5167">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07CE41">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F572F2">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12</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F990D">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1,145.00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4CA44">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0910AF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A188E">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66</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DF94E1">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复合式排气阀</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EEDF0B">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DN200</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26CECF">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8013BC">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8F3AFA">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12</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DA804">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1,498.33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232DB">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3E96AB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1F80D">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67</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C88EF0">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复合式排气阀</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A09576">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DN250</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BC0F46">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8E28F2">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F5F3C9">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6</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82502">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2,755.33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DFB73">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1D7B30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05DA5">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68</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51DD05">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复合式排气阀</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D87423">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DN300</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4A0E68">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CDFEE1">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0BFA17">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6</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2C271">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3,389.00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BF743">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5B112B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84DA6">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69</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A8E599">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先导式减压阀</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DCA686">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DN50</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5D22D4">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8BD2E4">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2B5903">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6</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8CEB0">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535.00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D2198">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6EDF8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6FA09">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70</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4DAF81">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先导式减压阀</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94F01A">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DN65</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A93268">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FD9740">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A606B2">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6</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21D75">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596.67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583D6">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12BCEE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26153">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71</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307B1F">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先导式减压阀</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7BC86">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DN80</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1DD557">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C74CFD">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3A763F">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6</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BCF3A">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662.67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F330C">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0ACC04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13519">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72</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48C332">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先导式减压阀</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2F4A1C">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DN100</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5A4BE5">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33AE92">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87A333">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6</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38516">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742.67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1A2DA">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7C803B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6D84A">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73</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6DF4AA">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加密法兰闸阀</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49AACC">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DN50</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EB2E84">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59B498">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012EC8">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6</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93F73">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293.33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9EA66">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70ACAD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307E0">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74</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1DB5E2">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加密法兰闸阀</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2F8337">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DN65</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6534FF">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C33CBE">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9A8CBF">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6</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B3181">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354.67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F0F47">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617EFE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6A62C">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75</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B86EB1">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加密法兰闸阀</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2948CB">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DN80</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845C62">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1BDFCC">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B11753">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6</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47E4A">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424.33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00AB2">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36DD81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DB86A">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76</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7DBF18">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加密法兰闸阀</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244534">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DN100</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98E35B">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220336">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935F37">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15</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06CB3">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476.67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F8AA7">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31DBED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57802">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77</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09824F">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加密法兰闸阀</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18CC61">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DN125</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0BC6E2">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EB926B">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E46E72">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6</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37900">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692.67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A49D0">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5CAB4E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4D306">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78</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8C6657">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加密法兰闸阀</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424CAB">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DN150</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2DFA72">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F68551">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91D9AE">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6</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6610D">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782.67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7A01C">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377D15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53696">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79</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3AED12">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加密法兰闸阀</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6F4AA4">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DN200</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CFA27C">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F13CA">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831548">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6</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7D88E">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1,277.67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D2AB1">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5678FC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C97BA">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80</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C00FC7">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加密法兰闸阀</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FF4520">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DN250</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75A1F9">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CA84B5">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F32A9F">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6</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1FE3E">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1,925.00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7BED6">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0E2B4E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699D4">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81</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26912E">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加密法兰闸阀</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266E5A">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DN300</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058AEA">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17C487">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8912D4">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6</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0C2F4">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2,393.00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AA9A0">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1EE0D0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09B31">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82</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90F4C9">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加密法兰闸阀</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599A45">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DN350</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A37C5D">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866271">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30F0C5">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6</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B60EF">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3,460.00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2A323">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251035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F36B5">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83</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9D8DD1">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加密法兰闸阀</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71516F">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DN400</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391A8E">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EBC06A">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C87C86">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6</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F4E1D">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4,149.33 </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8A6AA">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bl>
    <w:p w14:paraId="287B9F88">
      <w:pPr>
        <w:rPr>
          <w:rFonts w:hint="eastAsia" w:ascii="宋体" w:hAnsi="宋体" w:eastAsia="宋体" w:cs="宋体"/>
          <w:color w:val="auto"/>
          <w:highlight w:val="none"/>
          <w:lang w:val="en-US" w:eastAsia="zh-CN"/>
        </w:rPr>
      </w:pPr>
    </w:p>
    <w:p w14:paraId="4D64B72C">
      <w:pPr>
        <w:bidi w:val="0"/>
        <w:rPr>
          <w:rFonts w:hint="eastAsia" w:ascii="宋体" w:hAnsi="宋体" w:eastAsia="宋体" w:cs="宋体"/>
          <w:color w:val="auto"/>
          <w:highlight w:val="none"/>
          <w:lang w:val="en-US" w:eastAsia="zh-CN"/>
        </w:rPr>
      </w:pPr>
    </w:p>
    <w:p w14:paraId="0B11A18F">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67B8C87C">
      <w:pPr>
        <w:pStyle w:val="3"/>
        <w:bidi w:val="0"/>
        <w:rPr>
          <w:rFonts w:hint="eastAsia" w:ascii="宋体" w:hAnsi="宋体" w:eastAsia="宋体" w:cs="宋体"/>
          <w:color w:val="auto"/>
          <w:highlight w:val="none"/>
        </w:rPr>
      </w:pPr>
      <w:bookmarkStart w:id="726" w:name="_Toc17105"/>
      <w:r>
        <w:rPr>
          <w:rFonts w:hint="eastAsia" w:ascii="宋体" w:hAnsi="宋体" w:eastAsia="宋体" w:cs="宋体"/>
          <w:color w:val="auto"/>
          <w:highlight w:val="none"/>
        </w:rPr>
        <w:t>附件</w:t>
      </w: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rPr>
        <w:t>：廉洁协议书</w:t>
      </w:r>
      <w:bookmarkEnd w:id="726"/>
    </w:p>
    <w:p w14:paraId="77D0FF55">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t>廉洁协议书</w:t>
      </w:r>
    </w:p>
    <w:p w14:paraId="48A18597">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r>
        <w:rPr>
          <w:rFonts w:hint="eastAsia" w:cs="宋体"/>
          <w:color w:val="auto"/>
          <w:kern w:val="2"/>
          <w:sz w:val="21"/>
          <w:szCs w:val="21"/>
          <w:highlight w:val="none"/>
          <w:lang w:val="en-US" w:eastAsia="zh-CN" w:bidi="ar-SA"/>
        </w:rPr>
        <w:t>东莞市碧水信息科技有限公司2025年度球墨铸铁阀门采购项目（第三次招标）</w:t>
      </w:r>
      <w:r>
        <w:rPr>
          <w:rFonts w:hint="eastAsia" w:ascii="宋体" w:hAnsi="宋体" w:eastAsia="宋体" w:cs="宋体"/>
          <w:color w:val="auto"/>
          <w:sz w:val="21"/>
          <w:szCs w:val="21"/>
          <w:highlight w:val="none"/>
        </w:rPr>
        <w:t>（招标编号：</w:t>
      </w:r>
      <w:r>
        <w:rPr>
          <w:rFonts w:hint="eastAsia" w:cs="宋体"/>
          <w:color w:val="auto"/>
          <w:sz w:val="21"/>
          <w:szCs w:val="21"/>
          <w:highlight w:val="none"/>
          <w:lang w:val="en-US" w:eastAsia="zh-CN"/>
        </w:rPr>
        <w:t>YDZB25DGQY0149-2</w:t>
      </w:r>
      <w:r>
        <w:rPr>
          <w:rFonts w:hint="eastAsia" w:ascii="宋体" w:hAnsi="宋体" w:eastAsia="宋体" w:cs="宋体"/>
          <w:color w:val="auto"/>
          <w:sz w:val="21"/>
          <w:szCs w:val="21"/>
          <w:highlight w:val="none"/>
        </w:rPr>
        <w:t>）</w:t>
      </w:r>
    </w:p>
    <w:p w14:paraId="2D89DF89">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w:t>
      </w:r>
    </w:p>
    <w:p w14:paraId="224FB47D">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w:t>
      </w:r>
    </w:p>
    <w:p w14:paraId="3269889F">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为规范甲乙双方在订立、履行合同及经济业务往来过程中的行为，保持廉洁自律的工作作风,防止各种违法及不正当行为的发生,确保甲乙双方及其工作人员自觉遵守国家</w:t>
      </w:r>
      <w:r>
        <w:rPr>
          <w:rFonts w:hint="eastAsia" w:ascii="宋体" w:hAnsi="宋体" w:eastAsia="宋体" w:cs="宋体"/>
          <w:color w:val="auto"/>
          <w:sz w:val="21"/>
          <w:szCs w:val="21"/>
          <w:highlight w:val="none"/>
          <w:lang w:eastAsia="zh-CN"/>
        </w:rPr>
        <w:t>法律法规</w:t>
      </w:r>
      <w:r>
        <w:rPr>
          <w:rFonts w:hint="eastAsia" w:ascii="宋体" w:hAnsi="宋体" w:eastAsia="宋体" w:cs="宋体"/>
          <w:color w:val="auto"/>
          <w:sz w:val="21"/>
          <w:szCs w:val="21"/>
          <w:highlight w:val="none"/>
        </w:rPr>
        <w:t>及廉洁从业各项规定，特订立本协议。</w:t>
      </w:r>
    </w:p>
    <w:p w14:paraId="01D4A8E0">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第一条  甲乙双方的权利和义务</w:t>
      </w:r>
    </w:p>
    <w:p w14:paraId="4BE7321D">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（一）严格遵守党和国家有关法律法规等有关廉洁从业规定。</w:t>
      </w:r>
    </w:p>
    <w:p w14:paraId="33CDABB9">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（二）严格执行本项目的合同文件，自觉按合同办事。</w:t>
      </w:r>
    </w:p>
    <w:p w14:paraId="334564E8">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（三）双方的业务活动坚持公开、公正、诚信、透明的原则（除法律认定的商业秘密和合同文件另有规定之外）不得损害国家和集体利益，违反法律法</w:t>
      </w:r>
      <w:r>
        <w:rPr>
          <w:rFonts w:hint="eastAsia" w:ascii="宋体" w:hAnsi="宋体" w:eastAsia="宋体" w:cs="宋体"/>
          <w:color w:val="auto"/>
          <w:sz w:val="21"/>
          <w:szCs w:val="21"/>
          <w:highlight w:val="none"/>
          <w:lang w:eastAsia="zh-CN"/>
        </w:rPr>
        <w:t>规和</w:t>
      </w:r>
      <w:r>
        <w:rPr>
          <w:rFonts w:hint="eastAsia" w:ascii="宋体" w:hAnsi="宋体" w:eastAsia="宋体" w:cs="宋体"/>
          <w:color w:val="auto"/>
          <w:sz w:val="21"/>
          <w:szCs w:val="21"/>
          <w:highlight w:val="none"/>
        </w:rPr>
        <w:t>规章制度。</w:t>
      </w:r>
    </w:p>
    <w:p w14:paraId="18866D25">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（四）建立健全廉洁制度，开展廉洁教育，设立廉洁监督公示牌，公布举报电话，监督并认真查处违法违纪行为。</w:t>
      </w:r>
    </w:p>
    <w:p w14:paraId="2F7C6386">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（五）发现对方在业务活动中有违反廉洁规定的行为，有及时提醒对方纠正的权利和义务。</w:t>
      </w:r>
    </w:p>
    <w:p w14:paraId="0DF57D2A">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（六）发现对方严重违反本协议义务条款的行为，有向其上级有关部门举报、建议给予处理并要求告知处理结果的权利。</w:t>
      </w:r>
    </w:p>
    <w:p w14:paraId="5F46A6A2">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第二条  甲方的义务</w:t>
      </w:r>
    </w:p>
    <w:p w14:paraId="2ABC852A">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（一）甲方及其工作人员不得索要或接受乙方的礼金、有价证券和贵重物品，不得在乙方报销任何应由甲方或个人支付的费用。</w:t>
      </w:r>
    </w:p>
    <w:p w14:paraId="1318EAC4">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（二）甲方工作人员不得参加乙方安排的高消费宴请和娱乐活动；不得接受乙方提供的通讯工具、交通工具和高档办公用品。</w:t>
      </w:r>
    </w:p>
    <w:p w14:paraId="0332DE1A">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（三）甲方及其工作人员不得要求或者接受乙方为其住房装修、婚丧嫁娶活动、家属或亲友的工作安排以及出国出境、旅游等提供方便。</w:t>
      </w:r>
    </w:p>
    <w:p w14:paraId="57E0DCA9">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（四）甲方工作人员不得向乙方介绍其家属或者亲友（包括家属或亲友开办的公司企业）</w:t>
      </w:r>
      <w:r>
        <w:rPr>
          <w:rFonts w:hint="eastAsia" w:ascii="宋体" w:hAnsi="宋体" w:eastAsia="宋体" w:cs="宋体"/>
          <w:color w:val="auto"/>
          <w:sz w:val="21"/>
          <w:szCs w:val="21"/>
          <w:highlight w:val="none"/>
          <w:lang w:eastAsia="zh-CN"/>
        </w:rPr>
        <w:t>从事</w:t>
      </w:r>
      <w:r>
        <w:rPr>
          <w:rFonts w:hint="eastAsia" w:ascii="宋体" w:hAnsi="宋体" w:eastAsia="宋体" w:cs="宋体"/>
          <w:color w:val="auto"/>
          <w:sz w:val="21"/>
          <w:szCs w:val="21"/>
          <w:highlight w:val="none"/>
        </w:rPr>
        <w:t>本项目涉及的经济业务活动。</w:t>
      </w:r>
    </w:p>
    <w:p w14:paraId="443EAAEF">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（五）甲方及其工作人员不得以任何理由向乙方推荐分包单位，不得要求乙方购买合同规定外的材料和设备。</w:t>
      </w:r>
    </w:p>
    <w:p w14:paraId="0DC09CD9">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（六）甲方及其工作人员不得进行违反廉洁规定的其他活动。</w:t>
      </w:r>
    </w:p>
    <w:p w14:paraId="68B2AC5A">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（七）甲方应对甲方工作人员进行廉洁监督管理，如甲方工作人员违反本协议第一条、第二条，甲方应依据有关法律法规、党纪规定对其进行处理；涉嫌犯罪的，甲方应将其移交司法机关追究刑事责任。</w:t>
      </w:r>
    </w:p>
    <w:p w14:paraId="4DCDAF0D">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第三条  乙方义务</w:t>
      </w:r>
    </w:p>
    <w:p w14:paraId="674DDD56">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（一）乙方不得以任何理由向甲方及其工作人员馈赠礼金、有价证券、贵重礼品，或报销应由甲方单位或个人支付的任何费用。</w:t>
      </w:r>
    </w:p>
    <w:p w14:paraId="12C61E4D">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（二）乙方及其工作人员不得以考察、参观、洽谈业务、签订合同等的借口邀请甲方及其工作人员参加高消费的宴请、娱乐和健身等活动。</w:t>
      </w:r>
    </w:p>
    <w:p w14:paraId="284CA888">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（三）乙方不得为甲方单位和个人购置或提供通讯工具、交通工具和高档办公用品等。</w:t>
      </w:r>
    </w:p>
    <w:p w14:paraId="0713E97F">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（四）乙方及其工作人员不得为甲方工作人员购买、装修、维修私人住房、汽车等。</w:t>
      </w:r>
    </w:p>
    <w:p w14:paraId="45C9B775">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（五）乙方及其工作人员不得为甲方工作人员的婚丧嫁娶、家属或亲友的工作安排，及出国出境提供方便以及报销任何私人消费的费用。</w:t>
      </w:r>
    </w:p>
    <w:p w14:paraId="0B20600D">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（六）乙方及其工作人员不得进行影响甲方及其工作人员公正执行合同和履行职务的其他活动。</w:t>
      </w:r>
    </w:p>
    <w:p w14:paraId="29A4AE45">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七）乙方应对乙方工作人员进行廉洁监督管理，如乙方工作人员违反本协议第一条、第三条，乙方应依据有关法律法规、党纪规定对其进行处理；乙方工作人员涉嫌犯罪的，乙方应将其移交司法机关追究刑事责任。</w:t>
      </w:r>
    </w:p>
    <w:p w14:paraId="793D4400">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第四条  违约责任</w:t>
      </w:r>
    </w:p>
    <w:p w14:paraId="00CB6F0F">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（一）甲方违反本协议第一条、第二条给乙方单位造成经济损失的，应予以赔偿。</w:t>
      </w:r>
    </w:p>
    <w:p w14:paraId="37BB20FE">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（二）乙方违反本协议第一条、第三条给甲方单位造成经济损失的，应予以赔偿。</w:t>
      </w:r>
    </w:p>
    <w:p w14:paraId="337954CE">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第五条  监督检查</w:t>
      </w:r>
    </w:p>
    <w:p w14:paraId="4B937FA8">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甲乙双方的廉洁从业行为由双方或双方上级单位的纪检、监察负责监督，对本协议履行情况进行检查。</w:t>
      </w:r>
    </w:p>
    <w:p w14:paraId="7E02763A">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第六条  举报信访受理</w:t>
      </w:r>
    </w:p>
    <w:p w14:paraId="51B5C8D6">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(一)举报受理部门</w:t>
      </w:r>
      <w:r>
        <w:rPr>
          <w:rFonts w:hint="eastAsia" w:ascii="宋体" w:hAnsi="宋体" w:eastAsia="宋体" w:cs="宋体"/>
          <w:color w:val="auto"/>
          <w:sz w:val="21"/>
          <w:szCs w:val="21"/>
          <w:highlight w:val="none"/>
          <w:lang w:eastAsia="zh-CN"/>
        </w:rPr>
        <w:t>：东莞市水务环境投资控股集团有限公司</w:t>
      </w:r>
      <w:r>
        <w:rPr>
          <w:rFonts w:hint="eastAsia" w:ascii="宋体" w:hAnsi="宋体" w:eastAsia="宋体" w:cs="宋体"/>
          <w:color w:val="auto"/>
          <w:sz w:val="21"/>
          <w:szCs w:val="21"/>
          <w:highlight w:val="none"/>
        </w:rPr>
        <w:t>纪检监察部。</w:t>
      </w:r>
    </w:p>
    <w:p w14:paraId="384EFB45">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(二)举报电话</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(0769)23076092</w:t>
      </w:r>
    </w:p>
    <w:p w14:paraId="736474B2">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(三)信访地址</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广东省东莞市南城街道宏北路16号水业大厦。</w:t>
      </w:r>
    </w:p>
    <w:p w14:paraId="327B9FF2">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第七条  其他</w:t>
      </w:r>
    </w:p>
    <w:p w14:paraId="2AE540D2">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本协议有效期为甲乙双方法定代表人或负责人签字并盖章之日起至该工程/采购项目竣工验收完毕，质保期/服务期满后止。</w:t>
      </w:r>
      <w:r>
        <w:rPr>
          <w:rFonts w:hint="eastAsia" w:ascii="宋体" w:hAnsi="宋体" w:eastAsia="宋体" w:cs="宋体"/>
          <w:color w:val="auto"/>
          <w:szCs w:val="21"/>
          <w:highlight w:val="none"/>
        </w:rPr>
        <w:t>本合同一式</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份，其中甲方执</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份，乙方执</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份，招标代理机构执</w:t>
      </w:r>
      <w:r>
        <w:rPr>
          <w:rFonts w:hint="eastAsia" w:ascii="宋体" w:hAnsi="宋体" w:eastAsia="宋体" w:cs="宋体"/>
          <w:color w:val="auto"/>
          <w:szCs w:val="21"/>
          <w:highlight w:val="none"/>
          <w:u w:val="single"/>
        </w:rPr>
        <w:t xml:space="preserve"> 壹 </w:t>
      </w:r>
      <w:r>
        <w:rPr>
          <w:rFonts w:hint="eastAsia" w:ascii="宋体" w:hAnsi="宋体" w:eastAsia="宋体" w:cs="宋体"/>
          <w:color w:val="auto"/>
          <w:szCs w:val="21"/>
          <w:highlight w:val="none"/>
        </w:rPr>
        <w:t>份，每份均具有同等法律效力</w:t>
      </w:r>
      <w:r>
        <w:rPr>
          <w:rFonts w:hint="eastAsia" w:ascii="宋体" w:hAnsi="宋体" w:eastAsia="宋体" w:cs="宋体"/>
          <w:color w:val="auto"/>
          <w:szCs w:val="21"/>
          <w:highlight w:val="none"/>
          <w:lang w:eastAsia="zh-CN"/>
        </w:rPr>
        <w:t>。</w:t>
      </w:r>
    </w:p>
    <w:p w14:paraId="09C27096">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甲方（盖章）：                             乙方（盖章）： </w:t>
      </w:r>
    </w:p>
    <w:p w14:paraId="69763D50">
      <w:pPr>
        <w:spacing w:line="360" w:lineRule="auto"/>
        <w:rPr>
          <w:rFonts w:hint="eastAsia" w:ascii="宋体" w:hAnsi="宋体" w:eastAsia="宋体" w:cs="宋体"/>
          <w:color w:val="auto"/>
          <w:sz w:val="21"/>
          <w:szCs w:val="21"/>
          <w:highlight w:val="none"/>
        </w:rPr>
      </w:pPr>
    </w:p>
    <w:p w14:paraId="44675569">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法定代表（或负责）人：                     法定代表（或负责）人：</w:t>
      </w:r>
    </w:p>
    <w:p w14:paraId="4525E87A">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甲方代表：                                 乙方代表：</w:t>
      </w:r>
    </w:p>
    <w:p w14:paraId="5AFAFFED">
      <w:pPr>
        <w:spacing w:line="360" w:lineRule="auto"/>
        <w:rPr>
          <w:rFonts w:hint="eastAsia" w:ascii="宋体" w:hAnsi="宋体" w:eastAsia="宋体" w:cs="宋体"/>
          <w:color w:val="auto"/>
          <w:sz w:val="21"/>
          <w:szCs w:val="21"/>
          <w:highlight w:val="none"/>
        </w:rPr>
      </w:pPr>
    </w:p>
    <w:p w14:paraId="10E41C16">
      <w:pPr>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sz w:val="21"/>
          <w:szCs w:val="21"/>
          <w:highlight w:val="none"/>
        </w:rPr>
        <w:t>签订日期：</w:t>
      </w:r>
      <w:r>
        <w:rPr>
          <w:rFonts w:hint="eastAsia" w:ascii="宋体" w:hAnsi="宋体" w:eastAsia="宋体" w:cs="宋体"/>
          <w:color w:val="auto"/>
          <w:sz w:val="21"/>
          <w:szCs w:val="21"/>
          <w:highlight w:val="none"/>
          <w:lang w:val="en-US" w:eastAsia="zh-CN"/>
        </w:rPr>
        <w:t xml:space="preserve"> </w:t>
      </w:r>
    </w:p>
    <w:p w14:paraId="03028F01">
      <w:pPr>
        <w:pStyle w:val="2"/>
        <w:rPr>
          <w:rFonts w:hint="eastAsia" w:ascii="宋体" w:hAnsi="宋体" w:eastAsia="宋体" w:cs="宋体"/>
          <w:color w:val="auto"/>
          <w:highlight w:val="none"/>
        </w:rPr>
      </w:pPr>
      <w:bookmarkStart w:id="727" w:name="_Toc8476"/>
      <w:bookmarkStart w:id="728" w:name="_Toc172552210"/>
      <w:bookmarkStart w:id="729" w:name="_Toc178076606"/>
      <w:bookmarkStart w:id="730" w:name="_Toc14108"/>
      <w:bookmarkStart w:id="731" w:name="_Toc176627927"/>
      <w:bookmarkStart w:id="732" w:name="_Toc1885"/>
      <w:bookmarkStart w:id="733" w:name="_Toc3583"/>
      <w:bookmarkStart w:id="734" w:name="_Toc22724"/>
      <w:bookmarkStart w:id="735" w:name="_Toc18025"/>
      <w:bookmarkStart w:id="736" w:name="_Toc31598"/>
      <w:bookmarkStart w:id="737" w:name="_Toc13034"/>
      <w:r>
        <w:rPr>
          <w:rFonts w:hint="eastAsia" w:ascii="宋体" w:hAnsi="宋体" w:eastAsia="宋体" w:cs="宋体"/>
          <w:color w:val="auto"/>
          <w:highlight w:val="none"/>
        </w:rPr>
        <w:t>第五篇 相关保函格式</w:t>
      </w:r>
      <w:bookmarkEnd w:id="727"/>
      <w:bookmarkEnd w:id="728"/>
      <w:bookmarkEnd w:id="729"/>
      <w:bookmarkEnd w:id="730"/>
      <w:bookmarkEnd w:id="731"/>
      <w:bookmarkEnd w:id="732"/>
      <w:bookmarkEnd w:id="733"/>
      <w:bookmarkEnd w:id="734"/>
      <w:bookmarkEnd w:id="735"/>
      <w:bookmarkEnd w:id="736"/>
      <w:bookmarkEnd w:id="737"/>
    </w:p>
    <w:p w14:paraId="7DDA7CD8">
      <w:pPr>
        <w:rPr>
          <w:rFonts w:hint="eastAsia" w:ascii="宋体" w:hAnsi="宋体" w:eastAsia="宋体" w:cs="宋体"/>
          <w:color w:val="auto"/>
          <w:highlight w:val="none"/>
        </w:rPr>
      </w:pPr>
      <w:r>
        <w:rPr>
          <w:rFonts w:hint="eastAsia" w:ascii="宋体" w:hAnsi="宋体" w:eastAsia="宋体" w:cs="宋体"/>
          <w:b/>
          <w:bCs/>
          <w:color w:val="auto"/>
          <w:sz w:val="28"/>
          <w:szCs w:val="28"/>
          <w:highlight w:val="none"/>
        </w:rPr>
        <w:t>一、不可撤销银行履约保函格式</w:t>
      </w:r>
    </w:p>
    <w:p w14:paraId="54B7DC80">
      <w:pPr>
        <w:jc w:val="center"/>
        <w:rPr>
          <w:rFonts w:hint="eastAsia" w:ascii="宋体" w:hAnsi="宋体" w:eastAsia="宋体" w:cs="宋体"/>
          <w:color w:val="auto"/>
          <w:highlight w:val="none"/>
        </w:rPr>
      </w:pPr>
      <w:r>
        <w:rPr>
          <w:rFonts w:hint="eastAsia" w:ascii="宋体" w:hAnsi="宋体" w:eastAsia="宋体" w:cs="宋体"/>
          <w:b/>
          <w:color w:val="auto"/>
          <w:kern w:val="0"/>
          <w:sz w:val="30"/>
          <w:szCs w:val="30"/>
          <w:highlight w:val="none"/>
          <w:lang w:bidi="ar"/>
        </w:rPr>
        <w:t>不可撤销银行履约保函</w:t>
      </w:r>
    </w:p>
    <w:p w14:paraId="623F75A9">
      <w:pPr>
        <w:ind w:firstLine="63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lang w:bidi="ar"/>
        </w:rPr>
        <w:t>银行编号：</w:t>
      </w:r>
    </w:p>
    <w:p w14:paraId="4726ED29">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致：</w:t>
      </w:r>
      <w:r>
        <w:rPr>
          <w:rFonts w:hint="eastAsia" w:ascii="宋体" w:hAnsi="宋体" w:eastAsia="宋体" w:cs="宋体"/>
          <w:b/>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（下称“受益人”）</w:t>
      </w:r>
    </w:p>
    <w:p w14:paraId="6B64421A">
      <w:pPr>
        <w:widowControl/>
        <w:ind w:firstLine="567" w:firstLine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鉴于</w:t>
      </w:r>
      <w:r>
        <w:rPr>
          <w:rFonts w:hint="eastAsia" w:ascii="宋体" w:hAnsi="宋体" w:eastAsia="宋体" w:cs="宋体"/>
          <w:color w:val="auto"/>
          <w:kern w:val="0"/>
          <w:szCs w:val="21"/>
          <w:highlight w:val="none"/>
          <w:u w:val="single"/>
          <w:lang w:bidi="ar"/>
        </w:rPr>
        <w:t xml:space="preserve">  （申请人的名称与地址）  </w:t>
      </w:r>
      <w:r>
        <w:rPr>
          <w:rFonts w:hint="eastAsia" w:ascii="宋体" w:hAnsi="宋体" w:eastAsia="宋体" w:cs="宋体"/>
          <w:color w:val="auto"/>
          <w:kern w:val="0"/>
          <w:szCs w:val="21"/>
          <w:highlight w:val="none"/>
          <w:lang w:bidi="ar"/>
        </w:rPr>
        <w:t>（下称“申请人”），已保证按拟签订的</w:t>
      </w:r>
      <w:r>
        <w:rPr>
          <w:rFonts w:hint="eastAsia" w:ascii="宋体" w:hAnsi="宋体" w:eastAsia="宋体" w:cs="宋体"/>
          <w:color w:val="auto"/>
          <w:kern w:val="0"/>
          <w:szCs w:val="21"/>
          <w:highlight w:val="none"/>
          <w:u w:val="single"/>
          <w:lang w:bidi="ar"/>
        </w:rPr>
        <w:t xml:space="preserve">          项目</w:t>
      </w:r>
      <w:r>
        <w:rPr>
          <w:rFonts w:hint="eastAsia" w:ascii="宋体" w:hAnsi="宋体" w:eastAsia="宋体" w:cs="宋体"/>
          <w:color w:val="auto"/>
          <w:kern w:val="0"/>
          <w:szCs w:val="21"/>
          <w:highlight w:val="none"/>
          <w:lang w:bidi="ar"/>
        </w:rPr>
        <w:t>（招标编号：</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）合同（招标文件）中规定的义务履行合同。</w:t>
      </w:r>
    </w:p>
    <w:p w14:paraId="0B91453F">
      <w:pPr>
        <w:widowControl/>
        <w:ind w:firstLine="567" w:firstLine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根据上述合同（招标文件）规定，申请人应向受益人提供一份金额为人民币（大写）</w:t>
      </w:r>
      <w:r>
        <w:rPr>
          <w:rFonts w:hint="eastAsia" w:ascii="宋体" w:hAnsi="宋体" w:eastAsia="宋体" w:cs="宋体"/>
          <w:color w:val="auto"/>
          <w:kern w:val="0"/>
          <w:szCs w:val="21"/>
          <w:highlight w:val="none"/>
          <w:u w:val="single"/>
          <w:lang w:bidi="ar"/>
        </w:rPr>
        <w:t xml:space="preserve">      （RMB元）</w:t>
      </w:r>
      <w:r>
        <w:rPr>
          <w:rFonts w:hint="eastAsia" w:ascii="宋体" w:hAnsi="宋体" w:eastAsia="宋体" w:cs="宋体"/>
          <w:color w:val="auto"/>
          <w:kern w:val="0"/>
          <w:szCs w:val="21"/>
          <w:highlight w:val="none"/>
          <w:lang w:bidi="ar"/>
        </w:rPr>
        <w:t>的无条件、不可撤销银行履约保函，作为申请人履行上述合同的担保。</w:t>
      </w:r>
    </w:p>
    <w:p w14:paraId="2073EE7E">
      <w:pPr>
        <w:widowControl/>
        <w:ind w:firstLine="567" w:firstLine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我方</w:t>
      </w:r>
      <w:r>
        <w:rPr>
          <w:rFonts w:hint="eastAsia" w:ascii="宋体" w:hAnsi="宋体" w:eastAsia="宋体" w:cs="宋体"/>
          <w:color w:val="auto"/>
          <w:kern w:val="0"/>
          <w:szCs w:val="21"/>
          <w:highlight w:val="none"/>
          <w:u w:val="single"/>
          <w:lang w:bidi="ar"/>
        </w:rPr>
        <w:t xml:space="preserve">     （银行名称）</w:t>
      </w:r>
      <w:r>
        <w:rPr>
          <w:rFonts w:hint="eastAsia" w:ascii="宋体" w:hAnsi="宋体" w:eastAsia="宋体" w:cs="宋体"/>
          <w:color w:val="auto"/>
          <w:kern w:val="0"/>
          <w:szCs w:val="21"/>
          <w:highlight w:val="none"/>
          <w:lang w:bidi="ar"/>
        </w:rPr>
        <w:t>，受申请人的委托，无条件和不可撤销地在受益人出具本保函原件且提出因申请人没有履行上述合同规定，而要求我方承担保证责任后，在保函限额内向受益人支付不超过人民币（大写）_________（¥_______元）的款项。</w:t>
      </w:r>
    </w:p>
    <w:p w14:paraId="256CAA2F">
      <w:pPr>
        <w:widowControl/>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在向我行提出要求前，我行将不坚持要求受益人首先向申请人提出上述款项的索赔。</w:t>
      </w:r>
    </w:p>
    <w:p w14:paraId="0B05E106">
      <w:pPr>
        <w:widowControl/>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我方还同意，任何受益人与申请人之间可能对合同条款的修改、规范或其他合同文件的变动补充，都不能免除我方按本保函所承担的责任。因此，有关上述变动、补充和修改无须通知或征得我方同意。</w:t>
      </w:r>
    </w:p>
    <w:p w14:paraId="7B9907A4">
      <w:pPr>
        <w:widowControl/>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本保函应从合同签订之日起至合同期限届满并全部供货经验收合格及履行完毕相关服务义务且结算完毕之后二十八（28）日内保持有效。</w:t>
      </w:r>
    </w:p>
    <w:p w14:paraId="35DB326C">
      <w:pPr>
        <w:rPr>
          <w:rFonts w:hint="eastAsia" w:ascii="宋体" w:hAnsi="宋体" w:eastAsia="宋体" w:cs="宋体"/>
          <w:color w:val="auto"/>
          <w:highlight w:val="none"/>
        </w:rPr>
      </w:pPr>
      <w:r>
        <w:rPr>
          <w:rFonts w:hint="eastAsia" w:ascii="宋体" w:hAnsi="宋体" w:eastAsia="宋体" w:cs="宋体"/>
          <w:color w:val="auto"/>
          <w:highlight w:val="none"/>
        </w:rPr>
        <w:t xml:space="preserve"> </w:t>
      </w:r>
    </w:p>
    <w:p w14:paraId="7EF07D06">
      <w:pPr>
        <w:widowControl/>
        <w:ind w:firstLine="2520" w:firstLineChars="1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lang w:bidi="ar"/>
        </w:rPr>
        <w:t>担 保 银 行：</w:t>
      </w:r>
      <w:r>
        <w:rPr>
          <w:rFonts w:hint="eastAsia" w:ascii="宋体" w:hAnsi="宋体" w:eastAsia="宋体" w:cs="宋体"/>
          <w:color w:val="auto"/>
          <w:kern w:val="0"/>
          <w:szCs w:val="21"/>
          <w:highlight w:val="none"/>
          <w:u w:val="single"/>
          <w:lang w:bidi="ar"/>
        </w:rPr>
        <w:t xml:space="preserve">          银行全称          (盖章)   </w:t>
      </w:r>
    </w:p>
    <w:p w14:paraId="35E057EC">
      <w:pPr>
        <w:widowControl/>
        <w:ind w:firstLine="2520" w:firstLineChars="1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法定代表人或其授权的代表人：</w:t>
      </w:r>
      <w:r>
        <w:rPr>
          <w:rFonts w:hint="eastAsia" w:ascii="宋体" w:hAnsi="宋体" w:eastAsia="宋体" w:cs="宋体"/>
          <w:color w:val="auto"/>
          <w:kern w:val="0"/>
          <w:szCs w:val="21"/>
          <w:highlight w:val="none"/>
          <w:u w:val="single"/>
          <w:lang w:bidi="ar"/>
        </w:rPr>
        <w:t xml:space="preserve">       (职务)         </w:t>
      </w:r>
    </w:p>
    <w:p w14:paraId="0CA1357C">
      <w:pPr>
        <w:widowControl/>
        <w:ind w:firstLine="5502" w:firstLineChars="262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u w:val="single"/>
          <w:lang w:bidi="ar"/>
        </w:rPr>
        <w:t xml:space="preserve">       (姓名)         </w:t>
      </w:r>
    </w:p>
    <w:p w14:paraId="3B261A76">
      <w:pPr>
        <w:widowControl/>
        <w:ind w:firstLine="5502" w:firstLineChars="262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u w:val="single"/>
          <w:lang w:bidi="ar"/>
        </w:rPr>
        <w:t xml:space="preserve">       (签章)         </w:t>
      </w:r>
    </w:p>
    <w:p w14:paraId="736A22C7">
      <w:pPr>
        <w:ind w:left="840"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 xml:space="preserve">                                        </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年</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月</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日</w:t>
      </w:r>
    </w:p>
    <w:p w14:paraId="0B4F0B2D">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 xml:space="preserve"> </w:t>
      </w:r>
    </w:p>
    <w:p w14:paraId="1D3DA82C">
      <w:pP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br w:type="page"/>
      </w:r>
    </w:p>
    <w:p w14:paraId="325A53B0">
      <w:pPr>
        <w:rPr>
          <w:rFonts w:hint="eastAsia" w:ascii="宋体" w:hAnsi="宋体" w:eastAsia="宋体" w:cs="宋体"/>
          <w:color w:val="auto"/>
          <w:highlight w:val="none"/>
        </w:rPr>
      </w:pPr>
      <w:r>
        <w:rPr>
          <w:rFonts w:hint="eastAsia" w:ascii="宋体" w:hAnsi="宋体" w:eastAsia="宋体" w:cs="宋体"/>
          <w:b/>
          <w:bCs/>
          <w:color w:val="auto"/>
          <w:sz w:val="28"/>
          <w:szCs w:val="28"/>
          <w:highlight w:val="none"/>
        </w:rPr>
        <w:t>二、履约保证保险凭证格式</w:t>
      </w:r>
    </w:p>
    <w:p w14:paraId="228689B2">
      <w:pPr>
        <w:jc w:val="center"/>
        <w:rPr>
          <w:rFonts w:hint="eastAsia" w:ascii="宋体" w:hAnsi="宋体" w:eastAsia="宋体" w:cs="宋体"/>
          <w:color w:val="auto"/>
          <w:kern w:val="0"/>
          <w:szCs w:val="21"/>
          <w:highlight w:val="none"/>
        </w:rPr>
      </w:pPr>
      <w:r>
        <w:rPr>
          <w:rFonts w:hint="eastAsia" w:ascii="宋体" w:hAnsi="宋体" w:eastAsia="宋体" w:cs="宋体"/>
          <w:b/>
          <w:color w:val="auto"/>
          <w:kern w:val="0"/>
          <w:sz w:val="30"/>
          <w:szCs w:val="30"/>
          <w:highlight w:val="none"/>
          <w:lang w:bidi="ar"/>
        </w:rPr>
        <w:t>履约保证保险凭证</w:t>
      </w:r>
      <w:r>
        <w:rPr>
          <w:rFonts w:hint="eastAsia" w:ascii="宋体" w:hAnsi="宋体" w:eastAsia="宋体" w:cs="宋体"/>
          <w:color w:val="auto"/>
          <w:kern w:val="0"/>
          <w:szCs w:val="21"/>
          <w:highlight w:val="none"/>
          <w:lang w:bidi="ar"/>
        </w:rPr>
        <w:t xml:space="preserve">                      </w:t>
      </w:r>
    </w:p>
    <w:p w14:paraId="064B182A">
      <w:pPr>
        <w:ind w:firstLine="437"/>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 xml:space="preserve">                               编号：</w:t>
      </w:r>
    </w:p>
    <w:p w14:paraId="1E53936D">
      <w:pPr>
        <w:jc w:val="left"/>
        <w:rPr>
          <w:rFonts w:hint="eastAsia" w:ascii="宋体" w:hAnsi="宋体" w:eastAsia="宋体" w:cs="宋体"/>
          <w:color w:val="auto"/>
          <w:highlight w:val="none"/>
        </w:rPr>
      </w:pPr>
      <w:r>
        <w:rPr>
          <w:rFonts w:hint="eastAsia" w:ascii="宋体" w:hAnsi="宋体" w:eastAsia="宋体" w:cs="宋体"/>
          <w:color w:val="auto"/>
          <w:kern w:val="0"/>
          <w:szCs w:val="21"/>
          <w:highlight w:val="none"/>
          <w:lang w:bidi="ar"/>
        </w:rPr>
        <w:t>致：</w:t>
      </w:r>
      <w:r>
        <w:rPr>
          <w:rFonts w:hint="eastAsia" w:ascii="宋体" w:hAnsi="宋体" w:eastAsia="宋体" w:cs="宋体"/>
          <w:b/>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 xml:space="preserve">（下称“受益人”）： </w:t>
      </w:r>
    </w:p>
    <w:p w14:paraId="14312B4E">
      <w:pPr>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鉴于</w:t>
      </w:r>
      <w:r>
        <w:rPr>
          <w:rFonts w:hint="eastAsia" w:ascii="宋体" w:hAnsi="宋体" w:eastAsia="宋体" w:cs="宋体"/>
          <w:b/>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（下称“申请人”）已与贵方签订了</w:t>
      </w:r>
      <w:r>
        <w:rPr>
          <w:rFonts w:hint="eastAsia" w:ascii="宋体" w:hAnsi="宋体" w:eastAsia="宋体" w:cs="宋体"/>
          <w:color w:val="auto"/>
          <w:kern w:val="0"/>
          <w:szCs w:val="21"/>
          <w:highlight w:val="none"/>
          <w:u w:val="single"/>
          <w:lang w:bidi="ar"/>
        </w:rPr>
        <w:t xml:space="preserve">          项目</w:t>
      </w:r>
      <w:r>
        <w:rPr>
          <w:rFonts w:hint="eastAsia" w:ascii="宋体" w:hAnsi="宋体" w:eastAsia="宋体" w:cs="宋体"/>
          <w:color w:val="auto"/>
          <w:kern w:val="0"/>
          <w:szCs w:val="21"/>
          <w:highlight w:val="none"/>
          <w:lang w:bidi="ar"/>
        </w:rPr>
        <w:t>（招标编号：</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 xml:space="preserve">）合同。我方已接受申请人的请求，并出具《履约保证保险》保险单。 </w:t>
      </w:r>
    </w:p>
    <w:p w14:paraId="4A8E113E">
      <w:pPr>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 xml:space="preserve">一、保证保险金额 </w:t>
      </w:r>
    </w:p>
    <w:p w14:paraId="042DA03F">
      <w:pPr>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我方承担的履约保证保险的保险金额（最高限额）为人民币（大写）</w:t>
      </w:r>
      <w:r>
        <w:rPr>
          <w:rFonts w:hint="eastAsia" w:ascii="宋体" w:hAnsi="宋体" w:eastAsia="宋体" w:cs="宋体"/>
          <w:b/>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元 （¥</w:t>
      </w:r>
      <w:r>
        <w:rPr>
          <w:rFonts w:hint="eastAsia" w:ascii="宋体" w:hAnsi="宋体" w:eastAsia="宋体" w:cs="宋体"/>
          <w:b/>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 xml:space="preserve"> ）。 </w:t>
      </w:r>
    </w:p>
    <w:p w14:paraId="50ED5E13">
      <w:pPr>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 xml:space="preserve">二、保证保险的责任范围 </w:t>
      </w:r>
    </w:p>
    <w:p w14:paraId="44654BB5">
      <w:pPr>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在保险期间内，申请人因自身原因未按照与贵方签订的</w:t>
      </w:r>
      <w:r>
        <w:rPr>
          <w:rFonts w:hint="eastAsia" w:ascii="宋体" w:hAnsi="宋体" w:eastAsia="宋体" w:cs="宋体"/>
          <w:color w:val="auto"/>
          <w:kern w:val="0"/>
          <w:szCs w:val="21"/>
          <w:highlight w:val="none"/>
          <w:u w:val="single"/>
          <w:lang w:bidi="ar"/>
        </w:rPr>
        <w:t xml:space="preserve">          项目</w:t>
      </w:r>
      <w:r>
        <w:rPr>
          <w:rFonts w:hint="eastAsia" w:ascii="宋体" w:hAnsi="宋体" w:eastAsia="宋体" w:cs="宋体"/>
          <w:color w:val="auto"/>
          <w:kern w:val="0"/>
          <w:szCs w:val="21"/>
          <w:highlight w:val="none"/>
          <w:lang w:bidi="ar"/>
        </w:rPr>
        <w:t>（招标编号：</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 xml:space="preserve">）合同履行相关义务，给贵方造成损失的，贵方可向我方提出索赔，我方按照保险合同的约定承担损失赔偿责任。 </w:t>
      </w:r>
    </w:p>
    <w:p w14:paraId="134A8BC0">
      <w:pPr>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 xml:space="preserve">三、代偿的安排 </w:t>
      </w:r>
    </w:p>
    <w:p w14:paraId="75FBDAED">
      <w:pPr>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贵方要求我方承担保证保险责任的，我方无条件和不可撤销地在贵方出具本履约保证保险原件且提出因申请人没有履行上述合同规定，而要求我方承担保证责任后，在保险限额内向贵方支付不超过人民币（大写）_________（¥_______元）的款项。</w:t>
      </w:r>
    </w:p>
    <w:p w14:paraId="3770B310">
      <w:pPr>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 xml:space="preserve">四、生效时间 </w:t>
      </w:r>
    </w:p>
    <w:p w14:paraId="18123E53">
      <w:pPr>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 xml:space="preserve">本保险凭证自我方法定代表人（或其授权代理人）签字并加盖保险承保章之日起生效。 </w:t>
      </w:r>
    </w:p>
    <w:p w14:paraId="2111027A">
      <w:pPr>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五、其他</w:t>
      </w:r>
    </w:p>
    <w:p w14:paraId="1D6C4908">
      <w:pPr>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本履约保证保险应从合同签订之日起至合同期限届满并全部供货经验收合格及履行完毕相关服务义务且结算完毕之后二十八（28）日内保持有效。</w:t>
      </w:r>
    </w:p>
    <w:p w14:paraId="50A196CA">
      <w:pPr>
        <w:rPr>
          <w:rFonts w:hint="eastAsia" w:ascii="宋体" w:hAnsi="宋体" w:eastAsia="宋体" w:cs="宋体"/>
          <w:color w:val="auto"/>
          <w:highlight w:val="none"/>
        </w:rPr>
      </w:pPr>
    </w:p>
    <w:p w14:paraId="74535A9A">
      <w:pPr>
        <w:ind w:firstLine="437"/>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附：《XXX 保险有限公司履约保证保险（X 款）条款》及保单</w:t>
      </w:r>
    </w:p>
    <w:p w14:paraId="56C665C7">
      <w:pPr>
        <w:ind w:firstLine="437"/>
        <w:jc w:val="left"/>
        <w:rPr>
          <w:rFonts w:hint="eastAsia" w:ascii="宋体" w:hAnsi="宋体" w:eastAsia="宋体" w:cs="宋体"/>
          <w:color w:val="auto"/>
          <w:kern w:val="0"/>
          <w:szCs w:val="21"/>
          <w:highlight w:val="none"/>
          <w:lang w:bidi="ar"/>
        </w:rPr>
      </w:pPr>
    </w:p>
    <w:p w14:paraId="2FBBCEC5">
      <w:pPr>
        <w:ind w:left="4620" w:leftChars="2200"/>
        <w:jc w:val="righ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保险人：（盖章）</w:t>
      </w:r>
    </w:p>
    <w:p w14:paraId="2B89BAFC">
      <w:pPr>
        <w:ind w:left="4620" w:leftChars="2200"/>
        <w:jc w:val="righ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法定代表人或授权代理人：________</w:t>
      </w:r>
    </w:p>
    <w:p w14:paraId="2D731849">
      <w:pPr>
        <w:ind w:left="4620" w:leftChars="2200" w:firstLine="420" w:firstLineChars="200"/>
        <w:jc w:val="right"/>
        <w:rPr>
          <w:rFonts w:hint="eastAsia" w:ascii="宋体" w:hAnsi="宋体" w:eastAsia="宋体" w:cs="宋体"/>
          <w:b/>
          <w:color w:val="auto"/>
          <w:kern w:val="0"/>
          <w:sz w:val="28"/>
          <w:szCs w:val="28"/>
          <w:highlight w:val="none"/>
        </w:rPr>
      </w:pPr>
      <w:r>
        <w:rPr>
          <w:rFonts w:hint="eastAsia" w:ascii="宋体" w:hAnsi="宋体" w:eastAsia="宋体" w:cs="宋体"/>
          <w:color w:val="auto"/>
          <w:kern w:val="0"/>
          <w:szCs w:val="21"/>
          <w:highlight w:val="none"/>
          <w:lang w:bidi="ar"/>
        </w:rPr>
        <w:t>年   月   日</w:t>
      </w:r>
      <w:r>
        <w:rPr>
          <w:rFonts w:hint="eastAsia" w:ascii="宋体" w:hAnsi="宋体" w:eastAsia="宋体" w:cs="宋体"/>
          <w:b/>
          <w:color w:val="auto"/>
          <w:kern w:val="0"/>
          <w:sz w:val="28"/>
          <w:szCs w:val="28"/>
          <w:highlight w:val="none"/>
          <w:lang w:bidi="ar"/>
        </w:rPr>
        <w:br w:type="page"/>
      </w:r>
    </w:p>
    <w:p w14:paraId="01351CB9">
      <w:pP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三、担保公司履约担保书格式</w:t>
      </w:r>
    </w:p>
    <w:p w14:paraId="30168375">
      <w:pPr>
        <w:rPr>
          <w:rFonts w:hint="eastAsia" w:ascii="宋体" w:hAnsi="宋体" w:eastAsia="宋体" w:cs="宋体"/>
          <w:color w:val="auto"/>
          <w:highlight w:val="none"/>
        </w:rPr>
      </w:pPr>
    </w:p>
    <w:p w14:paraId="390C36BC">
      <w:pPr>
        <w:jc w:val="center"/>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lang w:bidi="ar"/>
        </w:rPr>
        <w:t>担保公司履约担保书</w:t>
      </w:r>
    </w:p>
    <w:p w14:paraId="4BF00055">
      <w:pPr>
        <w:widowControl/>
        <w:spacing w:beforeAutospacing="1" w:afterAutospacing="1"/>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致：</w:t>
      </w:r>
      <w:r>
        <w:rPr>
          <w:rFonts w:hint="eastAsia" w:ascii="宋体" w:hAnsi="宋体" w:eastAsia="宋体" w:cs="宋体"/>
          <w:b/>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（下称“受益人”）</w:t>
      </w:r>
    </w:p>
    <w:p w14:paraId="25B7D108">
      <w:pPr>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鉴于</w:t>
      </w:r>
      <w:r>
        <w:rPr>
          <w:rFonts w:hint="eastAsia" w:ascii="宋体" w:hAnsi="宋体" w:eastAsia="宋体" w:cs="宋体"/>
          <w:color w:val="auto"/>
          <w:kern w:val="0"/>
          <w:szCs w:val="21"/>
          <w:highlight w:val="none"/>
          <w:u w:val="single"/>
          <w:lang w:bidi="ar"/>
        </w:rPr>
        <w:t xml:space="preserve">  （申请人的名称与地址）  </w:t>
      </w:r>
      <w:r>
        <w:rPr>
          <w:rFonts w:hint="eastAsia" w:ascii="宋体" w:hAnsi="宋体" w:eastAsia="宋体" w:cs="宋体"/>
          <w:color w:val="auto"/>
          <w:kern w:val="0"/>
          <w:szCs w:val="21"/>
          <w:highlight w:val="none"/>
          <w:lang w:bidi="ar"/>
        </w:rPr>
        <w:t>（下称“申请人”），已保证按拟签订的</w:t>
      </w:r>
      <w:r>
        <w:rPr>
          <w:rFonts w:hint="eastAsia" w:ascii="宋体" w:hAnsi="宋体" w:eastAsia="宋体" w:cs="宋体"/>
          <w:color w:val="auto"/>
          <w:kern w:val="0"/>
          <w:szCs w:val="21"/>
          <w:highlight w:val="none"/>
          <w:u w:val="single"/>
          <w:lang w:bidi="ar"/>
        </w:rPr>
        <w:t xml:space="preserve">          项目</w:t>
      </w:r>
      <w:r>
        <w:rPr>
          <w:rFonts w:hint="eastAsia" w:ascii="宋体" w:hAnsi="宋体" w:eastAsia="宋体" w:cs="宋体"/>
          <w:color w:val="auto"/>
          <w:kern w:val="0"/>
          <w:szCs w:val="21"/>
          <w:highlight w:val="none"/>
          <w:lang w:bidi="ar"/>
        </w:rPr>
        <w:t>（招标编号：</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）合同（招标文件）中规定的义务履行合同。</w:t>
      </w:r>
    </w:p>
    <w:p w14:paraId="514FF6AB">
      <w:pPr>
        <w:widowControl/>
        <w:ind w:firstLine="567" w:firstLine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根据上述合同（招标文件）规定，申请人应向受益人提供一份金额为人民币（大写）</w:t>
      </w:r>
      <w:r>
        <w:rPr>
          <w:rFonts w:hint="eastAsia" w:ascii="宋体" w:hAnsi="宋体" w:eastAsia="宋体" w:cs="宋体"/>
          <w:color w:val="auto"/>
          <w:kern w:val="0"/>
          <w:szCs w:val="21"/>
          <w:highlight w:val="none"/>
          <w:u w:val="single"/>
          <w:lang w:bidi="ar"/>
        </w:rPr>
        <w:t xml:space="preserve">     （RMB元）</w:t>
      </w:r>
      <w:r>
        <w:rPr>
          <w:rFonts w:hint="eastAsia" w:ascii="宋体" w:hAnsi="宋体" w:eastAsia="宋体" w:cs="宋体"/>
          <w:color w:val="auto"/>
          <w:kern w:val="0"/>
          <w:szCs w:val="21"/>
          <w:highlight w:val="none"/>
          <w:lang w:bidi="ar"/>
        </w:rPr>
        <w:t>的无条件、</w:t>
      </w:r>
      <w:r>
        <w:rPr>
          <w:rFonts w:hint="eastAsia" w:ascii="宋体" w:hAnsi="宋体" w:eastAsia="宋体" w:cs="宋体"/>
          <w:bCs/>
          <w:color w:val="auto"/>
          <w:kern w:val="0"/>
          <w:szCs w:val="21"/>
          <w:highlight w:val="none"/>
          <w:lang w:bidi="ar"/>
        </w:rPr>
        <w:t>不可撤销</w:t>
      </w:r>
      <w:r>
        <w:rPr>
          <w:rFonts w:hint="eastAsia" w:ascii="宋体" w:hAnsi="宋体" w:eastAsia="宋体" w:cs="宋体"/>
          <w:color w:val="auto"/>
          <w:kern w:val="0"/>
          <w:szCs w:val="21"/>
          <w:highlight w:val="none"/>
          <w:lang w:bidi="ar"/>
        </w:rPr>
        <w:t>履约担保，作为申请人履行上述合同的担保，我方</w:t>
      </w:r>
      <w:r>
        <w:rPr>
          <w:rFonts w:hint="eastAsia" w:ascii="宋体" w:hAnsi="宋体" w:eastAsia="宋体" w:cs="宋体"/>
          <w:color w:val="auto"/>
          <w:kern w:val="0"/>
          <w:szCs w:val="21"/>
          <w:highlight w:val="none"/>
          <w:u w:val="single"/>
          <w:lang w:bidi="ar"/>
        </w:rPr>
        <w:t xml:space="preserve">  （担保公司名称）  </w:t>
      </w:r>
      <w:r>
        <w:rPr>
          <w:rFonts w:hint="eastAsia" w:ascii="宋体" w:hAnsi="宋体" w:eastAsia="宋体" w:cs="宋体"/>
          <w:color w:val="auto"/>
          <w:kern w:val="0"/>
          <w:szCs w:val="21"/>
          <w:highlight w:val="none"/>
          <w:lang w:bidi="ar"/>
        </w:rPr>
        <w:t>在本合同项下的保证责任为连带责任保证。</w:t>
      </w:r>
    </w:p>
    <w:p w14:paraId="1FEC06DF">
      <w:pPr>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我方</w:t>
      </w:r>
      <w:r>
        <w:rPr>
          <w:rFonts w:hint="eastAsia" w:ascii="宋体" w:hAnsi="宋体" w:eastAsia="宋体" w:cs="宋体"/>
          <w:color w:val="auto"/>
          <w:kern w:val="0"/>
          <w:szCs w:val="21"/>
          <w:highlight w:val="none"/>
          <w:u w:val="single"/>
          <w:lang w:bidi="ar"/>
        </w:rPr>
        <w:t xml:space="preserve">  （担保公司名称）  </w:t>
      </w:r>
      <w:r>
        <w:rPr>
          <w:rFonts w:hint="eastAsia" w:ascii="宋体" w:hAnsi="宋体" w:eastAsia="宋体" w:cs="宋体"/>
          <w:color w:val="auto"/>
          <w:kern w:val="0"/>
          <w:szCs w:val="21"/>
          <w:highlight w:val="none"/>
          <w:lang w:bidi="ar"/>
        </w:rPr>
        <w:t>，受申请人的委托，无条件和不可撤销地在受益人出具本担保书原件且提出因申请人没有履行上述合同规定，在担保书限额内向受益人支付不超过人民币（大写）_________（¥_______元）的款项。</w:t>
      </w:r>
    </w:p>
    <w:p w14:paraId="6155AFF2">
      <w:pPr>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我方还同意，任何受益人与申请人之间可能对合同条款的修改、规范或其他合同文件的变动补充，都不能免除我方按本担保函所承担的责任。因此，有关上述变动、补充和修改无须通知或征得我方同意。</w:t>
      </w:r>
    </w:p>
    <w:p w14:paraId="52857FC5">
      <w:pPr>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本保函应从合同签订之日起至合同期限届满并全部供货经验收合格及履行完毕相关服务义务且结算完毕之后二十八（28）日内保持有效。</w:t>
      </w:r>
    </w:p>
    <w:p w14:paraId="0072A5C0">
      <w:pPr>
        <w:rPr>
          <w:rFonts w:hint="eastAsia" w:ascii="宋体" w:hAnsi="宋体" w:eastAsia="宋体" w:cs="宋体"/>
          <w:color w:val="auto"/>
          <w:highlight w:val="none"/>
        </w:rPr>
      </w:pPr>
      <w:r>
        <w:rPr>
          <w:rFonts w:hint="eastAsia" w:ascii="宋体" w:hAnsi="宋体" w:eastAsia="宋体" w:cs="宋体"/>
          <w:color w:val="auto"/>
          <w:highlight w:val="none"/>
        </w:rPr>
        <w:t xml:space="preserve"> </w:t>
      </w:r>
    </w:p>
    <w:p w14:paraId="01AF0302">
      <w:pPr>
        <w:ind w:left="4620" w:leftChars="2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法定代表人或其授权的代理人：（签字或盖私章）</w:t>
      </w:r>
    </w:p>
    <w:p w14:paraId="58C66B55">
      <w:pPr>
        <w:ind w:left="4620" w:leftChars="2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担保公司盖章：</w:t>
      </w:r>
    </w:p>
    <w:p w14:paraId="630A180D">
      <w:pPr>
        <w:ind w:left="4620" w:leftChars="2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联系电话：</w:t>
      </w:r>
    </w:p>
    <w:p w14:paraId="2858E38E">
      <w:pPr>
        <w:ind w:left="4620" w:leftChars="2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地址：</w:t>
      </w:r>
    </w:p>
    <w:p w14:paraId="64F8C905">
      <w:pPr>
        <w:ind w:left="4620" w:leftChars="2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日期：    年   月   日</w:t>
      </w:r>
    </w:p>
    <w:p w14:paraId="54FBFB03">
      <w:pPr>
        <w:widowControl/>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bidi="ar"/>
        </w:rPr>
        <w:t xml:space="preserve"> </w:t>
      </w:r>
    </w:p>
    <w:bookmarkEnd w:id="690"/>
    <w:bookmarkEnd w:id="691"/>
    <w:bookmarkEnd w:id="692"/>
    <w:bookmarkEnd w:id="693"/>
    <w:bookmarkEnd w:id="694"/>
    <w:p w14:paraId="598F63BC">
      <w:pPr>
        <w:ind w:firstLine="422" w:firstLineChars="200"/>
        <w:rPr>
          <w:rFonts w:hint="eastAsia" w:ascii="宋体" w:hAnsi="宋体" w:eastAsia="宋体" w:cs="宋体"/>
          <w:b/>
          <w:color w:val="auto"/>
          <w:szCs w:val="21"/>
          <w:highlight w:val="none"/>
        </w:rPr>
      </w:pPr>
      <w:bookmarkStart w:id="738" w:name="_Toc32761_WPSOffice_Level1"/>
      <w:bookmarkStart w:id="739" w:name="_Toc12794"/>
      <w:bookmarkStart w:id="740" w:name="_Toc486167708"/>
      <w:bookmarkStart w:id="741" w:name="_Toc450662895"/>
      <w:bookmarkStart w:id="742" w:name="_Toc142508361"/>
    </w:p>
    <w:p w14:paraId="5FDC57BE">
      <w:pPr>
        <w:ind w:firstLine="420" w:firstLineChars="200"/>
        <w:rPr>
          <w:rFonts w:hint="eastAsia" w:ascii="宋体" w:hAnsi="宋体" w:eastAsia="宋体" w:cs="宋体"/>
          <w:color w:val="auto"/>
          <w:szCs w:val="21"/>
          <w:highlight w:val="none"/>
        </w:rPr>
      </w:pPr>
    </w:p>
    <w:p w14:paraId="2E8C20DD">
      <w:pPr>
        <w:rPr>
          <w:rFonts w:hint="eastAsia" w:ascii="宋体" w:hAnsi="宋体" w:eastAsia="宋体" w:cs="宋体"/>
          <w:color w:val="auto"/>
          <w:highlight w:val="none"/>
          <w:lang w:val="zh-CN"/>
        </w:rPr>
      </w:pPr>
      <w:bookmarkStart w:id="743" w:name="_Toc30921"/>
      <w:bookmarkStart w:id="744" w:name="_Toc24024"/>
      <w:bookmarkStart w:id="745" w:name="_Toc31602"/>
      <w:bookmarkStart w:id="746" w:name="_Toc16735"/>
      <w:bookmarkStart w:id="747" w:name="_Toc172552211"/>
      <w:bookmarkStart w:id="748" w:name="_Toc7082"/>
      <w:bookmarkStart w:id="749" w:name="_Toc178076607"/>
      <w:bookmarkStart w:id="750" w:name="_Toc176627928"/>
      <w:bookmarkStart w:id="751" w:name="_Toc17424"/>
      <w:r>
        <w:rPr>
          <w:rFonts w:hint="eastAsia" w:ascii="宋体" w:hAnsi="宋体" w:eastAsia="宋体" w:cs="宋体"/>
          <w:color w:val="auto"/>
          <w:highlight w:val="none"/>
          <w:lang w:val="zh-CN"/>
        </w:rPr>
        <w:br w:type="page"/>
      </w:r>
    </w:p>
    <w:p w14:paraId="22FA05EA">
      <w:pPr>
        <w:pStyle w:val="2"/>
        <w:rPr>
          <w:rFonts w:hint="eastAsia" w:ascii="宋体" w:hAnsi="宋体" w:eastAsia="宋体" w:cs="宋体"/>
          <w:color w:val="auto"/>
          <w:highlight w:val="none"/>
        </w:rPr>
      </w:pPr>
      <w:bookmarkStart w:id="752" w:name="_Toc26611"/>
      <w:bookmarkStart w:id="753" w:name="_Toc19670"/>
      <w:r>
        <w:rPr>
          <w:rFonts w:hint="eastAsia" w:ascii="宋体" w:hAnsi="宋体" w:eastAsia="宋体" w:cs="宋体"/>
          <w:color w:val="auto"/>
          <w:highlight w:val="none"/>
          <w:lang w:val="zh-CN"/>
        </w:rPr>
        <w:t>第六篇 投标文件格式</w:t>
      </w:r>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p>
    <w:p w14:paraId="5D4EFE07">
      <w:pPr>
        <w:rPr>
          <w:rFonts w:hint="eastAsia" w:ascii="宋体" w:hAnsi="宋体" w:eastAsia="宋体" w:cs="宋体"/>
          <w:color w:val="auto"/>
          <w:highlight w:val="none"/>
        </w:rPr>
      </w:pPr>
      <w:bookmarkStart w:id="754" w:name="_Toc102860067"/>
      <w:bookmarkStart w:id="755" w:name="_Toc102860411"/>
      <w:bookmarkStart w:id="756" w:name="_Toc142508362"/>
      <w:bookmarkStart w:id="757" w:name="_Toc533708121"/>
      <w:bookmarkStart w:id="758" w:name="_Toc94107202"/>
      <w:bookmarkStart w:id="759" w:name="_Toc104991868"/>
      <w:bookmarkStart w:id="760" w:name="_Toc21133_WPSOffice_Level2"/>
      <w:bookmarkStart w:id="761" w:name="_Toc486167709"/>
      <w:bookmarkStart w:id="762" w:name="_Toc140596921"/>
      <w:bookmarkStart w:id="763" w:name="_Toc1977721"/>
    </w:p>
    <w:p w14:paraId="59567CEF">
      <w:pPr>
        <w:rPr>
          <w:rFonts w:hint="eastAsia" w:ascii="宋体" w:hAnsi="宋体" w:eastAsia="宋体" w:cs="宋体"/>
          <w:color w:val="auto"/>
          <w:highlight w:val="none"/>
        </w:rPr>
      </w:pPr>
    </w:p>
    <w:p w14:paraId="07BAD5BE">
      <w:pPr>
        <w:rPr>
          <w:rFonts w:hint="eastAsia" w:ascii="宋体" w:hAnsi="宋体" w:eastAsia="宋体" w:cs="宋体"/>
          <w:color w:val="auto"/>
          <w:highlight w:val="none"/>
        </w:rPr>
      </w:pPr>
    </w:p>
    <w:p w14:paraId="1C19682D">
      <w:pPr>
        <w:rPr>
          <w:rFonts w:hint="eastAsia" w:ascii="宋体" w:hAnsi="宋体" w:eastAsia="宋体" w:cs="宋体"/>
          <w:color w:val="auto"/>
          <w:highlight w:val="none"/>
        </w:rPr>
      </w:pPr>
    </w:p>
    <w:p w14:paraId="0E55167D">
      <w:pPr>
        <w:rPr>
          <w:rFonts w:hint="eastAsia" w:ascii="宋体" w:hAnsi="宋体" w:eastAsia="宋体" w:cs="宋体"/>
          <w:color w:val="auto"/>
          <w:highlight w:val="none"/>
        </w:rPr>
      </w:pPr>
    </w:p>
    <w:p w14:paraId="2DE66D62">
      <w:pPr>
        <w:rPr>
          <w:rFonts w:hint="eastAsia" w:ascii="宋体" w:hAnsi="宋体" w:eastAsia="宋体" w:cs="宋体"/>
          <w:color w:val="auto"/>
          <w:highlight w:val="none"/>
        </w:rPr>
      </w:pPr>
    </w:p>
    <w:p w14:paraId="0DDAC5FC">
      <w:pPr>
        <w:jc w:val="center"/>
        <w:rPr>
          <w:rFonts w:hint="eastAsia" w:ascii="宋体" w:hAnsi="宋体" w:eastAsia="宋体" w:cs="宋体"/>
          <w:color w:val="auto"/>
          <w:sz w:val="84"/>
          <w:szCs w:val="84"/>
          <w:highlight w:val="none"/>
        </w:rPr>
      </w:pPr>
      <w:r>
        <w:rPr>
          <w:rFonts w:hint="eastAsia" w:ascii="宋体" w:hAnsi="宋体" w:eastAsia="宋体" w:cs="宋体"/>
          <w:color w:val="auto"/>
          <w:sz w:val="84"/>
          <w:szCs w:val="84"/>
          <w:highlight w:val="none"/>
        </w:rPr>
        <w:t>投 标 文 件</w:t>
      </w:r>
    </w:p>
    <w:p w14:paraId="4FA18311">
      <w:pPr>
        <w:rPr>
          <w:rFonts w:hint="eastAsia" w:ascii="宋体" w:hAnsi="宋体" w:eastAsia="宋体" w:cs="宋体"/>
          <w:color w:val="auto"/>
          <w:highlight w:val="none"/>
        </w:rPr>
      </w:pPr>
    </w:p>
    <w:p w14:paraId="5540238E">
      <w:pPr>
        <w:rPr>
          <w:rFonts w:hint="eastAsia" w:ascii="宋体" w:hAnsi="宋体" w:eastAsia="宋体" w:cs="宋体"/>
          <w:color w:val="auto"/>
          <w:highlight w:val="none"/>
        </w:rPr>
      </w:pPr>
    </w:p>
    <w:p w14:paraId="58675C3A">
      <w:pPr>
        <w:rPr>
          <w:rFonts w:hint="eastAsia" w:ascii="宋体" w:hAnsi="宋体" w:eastAsia="宋体" w:cs="宋体"/>
          <w:color w:val="auto"/>
          <w:highlight w:val="none"/>
        </w:rPr>
      </w:pPr>
    </w:p>
    <w:p w14:paraId="50272D9B">
      <w:pPr>
        <w:rPr>
          <w:rFonts w:hint="eastAsia" w:ascii="宋体" w:hAnsi="宋体" w:eastAsia="宋体" w:cs="宋体"/>
          <w:color w:val="auto"/>
          <w:highlight w:val="none"/>
        </w:rPr>
      </w:pPr>
    </w:p>
    <w:p w14:paraId="53B900CC">
      <w:pPr>
        <w:ind w:left="2520" w:leftChars="1200"/>
        <w:rPr>
          <w:rFonts w:hint="eastAsia" w:ascii="宋体" w:hAnsi="宋体" w:eastAsia="宋体" w:cs="宋体"/>
          <w:color w:val="auto"/>
          <w:sz w:val="30"/>
          <w:szCs w:val="20"/>
          <w:highlight w:val="none"/>
          <w:u w:val="single"/>
        </w:rPr>
      </w:pPr>
      <w:r>
        <w:rPr>
          <w:rFonts w:hint="eastAsia" w:ascii="宋体" w:hAnsi="宋体" w:eastAsia="宋体" w:cs="宋体"/>
          <w:color w:val="auto"/>
          <w:sz w:val="30"/>
          <w:szCs w:val="20"/>
          <w:highlight w:val="none"/>
        </w:rPr>
        <w:t>招标编号：</w:t>
      </w:r>
      <w:r>
        <w:rPr>
          <w:rFonts w:hint="eastAsia" w:ascii="宋体" w:hAnsi="宋体" w:eastAsia="宋体" w:cs="宋体"/>
          <w:color w:val="auto"/>
          <w:sz w:val="30"/>
          <w:szCs w:val="20"/>
          <w:highlight w:val="none"/>
          <w:u w:val="single"/>
        </w:rPr>
        <w:t xml:space="preserve">                      </w:t>
      </w:r>
    </w:p>
    <w:p w14:paraId="0836A66C">
      <w:pPr>
        <w:ind w:left="2520" w:leftChars="1200"/>
        <w:rPr>
          <w:rFonts w:hint="eastAsia" w:ascii="宋体" w:hAnsi="宋体" w:eastAsia="宋体" w:cs="宋体"/>
          <w:color w:val="auto"/>
          <w:sz w:val="30"/>
          <w:szCs w:val="20"/>
          <w:highlight w:val="none"/>
          <w:u w:val="single"/>
        </w:rPr>
      </w:pPr>
      <w:r>
        <w:rPr>
          <w:rFonts w:hint="eastAsia" w:ascii="宋体" w:hAnsi="宋体" w:eastAsia="宋体" w:cs="宋体"/>
          <w:color w:val="auto"/>
          <w:sz w:val="30"/>
          <w:szCs w:val="20"/>
          <w:highlight w:val="none"/>
        </w:rPr>
        <w:t>项目名称：</w:t>
      </w:r>
      <w:r>
        <w:rPr>
          <w:rFonts w:hint="eastAsia" w:ascii="宋体" w:hAnsi="宋体" w:eastAsia="宋体" w:cs="宋体"/>
          <w:color w:val="auto"/>
          <w:sz w:val="30"/>
          <w:szCs w:val="20"/>
          <w:highlight w:val="none"/>
          <w:u w:val="single"/>
        </w:rPr>
        <w:t xml:space="preserve">                      </w:t>
      </w:r>
    </w:p>
    <w:p w14:paraId="5B3D363A">
      <w:pPr>
        <w:ind w:left="2520" w:leftChars="1200"/>
        <w:rPr>
          <w:rFonts w:hint="eastAsia" w:ascii="宋体" w:hAnsi="宋体" w:eastAsia="宋体" w:cs="宋体"/>
          <w:color w:val="auto"/>
          <w:sz w:val="30"/>
          <w:szCs w:val="20"/>
          <w:highlight w:val="none"/>
          <w:u w:val="single"/>
        </w:rPr>
      </w:pPr>
      <w:r>
        <w:rPr>
          <w:rFonts w:hint="eastAsia" w:ascii="宋体" w:hAnsi="宋体" w:eastAsia="宋体" w:cs="宋体"/>
          <w:color w:val="auto"/>
          <w:sz w:val="30"/>
          <w:szCs w:val="20"/>
          <w:highlight w:val="none"/>
        </w:rPr>
        <w:t>投标文件内容：</w:t>
      </w:r>
      <w:r>
        <w:rPr>
          <w:rFonts w:hint="eastAsia" w:ascii="宋体" w:hAnsi="宋体" w:eastAsia="宋体" w:cs="宋体"/>
          <w:color w:val="auto"/>
          <w:sz w:val="30"/>
          <w:szCs w:val="20"/>
          <w:highlight w:val="none"/>
          <w:u w:val="single"/>
        </w:rPr>
        <w:t xml:space="preserve"> 投标文件商务部分 </w:t>
      </w:r>
    </w:p>
    <w:p w14:paraId="3855D8E0">
      <w:pPr>
        <w:ind w:left="2520" w:leftChars="1200"/>
        <w:rPr>
          <w:rFonts w:hint="eastAsia" w:ascii="宋体" w:hAnsi="宋体" w:eastAsia="宋体" w:cs="宋体"/>
          <w:color w:val="auto"/>
          <w:sz w:val="30"/>
          <w:szCs w:val="20"/>
          <w:highlight w:val="none"/>
        </w:rPr>
      </w:pPr>
      <w:r>
        <w:rPr>
          <w:rFonts w:hint="eastAsia" w:ascii="宋体" w:hAnsi="宋体" w:eastAsia="宋体" w:cs="宋体"/>
          <w:color w:val="auto"/>
          <w:sz w:val="30"/>
          <w:szCs w:val="20"/>
          <w:highlight w:val="none"/>
        </w:rPr>
        <w:t>招标人：</w:t>
      </w:r>
      <w:r>
        <w:rPr>
          <w:rFonts w:hint="eastAsia" w:ascii="宋体" w:hAnsi="宋体" w:eastAsia="宋体" w:cs="宋体"/>
          <w:color w:val="auto"/>
          <w:sz w:val="30"/>
          <w:szCs w:val="20"/>
          <w:highlight w:val="none"/>
          <w:u w:val="single"/>
        </w:rPr>
        <w:t xml:space="preserve">                        </w:t>
      </w:r>
    </w:p>
    <w:p w14:paraId="4DEBE77C">
      <w:pPr>
        <w:ind w:left="2520" w:leftChars="1200"/>
        <w:rPr>
          <w:rFonts w:hint="eastAsia" w:ascii="宋体" w:hAnsi="宋体" w:eastAsia="宋体" w:cs="宋体"/>
          <w:color w:val="auto"/>
          <w:sz w:val="30"/>
          <w:szCs w:val="20"/>
          <w:highlight w:val="none"/>
          <w:u w:val="single"/>
        </w:rPr>
      </w:pPr>
      <w:r>
        <w:rPr>
          <w:rFonts w:hint="eastAsia" w:ascii="宋体" w:hAnsi="宋体" w:eastAsia="宋体" w:cs="宋体"/>
          <w:color w:val="auto"/>
          <w:sz w:val="30"/>
          <w:szCs w:val="20"/>
          <w:highlight w:val="none"/>
        </w:rPr>
        <w:t>投标人：</w:t>
      </w:r>
      <w:r>
        <w:rPr>
          <w:rFonts w:hint="eastAsia" w:ascii="宋体" w:hAnsi="宋体" w:eastAsia="宋体" w:cs="宋体"/>
          <w:color w:val="auto"/>
          <w:sz w:val="30"/>
          <w:szCs w:val="20"/>
          <w:highlight w:val="none"/>
          <w:u w:val="single"/>
        </w:rPr>
        <w:t xml:space="preserve">                        </w:t>
      </w:r>
    </w:p>
    <w:p w14:paraId="16CD2B37">
      <w:pPr>
        <w:ind w:left="2520" w:leftChars="1200"/>
        <w:rPr>
          <w:rFonts w:hint="eastAsia" w:ascii="宋体" w:hAnsi="宋体" w:eastAsia="宋体" w:cs="宋体"/>
          <w:color w:val="auto"/>
          <w:sz w:val="30"/>
          <w:szCs w:val="20"/>
          <w:highlight w:val="none"/>
        </w:rPr>
      </w:pPr>
      <w:r>
        <w:rPr>
          <w:rFonts w:hint="eastAsia" w:ascii="宋体" w:hAnsi="宋体" w:eastAsia="宋体" w:cs="宋体"/>
          <w:color w:val="auto"/>
          <w:sz w:val="30"/>
          <w:szCs w:val="20"/>
          <w:highlight w:val="none"/>
        </w:rPr>
        <w:t>日  期：</w:t>
      </w:r>
      <w:r>
        <w:rPr>
          <w:rFonts w:hint="eastAsia" w:ascii="宋体" w:hAnsi="宋体" w:eastAsia="宋体" w:cs="宋体"/>
          <w:color w:val="auto"/>
          <w:sz w:val="30"/>
          <w:szCs w:val="20"/>
          <w:highlight w:val="none"/>
          <w:u w:val="single"/>
        </w:rPr>
        <w:t xml:space="preserve">       </w:t>
      </w:r>
      <w:r>
        <w:rPr>
          <w:rFonts w:hint="eastAsia" w:ascii="宋体" w:hAnsi="宋体" w:eastAsia="宋体" w:cs="宋体"/>
          <w:color w:val="auto"/>
          <w:sz w:val="30"/>
          <w:szCs w:val="20"/>
          <w:highlight w:val="none"/>
        </w:rPr>
        <w:t>年</w:t>
      </w:r>
      <w:r>
        <w:rPr>
          <w:rFonts w:hint="eastAsia" w:ascii="宋体" w:hAnsi="宋体" w:eastAsia="宋体" w:cs="宋体"/>
          <w:color w:val="auto"/>
          <w:sz w:val="30"/>
          <w:szCs w:val="20"/>
          <w:highlight w:val="none"/>
          <w:u w:val="single"/>
        </w:rPr>
        <w:t xml:space="preserve">      </w:t>
      </w:r>
      <w:r>
        <w:rPr>
          <w:rFonts w:hint="eastAsia" w:ascii="宋体" w:hAnsi="宋体" w:eastAsia="宋体" w:cs="宋体"/>
          <w:color w:val="auto"/>
          <w:sz w:val="30"/>
          <w:szCs w:val="20"/>
          <w:highlight w:val="none"/>
        </w:rPr>
        <w:t>月</w:t>
      </w:r>
      <w:r>
        <w:rPr>
          <w:rFonts w:hint="eastAsia" w:ascii="宋体" w:hAnsi="宋体" w:eastAsia="宋体" w:cs="宋体"/>
          <w:color w:val="auto"/>
          <w:sz w:val="30"/>
          <w:szCs w:val="20"/>
          <w:highlight w:val="none"/>
          <w:u w:val="single"/>
        </w:rPr>
        <w:t xml:space="preserve">     </w:t>
      </w:r>
      <w:r>
        <w:rPr>
          <w:rFonts w:hint="eastAsia" w:ascii="宋体" w:hAnsi="宋体" w:eastAsia="宋体" w:cs="宋体"/>
          <w:color w:val="auto"/>
          <w:sz w:val="30"/>
          <w:szCs w:val="20"/>
          <w:highlight w:val="none"/>
        </w:rPr>
        <w:t>日</w:t>
      </w:r>
    </w:p>
    <w:p w14:paraId="5E71281E">
      <w:pPr>
        <w:rPr>
          <w:rFonts w:hint="eastAsia" w:ascii="宋体" w:hAnsi="宋体" w:eastAsia="宋体" w:cs="宋体"/>
          <w:b/>
          <w:bCs/>
          <w:color w:val="auto"/>
          <w:sz w:val="24"/>
          <w:szCs w:val="28"/>
          <w:highlight w:val="none"/>
        </w:rPr>
      </w:pPr>
      <w:r>
        <w:rPr>
          <w:rFonts w:hint="eastAsia" w:ascii="宋体" w:hAnsi="宋体" w:eastAsia="宋体" w:cs="宋体"/>
          <w:b/>
          <w:bCs/>
          <w:color w:val="auto"/>
          <w:sz w:val="24"/>
          <w:szCs w:val="28"/>
          <w:highlight w:val="none"/>
        </w:rPr>
        <w:br w:type="page"/>
      </w:r>
    </w:p>
    <w:p w14:paraId="75CB497F">
      <w:pPr>
        <w:jc w:val="center"/>
        <w:rPr>
          <w:rFonts w:hint="eastAsia" w:ascii="宋体" w:hAnsi="宋体" w:eastAsia="宋体" w:cs="宋体"/>
          <w:color w:val="auto"/>
          <w:sz w:val="28"/>
          <w:szCs w:val="28"/>
          <w:highlight w:val="none"/>
        </w:rPr>
      </w:pPr>
      <w:r>
        <w:rPr>
          <w:rFonts w:hint="eastAsia" w:ascii="宋体" w:hAnsi="宋体" w:eastAsia="宋体" w:cs="宋体"/>
          <w:b/>
          <w:bCs/>
          <w:color w:val="auto"/>
          <w:sz w:val="28"/>
          <w:szCs w:val="28"/>
          <w:highlight w:val="none"/>
        </w:rPr>
        <w:t>投标文件商务评审部分索引表</w:t>
      </w:r>
    </w:p>
    <w:tbl>
      <w:tblPr>
        <w:tblStyle w:val="20"/>
        <w:tblW w:w="4835"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108" w:type="dxa"/>
          <w:bottom w:w="0" w:type="dxa"/>
          <w:right w:w="108" w:type="dxa"/>
        </w:tblCellMar>
      </w:tblPr>
      <w:tblGrid>
        <w:gridCol w:w="1364"/>
        <w:gridCol w:w="2756"/>
        <w:gridCol w:w="3019"/>
        <w:gridCol w:w="2817"/>
      </w:tblGrid>
      <w:tr w14:paraId="65B877A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204" w:hRule="atLeast"/>
          <w:jc w:val="center"/>
        </w:trPr>
        <w:tc>
          <w:tcPr>
            <w:tcW w:w="685" w:type="pct"/>
            <w:vAlign w:val="center"/>
          </w:tcPr>
          <w:p w14:paraId="46B402A1">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1383" w:type="pct"/>
            <w:vAlign w:val="center"/>
          </w:tcPr>
          <w:p w14:paraId="323F6D5F">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评标项目</w:t>
            </w:r>
          </w:p>
        </w:tc>
        <w:tc>
          <w:tcPr>
            <w:tcW w:w="1516" w:type="pct"/>
            <w:vAlign w:val="center"/>
          </w:tcPr>
          <w:p w14:paraId="6D3EFBB2">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招标文件上的满分值</w:t>
            </w:r>
          </w:p>
        </w:tc>
        <w:tc>
          <w:tcPr>
            <w:tcW w:w="1414" w:type="pct"/>
            <w:tcBorders>
              <w:left w:val="single" w:color="auto" w:sz="4" w:space="0"/>
            </w:tcBorders>
            <w:vAlign w:val="center"/>
          </w:tcPr>
          <w:p w14:paraId="1CBD5CAC">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页码索引</w:t>
            </w:r>
          </w:p>
        </w:tc>
      </w:tr>
      <w:tr w14:paraId="48E2E6A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541" w:hRule="atLeast"/>
          <w:jc w:val="center"/>
        </w:trPr>
        <w:tc>
          <w:tcPr>
            <w:tcW w:w="685" w:type="pct"/>
            <w:vAlign w:val="center"/>
          </w:tcPr>
          <w:p w14:paraId="409E3D5E">
            <w:pPr>
              <w:jc w:val="center"/>
              <w:rPr>
                <w:rFonts w:hint="eastAsia" w:ascii="宋体" w:hAnsi="宋体" w:eastAsia="宋体" w:cs="宋体"/>
                <w:color w:val="auto"/>
                <w:szCs w:val="21"/>
                <w:highlight w:val="none"/>
              </w:rPr>
            </w:pPr>
          </w:p>
        </w:tc>
        <w:tc>
          <w:tcPr>
            <w:tcW w:w="1383" w:type="pct"/>
            <w:vAlign w:val="center"/>
          </w:tcPr>
          <w:p w14:paraId="60E53417">
            <w:pPr>
              <w:jc w:val="center"/>
              <w:rPr>
                <w:rFonts w:hint="eastAsia" w:ascii="宋体" w:hAnsi="宋体" w:eastAsia="宋体" w:cs="宋体"/>
                <w:color w:val="auto"/>
                <w:szCs w:val="21"/>
                <w:highlight w:val="none"/>
              </w:rPr>
            </w:pPr>
          </w:p>
        </w:tc>
        <w:tc>
          <w:tcPr>
            <w:tcW w:w="1516" w:type="pct"/>
            <w:vAlign w:val="center"/>
          </w:tcPr>
          <w:p w14:paraId="736A2E4F">
            <w:pPr>
              <w:jc w:val="center"/>
              <w:rPr>
                <w:rFonts w:hint="eastAsia" w:ascii="宋体" w:hAnsi="宋体" w:eastAsia="宋体" w:cs="宋体"/>
                <w:color w:val="auto"/>
                <w:szCs w:val="21"/>
                <w:highlight w:val="none"/>
              </w:rPr>
            </w:pPr>
          </w:p>
        </w:tc>
        <w:tc>
          <w:tcPr>
            <w:tcW w:w="1414" w:type="pct"/>
            <w:tcBorders>
              <w:left w:val="single" w:color="auto" w:sz="4" w:space="0"/>
            </w:tcBorders>
            <w:vAlign w:val="center"/>
          </w:tcPr>
          <w:p w14:paraId="05F0608D">
            <w:pPr>
              <w:jc w:val="center"/>
              <w:rPr>
                <w:rFonts w:hint="eastAsia" w:ascii="宋体" w:hAnsi="宋体" w:eastAsia="宋体" w:cs="宋体"/>
                <w:color w:val="auto"/>
                <w:szCs w:val="21"/>
                <w:highlight w:val="none"/>
              </w:rPr>
            </w:pPr>
          </w:p>
        </w:tc>
      </w:tr>
      <w:tr w14:paraId="5EE552F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761" w:hRule="atLeast"/>
          <w:jc w:val="center"/>
        </w:trPr>
        <w:tc>
          <w:tcPr>
            <w:tcW w:w="685" w:type="pct"/>
            <w:vAlign w:val="center"/>
          </w:tcPr>
          <w:p w14:paraId="2D6DC1C0">
            <w:pPr>
              <w:jc w:val="center"/>
              <w:rPr>
                <w:rFonts w:hint="eastAsia" w:ascii="宋体" w:hAnsi="宋体" w:eastAsia="宋体" w:cs="宋体"/>
                <w:color w:val="auto"/>
                <w:szCs w:val="21"/>
                <w:highlight w:val="none"/>
              </w:rPr>
            </w:pPr>
          </w:p>
        </w:tc>
        <w:tc>
          <w:tcPr>
            <w:tcW w:w="1383" w:type="pct"/>
            <w:vAlign w:val="center"/>
          </w:tcPr>
          <w:p w14:paraId="00A21E28">
            <w:pPr>
              <w:jc w:val="center"/>
              <w:rPr>
                <w:rFonts w:hint="eastAsia" w:ascii="宋体" w:hAnsi="宋体" w:eastAsia="宋体" w:cs="宋体"/>
                <w:color w:val="auto"/>
                <w:szCs w:val="21"/>
                <w:highlight w:val="none"/>
              </w:rPr>
            </w:pPr>
          </w:p>
        </w:tc>
        <w:tc>
          <w:tcPr>
            <w:tcW w:w="1516" w:type="pct"/>
            <w:vAlign w:val="center"/>
          </w:tcPr>
          <w:p w14:paraId="2FC7494D">
            <w:pPr>
              <w:jc w:val="center"/>
              <w:rPr>
                <w:rFonts w:hint="eastAsia" w:ascii="宋体" w:hAnsi="宋体" w:eastAsia="宋体" w:cs="宋体"/>
                <w:color w:val="auto"/>
                <w:szCs w:val="21"/>
                <w:highlight w:val="none"/>
              </w:rPr>
            </w:pPr>
          </w:p>
        </w:tc>
        <w:tc>
          <w:tcPr>
            <w:tcW w:w="1414" w:type="pct"/>
            <w:tcBorders>
              <w:left w:val="single" w:color="auto" w:sz="4" w:space="0"/>
            </w:tcBorders>
            <w:vAlign w:val="center"/>
          </w:tcPr>
          <w:p w14:paraId="4E9963A1">
            <w:pPr>
              <w:jc w:val="center"/>
              <w:rPr>
                <w:rFonts w:hint="eastAsia" w:ascii="宋体" w:hAnsi="宋体" w:eastAsia="宋体" w:cs="宋体"/>
                <w:color w:val="auto"/>
                <w:szCs w:val="21"/>
                <w:highlight w:val="none"/>
              </w:rPr>
            </w:pPr>
          </w:p>
        </w:tc>
      </w:tr>
      <w:tr w14:paraId="556BF52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2029" w:hRule="atLeast"/>
          <w:jc w:val="center"/>
        </w:trPr>
        <w:tc>
          <w:tcPr>
            <w:tcW w:w="685" w:type="pct"/>
            <w:vAlign w:val="center"/>
          </w:tcPr>
          <w:p w14:paraId="04F1F484">
            <w:pPr>
              <w:jc w:val="center"/>
              <w:rPr>
                <w:rFonts w:hint="eastAsia" w:ascii="宋体" w:hAnsi="宋体" w:eastAsia="宋体" w:cs="宋体"/>
                <w:color w:val="auto"/>
                <w:szCs w:val="21"/>
                <w:highlight w:val="none"/>
              </w:rPr>
            </w:pPr>
          </w:p>
        </w:tc>
        <w:tc>
          <w:tcPr>
            <w:tcW w:w="1383" w:type="pct"/>
            <w:vAlign w:val="center"/>
          </w:tcPr>
          <w:p w14:paraId="217F7B23">
            <w:pPr>
              <w:jc w:val="center"/>
              <w:rPr>
                <w:rFonts w:hint="eastAsia" w:ascii="宋体" w:hAnsi="宋体" w:eastAsia="宋体" w:cs="宋体"/>
                <w:color w:val="auto"/>
                <w:szCs w:val="21"/>
                <w:highlight w:val="none"/>
              </w:rPr>
            </w:pPr>
          </w:p>
        </w:tc>
        <w:tc>
          <w:tcPr>
            <w:tcW w:w="1516" w:type="pct"/>
            <w:vAlign w:val="center"/>
          </w:tcPr>
          <w:p w14:paraId="6C038E73">
            <w:pPr>
              <w:jc w:val="center"/>
              <w:rPr>
                <w:rFonts w:hint="eastAsia" w:ascii="宋体" w:hAnsi="宋体" w:eastAsia="宋体" w:cs="宋体"/>
                <w:color w:val="auto"/>
                <w:szCs w:val="21"/>
                <w:highlight w:val="none"/>
              </w:rPr>
            </w:pPr>
          </w:p>
        </w:tc>
        <w:tc>
          <w:tcPr>
            <w:tcW w:w="1414" w:type="pct"/>
            <w:tcBorders>
              <w:left w:val="single" w:color="auto" w:sz="4" w:space="0"/>
            </w:tcBorders>
            <w:vAlign w:val="center"/>
          </w:tcPr>
          <w:p w14:paraId="0168254B">
            <w:pPr>
              <w:jc w:val="center"/>
              <w:rPr>
                <w:rFonts w:hint="eastAsia" w:ascii="宋体" w:hAnsi="宋体" w:eastAsia="宋体" w:cs="宋体"/>
                <w:color w:val="auto"/>
                <w:szCs w:val="21"/>
                <w:highlight w:val="none"/>
              </w:rPr>
            </w:pPr>
          </w:p>
        </w:tc>
      </w:tr>
      <w:tr w14:paraId="49ACD16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033" w:hRule="atLeast"/>
          <w:jc w:val="center"/>
        </w:trPr>
        <w:tc>
          <w:tcPr>
            <w:tcW w:w="685" w:type="pct"/>
            <w:tcBorders>
              <w:top w:val="single" w:color="auto" w:sz="6" w:space="0"/>
              <w:left w:val="single" w:color="auto" w:sz="4" w:space="0"/>
              <w:bottom w:val="outset" w:color="808080" w:sz="6" w:space="0"/>
              <w:right w:val="single" w:color="auto" w:sz="6" w:space="0"/>
            </w:tcBorders>
            <w:vAlign w:val="center"/>
          </w:tcPr>
          <w:p w14:paraId="24B735D2">
            <w:pPr>
              <w:jc w:val="center"/>
              <w:rPr>
                <w:rFonts w:hint="eastAsia" w:ascii="宋体" w:hAnsi="宋体" w:eastAsia="宋体" w:cs="宋体"/>
                <w:color w:val="auto"/>
                <w:szCs w:val="21"/>
                <w:highlight w:val="none"/>
              </w:rPr>
            </w:pPr>
          </w:p>
        </w:tc>
        <w:tc>
          <w:tcPr>
            <w:tcW w:w="1383" w:type="pct"/>
            <w:tcBorders>
              <w:top w:val="single" w:color="auto" w:sz="6" w:space="0"/>
              <w:left w:val="single" w:color="auto" w:sz="6" w:space="0"/>
              <w:bottom w:val="outset" w:color="808080" w:sz="6" w:space="0"/>
              <w:right w:val="single" w:color="auto" w:sz="6" w:space="0"/>
            </w:tcBorders>
            <w:vAlign w:val="center"/>
          </w:tcPr>
          <w:p w14:paraId="42276B35">
            <w:pPr>
              <w:jc w:val="center"/>
              <w:rPr>
                <w:rFonts w:hint="eastAsia" w:ascii="宋体" w:hAnsi="宋体" w:eastAsia="宋体" w:cs="宋体"/>
                <w:color w:val="auto"/>
                <w:szCs w:val="21"/>
                <w:highlight w:val="none"/>
              </w:rPr>
            </w:pPr>
          </w:p>
        </w:tc>
        <w:tc>
          <w:tcPr>
            <w:tcW w:w="1516" w:type="pct"/>
            <w:tcBorders>
              <w:top w:val="single" w:color="auto" w:sz="6" w:space="0"/>
              <w:left w:val="single" w:color="auto" w:sz="6" w:space="0"/>
              <w:bottom w:val="outset" w:color="808080" w:sz="6" w:space="0"/>
              <w:right w:val="single" w:color="auto" w:sz="6" w:space="0"/>
            </w:tcBorders>
            <w:vAlign w:val="center"/>
          </w:tcPr>
          <w:p w14:paraId="5A900BAF">
            <w:pPr>
              <w:jc w:val="center"/>
              <w:rPr>
                <w:rFonts w:hint="eastAsia" w:ascii="宋体" w:hAnsi="宋体" w:eastAsia="宋体" w:cs="宋体"/>
                <w:color w:val="auto"/>
                <w:szCs w:val="21"/>
                <w:highlight w:val="none"/>
              </w:rPr>
            </w:pPr>
          </w:p>
        </w:tc>
        <w:tc>
          <w:tcPr>
            <w:tcW w:w="1414" w:type="pct"/>
            <w:tcBorders>
              <w:top w:val="single" w:color="auto" w:sz="6" w:space="0"/>
              <w:left w:val="single" w:color="auto" w:sz="4" w:space="0"/>
              <w:bottom w:val="outset" w:color="808080" w:sz="6" w:space="0"/>
              <w:right w:val="single" w:color="auto" w:sz="6" w:space="0"/>
            </w:tcBorders>
            <w:vAlign w:val="center"/>
          </w:tcPr>
          <w:p w14:paraId="3347B365">
            <w:pPr>
              <w:jc w:val="center"/>
              <w:rPr>
                <w:rFonts w:hint="eastAsia" w:ascii="宋体" w:hAnsi="宋体" w:eastAsia="宋体" w:cs="宋体"/>
                <w:color w:val="auto"/>
                <w:szCs w:val="21"/>
                <w:highlight w:val="none"/>
              </w:rPr>
            </w:pPr>
          </w:p>
        </w:tc>
      </w:tr>
      <w:tr w14:paraId="44749C8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966" w:hRule="atLeast"/>
          <w:jc w:val="center"/>
        </w:trPr>
        <w:tc>
          <w:tcPr>
            <w:tcW w:w="2069" w:type="pct"/>
            <w:gridSpan w:val="2"/>
            <w:tcBorders>
              <w:bottom w:val="single" w:color="auto" w:sz="4" w:space="0"/>
            </w:tcBorders>
            <w:vAlign w:val="center"/>
          </w:tcPr>
          <w:p w14:paraId="4EBE052A">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合计</w:t>
            </w:r>
          </w:p>
        </w:tc>
        <w:tc>
          <w:tcPr>
            <w:tcW w:w="1516" w:type="pct"/>
            <w:tcBorders>
              <w:bottom w:val="single" w:color="auto" w:sz="4" w:space="0"/>
            </w:tcBorders>
            <w:vAlign w:val="center"/>
          </w:tcPr>
          <w:p w14:paraId="1E409145">
            <w:pPr>
              <w:jc w:val="center"/>
              <w:rPr>
                <w:rFonts w:hint="eastAsia" w:ascii="宋体" w:hAnsi="宋体" w:eastAsia="宋体" w:cs="宋体"/>
                <w:color w:val="auto"/>
                <w:szCs w:val="21"/>
                <w:highlight w:val="none"/>
              </w:rPr>
            </w:pPr>
          </w:p>
        </w:tc>
        <w:tc>
          <w:tcPr>
            <w:tcW w:w="1414" w:type="pct"/>
            <w:tcBorders>
              <w:left w:val="single" w:color="auto" w:sz="4" w:space="0"/>
              <w:bottom w:val="single" w:color="auto" w:sz="4" w:space="0"/>
            </w:tcBorders>
            <w:vAlign w:val="center"/>
          </w:tcPr>
          <w:p w14:paraId="1838F223">
            <w:pPr>
              <w:jc w:val="center"/>
              <w:rPr>
                <w:rFonts w:hint="eastAsia" w:ascii="宋体" w:hAnsi="宋体" w:eastAsia="宋体" w:cs="宋体"/>
                <w:color w:val="auto"/>
                <w:szCs w:val="21"/>
                <w:highlight w:val="none"/>
              </w:rPr>
            </w:pPr>
          </w:p>
        </w:tc>
      </w:tr>
    </w:tbl>
    <w:p w14:paraId="20AB1B06">
      <w:pPr>
        <w:rPr>
          <w:rFonts w:hint="eastAsia" w:ascii="宋体" w:hAnsi="宋体" w:eastAsia="宋体" w:cs="宋体"/>
          <w:color w:val="auto"/>
          <w:highlight w:val="none"/>
        </w:rPr>
      </w:pPr>
    </w:p>
    <w:p w14:paraId="7B86AACC">
      <w:pPr>
        <w:widowControl/>
        <w:jc w:val="left"/>
        <w:rPr>
          <w:rFonts w:hint="eastAsia" w:ascii="宋体" w:hAnsi="宋体" w:eastAsia="宋体" w:cs="宋体"/>
          <w:b/>
          <w:color w:val="auto"/>
          <w:kern w:val="0"/>
          <w:sz w:val="32"/>
          <w:szCs w:val="32"/>
          <w:highlight w:val="none"/>
        </w:rPr>
      </w:pPr>
      <w:r>
        <w:rPr>
          <w:rFonts w:hint="eastAsia" w:ascii="宋体" w:hAnsi="宋体" w:eastAsia="宋体" w:cs="宋体"/>
          <w:color w:val="auto"/>
          <w:highlight w:val="none"/>
        </w:rPr>
        <w:br w:type="page"/>
      </w:r>
    </w:p>
    <w:p w14:paraId="613E97CC">
      <w:pPr>
        <w:pStyle w:val="3"/>
        <w:rPr>
          <w:rFonts w:hint="eastAsia" w:ascii="宋体" w:hAnsi="宋体" w:eastAsia="宋体" w:cs="宋体"/>
          <w:color w:val="auto"/>
          <w:sz w:val="28"/>
          <w:szCs w:val="36"/>
          <w:highlight w:val="none"/>
        </w:rPr>
      </w:pPr>
      <w:bookmarkStart w:id="764" w:name="_Toc18706"/>
      <w:bookmarkStart w:id="765" w:name="_Toc13331"/>
      <w:bookmarkStart w:id="766" w:name="_Toc11469"/>
      <w:bookmarkStart w:id="767" w:name="_Toc7720"/>
      <w:bookmarkStart w:id="768" w:name="_Toc5830"/>
      <w:bookmarkStart w:id="769" w:name="_Toc3772"/>
      <w:bookmarkStart w:id="770" w:name="_Toc15820"/>
      <w:bookmarkStart w:id="771" w:name="_Toc12503"/>
      <w:bookmarkStart w:id="772" w:name="_Toc16367"/>
      <w:r>
        <w:rPr>
          <w:rFonts w:hint="eastAsia" w:ascii="宋体" w:hAnsi="宋体" w:eastAsia="宋体" w:cs="宋体"/>
          <w:color w:val="auto"/>
          <w:sz w:val="28"/>
          <w:szCs w:val="36"/>
          <w:highlight w:val="none"/>
        </w:rPr>
        <w:t>一、投标函格式</w:t>
      </w:r>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p>
    <w:p w14:paraId="09594F7F">
      <w:pPr>
        <w:jc w:val="center"/>
        <w:rPr>
          <w:rFonts w:hint="eastAsia" w:ascii="宋体" w:hAnsi="宋体" w:eastAsia="宋体" w:cs="宋体"/>
          <w:color w:val="auto"/>
          <w:highlight w:val="none"/>
          <w:lang w:val="zh-CN"/>
        </w:rPr>
      </w:pPr>
      <w:bookmarkStart w:id="773" w:name="_Toc16695_WPSOffice_Level3"/>
      <w:r>
        <w:rPr>
          <w:rFonts w:hint="eastAsia" w:ascii="宋体" w:hAnsi="宋体" w:eastAsia="宋体" w:cs="宋体"/>
          <w:b/>
          <w:bCs/>
          <w:color w:val="auto"/>
          <w:sz w:val="28"/>
          <w:szCs w:val="28"/>
          <w:highlight w:val="none"/>
          <w:lang w:val="zh-CN"/>
        </w:rPr>
        <w:t>投 标 函</w:t>
      </w:r>
      <w:bookmarkEnd w:id="773"/>
    </w:p>
    <w:p w14:paraId="4500321E">
      <w:pPr>
        <w:rPr>
          <w:rFonts w:hint="eastAsia" w:ascii="宋体" w:hAnsi="宋体" w:eastAsia="宋体" w:cs="宋体"/>
          <w:color w:val="auto"/>
          <w:kern w:val="0"/>
          <w:szCs w:val="21"/>
          <w:highlight w:val="none"/>
          <w:u w:val="single"/>
          <w:lang w:eastAsia="zh-CN"/>
        </w:rPr>
      </w:pPr>
      <w:r>
        <w:rPr>
          <w:rFonts w:hint="eastAsia" w:ascii="宋体" w:hAnsi="宋体" w:eastAsia="宋体" w:cs="宋体"/>
          <w:color w:val="auto"/>
          <w:szCs w:val="21"/>
          <w:highlight w:val="none"/>
          <w:lang w:val="zh-CN"/>
        </w:rPr>
        <w:t>致：</w:t>
      </w:r>
      <w:r>
        <w:rPr>
          <w:rFonts w:hint="eastAsia" w:ascii="宋体" w:hAnsi="宋体" w:eastAsia="宋体" w:cs="宋体"/>
          <w:color w:val="auto"/>
          <w:kern w:val="0"/>
          <w:szCs w:val="21"/>
          <w:highlight w:val="none"/>
          <w:u w:val="single"/>
          <w:lang w:eastAsia="zh-CN"/>
        </w:rPr>
        <w:t>东莞市碧水信息科技有限公司</w:t>
      </w:r>
    </w:p>
    <w:p w14:paraId="16EA3678">
      <w:pPr>
        <w:ind w:firstLine="420" w:firstLineChars="2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根据贵方为</w:t>
      </w:r>
      <w:r>
        <w:rPr>
          <w:rFonts w:hint="eastAsia" w:cs="宋体"/>
          <w:color w:val="auto"/>
          <w:kern w:val="2"/>
          <w:sz w:val="21"/>
          <w:szCs w:val="21"/>
          <w:highlight w:val="none"/>
          <w:u w:val="single"/>
          <w:lang w:val="zh-CN" w:eastAsia="zh-CN" w:bidi="ar-SA"/>
        </w:rPr>
        <w:t>东莞市碧水信息科技有限公司2025年度球墨铸铁阀门采购项目（第三次招标）</w:t>
      </w:r>
      <w:r>
        <w:rPr>
          <w:rFonts w:hint="eastAsia" w:ascii="宋体" w:hAnsi="宋体" w:eastAsia="宋体" w:cs="宋体"/>
          <w:color w:val="auto"/>
          <w:szCs w:val="21"/>
          <w:highlight w:val="none"/>
          <w:lang w:val="zh-CN"/>
        </w:rPr>
        <w:t>(招标编号：</w:t>
      </w:r>
      <w:r>
        <w:rPr>
          <w:rFonts w:hint="eastAsia" w:cs="宋体"/>
          <w:color w:val="auto"/>
          <w:szCs w:val="21"/>
          <w:highlight w:val="none"/>
          <w:u w:val="single"/>
          <w:lang w:val="en-US" w:eastAsia="zh-CN"/>
        </w:rPr>
        <w:t>YDZB25DGQY0149-2</w:t>
      </w:r>
      <w:r>
        <w:rPr>
          <w:rFonts w:hint="eastAsia" w:ascii="宋体" w:hAnsi="宋体" w:eastAsia="宋体" w:cs="宋体"/>
          <w:color w:val="auto"/>
          <w:szCs w:val="21"/>
          <w:highlight w:val="none"/>
          <w:lang w:val="zh-CN"/>
        </w:rPr>
        <w:t>)的投标邀请，我方</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lang w:val="zh-CN"/>
        </w:rPr>
        <w:t>（投标人名称）作为投标人正式授权</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（授权代表全名，职务）代表我方进行有关本次投标的一切事宜。</w:t>
      </w:r>
    </w:p>
    <w:p w14:paraId="38C4E535">
      <w:pPr>
        <w:ind w:firstLine="420" w:firstLineChars="20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在此提交的投标文件，包括如下等内容，并已单独密封封装：</w:t>
      </w:r>
    </w:p>
    <w:p w14:paraId="6686A04A">
      <w:pPr>
        <w:ind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（—）唱标信封【</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lang w:val="zh-CN"/>
        </w:rPr>
        <w:t>份】（含投标文件电子文件）；</w:t>
      </w:r>
    </w:p>
    <w:p w14:paraId="16CCC9D7">
      <w:pPr>
        <w:ind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（二）投标文件【正本</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lang w:val="zh-CN"/>
        </w:rPr>
        <w:t>份，副本</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lang w:val="zh-CN"/>
        </w:rPr>
        <w:t>份】。</w:t>
      </w:r>
    </w:p>
    <w:p w14:paraId="62B5E118">
      <w:pPr>
        <w:ind w:firstLine="420" w:firstLineChars="20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我方已完全明白招标文件的所有条款要求，并重申以下几点：</w:t>
      </w:r>
    </w:p>
    <w:p w14:paraId="34476714">
      <w:pPr>
        <w:ind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（—）我方决定参加招标编号为</w:t>
      </w:r>
      <w:r>
        <w:rPr>
          <w:rFonts w:hint="eastAsia" w:cs="宋体"/>
          <w:color w:val="auto"/>
          <w:szCs w:val="21"/>
          <w:highlight w:val="none"/>
          <w:u w:val="single"/>
          <w:lang w:val="en-US" w:eastAsia="zh-CN"/>
        </w:rPr>
        <w:t>YDZB25DGQY0149-2</w:t>
      </w:r>
      <w:r>
        <w:rPr>
          <w:rFonts w:hint="eastAsia" w:ascii="宋体" w:hAnsi="宋体" w:eastAsia="宋体" w:cs="宋体"/>
          <w:color w:val="auto"/>
          <w:szCs w:val="21"/>
          <w:highlight w:val="none"/>
          <w:lang w:val="zh-CN"/>
        </w:rPr>
        <w:t>的投标；</w:t>
      </w:r>
    </w:p>
    <w:p w14:paraId="50C58BFC">
      <w:pPr>
        <w:ind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（二）本投标文件的有效期自递交投标文件截止时间届满后90日有效，如中标，有效期将延至合同终止日为止；</w:t>
      </w:r>
    </w:p>
    <w:p w14:paraId="0ED2C8BA">
      <w:pPr>
        <w:ind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（三）我方已详细研究了招标文件的所有内容包括修正文（如有）和所有已提供的参考资料以及有关附件并完全明白，我方放弃在此方面提出含糊意见或误解的一切权力；</w:t>
      </w:r>
    </w:p>
    <w:p w14:paraId="619E55ED">
      <w:pPr>
        <w:ind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（四）我方明白并愿意在规定的递交投标文件截止时间和日期之后，投标有效期之内撤回投标，则不予退还我方投标保证金；</w:t>
      </w:r>
    </w:p>
    <w:p w14:paraId="748EB5B2">
      <w:pPr>
        <w:ind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（五）我方同意按照贵方可能提出的要求而提供与投标有关的任何其它数据或信息；</w:t>
      </w:r>
    </w:p>
    <w:p w14:paraId="46EA3830">
      <w:pPr>
        <w:ind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（六）我方理解贵方不一定接受最低报价或任何贵方可能收到的报价；</w:t>
      </w:r>
    </w:p>
    <w:p w14:paraId="51192843">
      <w:pPr>
        <w:ind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（七）我方如果中标，将保证履行招标文件以及招标文件修改书（如有）中的全部责任和义务，按质、按量、按期完成《合同书》中的全部任务；</w:t>
      </w:r>
    </w:p>
    <w:p w14:paraId="49428C86">
      <w:pPr>
        <w:ind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（八）保证投标文件中所有资料均真实有效，否则按无效投标处理或可取消中标资格，并愿意接受按弄虚作假骗取中标的有关规定进行处理，并不予退还我方投标保证金；</w:t>
      </w:r>
    </w:p>
    <w:p w14:paraId="55B5FA2B">
      <w:pPr>
        <w:ind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（九）若我方中标后，我方一定按照招标文件的要求和投标文件的承诺签订和履行合同，否则贵方可取消我方中标资格，并依法不予退还我方投标保证金或履约担保，我方愿意接受违约处罚；</w:t>
      </w:r>
    </w:p>
    <w:p w14:paraId="4B9808A2">
      <w:pPr>
        <w:ind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（十）若我方中标后，核查出投标文件内容前后不一致，我方愿按最高标准的承诺履约义务；</w:t>
      </w:r>
    </w:p>
    <w:p w14:paraId="66203D5E">
      <w:pPr>
        <w:ind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（十一）所有与本投标有关的函件请发往下列地址：</w:t>
      </w:r>
    </w:p>
    <w:p w14:paraId="315ECF3B">
      <w:pPr>
        <w:rPr>
          <w:rFonts w:hint="eastAsia" w:ascii="宋体" w:hAnsi="宋体" w:eastAsia="宋体" w:cs="宋体"/>
          <w:color w:val="auto"/>
          <w:highlight w:val="none"/>
          <w:lang w:val="zh-CN"/>
        </w:rPr>
      </w:pPr>
    </w:p>
    <w:p w14:paraId="7B930D52">
      <w:pPr>
        <w:ind w:firstLine="420" w:firstLineChars="200"/>
        <w:rPr>
          <w:rFonts w:hint="eastAsia" w:ascii="宋体" w:hAnsi="宋体" w:eastAsia="宋体" w:cs="宋体"/>
          <w:color w:val="auto"/>
          <w:szCs w:val="21"/>
          <w:highlight w:val="none"/>
          <w:u w:val="single"/>
          <w:lang w:val="zh-CN"/>
        </w:rPr>
      </w:pPr>
      <w:r>
        <w:rPr>
          <w:rFonts w:hint="eastAsia" w:ascii="宋体" w:hAnsi="宋体" w:eastAsia="宋体" w:cs="宋体"/>
          <w:color w:val="auto"/>
          <w:szCs w:val="21"/>
          <w:highlight w:val="none"/>
          <w:lang w:val="zh-CN"/>
        </w:rPr>
        <w:t>地  　址：</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邮政编码：</w:t>
      </w:r>
      <w:r>
        <w:rPr>
          <w:rFonts w:hint="eastAsia" w:ascii="宋体" w:hAnsi="宋体" w:eastAsia="宋体" w:cs="宋体"/>
          <w:color w:val="auto"/>
          <w:szCs w:val="21"/>
          <w:highlight w:val="none"/>
          <w:u w:val="single"/>
          <w:lang w:val="zh-CN"/>
        </w:rPr>
        <w:t xml:space="preserve">　　　　　　　　　　 </w:t>
      </w:r>
    </w:p>
    <w:p w14:paraId="58755900">
      <w:pPr>
        <w:ind w:firstLine="420" w:firstLineChars="2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电　　话：</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代表姓名：</w:t>
      </w:r>
      <w:r>
        <w:rPr>
          <w:rFonts w:hint="eastAsia" w:ascii="宋体" w:hAnsi="宋体" w:eastAsia="宋体" w:cs="宋体"/>
          <w:color w:val="auto"/>
          <w:szCs w:val="21"/>
          <w:highlight w:val="none"/>
          <w:u w:val="single"/>
          <w:lang w:val="zh-CN"/>
        </w:rPr>
        <w:t>　　　　　　　　　　　</w:t>
      </w:r>
    </w:p>
    <w:p w14:paraId="3678F09C">
      <w:pPr>
        <w:ind w:firstLine="420" w:firstLineChars="2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传　　真：</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 xml:space="preserve">        职　　务：</w:t>
      </w:r>
      <w:r>
        <w:rPr>
          <w:rFonts w:hint="eastAsia" w:ascii="宋体" w:hAnsi="宋体" w:eastAsia="宋体" w:cs="宋体"/>
          <w:color w:val="auto"/>
          <w:szCs w:val="21"/>
          <w:highlight w:val="none"/>
          <w:u w:val="single"/>
          <w:lang w:val="zh-CN"/>
        </w:rPr>
        <w:t xml:space="preserve">　　　　　　　　　　 </w:t>
      </w:r>
    </w:p>
    <w:p w14:paraId="271FFDE3">
      <w:pPr>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rPr>
        <w:t>电子邮箱：</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ab/>
      </w:r>
    </w:p>
    <w:p w14:paraId="006986CC">
      <w:pPr>
        <w:rPr>
          <w:rFonts w:hint="eastAsia" w:ascii="宋体" w:hAnsi="宋体" w:eastAsia="宋体" w:cs="宋体"/>
          <w:color w:val="auto"/>
          <w:highlight w:val="none"/>
          <w:lang w:val="zh-CN"/>
        </w:rPr>
      </w:pPr>
    </w:p>
    <w:p w14:paraId="476D7D2F">
      <w:pPr>
        <w:rPr>
          <w:rFonts w:hint="eastAsia" w:ascii="宋体" w:hAnsi="宋体" w:eastAsia="宋体" w:cs="宋体"/>
          <w:color w:val="auto"/>
          <w:highlight w:val="none"/>
          <w:lang w:val="zh-CN"/>
        </w:rPr>
      </w:pPr>
    </w:p>
    <w:p w14:paraId="6693EFDF">
      <w:pPr>
        <w:ind w:left="4620" w:leftChars="22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4"/>
          <w:highlight w:val="none"/>
          <w:lang w:val="zh-CN"/>
        </w:rPr>
        <w:t>加盖投标人法人公章</w:t>
      </w:r>
      <w:r>
        <w:rPr>
          <w:rFonts w:hint="eastAsia" w:ascii="宋体" w:hAnsi="宋体" w:eastAsia="宋体" w:cs="宋体"/>
          <w:color w:val="auto"/>
          <w:szCs w:val="21"/>
          <w:highlight w:val="none"/>
          <w:lang w:val="zh-CN"/>
        </w:rPr>
        <w:t>）</w:t>
      </w:r>
    </w:p>
    <w:p w14:paraId="6BF38699">
      <w:pPr>
        <w:ind w:left="4620" w:leftChars="22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法定代表人或其授权代表签名（或盖私章）：</w:t>
      </w:r>
    </w:p>
    <w:p w14:paraId="4D6A499D">
      <w:pPr>
        <w:ind w:left="4620" w:leftChars="2200"/>
        <w:rPr>
          <w:rFonts w:hint="eastAsia" w:ascii="宋体" w:hAnsi="宋体" w:eastAsia="宋体" w:cs="宋体"/>
          <w:color w:val="auto"/>
          <w:sz w:val="24"/>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宋体"/>
          <w:color w:val="auto"/>
          <w:szCs w:val="24"/>
          <w:highlight w:val="none"/>
          <w:lang w:val="zh-CN"/>
        </w:rPr>
        <w:t>期：   年   月   日</w:t>
      </w:r>
    </w:p>
    <w:p w14:paraId="2587EFE5">
      <w:pPr>
        <w:rPr>
          <w:rFonts w:hint="eastAsia" w:ascii="宋体" w:hAnsi="宋体" w:eastAsia="宋体" w:cs="宋体"/>
          <w:color w:val="auto"/>
          <w:highlight w:val="none"/>
        </w:rPr>
      </w:pPr>
      <w:bookmarkStart w:id="774" w:name="_Toc140596922"/>
      <w:bookmarkStart w:id="775" w:name="_Toc94107203"/>
      <w:bookmarkStart w:id="776" w:name="_Toc8696"/>
      <w:bookmarkStart w:id="777" w:name="_Toc1977722"/>
      <w:bookmarkStart w:id="778" w:name="_Toc104991869"/>
      <w:bookmarkStart w:id="779" w:name="_Toc533708122"/>
      <w:bookmarkStart w:id="780" w:name="_Toc26795"/>
      <w:bookmarkStart w:id="781" w:name="_Toc142508363"/>
      <w:bookmarkStart w:id="782" w:name="_Toc102860412"/>
      <w:bookmarkStart w:id="783" w:name="_Toc28613_WPSOffice_Level2"/>
      <w:bookmarkStart w:id="784" w:name="_Toc102860068"/>
      <w:bookmarkStart w:id="785" w:name="_Toc486167710"/>
      <w:r>
        <w:rPr>
          <w:rFonts w:hint="eastAsia" w:ascii="宋体" w:hAnsi="宋体" w:eastAsia="宋体" w:cs="宋体"/>
          <w:color w:val="auto"/>
          <w:highlight w:val="none"/>
        </w:rPr>
        <w:br w:type="page"/>
      </w:r>
    </w:p>
    <w:p w14:paraId="58F14406">
      <w:pPr>
        <w:pStyle w:val="3"/>
        <w:rPr>
          <w:rFonts w:hint="eastAsia" w:ascii="宋体" w:hAnsi="宋体" w:eastAsia="宋体" w:cs="宋体"/>
          <w:color w:val="auto"/>
          <w:sz w:val="28"/>
          <w:szCs w:val="36"/>
          <w:highlight w:val="none"/>
        </w:rPr>
      </w:pPr>
      <w:bookmarkStart w:id="786" w:name="_Toc24565"/>
      <w:bookmarkStart w:id="787" w:name="_Toc16772"/>
      <w:bookmarkStart w:id="788" w:name="_Toc3053"/>
      <w:bookmarkStart w:id="789" w:name="_Toc1469"/>
      <w:bookmarkStart w:id="790" w:name="_Toc25357"/>
      <w:bookmarkStart w:id="791" w:name="_Toc11984"/>
      <w:bookmarkStart w:id="792" w:name="_Toc32699"/>
      <w:r>
        <w:rPr>
          <w:rFonts w:hint="eastAsia" w:ascii="宋体" w:hAnsi="宋体" w:eastAsia="宋体" w:cs="宋体"/>
          <w:color w:val="auto"/>
          <w:sz w:val="28"/>
          <w:szCs w:val="36"/>
          <w:highlight w:val="none"/>
        </w:rPr>
        <w:t>二、投标承诺书格式</w:t>
      </w:r>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p>
    <w:p w14:paraId="676249E7">
      <w:pPr>
        <w:jc w:val="center"/>
        <w:rPr>
          <w:rFonts w:hint="eastAsia" w:ascii="宋体" w:hAnsi="宋体" w:eastAsia="宋体" w:cs="宋体"/>
          <w:color w:val="auto"/>
          <w:highlight w:val="none"/>
        </w:rPr>
      </w:pPr>
      <w:r>
        <w:rPr>
          <w:rFonts w:hint="eastAsia" w:ascii="宋体" w:hAnsi="宋体" w:eastAsia="宋体" w:cs="宋体"/>
          <w:b/>
          <w:bCs/>
          <w:color w:val="auto"/>
          <w:sz w:val="28"/>
          <w:szCs w:val="28"/>
          <w:highlight w:val="none"/>
          <w:lang w:val="zh-CN"/>
        </w:rPr>
        <w:t>投标承诺书</w:t>
      </w:r>
    </w:p>
    <w:p w14:paraId="5269023F">
      <w:pPr>
        <w:widowControl/>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（投标人名称）已完整阅读了</w:t>
      </w:r>
      <w:r>
        <w:rPr>
          <w:rFonts w:hint="eastAsia" w:cs="宋体"/>
          <w:color w:val="auto"/>
          <w:kern w:val="0"/>
          <w:sz w:val="21"/>
          <w:szCs w:val="21"/>
          <w:highlight w:val="none"/>
          <w:u w:val="single"/>
          <w:lang w:val="zh-CN" w:eastAsia="zh-CN" w:bidi="ar-SA"/>
        </w:rPr>
        <w:t>东莞市碧水信息科技有限公司2025年度球墨铸铁阀门采购项目（第三次招标）</w:t>
      </w:r>
      <w:r>
        <w:rPr>
          <w:rFonts w:hint="eastAsia" w:ascii="宋体" w:hAnsi="宋体" w:eastAsia="宋体" w:cs="宋体"/>
          <w:color w:val="auto"/>
          <w:kern w:val="0"/>
          <w:szCs w:val="21"/>
          <w:highlight w:val="none"/>
        </w:rPr>
        <w:t>（招标编号：</w:t>
      </w:r>
      <w:r>
        <w:rPr>
          <w:rFonts w:hint="eastAsia" w:cs="宋体"/>
          <w:color w:val="auto"/>
          <w:kern w:val="0"/>
          <w:szCs w:val="21"/>
          <w:highlight w:val="none"/>
          <w:lang w:val="en-US" w:eastAsia="zh-CN"/>
        </w:rPr>
        <w:t>YDZB25DGQY0149-2</w:t>
      </w:r>
      <w:r>
        <w:rPr>
          <w:rFonts w:hint="eastAsia" w:ascii="宋体" w:hAnsi="宋体" w:eastAsia="宋体" w:cs="宋体"/>
          <w:color w:val="auto"/>
          <w:kern w:val="0"/>
          <w:szCs w:val="21"/>
          <w:highlight w:val="none"/>
        </w:rPr>
        <w:t>）招标文件的所有内容（包括澄清，以及所有已提供的参考资料和有关附件），并完全理解上述文件所表达的意思，该项目递交投标文件时间截止后，我方承诺不再对上述文件内容进行询问或异议。</w:t>
      </w:r>
      <w:r>
        <w:rPr>
          <w:rFonts w:hint="eastAsia" w:ascii="宋体" w:hAnsi="宋体" w:eastAsia="宋体" w:cs="宋体"/>
          <w:color w:val="auto"/>
          <w:kern w:val="0"/>
          <w:szCs w:val="21"/>
          <w:highlight w:val="none"/>
        </w:rPr>
        <w:cr/>
      </w:r>
      <w:r>
        <w:rPr>
          <w:rFonts w:hint="eastAsia" w:ascii="宋体" w:hAnsi="宋体" w:eastAsia="宋体" w:cs="宋体"/>
          <w:color w:val="auto"/>
          <w:kern w:val="0"/>
          <w:szCs w:val="21"/>
          <w:highlight w:val="none"/>
        </w:rPr>
        <w:t xml:space="preserve">    我方承诺，若我方存在通过弄虚作假、虚假响应招标文件要求等手段骗取中标的，招标人有权或协助主管部门认定我方严重失信的不良行为，纳入相关企业信用“黑名单”，限制我方参与依法必须招标项目的投标，并向行政主管部门报送结果。同时，招标人有权根据《关于对环境保护领域失信生产经营单位及其有关人员开展联合惩戒的合作备忘录》等规定，通过“信用中国”网站向社会公示我方的失信行为，实现“一处失信、处处受限”。</w:t>
      </w:r>
    </w:p>
    <w:p w14:paraId="34EC91D8">
      <w:pPr>
        <w:widowControl/>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若我方在投标或履行本合同过程中存在提供虚假材料、虚假响应招标文件要求等弄虚作假行为，或未能根据招标文件投标人须知第29.2款约定按时提供原件核查的，因此导致我方无法参与</w:t>
      </w:r>
      <w:r>
        <w:rPr>
          <w:rFonts w:hint="eastAsia" w:ascii="宋体" w:hAnsi="宋体" w:eastAsia="宋体" w:cs="宋体"/>
          <w:color w:val="auto"/>
          <w:szCs w:val="21"/>
          <w:highlight w:val="none"/>
          <w:lang w:val="zh-CN"/>
        </w:rPr>
        <w:t>东莞市水务环境投资控股集团有限公司</w:t>
      </w:r>
      <w:r>
        <w:rPr>
          <w:rFonts w:hint="eastAsia" w:ascii="宋体" w:hAnsi="宋体" w:eastAsia="宋体" w:cs="宋体"/>
          <w:color w:val="auto"/>
          <w:kern w:val="0"/>
          <w:szCs w:val="21"/>
          <w:highlight w:val="none"/>
        </w:rPr>
        <w:t>相关招标采购活动的，由我方自行承担全部后果。</w:t>
      </w:r>
    </w:p>
    <w:p w14:paraId="4AB1EF69">
      <w:pPr>
        <w:rPr>
          <w:rFonts w:hint="eastAsia" w:ascii="宋体" w:hAnsi="宋体" w:eastAsia="宋体" w:cs="宋体"/>
          <w:color w:val="auto"/>
          <w:highlight w:val="none"/>
        </w:rPr>
      </w:pPr>
    </w:p>
    <w:p w14:paraId="17B74D0B">
      <w:pPr>
        <w:rPr>
          <w:rFonts w:hint="eastAsia" w:ascii="宋体" w:hAnsi="宋体" w:eastAsia="宋体" w:cs="宋体"/>
          <w:color w:val="auto"/>
          <w:highlight w:val="none"/>
        </w:rPr>
      </w:pPr>
    </w:p>
    <w:p w14:paraId="14CFD617">
      <w:pPr>
        <w:ind w:left="4620" w:leftChars="22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投标人：（加盖投标人法人公章）</w:t>
      </w:r>
    </w:p>
    <w:p w14:paraId="50EBA0F1">
      <w:pPr>
        <w:ind w:left="4620" w:leftChars="22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法定代表人或其授权代表签名（或盖私章）：</w:t>
      </w:r>
    </w:p>
    <w:p w14:paraId="3B396133">
      <w:pPr>
        <w:ind w:left="4620" w:leftChars="2200"/>
        <w:rPr>
          <w:rFonts w:hint="eastAsia" w:ascii="宋体" w:hAnsi="宋体" w:eastAsia="宋体" w:cs="宋体"/>
          <w:color w:val="auto"/>
          <w:sz w:val="24"/>
          <w:szCs w:val="24"/>
          <w:highlight w:val="none"/>
          <w:lang w:val="zh-CN"/>
        </w:rPr>
      </w:pPr>
      <w:r>
        <w:rPr>
          <w:rFonts w:hint="eastAsia" w:ascii="宋体" w:hAnsi="宋体" w:eastAsia="宋体" w:cs="宋体"/>
          <w:color w:val="auto"/>
          <w:szCs w:val="21"/>
          <w:highlight w:val="none"/>
          <w:lang w:val="zh-CN"/>
        </w:rPr>
        <w:t>日期：   年   月   日</w:t>
      </w:r>
    </w:p>
    <w:p w14:paraId="31D35607">
      <w:pPr>
        <w:rPr>
          <w:rFonts w:hint="eastAsia" w:ascii="宋体" w:hAnsi="宋体" w:eastAsia="宋体" w:cs="宋体"/>
          <w:color w:val="auto"/>
          <w:highlight w:val="none"/>
        </w:rPr>
      </w:pPr>
      <w:bookmarkStart w:id="793" w:name="_Toc82182546"/>
      <w:bookmarkStart w:id="794" w:name="_Toc9778"/>
      <w:bookmarkStart w:id="795" w:name="_Toc104991870"/>
      <w:bookmarkStart w:id="796" w:name="_Toc86764083"/>
      <w:bookmarkStart w:id="797" w:name="_Toc102860413"/>
      <w:bookmarkStart w:id="798" w:name="_Toc142508364"/>
      <w:bookmarkStart w:id="799" w:name="_Toc12590"/>
      <w:bookmarkStart w:id="800" w:name="_Toc94107204"/>
      <w:bookmarkStart w:id="801" w:name="_Toc102860069"/>
      <w:bookmarkStart w:id="802" w:name="_Toc140596923"/>
      <w:bookmarkStart w:id="803" w:name="_Toc486167711"/>
      <w:bookmarkStart w:id="804" w:name="_Toc7024_WPSOffice_Level2"/>
      <w:bookmarkStart w:id="805" w:name="_Toc1977723"/>
      <w:bookmarkStart w:id="806" w:name="_Toc533708123"/>
      <w:bookmarkStart w:id="807" w:name="_Toc326768876"/>
      <w:bookmarkStart w:id="808" w:name="_Toc311032584"/>
      <w:bookmarkStart w:id="809" w:name="_Toc316896755"/>
    </w:p>
    <w:p w14:paraId="7DB60598">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1DDA7FBD">
      <w:pPr>
        <w:pStyle w:val="3"/>
        <w:rPr>
          <w:rFonts w:hint="eastAsia" w:ascii="宋体" w:hAnsi="宋体" w:eastAsia="宋体" w:cs="宋体"/>
          <w:color w:val="auto"/>
          <w:sz w:val="28"/>
          <w:szCs w:val="36"/>
          <w:highlight w:val="none"/>
        </w:rPr>
      </w:pPr>
      <w:bookmarkStart w:id="810" w:name="_Toc30828"/>
      <w:bookmarkStart w:id="811" w:name="_Toc11877"/>
      <w:bookmarkStart w:id="812" w:name="_Toc148"/>
      <w:bookmarkStart w:id="813" w:name="_Toc14673"/>
      <w:bookmarkStart w:id="814" w:name="_Toc30024"/>
      <w:bookmarkStart w:id="815" w:name="_Toc32655"/>
      <w:bookmarkStart w:id="816" w:name="_Toc14902"/>
      <w:r>
        <w:rPr>
          <w:rFonts w:hint="eastAsia" w:ascii="宋体" w:hAnsi="宋体" w:eastAsia="宋体" w:cs="宋体"/>
          <w:color w:val="auto"/>
          <w:sz w:val="28"/>
          <w:szCs w:val="36"/>
          <w:highlight w:val="none"/>
        </w:rPr>
        <w:t>三、供货及/或提供服务过程承诺函格式</w:t>
      </w:r>
      <w:bookmarkEnd w:id="793"/>
      <w:bookmarkEnd w:id="794"/>
      <w:bookmarkEnd w:id="795"/>
      <w:bookmarkEnd w:id="796"/>
      <w:bookmarkEnd w:id="797"/>
      <w:bookmarkEnd w:id="798"/>
      <w:bookmarkEnd w:id="799"/>
      <w:bookmarkEnd w:id="800"/>
      <w:bookmarkEnd w:id="801"/>
      <w:bookmarkEnd w:id="802"/>
      <w:bookmarkEnd w:id="810"/>
      <w:bookmarkEnd w:id="811"/>
      <w:bookmarkEnd w:id="812"/>
      <w:bookmarkEnd w:id="813"/>
      <w:bookmarkEnd w:id="814"/>
      <w:bookmarkEnd w:id="815"/>
      <w:bookmarkEnd w:id="816"/>
    </w:p>
    <w:p w14:paraId="2810D97D">
      <w:pPr>
        <w:jc w:val="center"/>
        <w:rPr>
          <w:rFonts w:hint="eastAsia" w:ascii="宋体" w:hAnsi="宋体" w:eastAsia="宋体" w:cs="宋体"/>
          <w:color w:val="auto"/>
          <w:highlight w:val="none"/>
        </w:rPr>
      </w:pPr>
      <w:r>
        <w:rPr>
          <w:rFonts w:hint="eastAsia" w:ascii="宋体" w:hAnsi="宋体" w:eastAsia="宋体" w:cs="宋体"/>
          <w:b/>
          <w:bCs/>
          <w:color w:val="auto"/>
          <w:sz w:val="28"/>
          <w:szCs w:val="32"/>
          <w:highlight w:val="none"/>
        </w:rPr>
        <w:t>供货及/或提供服务过程承诺函</w:t>
      </w:r>
    </w:p>
    <w:p w14:paraId="6DECCF75">
      <w:pPr>
        <w:jc w:val="left"/>
        <w:rPr>
          <w:rFonts w:hint="eastAsia" w:ascii="宋体" w:hAnsi="宋体" w:eastAsia="宋体" w:cs="宋体"/>
          <w:color w:val="auto"/>
          <w:kern w:val="0"/>
          <w:szCs w:val="21"/>
          <w:highlight w:val="none"/>
          <w:u w:val="single"/>
          <w:lang w:eastAsia="zh-CN"/>
        </w:rPr>
      </w:pPr>
      <w:r>
        <w:rPr>
          <w:rFonts w:hint="eastAsia" w:ascii="宋体" w:hAnsi="宋体" w:eastAsia="宋体" w:cs="宋体"/>
          <w:color w:val="auto"/>
          <w:kern w:val="0"/>
          <w:szCs w:val="21"/>
          <w:highlight w:val="none"/>
        </w:rPr>
        <w:t>致：</w:t>
      </w:r>
      <w:r>
        <w:rPr>
          <w:rFonts w:hint="eastAsia" w:ascii="宋体" w:hAnsi="宋体" w:eastAsia="宋体" w:cs="宋体"/>
          <w:color w:val="auto"/>
          <w:kern w:val="0"/>
          <w:szCs w:val="21"/>
          <w:highlight w:val="none"/>
          <w:u w:val="single"/>
          <w:lang w:eastAsia="zh-CN"/>
        </w:rPr>
        <w:t>东莞市碧水信息科技有限公司</w:t>
      </w:r>
    </w:p>
    <w:p w14:paraId="44411F24">
      <w:pPr>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（投标人名称）为招标人公开招标的</w:t>
      </w:r>
      <w:r>
        <w:rPr>
          <w:rFonts w:hint="eastAsia" w:cs="宋体"/>
          <w:color w:val="auto"/>
          <w:kern w:val="0"/>
          <w:sz w:val="21"/>
          <w:szCs w:val="21"/>
          <w:highlight w:val="none"/>
          <w:lang w:val="zh-CN" w:eastAsia="zh-CN" w:bidi="ar-SA"/>
        </w:rPr>
        <w:t>东莞市碧水信息科技有限公司2025年度球墨铸铁阀门采购项目（第三次招标）</w:t>
      </w:r>
      <w:r>
        <w:rPr>
          <w:rFonts w:hint="eastAsia" w:ascii="宋体" w:hAnsi="宋体" w:eastAsia="宋体" w:cs="宋体"/>
          <w:color w:val="auto"/>
          <w:kern w:val="0"/>
          <w:szCs w:val="21"/>
          <w:highlight w:val="none"/>
        </w:rPr>
        <w:t>(招标编号：</w:t>
      </w:r>
      <w:r>
        <w:rPr>
          <w:rFonts w:hint="eastAsia" w:cs="宋体"/>
          <w:color w:val="auto"/>
          <w:szCs w:val="21"/>
          <w:highlight w:val="none"/>
          <w:lang w:val="en-US" w:eastAsia="zh-CN"/>
        </w:rPr>
        <w:t>YDZB25DGQY0149-2</w:t>
      </w:r>
      <w:r>
        <w:rPr>
          <w:rFonts w:hint="eastAsia" w:ascii="宋体" w:hAnsi="宋体" w:eastAsia="宋体" w:cs="宋体"/>
          <w:color w:val="auto"/>
          <w:kern w:val="0"/>
          <w:szCs w:val="21"/>
          <w:highlight w:val="none"/>
        </w:rPr>
        <w:t>)的投标单位，为确保供货及/或提供服务过程中的人身、财产安全，我方承诺，如我方获得中标资格，将严格按照下列要求开展工作。</w:t>
      </w:r>
    </w:p>
    <w:p w14:paraId="2CD159D0">
      <w:pPr>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r>
        <w:rPr>
          <w:rFonts w:hint="eastAsia" w:ascii="宋体" w:hAnsi="宋体" w:eastAsia="宋体" w:cs="宋体"/>
          <w:color w:val="auto"/>
          <w:kern w:val="0"/>
          <w:szCs w:val="21"/>
          <w:highlight w:val="none"/>
          <w:lang w:val="en-US" w:eastAsia="zh-CN"/>
        </w:rPr>
        <w:t>.</w:t>
      </w:r>
      <w:r>
        <w:rPr>
          <w:rFonts w:hint="eastAsia" w:ascii="宋体" w:hAnsi="宋体" w:eastAsia="宋体" w:cs="宋体"/>
          <w:color w:val="auto"/>
          <w:kern w:val="0"/>
          <w:szCs w:val="21"/>
          <w:highlight w:val="none"/>
        </w:rPr>
        <w:t>我方承诺将严格遵守国家、地方政府有关安全生产及劳动保护的法律法规、标准、规定，贯彻执行招标人的各项安全管理规章制度。</w:t>
      </w:r>
    </w:p>
    <w:p w14:paraId="46C8500F">
      <w:pPr>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w:t>
      </w:r>
      <w:r>
        <w:rPr>
          <w:rFonts w:hint="eastAsia" w:ascii="宋体" w:hAnsi="宋体" w:eastAsia="宋体" w:cs="宋体"/>
          <w:color w:val="auto"/>
          <w:kern w:val="0"/>
          <w:szCs w:val="21"/>
          <w:highlight w:val="none"/>
        </w:rPr>
        <w:t>我方承诺将依法参加工伤保险，为安排至招标人从事本项目的工作人员缴纳保险费，并为从事危险作业的人员办理意外伤害保险。</w:t>
      </w:r>
    </w:p>
    <w:p w14:paraId="79FCF0AE">
      <w:pPr>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w:t>
      </w:r>
      <w:r>
        <w:rPr>
          <w:rFonts w:hint="eastAsia" w:ascii="宋体" w:hAnsi="宋体" w:eastAsia="宋体" w:cs="宋体"/>
          <w:color w:val="auto"/>
          <w:kern w:val="0"/>
          <w:szCs w:val="21"/>
          <w:highlight w:val="none"/>
        </w:rPr>
        <w:t>我方承诺服从招标人的安全管理，保证作业区域的现场文明安全管理达标，现场临时用电、机器设备、安全防护齐全、完好，并接受和配合招标人的安全监督检查，我方提供到招标人现场作业的所有安全装置、防护设施必须依据经招标人审批后的安全技术方案进行搭设、安装，同时我方无条件保证安全防护设施使用的搭设材料的质量安全，在用于安全防护的物资进场前将有关物资的材质证明报招标人，经招标人确认后方可使用。</w:t>
      </w:r>
    </w:p>
    <w:p w14:paraId="3A4A04B8">
      <w:pPr>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r>
        <w:rPr>
          <w:rFonts w:hint="eastAsia" w:ascii="宋体" w:hAnsi="宋体" w:eastAsia="宋体" w:cs="宋体"/>
          <w:color w:val="auto"/>
          <w:kern w:val="0"/>
          <w:szCs w:val="21"/>
          <w:highlight w:val="none"/>
          <w:lang w:val="en-US" w:eastAsia="zh-CN"/>
        </w:rPr>
        <w:t>.</w:t>
      </w:r>
      <w:r>
        <w:rPr>
          <w:rFonts w:hint="eastAsia" w:ascii="宋体" w:hAnsi="宋体" w:eastAsia="宋体" w:cs="宋体"/>
          <w:color w:val="auto"/>
          <w:kern w:val="0"/>
          <w:szCs w:val="21"/>
          <w:highlight w:val="none"/>
        </w:rPr>
        <w:t>我方承诺携带进场的机器设备、机具必须是合格产品，并对携带进场的机器设备、机具安全负责管理、维护及检查，对招标人和自查发现的安全隐患落实整改措施。如我方使用不合格机器设备、机具造成事故的，由我方自行承担责任。</w:t>
      </w:r>
    </w:p>
    <w:p w14:paraId="163CAAE2">
      <w:pPr>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r>
        <w:rPr>
          <w:rFonts w:hint="eastAsia" w:ascii="宋体" w:hAnsi="宋体" w:eastAsia="宋体" w:cs="宋体"/>
          <w:color w:val="auto"/>
          <w:kern w:val="0"/>
          <w:szCs w:val="21"/>
          <w:highlight w:val="none"/>
          <w:lang w:val="en-US" w:eastAsia="zh-CN"/>
        </w:rPr>
        <w:t>.</w:t>
      </w:r>
      <w:r>
        <w:rPr>
          <w:rFonts w:hint="eastAsia" w:ascii="宋体" w:hAnsi="宋体" w:eastAsia="宋体" w:cs="宋体"/>
          <w:color w:val="auto"/>
          <w:kern w:val="0"/>
          <w:szCs w:val="21"/>
          <w:highlight w:val="none"/>
        </w:rPr>
        <w:t>我方人员未经许可不随意到作业区域以外的其它工作场所活动，我方作业人员擅自到作业区域以外的其它工作场所活动，出现人身损害或财产损失的，由我方自行负责一切责任。我方作业人员如需动用或作业涉及到招标人所属设备、电器、管线及其他设施等，承诺事先征得招标人代表的同意，并采取安全防护措施。</w:t>
      </w:r>
    </w:p>
    <w:p w14:paraId="26E7034E">
      <w:pPr>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w:t>
      </w:r>
      <w:r>
        <w:rPr>
          <w:rFonts w:hint="eastAsia" w:ascii="宋体" w:hAnsi="宋体" w:eastAsia="宋体" w:cs="宋体"/>
          <w:color w:val="auto"/>
          <w:kern w:val="0"/>
          <w:szCs w:val="21"/>
          <w:highlight w:val="none"/>
          <w:lang w:val="en-US" w:eastAsia="zh-CN"/>
        </w:rPr>
        <w:t>.</w:t>
      </w:r>
      <w:r>
        <w:rPr>
          <w:rFonts w:hint="eastAsia" w:ascii="宋体" w:hAnsi="宋体" w:eastAsia="宋体" w:cs="宋体"/>
          <w:color w:val="auto"/>
          <w:kern w:val="0"/>
          <w:szCs w:val="21"/>
          <w:highlight w:val="none"/>
        </w:rPr>
        <w:t>我方承诺在进行卸货等工作时，严格遵守相关劳动安全规定，并按要求佩戴相关安全劳动防护用具。我方承诺做好安全防护措施，在工作过程中出现的安全事故由我方自行处理并承担全部责任。我方承诺我方人员在招标人场所遵守招标人的一切规章制度和安全条例，服从招标人的监督。我方在提供服务过程中，如因违反招标人相关规章制度、安全条例，或因不服从招标人监督而发生安全事故的，其结果与责任均由我方负责，招标人无须承担任何结果与责任。</w:t>
      </w:r>
    </w:p>
    <w:p w14:paraId="31D42BA0">
      <w:pPr>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w:t>
      </w:r>
      <w:r>
        <w:rPr>
          <w:rFonts w:hint="eastAsia" w:ascii="宋体" w:hAnsi="宋体" w:eastAsia="宋体" w:cs="宋体"/>
          <w:color w:val="auto"/>
          <w:kern w:val="0"/>
          <w:szCs w:val="21"/>
          <w:highlight w:val="none"/>
          <w:lang w:val="en-US" w:eastAsia="zh-CN"/>
        </w:rPr>
        <w:t>.</w:t>
      </w:r>
      <w:r>
        <w:rPr>
          <w:rFonts w:hint="eastAsia" w:ascii="宋体" w:hAnsi="宋体" w:eastAsia="宋体" w:cs="宋体"/>
          <w:color w:val="auto"/>
          <w:kern w:val="0"/>
          <w:szCs w:val="21"/>
          <w:highlight w:val="none"/>
        </w:rPr>
        <w:t>我方承诺协助和指导招标人进行货物的储存，对招标人的储存方式、方法、储存数量、仓库的安全设施设备、安全生产规章制度等是否符合国家标准或者国家有关规定提出合理的建议，并进行技术指导。</w:t>
      </w:r>
    </w:p>
    <w:p w14:paraId="1158FF21">
      <w:pPr>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w:t>
      </w:r>
      <w:r>
        <w:rPr>
          <w:rFonts w:hint="eastAsia" w:ascii="宋体" w:hAnsi="宋体" w:eastAsia="宋体" w:cs="宋体"/>
          <w:color w:val="auto"/>
          <w:kern w:val="0"/>
          <w:szCs w:val="21"/>
          <w:highlight w:val="none"/>
          <w:lang w:val="en-US" w:eastAsia="zh-CN"/>
        </w:rPr>
        <w:t>.</w:t>
      </w:r>
      <w:r>
        <w:rPr>
          <w:rFonts w:hint="eastAsia" w:ascii="宋体" w:hAnsi="宋体" w:eastAsia="宋体" w:cs="宋体"/>
          <w:color w:val="auto"/>
          <w:kern w:val="0"/>
          <w:szCs w:val="21"/>
          <w:highlight w:val="none"/>
        </w:rPr>
        <w:t>我方车辆在招标人场所行驶时，将严格遵守厂区道路限行，限速和限重要求，如因我方未遵守前述要求，对厂区/招标人（含其人员）、我方人员、第三方造成损失的，由我方承担赔偿责任。</w:t>
      </w:r>
    </w:p>
    <w:p w14:paraId="303FD631">
      <w:pPr>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w:t>
      </w:r>
      <w:r>
        <w:rPr>
          <w:rFonts w:hint="eastAsia" w:ascii="宋体" w:hAnsi="宋体" w:eastAsia="宋体" w:cs="宋体"/>
          <w:color w:val="auto"/>
          <w:kern w:val="0"/>
          <w:szCs w:val="21"/>
          <w:highlight w:val="none"/>
          <w:lang w:val="en-US" w:eastAsia="zh-CN"/>
        </w:rPr>
        <w:t>.</w:t>
      </w:r>
      <w:r>
        <w:rPr>
          <w:rFonts w:hint="eastAsia" w:ascii="宋体" w:hAnsi="宋体" w:eastAsia="宋体" w:cs="宋体"/>
          <w:color w:val="auto"/>
          <w:kern w:val="0"/>
          <w:szCs w:val="21"/>
          <w:highlight w:val="none"/>
        </w:rPr>
        <w:t>如我方开展服务项目需进行外出调研或现场作业的，由我方派人负责安全保卫工作，按国家有关规定，对作业的现场人员进行安全防护、劳动保护等，并承担相应的费用。若发生工作人员或第三人人身伤害等事故的，由我方全部承担责任。</w:t>
      </w:r>
    </w:p>
    <w:p w14:paraId="69AB7CEF">
      <w:pPr>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w:t>
      </w:r>
      <w:r>
        <w:rPr>
          <w:rFonts w:hint="eastAsia" w:ascii="宋体" w:hAnsi="宋体" w:eastAsia="宋体" w:cs="宋体"/>
          <w:color w:val="auto"/>
          <w:kern w:val="0"/>
          <w:szCs w:val="21"/>
          <w:highlight w:val="none"/>
          <w:lang w:val="en-US" w:eastAsia="zh-CN"/>
        </w:rPr>
        <w:t>.</w:t>
      </w:r>
      <w:r>
        <w:rPr>
          <w:rFonts w:hint="eastAsia" w:ascii="宋体" w:hAnsi="宋体" w:eastAsia="宋体" w:cs="宋体"/>
          <w:color w:val="auto"/>
          <w:kern w:val="0"/>
          <w:szCs w:val="21"/>
          <w:highlight w:val="none"/>
        </w:rPr>
        <w:t>因我方原因，造成我方损失，由我方自负，给招标人造成财产损失和人员伤害，我方承担全部责任，并全额赔偿招标人。</w:t>
      </w:r>
    </w:p>
    <w:p w14:paraId="1A98CCE6">
      <w:pPr>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w:t>
      </w:r>
      <w:r>
        <w:rPr>
          <w:rFonts w:hint="eastAsia" w:ascii="宋体" w:hAnsi="宋体" w:eastAsia="宋体" w:cs="宋体"/>
          <w:color w:val="auto"/>
          <w:kern w:val="0"/>
          <w:szCs w:val="21"/>
          <w:highlight w:val="none"/>
          <w:lang w:val="en-US" w:eastAsia="zh-CN"/>
        </w:rPr>
        <w:t>.</w:t>
      </w:r>
      <w:r>
        <w:rPr>
          <w:rFonts w:hint="eastAsia" w:ascii="宋体" w:hAnsi="宋体" w:eastAsia="宋体" w:cs="宋体"/>
          <w:color w:val="auto"/>
          <w:kern w:val="0"/>
          <w:szCs w:val="21"/>
          <w:highlight w:val="none"/>
        </w:rPr>
        <w:t>非因招标人原因，造成我方损失的，招标人无需承担任何责任，由我方自行承担全部责任。</w:t>
      </w:r>
    </w:p>
    <w:p w14:paraId="43C74E70">
      <w:pPr>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w:t>
      </w:r>
      <w:r>
        <w:rPr>
          <w:rFonts w:hint="eastAsia" w:ascii="宋体" w:hAnsi="宋体" w:eastAsia="宋体" w:cs="宋体"/>
          <w:color w:val="auto"/>
          <w:kern w:val="0"/>
          <w:szCs w:val="21"/>
          <w:highlight w:val="none"/>
          <w:lang w:val="en-US" w:eastAsia="zh-CN"/>
        </w:rPr>
        <w:t>.</w:t>
      </w:r>
      <w:r>
        <w:rPr>
          <w:rFonts w:hint="eastAsia" w:ascii="宋体" w:hAnsi="宋体" w:eastAsia="宋体" w:cs="宋体"/>
          <w:color w:val="auto"/>
          <w:kern w:val="0"/>
          <w:szCs w:val="21"/>
          <w:highlight w:val="none"/>
        </w:rPr>
        <w:t>我方承诺严格遵守法律法规以及招标人的安全管理要求，并接受招标人的安全生产工作协调和监督，积极消除安全隐患。安全管理的基本要求包括但不限于以下条款：</w:t>
      </w:r>
    </w:p>
    <w:p w14:paraId="2FD25394">
      <w:pPr>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①禁火区内严禁吸烟、动火。有火灾危险的作业区域，我方承诺配置足够的灭火设施。</w:t>
      </w:r>
    </w:p>
    <w:p w14:paraId="73653721">
      <w:pPr>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②我方承诺焊接、气割作业时两瓶距离必须达到5M及以上，气瓶距可能产生火花的电器、设备和其它火源的间距必须达到10M及以上。</w:t>
      </w:r>
    </w:p>
    <w:p w14:paraId="6E64C916">
      <w:pPr>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③我方承诺不在厂内道路、消防通道内搭建临时建筑或堆放物资。</w:t>
      </w:r>
    </w:p>
    <w:p w14:paraId="2213238A">
      <w:pPr>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④我方承诺电动工具、电焊机等均具有漏电保护器和相应的安全防护装置。</w:t>
      </w:r>
    </w:p>
    <w:p w14:paraId="0993974E">
      <w:pPr>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⑤我方承诺用电设施符合要求，杜绝电线乱接、乱拉，刀闸和开关无盖，在电器设施上堆放物品等行为。</w:t>
      </w:r>
    </w:p>
    <w:p w14:paraId="1C1A1B59">
      <w:pPr>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⑥我方承诺防雷、防静电设施及用电设施有良好接地。</w:t>
      </w:r>
    </w:p>
    <w:p w14:paraId="37BD5233">
      <w:pPr>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⑦我方承诺为从业人员提供符合国家标准或者行业标准的劳动防护用品，并监督、教育从业人员按照使用规则佩戴、使用，防止工伤事故的发生。我方承诺，如发生各类工伤事故，绝不隐瞒不报。发生重伤及重伤以上事故，应及时组织抢救、保护好现场，并立即报告招标人主管领导。</w:t>
      </w:r>
    </w:p>
    <w:p w14:paraId="6388E32B">
      <w:pPr>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w:t>
      </w:r>
      <w:r>
        <w:rPr>
          <w:rFonts w:hint="eastAsia" w:ascii="宋体" w:hAnsi="宋体" w:eastAsia="宋体" w:cs="宋体"/>
          <w:color w:val="auto"/>
          <w:kern w:val="0"/>
          <w:szCs w:val="21"/>
          <w:highlight w:val="none"/>
          <w:lang w:val="en-US" w:eastAsia="zh-CN"/>
        </w:rPr>
        <w:t>.</w:t>
      </w:r>
      <w:r>
        <w:rPr>
          <w:rFonts w:hint="eastAsia" w:ascii="宋体" w:hAnsi="宋体" w:eastAsia="宋体" w:cs="宋体"/>
          <w:color w:val="auto"/>
          <w:kern w:val="0"/>
          <w:szCs w:val="21"/>
          <w:highlight w:val="none"/>
        </w:rPr>
        <w:t>我方承诺接受招标人的检查与监督，并主动配合，做好安全工作，凡有违反上述条款的即视为我方违约，招标人有权视情况从货物/服务价款中扣除2000元/次作为违约金。</w:t>
      </w:r>
    </w:p>
    <w:p w14:paraId="1EA51005">
      <w:pPr>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如因我方违反上述条款造成安全生产事故的，我方将承担由此引发的一切责任与后果，如造成招标人损失的，我方将予以足额赔偿，同时，招标人有权没收我方提交的履约担保。</w:t>
      </w:r>
    </w:p>
    <w:p w14:paraId="50D8167C">
      <w:pPr>
        <w:rPr>
          <w:rFonts w:hint="eastAsia" w:ascii="宋体" w:hAnsi="宋体" w:eastAsia="宋体" w:cs="宋体"/>
          <w:color w:val="auto"/>
          <w:highlight w:val="none"/>
          <w:lang w:val="zh-CN"/>
        </w:rPr>
      </w:pPr>
    </w:p>
    <w:p w14:paraId="16148472">
      <w:pPr>
        <w:rPr>
          <w:rFonts w:hint="eastAsia" w:ascii="宋体" w:hAnsi="宋体" w:eastAsia="宋体" w:cs="宋体"/>
          <w:color w:val="auto"/>
          <w:highlight w:val="none"/>
          <w:lang w:val="zh-CN"/>
        </w:rPr>
      </w:pPr>
    </w:p>
    <w:p w14:paraId="5095A01E">
      <w:pPr>
        <w:ind w:left="4620" w:leftChars="22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投标人：（加盖投标人法人公章）</w:t>
      </w:r>
    </w:p>
    <w:p w14:paraId="10CAA4EC">
      <w:pPr>
        <w:ind w:left="4620" w:leftChars="22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法定代表人或其授权代表签名（或盖私章）：</w:t>
      </w:r>
    </w:p>
    <w:p w14:paraId="1599EB79">
      <w:pPr>
        <w:ind w:left="4620" w:leftChars="22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日期：   年   月   日</w:t>
      </w:r>
    </w:p>
    <w:p w14:paraId="1F20F603">
      <w:pPr>
        <w:rPr>
          <w:rFonts w:hint="eastAsia" w:ascii="宋体" w:hAnsi="宋体" w:eastAsia="宋体" w:cs="宋体"/>
          <w:color w:val="auto"/>
          <w:sz w:val="28"/>
          <w:szCs w:val="36"/>
          <w:highlight w:val="none"/>
        </w:rPr>
      </w:pPr>
      <w:bookmarkStart w:id="817" w:name="_Toc86764084"/>
      <w:bookmarkStart w:id="818" w:name="_Toc94107205"/>
      <w:bookmarkStart w:id="819" w:name="_Toc102860070"/>
      <w:bookmarkStart w:id="820" w:name="_Toc104991871"/>
      <w:bookmarkStart w:id="821" w:name="_Toc82182547"/>
      <w:bookmarkStart w:id="822" w:name="_Toc102860414"/>
      <w:bookmarkStart w:id="823" w:name="_Toc140596924"/>
      <w:bookmarkStart w:id="824" w:name="_Toc142508365"/>
      <w:bookmarkStart w:id="825" w:name="_Toc11"/>
      <w:bookmarkStart w:id="826" w:name="_Toc4694"/>
      <w:bookmarkStart w:id="827" w:name="_Toc3993"/>
      <w:bookmarkStart w:id="828" w:name="_Toc3087"/>
      <w:bookmarkStart w:id="829" w:name="_Toc4621"/>
      <w:bookmarkStart w:id="830" w:name="_Toc14066"/>
      <w:bookmarkStart w:id="831" w:name="_Toc3294"/>
      <w:bookmarkStart w:id="832" w:name="_Toc28264"/>
      <w:bookmarkStart w:id="833" w:name="_Toc178076608"/>
      <w:bookmarkStart w:id="834" w:name="_Toc6287"/>
      <w:bookmarkStart w:id="835" w:name="_Toc25445"/>
      <w:bookmarkStart w:id="836" w:name="_Toc176627929"/>
      <w:r>
        <w:rPr>
          <w:rFonts w:hint="eastAsia" w:ascii="宋体" w:hAnsi="宋体" w:eastAsia="宋体" w:cs="宋体"/>
          <w:color w:val="auto"/>
          <w:sz w:val="28"/>
          <w:szCs w:val="36"/>
          <w:highlight w:val="none"/>
        </w:rPr>
        <w:br w:type="page"/>
      </w:r>
    </w:p>
    <w:p w14:paraId="7EB1E48D">
      <w:pPr>
        <w:pStyle w:val="3"/>
        <w:rPr>
          <w:rFonts w:hint="eastAsia" w:ascii="宋体" w:hAnsi="宋体" w:eastAsia="宋体" w:cs="宋体"/>
          <w:color w:val="auto"/>
          <w:sz w:val="28"/>
          <w:szCs w:val="36"/>
          <w:highlight w:val="none"/>
        </w:rPr>
      </w:pPr>
      <w:bookmarkStart w:id="837" w:name="_Toc4435"/>
      <w:bookmarkStart w:id="838" w:name="_Toc30748"/>
      <w:bookmarkStart w:id="839" w:name="_Toc16699"/>
      <w:bookmarkStart w:id="840" w:name="_Toc4973"/>
      <w:bookmarkStart w:id="841" w:name="_Toc7167"/>
      <w:bookmarkStart w:id="842" w:name="_Toc21563"/>
      <w:bookmarkStart w:id="843" w:name="_Toc27226"/>
      <w:r>
        <w:rPr>
          <w:rFonts w:hint="eastAsia" w:ascii="宋体" w:hAnsi="宋体" w:eastAsia="宋体" w:cs="宋体"/>
          <w:color w:val="auto"/>
          <w:sz w:val="28"/>
          <w:szCs w:val="36"/>
          <w:highlight w:val="none"/>
        </w:rPr>
        <w:t>四</w:t>
      </w:r>
      <w:bookmarkEnd w:id="817"/>
      <w:bookmarkEnd w:id="818"/>
      <w:bookmarkEnd w:id="819"/>
      <w:bookmarkEnd w:id="820"/>
      <w:bookmarkEnd w:id="821"/>
      <w:bookmarkEnd w:id="822"/>
      <w:bookmarkEnd w:id="823"/>
      <w:bookmarkEnd w:id="824"/>
      <w:bookmarkStart w:id="844" w:name="_Toc104991872"/>
      <w:bookmarkStart w:id="845" w:name="_Toc142508366"/>
      <w:bookmarkStart w:id="846" w:name="_Toc102860415"/>
      <w:bookmarkStart w:id="847" w:name="_Toc140596925"/>
      <w:bookmarkStart w:id="848" w:name="_Toc94107206"/>
      <w:bookmarkStart w:id="849" w:name="_Toc102860071"/>
      <w:r>
        <w:rPr>
          <w:rFonts w:hint="eastAsia" w:ascii="宋体" w:hAnsi="宋体" w:eastAsia="宋体" w:cs="宋体"/>
          <w:color w:val="auto"/>
          <w:sz w:val="28"/>
          <w:szCs w:val="36"/>
          <w:highlight w:val="none"/>
        </w:rPr>
        <w:t>、投标报价表格式</w:t>
      </w:r>
      <w:bookmarkEnd w:id="803"/>
      <w:bookmarkEnd w:id="804"/>
      <w:bookmarkEnd w:id="805"/>
      <w:bookmarkEnd w:id="806"/>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p>
    <w:p w14:paraId="0793284D">
      <w:pPr>
        <w:bidi w:val="0"/>
        <w:jc w:val="center"/>
        <w:rPr>
          <w:rFonts w:hint="eastAsia" w:ascii="宋体" w:hAnsi="宋体" w:eastAsia="宋体" w:cs="宋体"/>
          <w:b/>
          <w:bCs/>
          <w:color w:val="auto"/>
          <w:sz w:val="28"/>
          <w:szCs w:val="32"/>
          <w:highlight w:val="none"/>
        </w:rPr>
      </w:pPr>
      <w:bookmarkStart w:id="850" w:name="_Toc6479"/>
      <w:bookmarkStart w:id="851" w:name="_Toc28829"/>
      <w:bookmarkStart w:id="852" w:name="_Toc7630"/>
      <w:r>
        <w:rPr>
          <w:rFonts w:hint="eastAsia" w:ascii="宋体" w:hAnsi="宋体" w:eastAsia="宋体" w:cs="宋体"/>
          <w:b/>
          <w:bCs/>
          <w:color w:val="auto"/>
          <w:sz w:val="28"/>
          <w:szCs w:val="32"/>
          <w:highlight w:val="none"/>
          <w:lang w:val="zh-CN"/>
        </w:rPr>
        <w:t>投标报价表</w:t>
      </w:r>
      <w:bookmarkEnd w:id="850"/>
      <w:bookmarkEnd w:id="851"/>
      <w:bookmarkEnd w:id="852"/>
    </w:p>
    <w:p w14:paraId="50E262E7">
      <w:pPr>
        <w:rPr>
          <w:rFonts w:hint="eastAsia" w:ascii="宋体" w:hAnsi="宋体" w:eastAsia="宋体" w:cs="宋体"/>
          <w:b/>
          <w:bCs/>
          <w:color w:val="auto"/>
          <w:kern w:val="0"/>
          <w:szCs w:val="21"/>
          <w:highlight w:val="none"/>
          <w:lang w:eastAsia="zh-CN"/>
        </w:rPr>
      </w:pPr>
      <w:r>
        <w:rPr>
          <w:rFonts w:hint="eastAsia" w:ascii="宋体" w:hAnsi="宋体" w:eastAsia="宋体" w:cs="宋体"/>
          <w:b/>
          <w:bCs/>
          <w:color w:val="auto"/>
          <w:kern w:val="0"/>
          <w:szCs w:val="21"/>
          <w:highlight w:val="none"/>
        </w:rPr>
        <w:t>项目名称：</w:t>
      </w:r>
      <w:r>
        <w:rPr>
          <w:rFonts w:hint="eastAsia" w:cs="宋体"/>
          <w:b/>
          <w:bCs/>
          <w:color w:val="auto"/>
          <w:kern w:val="0"/>
          <w:sz w:val="21"/>
          <w:szCs w:val="21"/>
          <w:highlight w:val="none"/>
          <w:u w:val="single"/>
          <w:lang w:val="zh-CN" w:eastAsia="zh-CN" w:bidi="ar-SA"/>
        </w:rPr>
        <w:t>东莞市碧水信息科技有限公司2025年度球墨铸铁阀门采购项目（第三次招标）</w:t>
      </w:r>
    </w:p>
    <w:p w14:paraId="37A2F3BB">
      <w:pPr>
        <w:rPr>
          <w:rFonts w:hint="eastAsia" w:ascii="宋体" w:hAnsi="宋体" w:eastAsia="宋体" w:cs="宋体"/>
          <w:color w:val="auto"/>
          <w:kern w:val="0"/>
          <w:szCs w:val="21"/>
          <w:highlight w:val="none"/>
          <w:u w:val="single"/>
          <w:lang w:val="en-US" w:eastAsia="zh-CN"/>
        </w:rPr>
      </w:pPr>
      <w:r>
        <w:rPr>
          <w:rFonts w:hint="eastAsia" w:ascii="宋体" w:hAnsi="宋体" w:eastAsia="宋体" w:cs="宋体"/>
          <w:b/>
          <w:color w:val="auto"/>
          <w:kern w:val="0"/>
          <w:szCs w:val="21"/>
          <w:highlight w:val="none"/>
        </w:rPr>
        <w:t>招标编号：</w:t>
      </w:r>
      <w:r>
        <w:rPr>
          <w:rFonts w:hint="eastAsia" w:cs="宋体"/>
          <w:b/>
          <w:color w:val="auto"/>
          <w:kern w:val="0"/>
          <w:sz w:val="21"/>
          <w:szCs w:val="21"/>
          <w:highlight w:val="none"/>
          <w:lang w:val="en-US" w:eastAsia="zh-CN" w:bidi="ar-SA"/>
        </w:rPr>
        <w:t>YDZB25DGQY0149-2</w:t>
      </w:r>
    </w:p>
    <w:tbl>
      <w:tblPr>
        <w:tblStyle w:val="20"/>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9"/>
        <w:gridCol w:w="2803"/>
        <w:gridCol w:w="3518"/>
        <w:gridCol w:w="1646"/>
        <w:gridCol w:w="1646"/>
      </w:tblGrid>
      <w:tr w14:paraId="21F14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jc w:val="center"/>
        </w:trPr>
        <w:tc>
          <w:tcPr>
            <w:tcW w:w="330" w:type="pct"/>
            <w:tcBorders>
              <w:top w:val="single" w:color="auto" w:sz="4" w:space="0"/>
              <w:left w:val="single" w:color="auto" w:sz="4" w:space="0"/>
              <w:bottom w:val="single" w:color="auto" w:sz="4" w:space="0"/>
              <w:right w:val="single" w:color="auto" w:sz="4" w:space="0"/>
            </w:tcBorders>
            <w:vAlign w:val="center"/>
          </w:tcPr>
          <w:p w14:paraId="60720B9A">
            <w:pPr>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序号</w:t>
            </w:r>
          </w:p>
        </w:tc>
        <w:tc>
          <w:tcPr>
            <w:tcW w:w="1361" w:type="pct"/>
            <w:tcBorders>
              <w:top w:val="single" w:color="auto" w:sz="4" w:space="0"/>
              <w:left w:val="single" w:color="auto" w:sz="4" w:space="0"/>
              <w:bottom w:val="single" w:color="auto" w:sz="4" w:space="0"/>
              <w:right w:val="single" w:color="auto" w:sz="4" w:space="0"/>
            </w:tcBorders>
            <w:vAlign w:val="center"/>
          </w:tcPr>
          <w:p w14:paraId="18344273">
            <w:pPr>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项目名称</w:t>
            </w:r>
          </w:p>
        </w:tc>
        <w:tc>
          <w:tcPr>
            <w:tcW w:w="1708" w:type="pct"/>
            <w:tcBorders>
              <w:top w:val="single" w:color="auto" w:sz="4" w:space="0"/>
              <w:left w:val="single" w:color="auto" w:sz="4" w:space="0"/>
              <w:bottom w:val="single" w:color="auto" w:sz="4" w:space="0"/>
              <w:right w:val="single" w:color="auto" w:sz="4" w:space="0"/>
            </w:tcBorders>
            <w:vAlign w:val="center"/>
          </w:tcPr>
          <w:p w14:paraId="1A4EF5C1">
            <w:pPr>
              <w:autoSpaceDE w:val="0"/>
              <w:autoSpaceDN w:val="0"/>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kern w:val="0"/>
                <w:szCs w:val="21"/>
                <w:highlight w:val="none"/>
                <w:lang w:val="en-US" w:eastAsia="zh-CN"/>
              </w:rPr>
              <w:t>折扣系数报价</w:t>
            </w:r>
          </w:p>
        </w:tc>
        <w:tc>
          <w:tcPr>
            <w:tcW w:w="799" w:type="pct"/>
            <w:tcBorders>
              <w:top w:val="single" w:color="auto" w:sz="4" w:space="0"/>
              <w:left w:val="single" w:color="auto" w:sz="4" w:space="0"/>
              <w:bottom w:val="single" w:color="auto" w:sz="4" w:space="0"/>
              <w:right w:val="single" w:color="auto" w:sz="4" w:space="0"/>
            </w:tcBorders>
            <w:vAlign w:val="center"/>
          </w:tcPr>
          <w:p w14:paraId="55E5079B">
            <w:pPr>
              <w:jc w:val="center"/>
              <w:rPr>
                <w:rFonts w:hint="eastAsia" w:ascii="宋体" w:hAnsi="宋体" w:eastAsia="宋体" w:cs="宋体"/>
                <w:b/>
                <w:color w:val="auto"/>
                <w:szCs w:val="21"/>
                <w:highlight w:val="none"/>
                <w:lang w:val="en-US" w:eastAsia="zh-CN"/>
              </w:rPr>
            </w:pPr>
            <w:r>
              <w:rPr>
                <w:rFonts w:hint="eastAsia" w:cs="宋体"/>
                <w:b/>
                <w:color w:val="auto"/>
                <w:szCs w:val="21"/>
                <w:highlight w:val="none"/>
                <w:lang w:val="en-US" w:eastAsia="zh-CN"/>
              </w:rPr>
              <w:t>所报税率</w:t>
            </w:r>
          </w:p>
        </w:tc>
        <w:tc>
          <w:tcPr>
            <w:tcW w:w="799" w:type="pct"/>
            <w:tcBorders>
              <w:top w:val="single" w:color="auto" w:sz="4" w:space="0"/>
              <w:left w:val="single" w:color="auto" w:sz="4" w:space="0"/>
              <w:bottom w:val="single" w:color="auto" w:sz="4" w:space="0"/>
              <w:right w:val="single" w:color="auto" w:sz="4" w:space="0"/>
            </w:tcBorders>
            <w:vAlign w:val="center"/>
          </w:tcPr>
          <w:p w14:paraId="6EE9F232">
            <w:pPr>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备注</w:t>
            </w:r>
          </w:p>
        </w:tc>
      </w:tr>
      <w:tr w14:paraId="1AD80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2" w:hRule="atLeast"/>
          <w:jc w:val="center"/>
        </w:trPr>
        <w:tc>
          <w:tcPr>
            <w:tcW w:w="330" w:type="pct"/>
            <w:tcBorders>
              <w:top w:val="single" w:color="auto" w:sz="4" w:space="0"/>
              <w:left w:val="single" w:color="auto" w:sz="4" w:space="0"/>
              <w:bottom w:val="single" w:color="auto" w:sz="4" w:space="0"/>
              <w:right w:val="single" w:color="auto" w:sz="4" w:space="0"/>
            </w:tcBorders>
            <w:vAlign w:val="center"/>
          </w:tcPr>
          <w:p w14:paraId="15149D98">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361" w:type="pct"/>
            <w:tcBorders>
              <w:top w:val="single" w:color="auto" w:sz="4" w:space="0"/>
              <w:left w:val="single" w:color="auto" w:sz="4" w:space="0"/>
              <w:bottom w:val="single" w:color="auto" w:sz="4" w:space="0"/>
              <w:right w:val="single" w:color="auto" w:sz="4" w:space="0"/>
            </w:tcBorders>
            <w:vAlign w:val="center"/>
          </w:tcPr>
          <w:p w14:paraId="4F842757">
            <w:pPr>
              <w:spacing w:line="440" w:lineRule="exact"/>
              <w:jc w:val="center"/>
              <w:rPr>
                <w:rFonts w:hint="eastAsia" w:ascii="宋体" w:hAnsi="宋体" w:eastAsia="宋体" w:cs="宋体"/>
                <w:color w:val="auto"/>
                <w:szCs w:val="21"/>
                <w:highlight w:val="none"/>
                <w:lang w:eastAsia="zh-CN"/>
              </w:rPr>
            </w:pPr>
            <w:r>
              <w:rPr>
                <w:rFonts w:hint="eastAsia" w:cs="宋体"/>
                <w:color w:val="auto"/>
                <w:szCs w:val="21"/>
                <w:highlight w:val="none"/>
                <w:lang w:eastAsia="zh-CN"/>
              </w:rPr>
              <w:t>东莞市碧水信息科技有限公司2025年度球墨铸铁阀门采购项目（第三次招标）</w:t>
            </w:r>
          </w:p>
        </w:tc>
        <w:tc>
          <w:tcPr>
            <w:tcW w:w="1708" w:type="pct"/>
            <w:tcBorders>
              <w:top w:val="single" w:color="auto" w:sz="4" w:space="0"/>
              <w:left w:val="single" w:color="auto" w:sz="4" w:space="0"/>
              <w:bottom w:val="single" w:color="auto" w:sz="4" w:space="0"/>
              <w:right w:val="single" w:color="auto" w:sz="4" w:space="0"/>
            </w:tcBorders>
            <w:vAlign w:val="center"/>
          </w:tcPr>
          <w:p w14:paraId="688F08F1">
            <w:pPr>
              <w:keepNext w:val="0"/>
              <w:keepLines w:val="0"/>
              <w:suppressLineNumbers w:val="0"/>
              <w:spacing w:before="240" w:beforeLines="100" w:beforeAutospacing="0" w:after="0" w:afterAutospacing="0" w:line="360" w:lineRule="auto"/>
              <w:ind w:left="0" w:right="0"/>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lang w:bidi="ar"/>
              </w:rPr>
              <w:t xml:space="preserve">      </w:t>
            </w:r>
            <w:r>
              <w:rPr>
                <w:rFonts w:hint="eastAsia" w:ascii="宋体" w:hAnsi="宋体" w:eastAsia="宋体" w:cs="宋体"/>
                <w:color w:val="auto"/>
                <w:kern w:val="0"/>
                <w:szCs w:val="21"/>
                <w:highlight w:val="none"/>
                <w:u w:val="single"/>
                <w:lang w:bidi="ar"/>
              </w:rPr>
              <w:t xml:space="preserve">                       </w:t>
            </w:r>
          </w:p>
          <w:p w14:paraId="23F54038">
            <w:pPr>
              <w:snapToGrid/>
              <w:spacing w:before="0"/>
              <w:jc w:val="center"/>
              <w:rPr>
                <w:rFonts w:hint="eastAsia" w:ascii="宋体" w:hAnsi="宋体" w:eastAsia="宋体" w:cs="宋体"/>
                <w:color w:val="auto"/>
                <w:szCs w:val="21"/>
                <w:highlight w:val="none"/>
              </w:rPr>
            </w:pPr>
            <w:r>
              <w:rPr>
                <w:rFonts w:hint="eastAsia" w:ascii="宋体" w:hAnsi="宋体" w:eastAsia="宋体" w:cs="宋体"/>
                <w:b/>
                <w:bCs/>
                <w:color w:val="auto"/>
                <w:kern w:val="0"/>
                <w:szCs w:val="21"/>
                <w:highlight w:val="none"/>
                <w:lang w:eastAsia="zh-CN" w:bidi="ar"/>
              </w:rPr>
              <w:t>【</w:t>
            </w:r>
            <w:r>
              <w:rPr>
                <w:rFonts w:hint="eastAsia" w:ascii="宋体" w:hAnsi="宋体" w:eastAsia="宋体" w:cs="宋体"/>
                <w:b/>
                <w:bCs/>
                <w:color w:val="auto"/>
                <w:kern w:val="0"/>
                <w:szCs w:val="21"/>
                <w:highlight w:val="none"/>
                <w:lang w:bidi="ar"/>
              </w:rPr>
              <w:t>折扣系数报价不得超过1.00，且不能为0.00或负数</w:t>
            </w:r>
            <w:r>
              <w:rPr>
                <w:rFonts w:hint="eastAsia" w:ascii="宋体" w:hAnsi="宋体" w:eastAsia="宋体" w:cs="宋体"/>
                <w:b/>
                <w:bCs/>
                <w:color w:val="auto"/>
                <w:kern w:val="0"/>
                <w:szCs w:val="21"/>
                <w:highlight w:val="none"/>
                <w:lang w:eastAsia="zh-CN" w:bidi="ar"/>
              </w:rPr>
              <w:t>】</w:t>
            </w:r>
          </w:p>
        </w:tc>
        <w:tc>
          <w:tcPr>
            <w:tcW w:w="799" w:type="pct"/>
            <w:tcBorders>
              <w:top w:val="single" w:color="auto" w:sz="4" w:space="0"/>
              <w:left w:val="single" w:color="auto" w:sz="4" w:space="0"/>
              <w:bottom w:val="single" w:color="auto" w:sz="4" w:space="0"/>
              <w:right w:val="single" w:color="auto" w:sz="4" w:space="0"/>
            </w:tcBorders>
            <w:vAlign w:val="center"/>
          </w:tcPr>
          <w:p w14:paraId="4EF67D05">
            <w:pPr>
              <w:jc w:val="center"/>
              <w:rPr>
                <w:rFonts w:hint="eastAsia" w:ascii="宋体" w:hAnsi="宋体" w:eastAsia="宋体" w:cs="宋体"/>
                <w:color w:val="auto"/>
                <w:szCs w:val="21"/>
                <w:highlight w:val="none"/>
              </w:rPr>
            </w:pPr>
            <w:r>
              <w:rPr>
                <w:rFonts w:hint="eastAsia"/>
                <w:color w:val="auto"/>
                <w:szCs w:val="21"/>
                <w:highlight w:val="none"/>
                <w:u w:val="single"/>
                <w:lang w:val="en-US" w:eastAsia="zh-CN"/>
              </w:rPr>
              <w:t xml:space="preserve">     </w:t>
            </w:r>
            <w:r>
              <w:rPr>
                <w:rFonts w:hint="eastAsia"/>
                <w:color w:val="auto"/>
                <w:szCs w:val="21"/>
                <w:highlight w:val="none"/>
                <w:lang w:val="en-US" w:eastAsia="zh-CN"/>
              </w:rPr>
              <w:t>%</w:t>
            </w:r>
          </w:p>
        </w:tc>
        <w:tc>
          <w:tcPr>
            <w:tcW w:w="799" w:type="pct"/>
            <w:tcBorders>
              <w:top w:val="single" w:color="auto" w:sz="4" w:space="0"/>
              <w:left w:val="single" w:color="auto" w:sz="4" w:space="0"/>
              <w:bottom w:val="single" w:color="auto" w:sz="4" w:space="0"/>
              <w:right w:val="single" w:color="auto" w:sz="4" w:space="0"/>
            </w:tcBorders>
            <w:vAlign w:val="center"/>
          </w:tcPr>
          <w:p w14:paraId="2A1D47EE">
            <w:pPr>
              <w:jc w:val="center"/>
              <w:rPr>
                <w:rFonts w:hint="eastAsia" w:ascii="宋体" w:hAnsi="宋体" w:eastAsia="宋体" w:cs="宋体"/>
                <w:color w:val="auto"/>
                <w:szCs w:val="21"/>
                <w:highlight w:val="none"/>
              </w:rPr>
            </w:pPr>
          </w:p>
        </w:tc>
      </w:tr>
    </w:tbl>
    <w:p w14:paraId="105119AA">
      <w:pPr>
        <w:rPr>
          <w:rFonts w:hint="eastAsia" w:ascii="宋体" w:hAnsi="宋体" w:eastAsia="宋体" w:cs="宋体"/>
          <w:color w:val="auto"/>
          <w:highlight w:val="none"/>
        </w:rPr>
      </w:pPr>
      <w:r>
        <w:rPr>
          <w:rFonts w:hint="eastAsia" w:ascii="宋体" w:hAnsi="宋体" w:eastAsia="宋体" w:cs="宋体"/>
          <w:color w:val="auto"/>
          <w:highlight w:val="none"/>
        </w:rPr>
        <w:t>备注：</w:t>
      </w:r>
    </w:p>
    <w:p w14:paraId="3E19BDD6">
      <w:pPr>
        <w:ind w:left="605" w:leftChars="18"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（1）本项目的投标报价采用统一折扣系数报价，合同履约过程中，采购清单中</w:t>
      </w:r>
      <w:r>
        <w:rPr>
          <w:rFonts w:hint="eastAsia" w:ascii="宋体" w:hAnsi="宋体" w:eastAsia="宋体" w:cs="宋体"/>
          <w:color w:val="auto"/>
          <w:kern w:val="0"/>
          <w:szCs w:val="21"/>
          <w:highlight w:val="none"/>
          <w:lang w:val="en-US" w:eastAsia="zh-CN"/>
        </w:rPr>
        <w:t>阀门</w:t>
      </w:r>
      <w:r>
        <w:rPr>
          <w:rFonts w:hint="eastAsia" w:ascii="宋体" w:hAnsi="宋体" w:eastAsia="宋体" w:cs="宋体"/>
          <w:color w:val="auto"/>
          <w:kern w:val="0"/>
          <w:szCs w:val="21"/>
          <w:highlight w:val="none"/>
        </w:rPr>
        <w:t>不含税中标综合单价按以下方式计算：不含税中标综合单价=不含税预算综合单价×中标折扣系数，以实际供货数量进行结算，不含税中标综合单价出现小数点，保留小数点后两位，从小数点后第3位四舍五入。</w:t>
      </w:r>
    </w:p>
    <w:p w14:paraId="53BEC63F">
      <w:pPr>
        <w:ind w:left="605" w:leftChars="18"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（2）投标人的折扣系数报价不得超过1</w:t>
      </w:r>
      <w:r>
        <w:rPr>
          <w:rFonts w:hint="eastAsia" w:ascii="宋体" w:hAnsi="宋体" w:eastAsia="宋体" w:cs="宋体"/>
          <w:color w:val="auto"/>
          <w:kern w:val="0"/>
          <w:szCs w:val="21"/>
          <w:highlight w:val="none"/>
          <w:lang w:val="en-US" w:eastAsia="zh-CN"/>
        </w:rPr>
        <w:t>.00</w:t>
      </w:r>
      <w:r>
        <w:rPr>
          <w:rFonts w:hint="eastAsia" w:ascii="宋体" w:hAnsi="宋体" w:eastAsia="宋体" w:cs="宋体"/>
          <w:color w:val="auto"/>
          <w:kern w:val="0"/>
          <w:szCs w:val="21"/>
          <w:highlight w:val="none"/>
        </w:rPr>
        <w:t>，且不能为0</w:t>
      </w:r>
      <w:r>
        <w:rPr>
          <w:rFonts w:hint="eastAsia" w:ascii="宋体" w:hAnsi="宋体" w:eastAsia="宋体" w:cs="宋体"/>
          <w:color w:val="auto"/>
          <w:kern w:val="0"/>
          <w:szCs w:val="21"/>
          <w:highlight w:val="none"/>
          <w:lang w:val="en-US" w:eastAsia="zh-CN"/>
        </w:rPr>
        <w:t>.00</w:t>
      </w:r>
      <w:r>
        <w:rPr>
          <w:rFonts w:hint="eastAsia" w:ascii="宋体" w:hAnsi="宋体" w:eastAsia="宋体" w:cs="宋体"/>
          <w:color w:val="auto"/>
          <w:kern w:val="0"/>
          <w:szCs w:val="21"/>
          <w:highlight w:val="none"/>
        </w:rPr>
        <w:t>或负数</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投标人未按招标文件要求进行折扣系数报价的，将被视为无效投标。折扣系数报价需保留小数点后两位，否则评标委员会按从小数点后第3位四舍五入的方式进行修正为保留小数点后两位，投标人须接受被修正后的报价（例：如投标折扣系数为0.789，则被修正为0.7</w:t>
      </w:r>
      <w:r>
        <w:rPr>
          <w:rFonts w:hint="eastAsia" w:ascii="宋体" w:hAnsi="宋体" w:eastAsia="宋体" w:cs="宋体"/>
          <w:color w:val="auto"/>
          <w:kern w:val="0"/>
          <w:szCs w:val="21"/>
          <w:highlight w:val="none"/>
          <w:lang w:val="en-US" w:eastAsia="zh-CN"/>
        </w:rPr>
        <w:t>9</w:t>
      </w:r>
      <w:r>
        <w:rPr>
          <w:rFonts w:hint="eastAsia" w:ascii="宋体" w:hAnsi="宋体" w:eastAsia="宋体" w:cs="宋体"/>
          <w:color w:val="auto"/>
          <w:kern w:val="0"/>
          <w:szCs w:val="21"/>
          <w:highlight w:val="none"/>
        </w:rPr>
        <w:t>；如投标折扣系数为0.7，则被修正为0.70）。</w:t>
      </w:r>
    </w:p>
    <w:p w14:paraId="551D7586">
      <w:pPr>
        <w:ind w:left="607" w:leftChars="18" w:hanging="569" w:hangingChars="270"/>
        <w:jc w:val="left"/>
        <w:rPr>
          <w:rFonts w:hint="eastAsia" w:ascii="宋体" w:hAnsi="宋体" w:eastAsia="宋体" w:cs="宋体"/>
          <w:b/>
          <w:bCs/>
          <w:color w:val="auto"/>
          <w:kern w:val="0"/>
          <w:szCs w:val="21"/>
          <w:highlight w:val="none"/>
          <w:u w:val="single"/>
        </w:rPr>
      </w:pPr>
      <w:r>
        <w:rPr>
          <w:rFonts w:hint="eastAsia" w:ascii="宋体" w:hAnsi="宋体" w:eastAsia="宋体" w:cs="宋体"/>
          <w:b/>
          <w:bCs/>
          <w:color w:val="auto"/>
          <w:kern w:val="0"/>
          <w:szCs w:val="21"/>
          <w:highlight w:val="none"/>
          <w:u w:val="single"/>
        </w:rPr>
        <w:t>（3）本表一式二份，一份随唱标信封一起提交，一份编入投标文件商务文件。</w:t>
      </w:r>
    </w:p>
    <w:p w14:paraId="45FDB8E8">
      <w:pPr>
        <w:jc w:val="left"/>
        <w:rPr>
          <w:rFonts w:hint="eastAsia" w:ascii="宋体" w:hAnsi="宋体" w:eastAsia="宋体" w:cs="宋体"/>
          <w:color w:val="auto"/>
          <w:kern w:val="0"/>
          <w:szCs w:val="21"/>
          <w:highlight w:val="none"/>
          <w:lang w:val="zh-CN"/>
        </w:rPr>
      </w:pPr>
    </w:p>
    <w:p w14:paraId="23921E2A">
      <w:pPr>
        <w:rPr>
          <w:rFonts w:hint="eastAsia" w:ascii="宋体" w:hAnsi="宋体" w:eastAsia="宋体" w:cs="宋体"/>
          <w:color w:val="auto"/>
          <w:highlight w:val="none"/>
          <w:lang w:val="zh-CN"/>
        </w:rPr>
      </w:pPr>
    </w:p>
    <w:p w14:paraId="01C62C4A">
      <w:pPr>
        <w:ind w:left="4620" w:leftChars="22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投标人：（加盖投标人法人公章）</w:t>
      </w:r>
    </w:p>
    <w:p w14:paraId="4DC9897C">
      <w:pPr>
        <w:ind w:left="4620" w:leftChars="22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法定代表人或其授权代表签名（或盖私章）：</w:t>
      </w:r>
    </w:p>
    <w:p w14:paraId="743BE4D0">
      <w:pPr>
        <w:ind w:left="4620" w:leftChars="22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日期：   年   月   日</w:t>
      </w:r>
    </w:p>
    <w:p w14:paraId="06C5557D">
      <w:pPr>
        <w:rPr>
          <w:rFonts w:hint="eastAsia" w:ascii="宋体" w:hAnsi="宋体" w:eastAsia="宋体" w:cs="宋体"/>
          <w:color w:val="auto"/>
          <w:sz w:val="28"/>
          <w:szCs w:val="36"/>
          <w:highlight w:val="none"/>
        </w:rPr>
      </w:pPr>
      <w:bookmarkStart w:id="853" w:name="_Toc102860418"/>
      <w:bookmarkStart w:id="854" w:name="_Toc13008"/>
      <w:bookmarkStart w:id="855" w:name="_Toc176627932"/>
      <w:bookmarkStart w:id="856" w:name="_Toc140596928"/>
      <w:bookmarkStart w:id="857" w:name="_Toc1977725"/>
      <w:bookmarkStart w:id="858" w:name="_Toc178076611"/>
      <w:bookmarkStart w:id="859" w:name="_Toc94107209"/>
      <w:bookmarkStart w:id="860" w:name="_Toc3826"/>
      <w:bookmarkStart w:id="861" w:name="_Toc104991875"/>
      <w:bookmarkStart w:id="862" w:name="_Toc21043"/>
      <w:bookmarkStart w:id="863" w:name="_Toc18828"/>
      <w:bookmarkStart w:id="864" w:name="_Toc142508369"/>
      <w:bookmarkStart w:id="865" w:name="_Toc27712"/>
      <w:bookmarkStart w:id="866" w:name="_Toc25615"/>
      <w:bookmarkStart w:id="867" w:name="_Toc16693"/>
      <w:bookmarkStart w:id="868" w:name="_Toc11541"/>
      <w:bookmarkStart w:id="869" w:name="_Toc102860074"/>
      <w:bookmarkStart w:id="870" w:name="_Toc21218"/>
      <w:bookmarkStart w:id="871" w:name="_Toc24015"/>
      <w:bookmarkStart w:id="872" w:name="_Toc19408"/>
      <w:bookmarkStart w:id="873" w:name="_Toc24399"/>
      <w:bookmarkStart w:id="874" w:name="_Toc533708124"/>
      <w:bookmarkStart w:id="875" w:name="_Toc20759_WPSOffice_Level2"/>
      <w:bookmarkStart w:id="876" w:name="_Toc486167712"/>
      <w:r>
        <w:rPr>
          <w:rFonts w:hint="eastAsia" w:ascii="宋体" w:hAnsi="宋体" w:eastAsia="宋体" w:cs="宋体"/>
          <w:color w:val="auto"/>
          <w:sz w:val="28"/>
          <w:szCs w:val="36"/>
          <w:highlight w:val="none"/>
        </w:rPr>
        <w:br w:type="page"/>
      </w:r>
    </w:p>
    <w:p w14:paraId="1D0F6418">
      <w:pPr>
        <w:pStyle w:val="3"/>
        <w:rPr>
          <w:rFonts w:hint="eastAsia" w:ascii="宋体" w:hAnsi="宋体" w:eastAsia="宋体" w:cs="宋体"/>
          <w:color w:val="auto"/>
          <w:sz w:val="28"/>
          <w:szCs w:val="36"/>
          <w:highlight w:val="none"/>
        </w:rPr>
      </w:pPr>
      <w:bookmarkStart w:id="877" w:name="_Toc5754"/>
      <w:bookmarkStart w:id="878" w:name="_Toc10106"/>
      <w:bookmarkStart w:id="879" w:name="_Toc23761"/>
      <w:bookmarkStart w:id="880" w:name="_Toc32540"/>
      <w:bookmarkStart w:id="881" w:name="_Toc4979"/>
      <w:r>
        <w:rPr>
          <w:rFonts w:hint="eastAsia" w:ascii="宋体" w:hAnsi="宋体" w:eastAsia="宋体" w:cs="宋体"/>
          <w:color w:val="auto"/>
          <w:sz w:val="28"/>
          <w:szCs w:val="36"/>
          <w:highlight w:val="none"/>
        </w:rPr>
        <w:t>五、投标人资格证明文件</w:t>
      </w:r>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7"/>
      <w:bookmarkEnd w:id="878"/>
      <w:bookmarkEnd w:id="879"/>
      <w:bookmarkEnd w:id="880"/>
      <w:bookmarkEnd w:id="881"/>
    </w:p>
    <w:p w14:paraId="4374334C">
      <w:pPr>
        <w:rPr>
          <w:rFonts w:hint="eastAsia" w:ascii="宋体" w:hAnsi="宋体" w:eastAsia="宋体" w:cs="宋体"/>
          <w:b/>
          <w:bCs/>
          <w:color w:val="auto"/>
          <w:sz w:val="28"/>
          <w:szCs w:val="32"/>
          <w:highlight w:val="none"/>
        </w:rPr>
      </w:pPr>
      <w:bookmarkStart w:id="882" w:name="_Toc31420"/>
      <w:bookmarkStart w:id="883" w:name="_Toc28382"/>
      <w:bookmarkStart w:id="884" w:name="_Toc102860419"/>
      <w:bookmarkStart w:id="885" w:name="_Toc104991876"/>
      <w:bookmarkStart w:id="886" w:name="_Toc94107210"/>
      <w:bookmarkStart w:id="887" w:name="_Toc142508370"/>
      <w:bookmarkStart w:id="888" w:name="_Toc140596929"/>
      <w:bookmarkStart w:id="889" w:name="_Toc102860075"/>
      <w:bookmarkStart w:id="890" w:name="_Toc1977726"/>
      <w:r>
        <w:rPr>
          <w:rFonts w:hint="eastAsia" w:ascii="宋体" w:hAnsi="宋体" w:eastAsia="宋体" w:cs="宋体"/>
          <w:b/>
          <w:bCs/>
          <w:color w:val="auto"/>
          <w:sz w:val="28"/>
          <w:szCs w:val="32"/>
          <w:highlight w:val="none"/>
        </w:rPr>
        <w:t>5.1 多证合一营业执照（或事业单位法人证书）复印件</w:t>
      </w:r>
      <w:bookmarkEnd w:id="882"/>
      <w:bookmarkEnd w:id="883"/>
      <w:bookmarkEnd w:id="884"/>
      <w:bookmarkEnd w:id="885"/>
      <w:bookmarkEnd w:id="886"/>
      <w:bookmarkEnd w:id="887"/>
      <w:bookmarkEnd w:id="888"/>
      <w:bookmarkEnd w:id="889"/>
    </w:p>
    <w:p w14:paraId="00306918">
      <w:pPr>
        <w:rPr>
          <w:rFonts w:hint="eastAsia" w:ascii="宋体" w:hAnsi="宋体" w:eastAsia="宋体" w:cs="宋体"/>
          <w:color w:val="auto"/>
          <w:sz w:val="28"/>
          <w:szCs w:val="32"/>
          <w:highlight w:val="none"/>
        </w:rPr>
      </w:pPr>
      <w:bookmarkStart w:id="891" w:name="_Toc102860076"/>
      <w:bookmarkStart w:id="892" w:name="_Toc140596930"/>
      <w:bookmarkStart w:id="893" w:name="_Toc9489"/>
      <w:bookmarkStart w:id="894" w:name="_Toc102860420"/>
      <w:bookmarkStart w:id="895" w:name="_Toc94107211"/>
      <w:bookmarkStart w:id="896" w:name="_Toc142508371"/>
      <w:bookmarkStart w:id="897" w:name="_Toc26345"/>
      <w:bookmarkStart w:id="898" w:name="_Toc104991877"/>
      <w:r>
        <w:rPr>
          <w:rFonts w:hint="eastAsia" w:ascii="宋体" w:hAnsi="宋体" w:eastAsia="宋体" w:cs="宋体"/>
          <w:color w:val="auto"/>
          <w:sz w:val="28"/>
          <w:szCs w:val="32"/>
          <w:highlight w:val="none"/>
        </w:rPr>
        <w:br w:type="page"/>
      </w:r>
    </w:p>
    <w:p w14:paraId="13064DE7">
      <w:pPr>
        <w:rPr>
          <w:rFonts w:hint="eastAsia" w:ascii="宋体" w:hAnsi="宋体" w:eastAsia="宋体" w:cs="宋体"/>
          <w:b/>
          <w:bCs/>
          <w:color w:val="auto"/>
          <w:sz w:val="28"/>
          <w:szCs w:val="32"/>
          <w:highlight w:val="none"/>
        </w:rPr>
      </w:pPr>
      <w:r>
        <w:rPr>
          <w:rFonts w:hint="eastAsia" w:ascii="宋体" w:hAnsi="宋体" w:eastAsia="宋体" w:cs="宋体"/>
          <w:b/>
          <w:bCs/>
          <w:color w:val="auto"/>
          <w:sz w:val="28"/>
          <w:szCs w:val="32"/>
          <w:highlight w:val="none"/>
        </w:rPr>
        <w:t>5.2 开户许可证复印件（基本存款账户），如投标人企业银行账户开户所在地区已取消企业银行账户许可，投标人应提供基本存款账户开户名称、开户银行、账号、编号等信息及相关备案证明（如有）或其他能证明其为基本存款账户的资料复印件</w:t>
      </w:r>
      <w:bookmarkEnd w:id="891"/>
      <w:bookmarkEnd w:id="892"/>
      <w:bookmarkEnd w:id="893"/>
      <w:bookmarkEnd w:id="894"/>
      <w:bookmarkEnd w:id="895"/>
      <w:bookmarkEnd w:id="896"/>
      <w:bookmarkEnd w:id="897"/>
      <w:bookmarkEnd w:id="898"/>
    </w:p>
    <w:p w14:paraId="08FCE542">
      <w:pPr>
        <w:rPr>
          <w:rFonts w:hint="eastAsia" w:ascii="宋体" w:hAnsi="宋体" w:eastAsia="宋体" w:cs="宋体"/>
          <w:b/>
          <w:color w:val="auto"/>
          <w:kern w:val="0"/>
          <w:sz w:val="30"/>
          <w:szCs w:val="30"/>
          <w:highlight w:val="none"/>
        </w:rPr>
      </w:pPr>
      <w:bookmarkStart w:id="899" w:name="_Toc21657"/>
      <w:bookmarkStart w:id="900" w:name="_Toc102860421"/>
      <w:bookmarkStart w:id="901" w:name="_Toc142508372"/>
      <w:bookmarkStart w:id="902" w:name="_Toc140596931"/>
      <w:bookmarkStart w:id="903" w:name="_Toc644"/>
      <w:bookmarkStart w:id="904" w:name="_Toc104991878"/>
      <w:bookmarkStart w:id="905" w:name="_Toc94107212"/>
      <w:bookmarkStart w:id="906" w:name="_Toc102860077"/>
      <w:r>
        <w:rPr>
          <w:rFonts w:hint="eastAsia" w:ascii="宋体" w:hAnsi="宋体" w:eastAsia="宋体" w:cs="宋体"/>
          <w:b/>
          <w:color w:val="auto"/>
          <w:kern w:val="0"/>
          <w:sz w:val="30"/>
          <w:szCs w:val="30"/>
          <w:highlight w:val="none"/>
        </w:rPr>
        <w:br w:type="page"/>
      </w:r>
    </w:p>
    <w:p w14:paraId="69A0AB64">
      <w:pPr>
        <w:rPr>
          <w:rFonts w:hint="eastAsia" w:ascii="宋体" w:hAnsi="宋体" w:eastAsia="宋体" w:cs="宋体"/>
          <w:b/>
          <w:bCs/>
          <w:color w:val="auto"/>
          <w:sz w:val="28"/>
          <w:szCs w:val="32"/>
          <w:highlight w:val="none"/>
        </w:rPr>
      </w:pPr>
      <w:r>
        <w:rPr>
          <w:rFonts w:hint="eastAsia" w:ascii="宋体" w:hAnsi="宋体" w:eastAsia="宋体" w:cs="宋体"/>
          <w:b/>
          <w:bCs/>
          <w:color w:val="auto"/>
          <w:sz w:val="28"/>
          <w:szCs w:val="32"/>
          <w:highlight w:val="none"/>
        </w:rPr>
        <w:t>5.3 法定代表人身份证明书原件、法定代表人授权书原件格式（法定代表人投标时只需提供法定代表人身份证明书，委托他人为投标代表或签署投标文件时需同时提供法定代表人授权书）</w:t>
      </w:r>
      <w:bookmarkEnd w:id="899"/>
      <w:bookmarkEnd w:id="900"/>
      <w:bookmarkEnd w:id="901"/>
      <w:bookmarkEnd w:id="902"/>
      <w:bookmarkEnd w:id="903"/>
      <w:bookmarkEnd w:id="904"/>
      <w:bookmarkEnd w:id="905"/>
      <w:bookmarkEnd w:id="906"/>
    </w:p>
    <w:p w14:paraId="4B3EC764">
      <w:pPr>
        <w:rPr>
          <w:rFonts w:hint="eastAsia" w:ascii="宋体" w:hAnsi="宋体" w:eastAsia="宋体" w:cs="宋体"/>
          <w:b/>
          <w:bCs/>
          <w:color w:val="auto"/>
          <w:sz w:val="24"/>
          <w:szCs w:val="28"/>
          <w:highlight w:val="none"/>
        </w:rPr>
      </w:pPr>
      <w:r>
        <w:rPr>
          <w:rFonts w:hint="eastAsia" w:ascii="宋体" w:hAnsi="宋体" w:eastAsia="宋体" w:cs="宋体"/>
          <w:b/>
          <w:bCs/>
          <w:color w:val="auto"/>
          <w:sz w:val="24"/>
          <w:szCs w:val="28"/>
          <w:highlight w:val="none"/>
        </w:rPr>
        <w:t>（1）法定代表人身份证明书格式</w:t>
      </w:r>
      <w:bookmarkEnd w:id="874"/>
      <w:bookmarkEnd w:id="875"/>
      <w:bookmarkEnd w:id="876"/>
      <w:bookmarkEnd w:id="890"/>
    </w:p>
    <w:p w14:paraId="67515A72">
      <w:pPr>
        <w:jc w:val="center"/>
        <w:rPr>
          <w:rFonts w:hint="eastAsia" w:ascii="宋体" w:hAnsi="宋体" w:eastAsia="宋体" w:cs="宋体"/>
          <w:b/>
          <w:bCs/>
          <w:color w:val="auto"/>
          <w:sz w:val="28"/>
          <w:szCs w:val="32"/>
          <w:highlight w:val="none"/>
        </w:rPr>
      </w:pPr>
      <w:bookmarkStart w:id="907" w:name="_Toc11033_WPSOffice_Level3"/>
      <w:r>
        <w:rPr>
          <w:rFonts w:hint="eastAsia" w:ascii="宋体" w:hAnsi="宋体" w:eastAsia="宋体" w:cs="宋体"/>
          <w:b/>
          <w:bCs/>
          <w:color w:val="auto"/>
          <w:sz w:val="28"/>
          <w:szCs w:val="32"/>
          <w:highlight w:val="none"/>
        </w:rPr>
        <w:t>法定代</w:t>
      </w:r>
      <w:bookmarkStart w:id="908" w:name="_Toc36971359"/>
      <w:bookmarkStart w:id="909" w:name="_Toc45995270"/>
      <w:r>
        <w:rPr>
          <w:rFonts w:hint="eastAsia" w:ascii="宋体" w:hAnsi="宋体" w:eastAsia="宋体" w:cs="宋体"/>
          <w:b/>
          <w:bCs/>
          <w:color w:val="auto"/>
          <w:sz w:val="28"/>
          <w:szCs w:val="32"/>
          <w:highlight w:val="none"/>
        </w:rPr>
        <w:t>表人身份证明书</w:t>
      </w:r>
      <w:bookmarkEnd w:id="907"/>
    </w:p>
    <w:bookmarkEnd w:id="908"/>
    <w:bookmarkEnd w:id="909"/>
    <w:p w14:paraId="73854C18">
      <w:pPr>
        <w:rPr>
          <w:rFonts w:hint="eastAsia" w:ascii="宋体" w:hAnsi="宋体" w:eastAsia="宋体" w:cs="宋体"/>
          <w:color w:val="auto"/>
          <w:highlight w:val="none"/>
        </w:rPr>
      </w:pPr>
    </w:p>
    <w:p w14:paraId="16F91807">
      <w:pPr>
        <w:ind w:left="840" w:leftChars="400"/>
        <w:rPr>
          <w:rFonts w:hint="eastAsia" w:ascii="宋体" w:hAnsi="宋体" w:eastAsia="宋体" w:cs="宋体"/>
          <w:color w:val="auto"/>
          <w:szCs w:val="24"/>
          <w:highlight w:val="none"/>
        </w:rPr>
      </w:pP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先生／女士：现任我单位</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职务，为法定代表人，特此证明。</w:t>
      </w:r>
    </w:p>
    <w:p w14:paraId="7F17D259">
      <w:pPr>
        <w:ind w:left="840" w:leftChars="400"/>
        <w:rPr>
          <w:rFonts w:hint="eastAsia" w:ascii="宋体" w:hAnsi="宋体" w:eastAsia="宋体" w:cs="宋体"/>
          <w:color w:val="auto"/>
          <w:szCs w:val="24"/>
          <w:highlight w:val="none"/>
        </w:rPr>
      </w:pPr>
      <w:r>
        <w:rPr>
          <w:rFonts w:hint="eastAsia" w:ascii="宋体" w:hAnsi="宋体" w:eastAsia="宋体" w:cs="宋体"/>
          <w:color w:val="auto"/>
          <w:szCs w:val="24"/>
          <w:highlight w:val="none"/>
        </w:rPr>
        <w:t>有效日期：</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签发日期：</w:t>
      </w:r>
      <w:r>
        <w:rPr>
          <w:rFonts w:hint="eastAsia" w:ascii="宋体" w:hAnsi="宋体" w:eastAsia="宋体" w:cs="宋体"/>
          <w:color w:val="auto"/>
          <w:szCs w:val="24"/>
          <w:highlight w:val="none"/>
          <w:u w:val="single"/>
        </w:rPr>
        <w:t xml:space="preserve">           </w:t>
      </w:r>
    </w:p>
    <w:p w14:paraId="66FC844C">
      <w:pPr>
        <w:ind w:left="840" w:leftChars="400"/>
        <w:rPr>
          <w:rFonts w:hint="eastAsia" w:ascii="宋体" w:hAnsi="宋体" w:eastAsia="宋体" w:cs="宋体"/>
          <w:color w:val="auto"/>
          <w:szCs w:val="24"/>
          <w:highlight w:val="none"/>
          <w:u w:val="single"/>
        </w:rPr>
      </w:pPr>
      <w:r>
        <w:rPr>
          <w:rFonts w:hint="eastAsia" w:ascii="宋体" w:hAnsi="宋体" w:eastAsia="宋体" w:cs="宋体"/>
          <w:color w:val="auto"/>
          <w:szCs w:val="24"/>
          <w:highlight w:val="none"/>
        </w:rPr>
        <w:t>附：代表人性别：</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年龄：</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身份证号码：</w:t>
      </w:r>
      <w:r>
        <w:rPr>
          <w:rFonts w:hint="eastAsia" w:ascii="宋体" w:hAnsi="宋体" w:eastAsia="宋体" w:cs="宋体"/>
          <w:color w:val="auto"/>
          <w:szCs w:val="24"/>
          <w:highlight w:val="none"/>
          <w:u w:val="single"/>
        </w:rPr>
        <w:t xml:space="preserve">            </w:t>
      </w:r>
    </w:p>
    <w:p w14:paraId="0CBC9617">
      <w:pPr>
        <w:ind w:left="840" w:leftChars="400"/>
        <w:rPr>
          <w:rFonts w:hint="eastAsia" w:ascii="宋体" w:hAnsi="宋体" w:eastAsia="宋体" w:cs="宋体"/>
          <w:color w:val="auto"/>
          <w:szCs w:val="24"/>
          <w:highlight w:val="none"/>
        </w:rPr>
      </w:pPr>
      <w:r>
        <w:rPr>
          <w:rFonts w:hint="eastAsia" w:ascii="宋体" w:hAnsi="宋体" w:eastAsia="宋体" w:cs="宋体"/>
          <w:color w:val="auto"/>
          <w:szCs w:val="24"/>
          <w:highlight w:val="none"/>
        </w:rPr>
        <w:t>营业执照号码：</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 xml:space="preserve">经济性质： </w:t>
      </w:r>
    </w:p>
    <w:p w14:paraId="4AD6AE0C">
      <w:pPr>
        <w:ind w:left="840" w:leftChars="400"/>
        <w:rPr>
          <w:rFonts w:hint="eastAsia" w:ascii="宋体" w:hAnsi="宋体" w:eastAsia="宋体" w:cs="宋体"/>
          <w:color w:val="auto"/>
          <w:highlight w:val="none"/>
        </w:rPr>
      </w:pPr>
      <w:r>
        <w:rPr>
          <w:rFonts w:hint="eastAsia" w:ascii="宋体" w:hAnsi="宋体" w:eastAsia="宋体" w:cs="宋体"/>
          <w:color w:val="auto"/>
          <w:highlight w:val="none"/>
        </w:rPr>
        <w:t>主营（产）：</w:t>
      </w:r>
    </w:p>
    <w:p w14:paraId="300944C1">
      <w:pPr>
        <w:ind w:left="840" w:leftChars="400"/>
        <w:rPr>
          <w:rFonts w:hint="eastAsia" w:ascii="宋体" w:hAnsi="宋体" w:eastAsia="宋体" w:cs="宋体"/>
          <w:color w:val="auto"/>
          <w:highlight w:val="none"/>
        </w:rPr>
      </w:pPr>
      <w:r>
        <w:rPr>
          <w:rFonts w:hint="eastAsia" w:ascii="宋体" w:hAnsi="宋体" w:eastAsia="宋体" w:cs="宋体"/>
          <w:color w:val="auto"/>
          <w:highlight w:val="none"/>
        </w:rPr>
        <w:t>兼营（产）：</w:t>
      </w:r>
    </w:p>
    <w:p w14:paraId="1D78E7C5">
      <w:pPr>
        <w:rPr>
          <w:rFonts w:hint="eastAsia" w:ascii="宋体" w:hAnsi="宋体" w:eastAsia="宋体" w:cs="宋体"/>
          <w:color w:val="auto"/>
          <w:highlight w:val="none"/>
        </w:rPr>
      </w:pPr>
    </w:p>
    <w:p w14:paraId="283944EF">
      <w:pPr>
        <w:ind w:left="4620" w:leftChars="22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投标人：（加盖投标人法人公章）</w:t>
      </w:r>
    </w:p>
    <w:p w14:paraId="7AB6E510">
      <w:pPr>
        <w:ind w:left="4620" w:leftChars="22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日期：   年   月   日</w:t>
      </w:r>
    </w:p>
    <w:p w14:paraId="08D11E4D">
      <w:pPr>
        <w:rPr>
          <w:rFonts w:hint="eastAsia" w:ascii="宋体" w:hAnsi="宋体" w:eastAsia="宋体" w:cs="宋体"/>
          <w:color w:val="auto"/>
          <w:szCs w:val="24"/>
          <w:highlight w:val="none"/>
          <w:lang w:val="zh-CN"/>
        </w:rPr>
      </w:pPr>
      <w:r>
        <w:rPr>
          <w:rFonts w:hint="eastAsia" w:ascii="宋体" w:hAnsi="宋体" w:eastAsia="宋体" w:cs="宋体"/>
          <w:color w:val="auto"/>
          <w:highlight w:val="none"/>
        </w:rPr>
        <w:t xml:space="preserve">附：法定代表人身份证复印件 </w:t>
      </w:r>
    </w:p>
    <w:p w14:paraId="517D71C6">
      <w:pPr>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mc:AlternateContent>
          <mc:Choice Requires="wps">
            <w:drawing>
              <wp:anchor distT="0" distB="0" distL="114300" distR="114300" simplePos="0" relativeHeight="251661312" behindDoc="0" locked="0" layoutInCell="1" allowOverlap="1">
                <wp:simplePos x="0" y="0"/>
                <wp:positionH relativeFrom="column">
                  <wp:posOffset>61595</wp:posOffset>
                </wp:positionH>
                <wp:positionV relativeFrom="paragraph">
                  <wp:posOffset>109220</wp:posOffset>
                </wp:positionV>
                <wp:extent cx="2790825" cy="1962150"/>
                <wp:effectExtent l="9525" t="6985" r="9525" b="12065"/>
                <wp:wrapNone/>
                <wp:docPr id="7" name="文本框 7"/>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3C302A90"/>
                          <w:p w14:paraId="71497CCA"/>
                          <w:p w14:paraId="61380103"/>
                          <w:p w14:paraId="43A462A7">
                            <w:pPr>
                              <w:jc w:val="center"/>
                              <w:rPr>
                                <w:szCs w:val="21"/>
                              </w:rPr>
                            </w:pPr>
                            <w:r>
                              <w:rPr>
                                <w:rFonts w:hint="eastAsia"/>
                                <w:szCs w:val="21"/>
                              </w:rPr>
                              <w:t>法定代表人身份证正面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85pt;margin-top:8.6pt;height:154.5pt;width:219.75pt;z-index:251661312;mso-width-relative:page;mso-height-relative:page;" fillcolor="#FFFFFF" filled="t" stroked="t" coordsize="21600,21600" o:gfxdata="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Fj1YWXYAAAACAEAAA8AAAAAAAAAAQAgAAAAIgAA&#10;AGRycy9kb3ducmV2LnhtbFBLAQIUABQAAAAIAIdO4kD5BGLAQQIAAIgEAAAOAAAAAAAAAAEAIAAA&#10;ACcBAABkcnMvZTJvRG9jLnhtbFBLBQYAAAAABgAGAFkBAADaBQAAAAA=&#10;">
                <v:fill on="t" focussize="0,0"/>
                <v:stroke color="#000000" miterlimit="8" joinstyle="miter"/>
                <v:imagedata o:title=""/>
                <o:lock v:ext="edit" aspectratio="f"/>
                <v:textbox>
                  <w:txbxContent>
                    <w:p w14:paraId="3C302A90"/>
                    <w:p w14:paraId="71497CCA"/>
                    <w:p w14:paraId="61380103"/>
                    <w:p w14:paraId="43A462A7">
                      <w:pPr>
                        <w:jc w:val="center"/>
                        <w:rPr>
                          <w:szCs w:val="21"/>
                        </w:rPr>
                      </w:pPr>
                      <w:r>
                        <w:rPr>
                          <w:rFonts w:hint="eastAsia"/>
                          <w:szCs w:val="21"/>
                        </w:rPr>
                        <w:t>法定代表人身份证正面</w:t>
                      </w:r>
                    </w:p>
                  </w:txbxContent>
                </v:textbox>
              </v:shape>
            </w:pict>
          </mc:Fallback>
        </mc:AlternateContent>
      </w:r>
      <w:r>
        <w:rPr>
          <w:rFonts w:hint="eastAsia" w:ascii="宋体" w:hAnsi="宋体" w:eastAsia="宋体" w:cs="宋体"/>
          <w:color w:val="auto"/>
          <w:kern w:val="0"/>
          <w:sz w:val="24"/>
          <w:szCs w:val="24"/>
          <w:highlight w:val="none"/>
        </w:rPr>
        <mc:AlternateContent>
          <mc:Choice Requires="wps">
            <w:drawing>
              <wp:anchor distT="0" distB="0" distL="114300" distR="114300" simplePos="0" relativeHeight="251660288" behindDoc="0" locked="0" layoutInCell="1" allowOverlap="1">
                <wp:simplePos x="0" y="0"/>
                <wp:positionH relativeFrom="column">
                  <wp:posOffset>3128645</wp:posOffset>
                </wp:positionH>
                <wp:positionV relativeFrom="paragraph">
                  <wp:posOffset>109220</wp:posOffset>
                </wp:positionV>
                <wp:extent cx="2790825" cy="1962150"/>
                <wp:effectExtent l="9525" t="6985" r="9525" b="12065"/>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2C36B4C1"/>
                          <w:p w14:paraId="0BAA4257"/>
                          <w:p w14:paraId="5FC45400"/>
                          <w:p w14:paraId="0C0ED6E9">
                            <w:pPr>
                              <w:jc w:val="center"/>
                            </w:pPr>
                            <w:r>
                              <w:rPr>
                                <w:rFonts w:hint="eastAsia"/>
                                <w:szCs w:val="21"/>
                              </w:rPr>
                              <w:t>法定代表人身份证反面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6.35pt;margin-top:8.6pt;height:154.5pt;width:219.75pt;z-index:251660288;mso-width-relative:page;mso-height-relative:page;" fillcolor="#FFFFFF" filled="t" stroked="t" coordsize="21600,21600" o:gfxdata="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CUEWTR2QAAAAoBAAAPAAAAAAAAAAEAIAAAACIA&#10;AABkcnMvZG93bnJldi54bWxQSwECFAAUAAAACACHTuJADlLddUECAACIBAAADgAAAAAAAAABACAA&#10;AAAoAQAAZHJzL2Uyb0RvYy54bWxQSwUGAAAAAAYABgBZAQAA2wUAAAAA&#10;">
                <v:fill on="t" focussize="0,0"/>
                <v:stroke color="#000000" miterlimit="8" joinstyle="miter"/>
                <v:imagedata o:title=""/>
                <o:lock v:ext="edit" aspectratio="f"/>
                <v:textbox>
                  <w:txbxContent>
                    <w:p w14:paraId="2C36B4C1"/>
                    <w:p w14:paraId="0BAA4257"/>
                    <w:p w14:paraId="5FC45400"/>
                    <w:p w14:paraId="0C0ED6E9">
                      <w:pPr>
                        <w:jc w:val="center"/>
                      </w:pPr>
                      <w:r>
                        <w:rPr>
                          <w:rFonts w:hint="eastAsia"/>
                          <w:szCs w:val="21"/>
                        </w:rPr>
                        <w:t>法定代表人身份证反面</w:t>
                      </w:r>
                    </w:p>
                  </w:txbxContent>
                </v:textbox>
              </v:shape>
            </w:pict>
          </mc:Fallback>
        </mc:AlternateContent>
      </w:r>
      <w:r>
        <w:rPr>
          <w:rFonts w:hint="eastAsia" w:ascii="宋体" w:hAnsi="宋体" w:eastAsia="宋体" w:cs="宋体"/>
          <w:color w:val="auto"/>
          <w:kern w:val="0"/>
          <w:sz w:val="24"/>
          <w:szCs w:val="24"/>
          <w:highlight w:val="none"/>
        </w:rPr>
        <mc:AlternateContent>
          <mc:Choice Requires="wps">
            <w:drawing>
              <wp:anchor distT="0" distB="0" distL="114300" distR="114300" simplePos="0" relativeHeight="251659264" behindDoc="0" locked="0" layoutInCell="1" allowOverlap="1">
                <wp:simplePos x="0" y="0"/>
                <wp:positionH relativeFrom="column">
                  <wp:posOffset>61595</wp:posOffset>
                </wp:positionH>
                <wp:positionV relativeFrom="paragraph">
                  <wp:posOffset>109220</wp:posOffset>
                </wp:positionV>
                <wp:extent cx="2790825" cy="1962150"/>
                <wp:effectExtent l="9525" t="6985" r="9525" b="12065"/>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7FD6CD30"/>
                          <w:p w14:paraId="02B0F7CC"/>
                          <w:p w14:paraId="0AD19C71"/>
                          <w:p w14:paraId="56E7CF28"/>
                          <w:p w14:paraId="7A3753F9">
                            <w:pPr>
                              <w:jc w:val="center"/>
                            </w:pPr>
                            <w:r>
                              <w:rPr>
                                <w:rFonts w:hint="eastAsia"/>
                              </w:rPr>
                              <w:t>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85pt;margin-top:8.6pt;height:154.5pt;width:219.75pt;z-index:251659264;mso-width-relative:page;mso-height-relative:page;" fillcolor="#FFFFFF" filled="t" stroked="t" coordsize="21600,21600" o:gfxdata="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WPVhZdgAAAAIAQAADwAAAAAAAAABACAAAAAiAAAA&#10;ZHJzL2Rvd25yZXYueG1sUEsBAhQAFAAAAAgAh07iQFavbXBAAgAAiAQAAA4AAAAAAAAAAQAgAAAA&#10;JwEAAGRycy9lMm9Eb2MueG1sUEsFBgAAAAAGAAYAWQEAANkFAAAAAA==&#10;">
                <v:fill on="t" focussize="0,0"/>
                <v:stroke color="#000000" miterlimit="8" joinstyle="miter"/>
                <v:imagedata o:title=""/>
                <o:lock v:ext="edit" aspectratio="f"/>
                <v:textbox>
                  <w:txbxContent>
                    <w:p w14:paraId="7FD6CD30"/>
                    <w:p w14:paraId="02B0F7CC"/>
                    <w:p w14:paraId="0AD19C71"/>
                    <w:p w14:paraId="56E7CF28"/>
                    <w:p w14:paraId="7A3753F9">
                      <w:pPr>
                        <w:jc w:val="center"/>
                      </w:pPr>
                      <w:r>
                        <w:rPr>
                          <w:rFonts w:hint="eastAsia"/>
                        </w:rPr>
                        <w:t>身份证正面</w:t>
                      </w:r>
                    </w:p>
                  </w:txbxContent>
                </v:textbox>
              </v:shape>
            </w:pict>
          </mc:Fallback>
        </mc:AlternateContent>
      </w:r>
    </w:p>
    <w:p w14:paraId="4361D43C">
      <w:pPr>
        <w:jc w:val="left"/>
        <w:rPr>
          <w:rFonts w:hint="eastAsia" w:ascii="宋体" w:hAnsi="宋体" w:eastAsia="宋体" w:cs="宋体"/>
          <w:color w:val="auto"/>
          <w:kern w:val="0"/>
          <w:sz w:val="24"/>
          <w:szCs w:val="24"/>
          <w:highlight w:val="none"/>
        </w:rPr>
      </w:pPr>
    </w:p>
    <w:p w14:paraId="1C61BC3A">
      <w:pPr>
        <w:jc w:val="left"/>
        <w:rPr>
          <w:rFonts w:hint="eastAsia" w:ascii="宋体" w:hAnsi="宋体" w:eastAsia="宋体" w:cs="宋体"/>
          <w:color w:val="auto"/>
          <w:kern w:val="0"/>
          <w:sz w:val="24"/>
          <w:szCs w:val="24"/>
          <w:highlight w:val="none"/>
        </w:rPr>
      </w:pPr>
    </w:p>
    <w:p w14:paraId="7FB54B87">
      <w:pPr>
        <w:jc w:val="left"/>
        <w:rPr>
          <w:rFonts w:hint="eastAsia" w:ascii="宋体" w:hAnsi="宋体" w:eastAsia="宋体" w:cs="宋体"/>
          <w:color w:val="auto"/>
          <w:kern w:val="0"/>
          <w:sz w:val="24"/>
          <w:szCs w:val="24"/>
          <w:highlight w:val="none"/>
        </w:rPr>
      </w:pPr>
    </w:p>
    <w:p w14:paraId="2E480E69">
      <w:pPr>
        <w:jc w:val="left"/>
        <w:rPr>
          <w:rFonts w:hint="eastAsia" w:ascii="宋体" w:hAnsi="宋体" w:eastAsia="宋体" w:cs="宋体"/>
          <w:color w:val="auto"/>
          <w:kern w:val="0"/>
          <w:sz w:val="24"/>
          <w:szCs w:val="24"/>
          <w:highlight w:val="none"/>
        </w:rPr>
      </w:pPr>
    </w:p>
    <w:p w14:paraId="16E2225B">
      <w:pPr>
        <w:jc w:val="left"/>
        <w:rPr>
          <w:rFonts w:hint="eastAsia" w:ascii="宋体" w:hAnsi="宋体" w:eastAsia="宋体" w:cs="宋体"/>
          <w:color w:val="auto"/>
          <w:kern w:val="0"/>
          <w:sz w:val="24"/>
          <w:szCs w:val="24"/>
          <w:highlight w:val="none"/>
        </w:rPr>
      </w:pPr>
    </w:p>
    <w:p w14:paraId="306587D8">
      <w:pPr>
        <w:jc w:val="left"/>
        <w:rPr>
          <w:rFonts w:hint="eastAsia" w:ascii="宋体" w:hAnsi="宋体" w:eastAsia="宋体" w:cs="宋体"/>
          <w:color w:val="auto"/>
          <w:kern w:val="0"/>
          <w:sz w:val="24"/>
          <w:szCs w:val="24"/>
          <w:highlight w:val="none"/>
        </w:rPr>
      </w:pPr>
    </w:p>
    <w:p w14:paraId="5F619558">
      <w:pPr>
        <w:rPr>
          <w:rFonts w:hint="eastAsia" w:ascii="宋体" w:hAnsi="宋体" w:eastAsia="宋体" w:cs="宋体"/>
          <w:color w:val="auto"/>
          <w:highlight w:val="none"/>
        </w:rPr>
      </w:pPr>
    </w:p>
    <w:p w14:paraId="51A2FEF8">
      <w:pPr>
        <w:rPr>
          <w:rFonts w:hint="eastAsia" w:ascii="宋体" w:hAnsi="宋体" w:eastAsia="宋体" w:cs="宋体"/>
          <w:b/>
          <w:bCs/>
          <w:color w:val="auto"/>
          <w:highlight w:val="none"/>
        </w:rPr>
      </w:pPr>
      <w:r>
        <w:rPr>
          <w:rFonts w:hint="eastAsia" w:ascii="宋体" w:hAnsi="宋体" w:eastAsia="宋体" w:cs="宋体"/>
          <w:b/>
          <w:bCs/>
          <w:color w:val="auto"/>
          <w:highlight w:val="none"/>
        </w:rPr>
        <w:t>注：法定代表人身份证须在有效期限内。</w:t>
      </w:r>
    </w:p>
    <w:p w14:paraId="4DFC9627">
      <w:pPr>
        <w:jc w:val="left"/>
        <w:rPr>
          <w:rFonts w:hint="eastAsia" w:ascii="宋体" w:hAnsi="宋体" w:eastAsia="宋体" w:cs="宋体"/>
          <w:color w:val="auto"/>
          <w:kern w:val="0"/>
          <w:szCs w:val="21"/>
          <w:highlight w:val="none"/>
        </w:rPr>
      </w:pPr>
    </w:p>
    <w:p w14:paraId="27DCDE0C">
      <w:pPr>
        <w:rPr>
          <w:rFonts w:hint="eastAsia" w:ascii="宋体" w:hAnsi="宋体" w:eastAsia="宋体" w:cs="宋体"/>
          <w:color w:val="auto"/>
          <w:highlight w:val="none"/>
          <w:lang w:val="zh-CN"/>
        </w:rPr>
      </w:pPr>
      <w:r>
        <w:rPr>
          <w:rFonts w:hint="eastAsia" w:ascii="宋体" w:hAnsi="宋体" w:eastAsia="宋体" w:cs="宋体"/>
          <w:color w:val="auto"/>
          <w:szCs w:val="24"/>
          <w:highlight w:val="none"/>
          <w:lang w:val="zh-CN"/>
        </w:rPr>
        <w:br w:type="page"/>
      </w:r>
      <w:bookmarkEnd w:id="807"/>
      <w:bookmarkEnd w:id="808"/>
      <w:bookmarkEnd w:id="809"/>
      <w:bookmarkStart w:id="910" w:name="_Toc486167713"/>
      <w:bookmarkStart w:id="911" w:name="_Toc1977727"/>
      <w:bookmarkStart w:id="912" w:name="_Toc6240_WPSOffice_Level2"/>
      <w:bookmarkStart w:id="913" w:name="_Toc533708125"/>
      <w:r>
        <w:rPr>
          <w:rFonts w:hint="eastAsia" w:ascii="宋体" w:hAnsi="宋体" w:eastAsia="宋体" w:cs="宋体"/>
          <w:b/>
          <w:bCs/>
          <w:color w:val="auto"/>
          <w:sz w:val="24"/>
          <w:szCs w:val="28"/>
          <w:highlight w:val="none"/>
        </w:rPr>
        <w:t>（2）法定代表人授权书格式</w:t>
      </w:r>
      <w:bookmarkEnd w:id="910"/>
      <w:bookmarkEnd w:id="911"/>
      <w:bookmarkEnd w:id="912"/>
      <w:bookmarkEnd w:id="913"/>
    </w:p>
    <w:p w14:paraId="2DB63C5B">
      <w:pPr>
        <w:jc w:val="center"/>
        <w:rPr>
          <w:rFonts w:hint="eastAsia" w:ascii="宋体" w:hAnsi="宋体" w:eastAsia="宋体" w:cs="宋体"/>
          <w:color w:val="auto"/>
          <w:highlight w:val="none"/>
          <w:lang w:val="zh-CN"/>
        </w:rPr>
      </w:pPr>
      <w:bookmarkStart w:id="914" w:name="_Toc29146_WPSOffice_Level3"/>
      <w:r>
        <w:rPr>
          <w:rFonts w:hint="eastAsia" w:ascii="宋体" w:hAnsi="宋体" w:eastAsia="宋体" w:cs="宋体"/>
          <w:b/>
          <w:bCs/>
          <w:color w:val="auto"/>
          <w:sz w:val="30"/>
          <w:szCs w:val="30"/>
          <w:highlight w:val="none"/>
          <w:lang w:val="zh-CN"/>
        </w:rPr>
        <w:t>法定代表人授权书</w:t>
      </w:r>
      <w:bookmarkEnd w:id="914"/>
    </w:p>
    <w:p w14:paraId="60A6F9AE">
      <w:pPr>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lang w:val="zh-CN"/>
        </w:rPr>
        <w:t>致：</w:t>
      </w:r>
      <w:r>
        <w:rPr>
          <w:rFonts w:hint="eastAsia" w:ascii="宋体" w:hAnsi="宋体" w:eastAsia="宋体" w:cs="宋体"/>
          <w:color w:val="auto"/>
          <w:kern w:val="0"/>
          <w:szCs w:val="21"/>
          <w:highlight w:val="none"/>
          <w:u w:val="single"/>
          <w:lang w:eastAsia="zh-CN"/>
        </w:rPr>
        <w:t>东莞市碧水信息科技有限公司</w:t>
      </w:r>
    </w:p>
    <w:p w14:paraId="7797B2B8">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4"/>
          <w:highlight w:val="none"/>
          <w:lang w:val="zh-CN"/>
        </w:rPr>
        <w:t>本授权书声明：注册于</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lang w:val="zh-CN"/>
        </w:rPr>
        <w:t>（投标人地址）的</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（投标人名称）在下面签</w:t>
      </w:r>
      <w:r>
        <w:rPr>
          <w:rFonts w:hint="eastAsia" w:ascii="宋体" w:hAnsi="宋体" w:eastAsia="宋体" w:cs="宋体"/>
          <w:color w:val="auto"/>
          <w:szCs w:val="24"/>
          <w:highlight w:val="none"/>
        </w:rPr>
        <w:t>名</w:t>
      </w:r>
      <w:r>
        <w:rPr>
          <w:rFonts w:hint="eastAsia" w:ascii="宋体" w:hAnsi="宋体" w:eastAsia="宋体" w:cs="宋体"/>
          <w:color w:val="auto"/>
          <w:szCs w:val="24"/>
          <w:highlight w:val="none"/>
          <w:lang w:val="zh-CN"/>
        </w:rPr>
        <w:t>或盖私章的</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（法定代表人姓名、职务、身份证号码）代表本公司授权在下面签</w:t>
      </w:r>
      <w:r>
        <w:rPr>
          <w:rFonts w:hint="eastAsia" w:ascii="宋体" w:hAnsi="宋体" w:eastAsia="宋体" w:cs="宋体"/>
          <w:color w:val="auto"/>
          <w:szCs w:val="24"/>
          <w:highlight w:val="none"/>
        </w:rPr>
        <w:t>名</w:t>
      </w:r>
      <w:r>
        <w:rPr>
          <w:rFonts w:hint="eastAsia" w:ascii="宋体" w:hAnsi="宋体" w:eastAsia="宋体" w:cs="宋体"/>
          <w:color w:val="auto"/>
          <w:szCs w:val="24"/>
          <w:highlight w:val="none"/>
          <w:lang w:val="zh-CN"/>
        </w:rPr>
        <w:t>或盖私章的</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（被授权人的姓名、职务、身份证号码）为本公司的合法代表人，签署</w:t>
      </w:r>
      <w:r>
        <w:rPr>
          <w:rFonts w:hint="eastAsia" w:cs="宋体"/>
          <w:color w:val="auto"/>
          <w:kern w:val="0"/>
          <w:sz w:val="21"/>
          <w:szCs w:val="21"/>
          <w:highlight w:val="none"/>
          <w:lang w:val="zh-CN" w:eastAsia="zh-CN" w:bidi="ar-SA"/>
        </w:rPr>
        <w:t>东莞市碧水信息科技有限公司2025年度球墨铸铁阀门采购项目（第三次招标）</w:t>
      </w:r>
      <w:r>
        <w:rPr>
          <w:rFonts w:hint="eastAsia" w:ascii="宋体" w:hAnsi="宋体" w:eastAsia="宋体" w:cs="宋体"/>
          <w:color w:val="auto"/>
          <w:kern w:val="0"/>
          <w:szCs w:val="21"/>
          <w:highlight w:val="none"/>
        </w:rPr>
        <w:t>(招标编号：</w:t>
      </w:r>
      <w:r>
        <w:rPr>
          <w:rFonts w:hint="eastAsia" w:cs="宋体"/>
          <w:color w:val="auto"/>
          <w:szCs w:val="21"/>
          <w:highlight w:val="none"/>
          <w:lang w:val="en-US" w:eastAsia="zh-CN"/>
        </w:rPr>
        <w:t>YDZB25DGQY0149-2</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lang w:val="zh-CN"/>
        </w:rPr>
        <w:t>的投标文件，</w:t>
      </w:r>
      <w:r>
        <w:rPr>
          <w:rFonts w:hint="eastAsia" w:ascii="宋体" w:hAnsi="宋体" w:eastAsia="宋体" w:cs="宋体"/>
          <w:color w:val="auto"/>
          <w:szCs w:val="21"/>
          <w:highlight w:val="none"/>
        </w:rPr>
        <w:t>代表我公司</w:t>
      </w:r>
      <w:r>
        <w:rPr>
          <w:rFonts w:hint="eastAsia" w:ascii="宋体" w:hAnsi="宋体" w:eastAsia="宋体" w:cs="宋体"/>
          <w:color w:val="auto"/>
          <w:szCs w:val="24"/>
          <w:highlight w:val="none"/>
          <w:lang w:val="zh-CN"/>
        </w:rPr>
        <w:t>递交投标文件、参与开标会、代表我公司应评标委员会的要求对投标文件进行澄清、进行合同谈判和签署合同，以我公司的名义处理一切与之有关的事宜，</w:t>
      </w:r>
      <w:r>
        <w:rPr>
          <w:rFonts w:hint="eastAsia" w:ascii="宋体" w:hAnsi="宋体" w:eastAsia="宋体" w:cs="宋体"/>
          <w:color w:val="auto"/>
          <w:szCs w:val="21"/>
          <w:highlight w:val="none"/>
        </w:rPr>
        <w:t>我承认代理人全权代表我所签署的本项目投标文件的内容及</w:t>
      </w:r>
      <w:r>
        <w:rPr>
          <w:rFonts w:hint="eastAsia" w:ascii="宋体" w:hAnsi="宋体" w:eastAsia="宋体" w:cs="宋体"/>
          <w:color w:val="auto"/>
          <w:szCs w:val="24"/>
          <w:highlight w:val="none"/>
          <w:lang w:val="zh-CN"/>
        </w:rPr>
        <w:t>所进行的上述活动。</w:t>
      </w:r>
    </w:p>
    <w:p w14:paraId="7DBF7CE6">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4"/>
          <w:highlight w:val="none"/>
          <w:lang w:val="zh-CN"/>
        </w:rPr>
        <w:t>本授权书于</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年</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月</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日签字生效，有效期至投标文件失效期止，</w:t>
      </w:r>
      <w:r>
        <w:rPr>
          <w:rFonts w:hint="eastAsia" w:ascii="宋体" w:hAnsi="宋体" w:eastAsia="宋体" w:cs="宋体"/>
          <w:color w:val="auto"/>
          <w:szCs w:val="21"/>
          <w:highlight w:val="none"/>
        </w:rPr>
        <w:t>代理人无转委托权，</w:t>
      </w:r>
      <w:r>
        <w:rPr>
          <w:rFonts w:hint="eastAsia" w:ascii="宋体" w:hAnsi="宋体" w:eastAsia="宋体" w:cs="宋体"/>
          <w:color w:val="auto"/>
          <w:szCs w:val="24"/>
          <w:highlight w:val="none"/>
          <w:lang w:val="zh-CN"/>
        </w:rPr>
        <w:t>特此声明。</w:t>
      </w:r>
    </w:p>
    <w:p w14:paraId="55C38F3C">
      <w:pPr>
        <w:rPr>
          <w:rFonts w:hint="eastAsia" w:ascii="宋体" w:hAnsi="宋体" w:eastAsia="宋体" w:cs="宋体"/>
          <w:color w:val="auto"/>
          <w:highlight w:val="none"/>
        </w:rPr>
      </w:pPr>
    </w:p>
    <w:p w14:paraId="30F87C3C">
      <w:pPr>
        <w:ind w:left="4620" w:leftChars="22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  标  人：（加盖投标人法人公章）</w:t>
      </w:r>
    </w:p>
    <w:p w14:paraId="2B08294C">
      <w:pPr>
        <w:ind w:left="4620" w:leftChars="22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投标人地址：</w:t>
      </w:r>
    </w:p>
    <w:p w14:paraId="3FEB5853">
      <w:pPr>
        <w:ind w:left="4620" w:leftChars="22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法定代表人（签名或盖私章）：</w:t>
      </w:r>
    </w:p>
    <w:p w14:paraId="276BFA66">
      <w:pPr>
        <w:ind w:left="4620" w:leftChars="22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职　　　务：</w:t>
      </w:r>
    </w:p>
    <w:p w14:paraId="632953A1">
      <w:pPr>
        <w:ind w:left="4620" w:leftChars="22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被授权人（签名或盖私章）：</w:t>
      </w:r>
    </w:p>
    <w:p w14:paraId="6EBD8488">
      <w:pPr>
        <w:ind w:left="4620" w:leftChars="22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职　　　务：</w:t>
      </w:r>
    </w:p>
    <w:p w14:paraId="067D9263">
      <w:pPr>
        <w:ind w:left="4620" w:leftChars="22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被授权人联系手机：</w:t>
      </w:r>
    </w:p>
    <w:p w14:paraId="0F5D0359">
      <w:pPr>
        <w:ind w:left="4620" w:leftChars="22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电 子 邮 箱：</w:t>
      </w:r>
    </w:p>
    <w:p w14:paraId="19BCC082">
      <w:pPr>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zh-CN"/>
        </w:rPr>
        <w:br w:type="page"/>
      </w:r>
      <w:r>
        <w:rPr>
          <w:rFonts w:hint="eastAsia" w:ascii="宋体" w:hAnsi="宋体" w:eastAsia="宋体" w:cs="宋体"/>
          <w:color w:val="auto"/>
          <w:szCs w:val="24"/>
          <w:highlight w:val="none"/>
        </w:rPr>
        <w:t>附：法定代表人、被授权人身份证复印件</w:t>
      </w:r>
    </w:p>
    <w:p w14:paraId="594AEC23">
      <w:pPr>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mc:AlternateContent>
          <mc:Choice Requires="wps">
            <w:drawing>
              <wp:anchor distT="0" distB="0" distL="114300" distR="114300" simplePos="0" relativeHeight="251665408" behindDoc="0" locked="0" layoutInCell="1" allowOverlap="1">
                <wp:simplePos x="0" y="0"/>
                <wp:positionH relativeFrom="column">
                  <wp:posOffset>61595</wp:posOffset>
                </wp:positionH>
                <wp:positionV relativeFrom="paragraph">
                  <wp:posOffset>109220</wp:posOffset>
                </wp:positionV>
                <wp:extent cx="2790825" cy="1962150"/>
                <wp:effectExtent l="4445" t="5080" r="5080" b="13970"/>
                <wp:wrapNone/>
                <wp:docPr id="8" name="文本框 8"/>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1C66F38D"/>
                          <w:p w14:paraId="1108E05C"/>
                          <w:p w14:paraId="5D978045"/>
                          <w:p w14:paraId="58A864E9">
                            <w:pPr>
                              <w:jc w:val="center"/>
                              <w:rPr>
                                <w:szCs w:val="21"/>
                              </w:rPr>
                            </w:pPr>
                            <w:r>
                              <w:rPr>
                                <w:rFonts w:hint="eastAsia"/>
                                <w:szCs w:val="21"/>
                              </w:rPr>
                              <w:t>法定代表人身份证正面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85pt;margin-top:8.6pt;height:154.5pt;width:219.75pt;z-index:251665408;mso-width-relative:page;mso-height-relative:page;" fillcolor="#FFFFFF" filled="t" stroked="t" coordsize="21600,21600" o:gfxdata="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WPVhZdgAAAAIAQAADwAAAAAAAAABACAAAAAiAAAA&#10;ZHJzL2Rvd25yZXYueG1sUEsBAhQAFAAAAAgAh07iQMEMEdNAAgAAiAQAAA4AAAAAAAAAAQAgAAAA&#10;JwEAAGRycy9lMm9Eb2MueG1sUEsFBgAAAAAGAAYAWQEAANkFAAAAAA==&#10;">
                <v:fill on="t" focussize="0,0"/>
                <v:stroke color="#000000" miterlimit="8" joinstyle="miter"/>
                <v:imagedata o:title=""/>
                <o:lock v:ext="edit" aspectratio="f"/>
                <v:textbox>
                  <w:txbxContent>
                    <w:p w14:paraId="1C66F38D"/>
                    <w:p w14:paraId="1108E05C"/>
                    <w:p w14:paraId="5D978045"/>
                    <w:p w14:paraId="58A864E9">
                      <w:pPr>
                        <w:jc w:val="center"/>
                        <w:rPr>
                          <w:szCs w:val="21"/>
                        </w:rPr>
                      </w:pPr>
                      <w:r>
                        <w:rPr>
                          <w:rFonts w:hint="eastAsia"/>
                          <w:szCs w:val="21"/>
                        </w:rPr>
                        <w:t>法定代表人身份证正面</w:t>
                      </w:r>
                    </w:p>
                  </w:txbxContent>
                </v:textbox>
              </v:shape>
            </w:pict>
          </mc:Fallback>
        </mc:AlternateContent>
      </w:r>
      <w:r>
        <w:rPr>
          <w:rFonts w:hint="eastAsia" w:ascii="宋体" w:hAnsi="宋体" w:eastAsia="宋体" w:cs="宋体"/>
          <w:color w:val="auto"/>
          <w:kern w:val="0"/>
          <w:sz w:val="24"/>
          <w:szCs w:val="24"/>
          <w:highlight w:val="none"/>
        </w:rPr>
        <mc:AlternateContent>
          <mc:Choice Requires="wps">
            <w:drawing>
              <wp:anchor distT="0" distB="0" distL="114300" distR="114300" simplePos="0" relativeHeight="251664384" behindDoc="0" locked="0" layoutInCell="1" allowOverlap="1">
                <wp:simplePos x="0" y="0"/>
                <wp:positionH relativeFrom="column">
                  <wp:posOffset>3128645</wp:posOffset>
                </wp:positionH>
                <wp:positionV relativeFrom="paragraph">
                  <wp:posOffset>109220</wp:posOffset>
                </wp:positionV>
                <wp:extent cx="2790825" cy="1962150"/>
                <wp:effectExtent l="4445" t="5080" r="5080" b="13970"/>
                <wp:wrapNone/>
                <wp:docPr id="9" name="文本框 9"/>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541E1941"/>
                          <w:p w14:paraId="03648F8F"/>
                          <w:p w14:paraId="3FF16815"/>
                          <w:p w14:paraId="7E514B86">
                            <w:pPr>
                              <w:jc w:val="center"/>
                            </w:pPr>
                            <w:r>
                              <w:rPr>
                                <w:rFonts w:hint="eastAsia"/>
                                <w:szCs w:val="21"/>
                              </w:rPr>
                              <w:t>法定代表人身份证反面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6.35pt;margin-top:8.6pt;height:154.5pt;width:219.75pt;z-index:251664384;mso-width-relative:page;mso-height-relative:page;" fillcolor="#FFFFFF" filled="t" stroked="t" coordsize="21600,21600" o:gfxdata="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JQRZNHZAAAACgEAAA8AAAAAAAAAAQAgAAAAIgAA&#10;AGRycy9kb3ducmV2LnhtbFBLAQIUABQAAAAIAIdO4kA2Wq5mQAIAAIgEAAAOAAAAAAAAAAEAIAAA&#10;ACgBAABkcnMvZTJvRG9jLnhtbFBLBQYAAAAABgAGAFkBAADaBQAAAAA=&#10;">
                <v:fill on="t" focussize="0,0"/>
                <v:stroke color="#000000" miterlimit="8" joinstyle="miter"/>
                <v:imagedata o:title=""/>
                <o:lock v:ext="edit" aspectratio="f"/>
                <v:textbox>
                  <w:txbxContent>
                    <w:p w14:paraId="541E1941"/>
                    <w:p w14:paraId="03648F8F"/>
                    <w:p w14:paraId="3FF16815"/>
                    <w:p w14:paraId="7E514B86">
                      <w:pPr>
                        <w:jc w:val="center"/>
                      </w:pPr>
                      <w:r>
                        <w:rPr>
                          <w:rFonts w:hint="eastAsia"/>
                          <w:szCs w:val="21"/>
                        </w:rPr>
                        <w:t>法定代表人身份证反面</w:t>
                      </w:r>
                    </w:p>
                  </w:txbxContent>
                </v:textbox>
              </v:shape>
            </w:pict>
          </mc:Fallback>
        </mc:AlternateContent>
      </w:r>
      <w:r>
        <w:rPr>
          <w:rFonts w:hint="eastAsia" w:ascii="宋体" w:hAnsi="宋体" w:eastAsia="宋体" w:cs="宋体"/>
          <w:color w:val="auto"/>
          <w:kern w:val="0"/>
          <w:sz w:val="24"/>
          <w:szCs w:val="24"/>
          <w:highlight w:val="none"/>
        </w:rPr>
        <mc:AlternateContent>
          <mc:Choice Requires="wps">
            <w:drawing>
              <wp:anchor distT="0" distB="0" distL="114300" distR="114300" simplePos="0" relativeHeight="251663360" behindDoc="0" locked="0" layoutInCell="1" allowOverlap="1">
                <wp:simplePos x="0" y="0"/>
                <wp:positionH relativeFrom="column">
                  <wp:posOffset>61595</wp:posOffset>
                </wp:positionH>
                <wp:positionV relativeFrom="paragraph">
                  <wp:posOffset>109220</wp:posOffset>
                </wp:positionV>
                <wp:extent cx="2790825" cy="1962150"/>
                <wp:effectExtent l="4445" t="5080" r="5080" b="13970"/>
                <wp:wrapNone/>
                <wp:docPr id="10" name="文本框 10"/>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1CFC056C"/>
                          <w:p w14:paraId="73EF4694"/>
                          <w:p w14:paraId="07D83084"/>
                          <w:p w14:paraId="6B3162EC"/>
                          <w:p w14:paraId="63005F19">
                            <w:pPr>
                              <w:jc w:val="center"/>
                            </w:pPr>
                            <w:r>
                              <w:rPr>
                                <w:rFonts w:hint="eastAsia"/>
                              </w:rPr>
                              <w:t>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85pt;margin-top:8.6pt;height:154.5pt;width:219.75pt;z-index:251663360;mso-width-relative:page;mso-height-relative:page;" fillcolor="#FFFFFF" filled="t" stroked="t" coordsize="21600,21600" o:gfxdata="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WPVhZdgAAAAIAQAADwAAAAAAAAABACAAAAAiAAAA&#10;ZHJzL2Rvd25yZXYueG1sUEsBAhQAFAAAAAgAh07iQAdmSBlAAgAAigQAAA4AAAAAAAAAAQAgAAAA&#10;JwEAAGRycy9lMm9Eb2MueG1sUEsFBgAAAAAGAAYAWQEAANkFAAAAAA==&#10;">
                <v:fill on="t" focussize="0,0"/>
                <v:stroke color="#000000" miterlimit="8" joinstyle="miter"/>
                <v:imagedata o:title=""/>
                <o:lock v:ext="edit" aspectratio="f"/>
                <v:textbox>
                  <w:txbxContent>
                    <w:p w14:paraId="1CFC056C"/>
                    <w:p w14:paraId="73EF4694"/>
                    <w:p w14:paraId="07D83084"/>
                    <w:p w14:paraId="6B3162EC"/>
                    <w:p w14:paraId="63005F19">
                      <w:pPr>
                        <w:jc w:val="center"/>
                      </w:pPr>
                      <w:r>
                        <w:rPr>
                          <w:rFonts w:hint="eastAsia"/>
                        </w:rPr>
                        <w:t>身份证正面</w:t>
                      </w:r>
                    </w:p>
                  </w:txbxContent>
                </v:textbox>
              </v:shape>
            </w:pict>
          </mc:Fallback>
        </mc:AlternateContent>
      </w:r>
    </w:p>
    <w:p w14:paraId="637E24A5">
      <w:pPr>
        <w:jc w:val="left"/>
        <w:rPr>
          <w:rFonts w:hint="eastAsia" w:ascii="宋体" w:hAnsi="宋体" w:eastAsia="宋体" w:cs="宋体"/>
          <w:color w:val="auto"/>
          <w:kern w:val="0"/>
          <w:sz w:val="24"/>
          <w:szCs w:val="24"/>
          <w:highlight w:val="none"/>
        </w:rPr>
      </w:pPr>
    </w:p>
    <w:p w14:paraId="7C9D3323">
      <w:pPr>
        <w:jc w:val="left"/>
        <w:rPr>
          <w:rFonts w:hint="eastAsia" w:ascii="宋体" w:hAnsi="宋体" w:eastAsia="宋体" w:cs="宋体"/>
          <w:color w:val="auto"/>
          <w:kern w:val="0"/>
          <w:sz w:val="24"/>
          <w:szCs w:val="24"/>
          <w:highlight w:val="none"/>
        </w:rPr>
      </w:pPr>
    </w:p>
    <w:p w14:paraId="36F813E4">
      <w:pPr>
        <w:jc w:val="left"/>
        <w:rPr>
          <w:rFonts w:hint="eastAsia" w:ascii="宋体" w:hAnsi="宋体" w:eastAsia="宋体" w:cs="宋体"/>
          <w:color w:val="auto"/>
          <w:kern w:val="0"/>
          <w:sz w:val="24"/>
          <w:szCs w:val="24"/>
          <w:highlight w:val="none"/>
        </w:rPr>
      </w:pPr>
    </w:p>
    <w:p w14:paraId="06697856">
      <w:pPr>
        <w:jc w:val="left"/>
        <w:rPr>
          <w:rFonts w:hint="eastAsia" w:ascii="宋体" w:hAnsi="宋体" w:eastAsia="宋体" w:cs="宋体"/>
          <w:color w:val="auto"/>
          <w:kern w:val="0"/>
          <w:sz w:val="24"/>
          <w:szCs w:val="24"/>
          <w:highlight w:val="none"/>
        </w:rPr>
      </w:pPr>
    </w:p>
    <w:p w14:paraId="730077C3">
      <w:pPr>
        <w:jc w:val="left"/>
        <w:rPr>
          <w:rFonts w:hint="eastAsia" w:ascii="宋体" w:hAnsi="宋体" w:eastAsia="宋体" w:cs="宋体"/>
          <w:color w:val="auto"/>
          <w:kern w:val="0"/>
          <w:sz w:val="24"/>
          <w:szCs w:val="24"/>
          <w:highlight w:val="none"/>
        </w:rPr>
      </w:pPr>
    </w:p>
    <w:p w14:paraId="2B12E6FB">
      <w:pPr>
        <w:jc w:val="left"/>
        <w:rPr>
          <w:rFonts w:hint="eastAsia" w:ascii="宋体" w:hAnsi="宋体" w:eastAsia="宋体" w:cs="宋体"/>
          <w:color w:val="auto"/>
          <w:kern w:val="0"/>
          <w:sz w:val="24"/>
          <w:szCs w:val="24"/>
          <w:highlight w:val="none"/>
        </w:rPr>
      </w:pPr>
    </w:p>
    <w:p w14:paraId="1DCE7395">
      <w:pPr>
        <w:rPr>
          <w:rFonts w:hint="eastAsia" w:ascii="宋体" w:hAnsi="宋体" w:eastAsia="宋体" w:cs="宋体"/>
          <w:color w:val="auto"/>
          <w:highlight w:val="none"/>
        </w:rPr>
      </w:pPr>
    </w:p>
    <w:p w14:paraId="18B1AFC9">
      <w:pPr>
        <w:rPr>
          <w:rFonts w:hint="eastAsia" w:ascii="宋体" w:hAnsi="宋体" w:eastAsia="宋体" w:cs="宋体"/>
          <w:color w:val="auto"/>
          <w:highlight w:val="none"/>
        </w:rPr>
      </w:pPr>
    </w:p>
    <w:p w14:paraId="22A25A38">
      <w:pPr>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mc:AlternateContent>
          <mc:Choice Requires="wps">
            <w:drawing>
              <wp:anchor distT="0" distB="0" distL="114300" distR="114300" simplePos="0" relativeHeight="251668480" behindDoc="0" locked="0" layoutInCell="1" allowOverlap="1">
                <wp:simplePos x="0" y="0"/>
                <wp:positionH relativeFrom="column">
                  <wp:posOffset>61595</wp:posOffset>
                </wp:positionH>
                <wp:positionV relativeFrom="paragraph">
                  <wp:posOffset>109220</wp:posOffset>
                </wp:positionV>
                <wp:extent cx="2790825" cy="1962150"/>
                <wp:effectExtent l="4445" t="5080" r="5080" b="13970"/>
                <wp:wrapNone/>
                <wp:docPr id="11" name="文本框 11"/>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3B4CC732"/>
                          <w:p w14:paraId="277A4F3C"/>
                          <w:p w14:paraId="100E40E0"/>
                          <w:p w14:paraId="1B1F0709">
                            <w:pPr>
                              <w:jc w:val="center"/>
                              <w:rPr>
                                <w:szCs w:val="21"/>
                              </w:rPr>
                            </w:pPr>
                            <w:r>
                              <w:rPr>
                                <w:rFonts w:hint="eastAsia"/>
                                <w:szCs w:val="21"/>
                              </w:rPr>
                              <w:t>被授权人身份证正面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85pt;margin-top:8.6pt;height:154.5pt;width:219.75pt;z-index:251668480;mso-width-relative:page;mso-height-relative:page;" fillcolor="#FFFFFF" filled="t" stroked="t" coordsize="21600,21600" o:gfxdata="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WPVhZdgAAAAIAQAADwAAAAAAAAABACAAAAAi&#10;AAAAZHJzL2Rvd25yZXYueG1sUEsBAhQAFAAAAAgAh07iQA9d8HBDAgAAigQAAA4AAAAAAAAAAQAg&#10;AAAAJwEAAGRycy9lMm9Eb2MueG1sUEsFBgAAAAAGAAYAWQEAANwFAAAAAA==&#10;">
                <v:fill on="t" focussize="0,0"/>
                <v:stroke color="#000000" miterlimit="8" joinstyle="miter"/>
                <v:imagedata o:title=""/>
                <o:lock v:ext="edit" aspectratio="f"/>
                <v:textbox>
                  <w:txbxContent>
                    <w:p w14:paraId="3B4CC732"/>
                    <w:p w14:paraId="277A4F3C"/>
                    <w:p w14:paraId="100E40E0"/>
                    <w:p w14:paraId="1B1F0709">
                      <w:pPr>
                        <w:jc w:val="center"/>
                        <w:rPr>
                          <w:szCs w:val="21"/>
                        </w:rPr>
                      </w:pPr>
                      <w:r>
                        <w:rPr>
                          <w:rFonts w:hint="eastAsia"/>
                          <w:szCs w:val="21"/>
                        </w:rPr>
                        <w:t>被授权人身份证正面</w:t>
                      </w:r>
                    </w:p>
                  </w:txbxContent>
                </v:textbox>
              </v:shape>
            </w:pict>
          </mc:Fallback>
        </mc:AlternateContent>
      </w:r>
      <w:r>
        <w:rPr>
          <w:rFonts w:hint="eastAsia" w:ascii="宋体" w:hAnsi="宋体" w:eastAsia="宋体" w:cs="宋体"/>
          <w:color w:val="auto"/>
          <w:kern w:val="0"/>
          <w:sz w:val="24"/>
          <w:szCs w:val="24"/>
          <w:highlight w:val="none"/>
        </w:rPr>
        <mc:AlternateContent>
          <mc:Choice Requires="wps">
            <w:drawing>
              <wp:anchor distT="0" distB="0" distL="114300" distR="114300" simplePos="0" relativeHeight="251667456" behindDoc="0" locked="0" layoutInCell="1" allowOverlap="1">
                <wp:simplePos x="0" y="0"/>
                <wp:positionH relativeFrom="column">
                  <wp:posOffset>3128645</wp:posOffset>
                </wp:positionH>
                <wp:positionV relativeFrom="paragraph">
                  <wp:posOffset>109220</wp:posOffset>
                </wp:positionV>
                <wp:extent cx="2790825" cy="1962150"/>
                <wp:effectExtent l="4445" t="5080" r="5080" b="13970"/>
                <wp:wrapNone/>
                <wp:docPr id="12" name="文本框 12"/>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3DB453DF"/>
                          <w:p w14:paraId="2F382228"/>
                          <w:p w14:paraId="4F69672D"/>
                          <w:p w14:paraId="796220C1">
                            <w:pPr>
                              <w:jc w:val="center"/>
                            </w:pPr>
                            <w:r>
                              <w:rPr>
                                <w:rFonts w:hint="eastAsia"/>
                                <w:szCs w:val="21"/>
                              </w:rPr>
                              <w:t>被授权人身份证反面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6.35pt;margin-top:8.6pt;height:154.5pt;width:219.75pt;z-index:251667456;mso-width-relative:page;mso-height-relative:page;" fillcolor="#FFFFFF" filled="t" stroked="t" coordsize="21600,21600" o:gfxdata="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CUEWTR2QAAAAoBAAAPAAAAAAAAAAEAIAAAACIA&#10;AABkcnMvZG93bnJldi54bWxQSwECFAAUAAAACACHTuJAFxA4ykECAACKBAAADgAAAAAAAAABACAA&#10;AAAoAQAAZHJzL2Uyb0RvYy54bWxQSwUGAAAAAAYABgBZAQAA2wUAAAAA&#10;">
                <v:fill on="t" focussize="0,0"/>
                <v:stroke color="#000000" miterlimit="8" joinstyle="miter"/>
                <v:imagedata o:title=""/>
                <o:lock v:ext="edit" aspectratio="f"/>
                <v:textbox>
                  <w:txbxContent>
                    <w:p w14:paraId="3DB453DF"/>
                    <w:p w14:paraId="2F382228"/>
                    <w:p w14:paraId="4F69672D"/>
                    <w:p w14:paraId="796220C1">
                      <w:pPr>
                        <w:jc w:val="center"/>
                      </w:pPr>
                      <w:r>
                        <w:rPr>
                          <w:rFonts w:hint="eastAsia"/>
                          <w:szCs w:val="21"/>
                        </w:rPr>
                        <w:t>被授权人身份证反面</w:t>
                      </w:r>
                    </w:p>
                  </w:txbxContent>
                </v:textbox>
              </v:shape>
            </w:pict>
          </mc:Fallback>
        </mc:AlternateContent>
      </w:r>
      <w:r>
        <w:rPr>
          <w:rFonts w:hint="eastAsia" w:ascii="宋体" w:hAnsi="宋体" w:eastAsia="宋体" w:cs="宋体"/>
          <w:color w:val="auto"/>
          <w:kern w:val="0"/>
          <w:sz w:val="24"/>
          <w:szCs w:val="24"/>
          <w:highlight w:val="none"/>
        </w:rPr>
        <mc:AlternateContent>
          <mc:Choice Requires="wps">
            <w:drawing>
              <wp:anchor distT="0" distB="0" distL="114300" distR="114300" simplePos="0" relativeHeight="251666432" behindDoc="0" locked="0" layoutInCell="1" allowOverlap="1">
                <wp:simplePos x="0" y="0"/>
                <wp:positionH relativeFrom="column">
                  <wp:posOffset>61595</wp:posOffset>
                </wp:positionH>
                <wp:positionV relativeFrom="paragraph">
                  <wp:posOffset>109220</wp:posOffset>
                </wp:positionV>
                <wp:extent cx="2790825" cy="1962150"/>
                <wp:effectExtent l="4445" t="5080" r="5080" b="13970"/>
                <wp:wrapNone/>
                <wp:docPr id="15" name="文本框 15"/>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505A1E66"/>
                          <w:p w14:paraId="7DF1B17E"/>
                          <w:p w14:paraId="6C458BE7"/>
                          <w:p w14:paraId="7CFA4521"/>
                          <w:p w14:paraId="4CCD0ADD">
                            <w:pPr>
                              <w:jc w:val="center"/>
                            </w:pPr>
                            <w:r>
                              <w:rPr>
                                <w:rFonts w:hint="eastAsia"/>
                              </w:rPr>
                              <w:t>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85pt;margin-top:8.6pt;height:154.5pt;width:219.75pt;z-index:251666432;mso-width-relative:page;mso-height-relative:page;" fillcolor="#FFFFFF" filled="t" stroked="t" coordsize="21600,21600" o:gfxdata="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Fj1YWXYAAAACAEAAA8AAAAAAAAAAQAgAAAAIgAA&#10;AGRycy9kb3ducmV2LnhtbFBLAQIUABQAAAAIAIdO4kBut2ENQQIAAIoEAAAOAAAAAAAAAAEAIAAA&#10;ACcBAABkcnMvZTJvRG9jLnhtbFBLBQYAAAAABgAGAFkBAADaBQAAAAA=&#10;">
                <v:fill on="t" focussize="0,0"/>
                <v:stroke color="#000000" miterlimit="8" joinstyle="miter"/>
                <v:imagedata o:title=""/>
                <o:lock v:ext="edit" aspectratio="f"/>
                <v:textbox>
                  <w:txbxContent>
                    <w:p w14:paraId="505A1E66"/>
                    <w:p w14:paraId="7DF1B17E"/>
                    <w:p w14:paraId="6C458BE7"/>
                    <w:p w14:paraId="7CFA4521"/>
                    <w:p w14:paraId="4CCD0ADD">
                      <w:pPr>
                        <w:jc w:val="center"/>
                      </w:pPr>
                      <w:r>
                        <w:rPr>
                          <w:rFonts w:hint="eastAsia"/>
                        </w:rPr>
                        <w:t>身份证正面</w:t>
                      </w:r>
                    </w:p>
                  </w:txbxContent>
                </v:textbox>
              </v:shape>
            </w:pict>
          </mc:Fallback>
        </mc:AlternateContent>
      </w:r>
    </w:p>
    <w:p w14:paraId="1DB31C56">
      <w:pPr>
        <w:jc w:val="left"/>
        <w:rPr>
          <w:rFonts w:hint="eastAsia" w:ascii="宋体" w:hAnsi="宋体" w:eastAsia="宋体" w:cs="宋体"/>
          <w:color w:val="auto"/>
          <w:kern w:val="0"/>
          <w:sz w:val="24"/>
          <w:szCs w:val="24"/>
          <w:highlight w:val="none"/>
        </w:rPr>
      </w:pPr>
    </w:p>
    <w:p w14:paraId="523F23F4">
      <w:pPr>
        <w:jc w:val="left"/>
        <w:rPr>
          <w:rFonts w:hint="eastAsia" w:ascii="宋体" w:hAnsi="宋体" w:eastAsia="宋体" w:cs="宋体"/>
          <w:color w:val="auto"/>
          <w:kern w:val="0"/>
          <w:sz w:val="24"/>
          <w:szCs w:val="24"/>
          <w:highlight w:val="none"/>
        </w:rPr>
      </w:pPr>
    </w:p>
    <w:p w14:paraId="01164B84">
      <w:pPr>
        <w:jc w:val="left"/>
        <w:rPr>
          <w:rFonts w:hint="eastAsia" w:ascii="宋体" w:hAnsi="宋体" w:eastAsia="宋体" w:cs="宋体"/>
          <w:color w:val="auto"/>
          <w:kern w:val="0"/>
          <w:sz w:val="24"/>
          <w:szCs w:val="24"/>
          <w:highlight w:val="none"/>
        </w:rPr>
      </w:pPr>
    </w:p>
    <w:p w14:paraId="673EC469">
      <w:pPr>
        <w:jc w:val="left"/>
        <w:rPr>
          <w:rFonts w:hint="eastAsia" w:ascii="宋体" w:hAnsi="宋体" w:eastAsia="宋体" w:cs="宋体"/>
          <w:color w:val="auto"/>
          <w:kern w:val="0"/>
          <w:sz w:val="24"/>
          <w:szCs w:val="24"/>
          <w:highlight w:val="none"/>
        </w:rPr>
      </w:pPr>
    </w:p>
    <w:p w14:paraId="08D58C85">
      <w:pPr>
        <w:jc w:val="left"/>
        <w:rPr>
          <w:rFonts w:hint="eastAsia" w:ascii="宋体" w:hAnsi="宋体" w:eastAsia="宋体" w:cs="宋体"/>
          <w:color w:val="auto"/>
          <w:kern w:val="0"/>
          <w:sz w:val="24"/>
          <w:szCs w:val="24"/>
          <w:highlight w:val="none"/>
        </w:rPr>
      </w:pPr>
    </w:p>
    <w:p w14:paraId="3CA832A2">
      <w:pPr>
        <w:jc w:val="left"/>
        <w:rPr>
          <w:rFonts w:hint="eastAsia" w:ascii="宋体" w:hAnsi="宋体" w:eastAsia="宋体" w:cs="宋体"/>
          <w:color w:val="auto"/>
          <w:kern w:val="0"/>
          <w:sz w:val="24"/>
          <w:szCs w:val="24"/>
          <w:highlight w:val="none"/>
        </w:rPr>
      </w:pPr>
    </w:p>
    <w:p w14:paraId="34542A1D">
      <w:pPr>
        <w:rPr>
          <w:rFonts w:hint="eastAsia" w:ascii="宋体" w:hAnsi="宋体" w:eastAsia="宋体" w:cs="宋体"/>
          <w:color w:val="auto"/>
          <w:highlight w:val="none"/>
        </w:rPr>
      </w:pPr>
    </w:p>
    <w:p w14:paraId="5DB9A92D">
      <w:pPr>
        <w:rPr>
          <w:rFonts w:hint="eastAsia" w:ascii="宋体" w:hAnsi="宋体" w:eastAsia="宋体" w:cs="宋体"/>
          <w:b/>
          <w:bCs/>
          <w:color w:val="auto"/>
          <w:highlight w:val="none"/>
        </w:rPr>
      </w:pPr>
      <w:r>
        <w:rPr>
          <w:rFonts w:hint="eastAsia" w:ascii="宋体" w:hAnsi="宋体" w:eastAsia="宋体" w:cs="宋体"/>
          <w:b/>
          <w:bCs/>
          <w:color w:val="auto"/>
          <w:highlight w:val="none"/>
        </w:rPr>
        <w:t>注：上述所附身份证应在有效期限内。</w:t>
      </w:r>
      <w:bookmarkStart w:id="915" w:name="_Toc30070"/>
      <w:bookmarkStart w:id="916" w:name="_Toc21492"/>
      <w:bookmarkStart w:id="917" w:name="_Toc176627933"/>
      <w:bookmarkStart w:id="918" w:name="_Toc178076612"/>
      <w:bookmarkStart w:id="919" w:name="_Toc6535"/>
      <w:bookmarkStart w:id="920" w:name="_Toc8338"/>
      <w:bookmarkStart w:id="921" w:name="_Toc2290"/>
      <w:bookmarkStart w:id="922" w:name="_Toc18595"/>
      <w:bookmarkStart w:id="923" w:name="_Toc13532"/>
      <w:bookmarkStart w:id="924" w:name="_Toc1977730"/>
      <w:bookmarkStart w:id="925" w:name="_Toc94107214"/>
      <w:bookmarkStart w:id="926" w:name="_Toc140596933"/>
      <w:bookmarkStart w:id="927" w:name="_Toc142508373"/>
      <w:bookmarkStart w:id="928" w:name="_Toc104991880"/>
    </w:p>
    <w:p w14:paraId="45F09270">
      <w:pPr>
        <w:rPr>
          <w:rFonts w:hint="eastAsia" w:ascii="宋体" w:hAnsi="宋体" w:eastAsia="宋体" w:cs="宋体"/>
          <w:b/>
          <w:bCs/>
          <w:color w:val="auto"/>
          <w:highlight w:val="none"/>
        </w:rPr>
      </w:pPr>
      <w:r>
        <w:rPr>
          <w:rFonts w:hint="eastAsia" w:ascii="宋体" w:hAnsi="宋体" w:eastAsia="宋体" w:cs="宋体"/>
          <w:b/>
          <w:bCs/>
          <w:color w:val="auto"/>
          <w:highlight w:val="none"/>
        </w:rPr>
        <w:br w:type="page"/>
      </w:r>
    </w:p>
    <w:p w14:paraId="2C29D2E4">
      <w:pPr>
        <w:rPr>
          <w:rFonts w:hint="eastAsia" w:ascii="宋体" w:hAnsi="宋体" w:eastAsia="宋体" w:cs="宋体"/>
          <w:b/>
          <w:bCs/>
          <w:color w:val="auto"/>
          <w:sz w:val="28"/>
          <w:szCs w:val="32"/>
          <w:highlight w:val="none"/>
          <w:lang w:val="zh-CN"/>
        </w:rPr>
      </w:pPr>
      <w:r>
        <w:rPr>
          <w:rFonts w:hint="eastAsia" w:ascii="宋体" w:hAnsi="宋体" w:eastAsia="宋体" w:cs="宋体"/>
          <w:b/>
          <w:bCs/>
          <w:color w:val="auto"/>
          <w:sz w:val="28"/>
          <w:szCs w:val="32"/>
          <w:highlight w:val="none"/>
          <w:lang w:val="en-US" w:eastAsia="zh-CN"/>
        </w:rPr>
        <w:t>5.4</w:t>
      </w:r>
      <w:r>
        <w:rPr>
          <w:rFonts w:hint="eastAsia" w:ascii="宋体" w:hAnsi="宋体" w:eastAsia="宋体" w:cs="宋体"/>
          <w:b/>
          <w:bCs/>
          <w:color w:val="auto"/>
          <w:sz w:val="28"/>
          <w:szCs w:val="32"/>
          <w:highlight w:val="none"/>
          <w:lang w:val="zh-CN"/>
        </w:rPr>
        <w:t>制造商资格声明和制造商售后服务承诺函及独家授权书（若投标人为制造商，必须提供制造商资格声明原件和制造商售后服务承诺函；若投标人为所投产品的经销商，必须提供制造商资格声明原件和投标产品制造商出具的《制造商独家授权书》原件）</w:t>
      </w:r>
    </w:p>
    <w:p w14:paraId="3A6EA297">
      <w:pPr>
        <w:bidi w:val="0"/>
        <w:jc w:val="center"/>
        <w:rPr>
          <w:rFonts w:hint="eastAsia" w:ascii="宋体" w:hAnsi="宋体" w:eastAsia="宋体" w:cs="宋体"/>
          <w:b/>
          <w:bCs/>
          <w:color w:val="auto"/>
          <w:sz w:val="28"/>
          <w:szCs w:val="32"/>
          <w:highlight w:val="none"/>
        </w:rPr>
      </w:pPr>
      <w:r>
        <w:rPr>
          <w:rFonts w:hint="eastAsia" w:ascii="宋体" w:hAnsi="宋体" w:eastAsia="宋体" w:cs="宋体"/>
          <w:b/>
          <w:bCs/>
          <w:color w:val="auto"/>
          <w:sz w:val="28"/>
          <w:szCs w:val="32"/>
          <w:highlight w:val="none"/>
        </w:rPr>
        <w:t>（1）制造商资格声明</w:t>
      </w:r>
    </w:p>
    <w:p w14:paraId="79E568AD">
      <w:pPr>
        <w:autoSpaceDE w:val="0"/>
        <w:autoSpaceDN w:val="0"/>
        <w:adjustRightInd w:val="0"/>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w:t>
      </w:r>
      <w:r>
        <w:rPr>
          <w:rFonts w:hint="eastAsia" w:ascii="宋体" w:hAnsi="宋体" w:eastAsia="宋体" w:cs="宋体"/>
          <w:color w:val="auto"/>
          <w:kern w:val="0"/>
          <w:szCs w:val="21"/>
          <w:highlight w:val="none"/>
          <w:lang w:val="en-US" w:eastAsia="zh-CN" w:bidi="ar"/>
        </w:rPr>
        <w:t>.</w:t>
      </w:r>
      <w:r>
        <w:rPr>
          <w:rFonts w:hint="eastAsia" w:ascii="宋体" w:hAnsi="宋体" w:eastAsia="宋体" w:cs="宋体"/>
          <w:color w:val="auto"/>
          <w:kern w:val="0"/>
          <w:szCs w:val="21"/>
          <w:highlight w:val="none"/>
          <w:lang w:bidi="ar"/>
        </w:rPr>
        <w:t>名称及概况：</w:t>
      </w:r>
    </w:p>
    <w:p w14:paraId="3C44A189">
      <w:pPr>
        <w:autoSpaceDE w:val="0"/>
        <w:adjustRightInd w:val="0"/>
        <w:snapToGrid w:val="0"/>
        <w:spacing w:line="360" w:lineRule="auto"/>
        <w:ind w:firstLine="210" w:firstLineChars="1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（1）制造商名称：</w:t>
      </w:r>
      <w:r>
        <w:rPr>
          <w:rFonts w:hint="eastAsia" w:ascii="宋体" w:hAnsi="宋体" w:eastAsia="宋体" w:cs="宋体"/>
          <w:color w:val="auto"/>
          <w:kern w:val="0"/>
          <w:szCs w:val="21"/>
          <w:highlight w:val="none"/>
          <w:u w:val="single"/>
          <w:lang w:bidi="ar"/>
        </w:rPr>
        <w:t xml:space="preserve">                                            </w:t>
      </w:r>
    </w:p>
    <w:p w14:paraId="3C6D4B41">
      <w:pPr>
        <w:autoSpaceDE w:val="0"/>
        <w:adjustRightInd w:val="0"/>
        <w:snapToGrid w:val="0"/>
        <w:spacing w:line="360" w:lineRule="auto"/>
        <w:ind w:firstLine="210" w:firstLineChars="1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（2）总部地址：</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 xml:space="preserve"> 邮政编码：</w:t>
      </w:r>
      <w:r>
        <w:rPr>
          <w:rFonts w:hint="eastAsia" w:ascii="宋体" w:hAnsi="宋体" w:eastAsia="宋体" w:cs="宋体"/>
          <w:color w:val="auto"/>
          <w:kern w:val="0"/>
          <w:szCs w:val="21"/>
          <w:highlight w:val="none"/>
          <w:u w:val="single"/>
          <w:lang w:bidi="ar"/>
        </w:rPr>
        <w:t xml:space="preserve">                    </w:t>
      </w:r>
    </w:p>
    <w:p w14:paraId="4E876E9F">
      <w:pPr>
        <w:autoSpaceDE w:val="0"/>
        <w:adjustRightInd w:val="0"/>
        <w:snapToGrid w:val="0"/>
        <w:spacing w:line="360" w:lineRule="auto"/>
        <w:ind w:firstLine="210" w:firstLineChars="1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（3）电话号码：</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 xml:space="preserve"> 传真：</w:t>
      </w:r>
      <w:r>
        <w:rPr>
          <w:rFonts w:hint="eastAsia" w:ascii="宋体" w:hAnsi="宋体" w:eastAsia="宋体" w:cs="宋体"/>
          <w:color w:val="auto"/>
          <w:kern w:val="0"/>
          <w:szCs w:val="21"/>
          <w:highlight w:val="none"/>
          <w:u w:val="single"/>
          <w:lang w:bidi="ar"/>
        </w:rPr>
        <w:t xml:space="preserve">                        </w:t>
      </w:r>
    </w:p>
    <w:p w14:paraId="577CC763">
      <w:pPr>
        <w:autoSpaceDE w:val="0"/>
        <w:adjustRightInd w:val="0"/>
        <w:snapToGrid w:val="0"/>
        <w:spacing w:line="360" w:lineRule="auto"/>
        <w:ind w:firstLine="210" w:firstLineChars="1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（4）成立和/或注册日期：</w:t>
      </w:r>
      <w:r>
        <w:rPr>
          <w:rFonts w:hint="eastAsia" w:ascii="宋体" w:hAnsi="宋体" w:eastAsia="宋体" w:cs="宋体"/>
          <w:color w:val="auto"/>
          <w:kern w:val="0"/>
          <w:szCs w:val="21"/>
          <w:highlight w:val="none"/>
          <w:u w:val="single"/>
          <w:lang w:bidi="ar"/>
        </w:rPr>
        <w:t xml:space="preserve">                                     </w:t>
      </w:r>
    </w:p>
    <w:p w14:paraId="06EF73E1">
      <w:pPr>
        <w:autoSpaceDE w:val="0"/>
        <w:adjustRightInd w:val="0"/>
        <w:snapToGrid w:val="0"/>
        <w:spacing w:line="360" w:lineRule="auto"/>
        <w:ind w:firstLine="210" w:firstLineChars="100"/>
        <w:jc w:val="left"/>
        <w:rPr>
          <w:rFonts w:hint="eastAsia"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（5）实收资本：</w:t>
      </w:r>
      <w:r>
        <w:rPr>
          <w:rFonts w:hint="eastAsia" w:ascii="宋体" w:hAnsi="宋体" w:eastAsia="宋体" w:cs="宋体"/>
          <w:color w:val="auto"/>
          <w:kern w:val="0"/>
          <w:szCs w:val="21"/>
          <w:highlight w:val="none"/>
          <w:u w:val="single"/>
          <w:lang w:bidi="ar"/>
        </w:rPr>
        <w:t xml:space="preserve">                                              </w:t>
      </w:r>
    </w:p>
    <w:p w14:paraId="5D8980A3">
      <w:pPr>
        <w:autoSpaceDE w:val="0"/>
        <w:adjustRightInd w:val="0"/>
        <w:snapToGrid w:val="0"/>
        <w:spacing w:line="360" w:lineRule="auto"/>
        <w:ind w:firstLine="210" w:firstLineChars="1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（6）法定代表人姓名：</w:t>
      </w:r>
      <w:r>
        <w:rPr>
          <w:rFonts w:hint="eastAsia" w:ascii="宋体" w:hAnsi="宋体" w:eastAsia="宋体" w:cs="宋体"/>
          <w:color w:val="auto"/>
          <w:kern w:val="0"/>
          <w:szCs w:val="21"/>
          <w:highlight w:val="none"/>
          <w:u w:val="single"/>
          <w:lang w:bidi="ar"/>
        </w:rPr>
        <w:t xml:space="preserve">                                        </w:t>
      </w:r>
    </w:p>
    <w:p w14:paraId="6E96D03E">
      <w:pPr>
        <w:autoSpaceDE w:val="0"/>
        <w:adjustRightInd w:val="0"/>
        <w:snapToGrid w:val="0"/>
        <w:spacing w:line="360" w:lineRule="auto"/>
        <w:ind w:firstLine="210" w:firstLineChars="100"/>
        <w:jc w:val="left"/>
        <w:rPr>
          <w:rFonts w:hint="eastAsia"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（7）制造商代表姓名、联系电话和地址：</w:t>
      </w:r>
      <w:r>
        <w:rPr>
          <w:rFonts w:hint="eastAsia" w:ascii="宋体" w:hAnsi="宋体" w:eastAsia="宋体" w:cs="宋体"/>
          <w:color w:val="auto"/>
          <w:kern w:val="0"/>
          <w:szCs w:val="21"/>
          <w:highlight w:val="none"/>
          <w:u w:val="single"/>
          <w:lang w:bidi="ar"/>
        </w:rPr>
        <w:t xml:space="preserve">                        </w:t>
      </w:r>
    </w:p>
    <w:p w14:paraId="6BA59B79">
      <w:pPr>
        <w:autoSpaceDE w:val="0"/>
        <w:adjustRightInd w:val="0"/>
        <w:snapToGrid w:val="0"/>
        <w:spacing w:line="360" w:lineRule="auto"/>
        <w:ind w:firstLine="210" w:firstLineChars="1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（8）投标产品名称及品牌：</w:t>
      </w:r>
      <w:r>
        <w:rPr>
          <w:rFonts w:hint="eastAsia" w:ascii="宋体" w:hAnsi="宋体" w:eastAsia="宋体" w:cs="宋体"/>
          <w:color w:val="auto"/>
          <w:kern w:val="0"/>
          <w:szCs w:val="21"/>
          <w:highlight w:val="none"/>
          <w:u w:val="single"/>
          <w:lang w:bidi="ar"/>
        </w:rPr>
        <w:t xml:space="preserve">                                    </w:t>
      </w:r>
    </w:p>
    <w:p w14:paraId="281638E0">
      <w:pPr>
        <w:autoSpaceDE w:val="0"/>
        <w:autoSpaceDN w:val="0"/>
        <w:adjustRightInd w:val="0"/>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2</w:t>
      </w:r>
      <w:r>
        <w:rPr>
          <w:rFonts w:hint="eastAsia" w:ascii="宋体" w:hAnsi="宋体" w:eastAsia="宋体" w:cs="宋体"/>
          <w:color w:val="auto"/>
          <w:kern w:val="0"/>
          <w:szCs w:val="21"/>
          <w:highlight w:val="none"/>
          <w:lang w:val="en-US" w:eastAsia="zh-CN" w:bidi="ar"/>
        </w:rPr>
        <w:t>.</w:t>
      </w:r>
      <w:r>
        <w:rPr>
          <w:rFonts w:hint="eastAsia" w:ascii="宋体" w:hAnsi="宋体" w:eastAsia="宋体" w:cs="宋体"/>
          <w:color w:val="auto"/>
          <w:kern w:val="0"/>
          <w:szCs w:val="21"/>
          <w:highlight w:val="none"/>
          <w:lang w:bidi="ar"/>
        </w:rPr>
        <w:t>制造投标货物的主要设备、设施及有关情况：</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3"/>
        <w:gridCol w:w="1763"/>
        <w:gridCol w:w="2191"/>
        <w:gridCol w:w="1323"/>
        <w:gridCol w:w="1323"/>
        <w:gridCol w:w="1138"/>
      </w:tblGrid>
      <w:tr w14:paraId="0628B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23" w:type="dxa"/>
            <w:tcBorders>
              <w:top w:val="single" w:color="auto" w:sz="4" w:space="0"/>
              <w:left w:val="single" w:color="auto" w:sz="4" w:space="0"/>
              <w:bottom w:val="single" w:color="auto" w:sz="4" w:space="0"/>
              <w:right w:val="single" w:color="auto" w:sz="4" w:space="0"/>
            </w:tcBorders>
            <w:shd w:val="clear" w:color="auto" w:fill="auto"/>
            <w:vAlign w:val="center"/>
          </w:tcPr>
          <w:p w14:paraId="09A54A1B">
            <w:pPr>
              <w:autoSpaceDE w:val="0"/>
              <w:autoSpaceDN w:val="0"/>
              <w:adjustRightInd w:val="0"/>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制造投标货物的工厂名称</w:t>
            </w:r>
          </w:p>
        </w:tc>
        <w:tc>
          <w:tcPr>
            <w:tcW w:w="1763" w:type="dxa"/>
            <w:tcBorders>
              <w:top w:val="single" w:color="auto" w:sz="4" w:space="0"/>
              <w:left w:val="single" w:color="auto" w:sz="4" w:space="0"/>
              <w:bottom w:val="single" w:color="auto" w:sz="4" w:space="0"/>
              <w:right w:val="single" w:color="auto" w:sz="4" w:space="0"/>
            </w:tcBorders>
            <w:shd w:val="clear" w:color="auto" w:fill="auto"/>
            <w:vAlign w:val="center"/>
          </w:tcPr>
          <w:p w14:paraId="4D7432CF">
            <w:pPr>
              <w:autoSpaceDE w:val="0"/>
              <w:autoSpaceDN w:val="0"/>
              <w:adjustRightInd w:val="0"/>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制造投标货物的工厂地址</w:t>
            </w:r>
          </w:p>
        </w:tc>
        <w:tc>
          <w:tcPr>
            <w:tcW w:w="2191" w:type="dxa"/>
            <w:tcBorders>
              <w:top w:val="single" w:color="auto" w:sz="4" w:space="0"/>
              <w:left w:val="single" w:color="auto" w:sz="4" w:space="0"/>
              <w:bottom w:val="single" w:color="auto" w:sz="4" w:space="0"/>
              <w:right w:val="single" w:color="auto" w:sz="4" w:space="0"/>
            </w:tcBorders>
            <w:shd w:val="clear" w:color="auto" w:fill="auto"/>
            <w:vAlign w:val="center"/>
          </w:tcPr>
          <w:p w14:paraId="7251CBEF">
            <w:pPr>
              <w:autoSpaceDE w:val="0"/>
              <w:autoSpaceDN w:val="0"/>
              <w:adjustRightInd w:val="0"/>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主要生产（存储、运输）设备设施名称及数量</w:t>
            </w:r>
          </w:p>
        </w:tc>
        <w:tc>
          <w:tcPr>
            <w:tcW w:w="1323" w:type="dxa"/>
            <w:tcBorders>
              <w:top w:val="single" w:color="auto" w:sz="4" w:space="0"/>
              <w:left w:val="single" w:color="auto" w:sz="4" w:space="0"/>
              <w:bottom w:val="single" w:color="auto" w:sz="4" w:space="0"/>
              <w:right w:val="single" w:color="auto" w:sz="4" w:space="0"/>
            </w:tcBorders>
            <w:shd w:val="clear" w:color="auto" w:fill="auto"/>
            <w:vAlign w:val="center"/>
          </w:tcPr>
          <w:p w14:paraId="4C34C0D0">
            <w:pPr>
              <w:autoSpaceDE w:val="0"/>
              <w:autoSpaceDN w:val="0"/>
              <w:adjustRightInd w:val="0"/>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购买年份</w:t>
            </w:r>
          </w:p>
        </w:tc>
        <w:tc>
          <w:tcPr>
            <w:tcW w:w="1323" w:type="dxa"/>
            <w:tcBorders>
              <w:top w:val="single" w:color="auto" w:sz="4" w:space="0"/>
              <w:left w:val="single" w:color="auto" w:sz="4" w:space="0"/>
              <w:bottom w:val="single" w:color="auto" w:sz="4" w:space="0"/>
              <w:right w:val="single" w:color="auto" w:sz="4" w:space="0"/>
            </w:tcBorders>
            <w:shd w:val="clear" w:color="auto" w:fill="auto"/>
            <w:vAlign w:val="center"/>
          </w:tcPr>
          <w:p w14:paraId="4E53A336">
            <w:pPr>
              <w:autoSpaceDE w:val="0"/>
              <w:autoSpaceDN w:val="0"/>
              <w:adjustRightInd w:val="0"/>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年生产能力</w:t>
            </w:r>
          </w:p>
        </w:tc>
        <w:tc>
          <w:tcPr>
            <w:tcW w:w="1138" w:type="dxa"/>
            <w:tcBorders>
              <w:top w:val="single" w:color="auto" w:sz="4" w:space="0"/>
              <w:left w:val="single" w:color="auto" w:sz="4" w:space="0"/>
              <w:bottom w:val="single" w:color="auto" w:sz="4" w:space="0"/>
              <w:right w:val="single" w:color="auto" w:sz="4" w:space="0"/>
            </w:tcBorders>
            <w:shd w:val="clear" w:color="auto" w:fill="auto"/>
            <w:vAlign w:val="center"/>
          </w:tcPr>
          <w:p w14:paraId="046680BC">
            <w:pPr>
              <w:autoSpaceDE w:val="0"/>
              <w:autoSpaceDN w:val="0"/>
              <w:adjustRightInd w:val="0"/>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职工人数</w:t>
            </w:r>
          </w:p>
        </w:tc>
      </w:tr>
      <w:tr w14:paraId="2D8E3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323" w:type="dxa"/>
            <w:tcBorders>
              <w:top w:val="single" w:color="auto" w:sz="4" w:space="0"/>
              <w:left w:val="single" w:color="auto" w:sz="4" w:space="0"/>
              <w:bottom w:val="single" w:color="auto" w:sz="4" w:space="0"/>
              <w:right w:val="single" w:color="auto" w:sz="4" w:space="0"/>
            </w:tcBorders>
            <w:shd w:val="clear" w:color="auto" w:fill="auto"/>
            <w:vAlign w:val="center"/>
          </w:tcPr>
          <w:p w14:paraId="55CDF848">
            <w:pPr>
              <w:autoSpaceDE w:val="0"/>
              <w:autoSpaceDN w:val="0"/>
              <w:adjustRightInd w:val="0"/>
              <w:snapToGrid w:val="0"/>
              <w:spacing w:line="360" w:lineRule="auto"/>
              <w:jc w:val="center"/>
              <w:rPr>
                <w:rFonts w:hint="eastAsia" w:ascii="宋体" w:hAnsi="宋体" w:eastAsia="宋体" w:cs="宋体"/>
                <w:color w:val="auto"/>
                <w:szCs w:val="21"/>
                <w:highlight w:val="none"/>
              </w:rPr>
            </w:pPr>
          </w:p>
        </w:tc>
        <w:tc>
          <w:tcPr>
            <w:tcW w:w="1763" w:type="dxa"/>
            <w:tcBorders>
              <w:top w:val="single" w:color="auto" w:sz="4" w:space="0"/>
              <w:left w:val="single" w:color="auto" w:sz="4" w:space="0"/>
              <w:bottom w:val="single" w:color="auto" w:sz="4" w:space="0"/>
              <w:right w:val="single" w:color="auto" w:sz="4" w:space="0"/>
            </w:tcBorders>
            <w:shd w:val="clear" w:color="auto" w:fill="auto"/>
            <w:vAlign w:val="center"/>
          </w:tcPr>
          <w:p w14:paraId="4FAFB8D2">
            <w:pPr>
              <w:autoSpaceDE w:val="0"/>
              <w:autoSpaceDN w:val="0"/>
              <w:adjustRightInd w:val="0"/>
              <w:snapToGrid w:val="0"/>
              <w:spacing w:line="360" w:lineRule="auto"/>
              <w:jc w:val="center"/>
              <w:rPr>
                <w:rFonts w:hint="eastAsia" w:ascii="宋体" w:hAnsi="宋体" w:eastAsia="宋体" w:cs="宋体"/>
                <w:color w:val="auto"/>
                <w:szCs w:val="21"/>
                <w:highlight w:val="none"/>
              </w:rPr>
            </w:pPr>
          </w:p>
        </w:tc>
        <w:tc>
          <w:tcPr>
            <w:tcW w:w="2191" w:type="dxa"/>
            <w:tcBorders>
              <w:top w:val="single" w:color="auto" w:sz="4" w:space="0"/>
              <w:left w:val="single" w:color="auto" w:sz="4" w:space="0"/>
              <w:bottom w:val="single" w:color="auto" w:sz="4" w:space="0"/>
              <w:right w:val="single" w:color="auto" w:sz="4" w:space="0"/>
            </w:tcBorders>
            <w:shd w:val="clear" w:color="auto" w:fill="auto"/>
            <w:vAlign w:val="center"/>
          </w:tcPr>
          <w:p w14:paraId="60A3DA06">
            <w:pPr>
              <w:autoSpaceDE w:val="0"/>
              <w:autoSpaceDN w:val="0"/>
              <w:adjustRightInd w:val="0"/>
              <w:snapToGrid w:val="0"/>
              <w:spacing w:line="360" w:lineRule="auto"/>
              <w:jc w:val="center"/>
              <w:rPr>
                <w:rFonts w:hint="eastAsia" w:ascii="宋体" w:hAnsi="宋体" w:eastAsia="宋体" w:cs="宋体"/>
                <w:color w:val="auto"/>
                <w:szCs w:val="21"/>
                <w:highlight w:val="none"/>
              </w:rPr>
            </w:pPr>
          </w:p>
        </w:tc>
        <w:tc>
          <w:tcPr>
            <w:tcW w:w="1323" w:type="dxa"/>
            <w:tcBorders>
              <w:top w:val="single" w:color="auto" w:sz="4" w:space="0"/>
              <w:left w:val="single" w:color="auto" w:sz="4" w:space="0"/>
              <w:bottom w:val="single" w:color="auto" w:sz="4" w:space="0"/>
              <w:right w:val="single" w:color="auto" w:sz="4" w:space="0"/>
            </w:tcBorders>
            <w:shd w:val="clear" w:color="auto" w:fill="auto"/>
            <w:vAlign w:val="center"/>
          </w:tcPr>
          <w:p w14:paraId="0BA059D7">
            <w:pPr>
              <w:autoSpaceDE w:val="0"/>
              <w:autoSpaceDN w:val="0"/>
              <w:adjustRightInd w:val="0"/>
              <w:snapToGrid w:val="0"/>
              <w:spacing w:line="360" w:lineRule="auto"/>
              <w:jc w:val="center"/>
              <w:rPr>
                <w:rFonts w:hint="eastAsia" w:ascii="宋体" w:hAnsi="宋体" w:eastAsia="宋体" w:cs="宋体"/>
                <w:color w:val="auto"/>
                <w:szCs w:val="21"/>
                <w:highlight w:val="none"/>
              </w:rPr>
            </w:pPr>
          </w:p>
        </w:tc>
        <w:tc>
          <w:tcPr>
            <w:tcW w:w="1323" w:type="dxa"/>
            <w:tcBorders>
              <w:top w:val="single" w:color="auto" w:sz="4" w:space="0"/>
              <w:left w:val="single" w:color="auto" w:sz="4" w:space="0"/>
              <w:bottom w:val="single" w:color="auto" w:sz="4" w:space="0"/>
              <w:right w:val="single" w:color="auto" w:sz="4" w:space="0"/>
            </w:tcBorders>
            <w:shd w:val="clear" w:color="auto" w:fill="auto"/>
            <w:vAlign w:val="center"/>
          </w:tcPr>
          <w:p w14:paraId="0660DE44">
            <w:pPr>
              <w:autoSpaceDE w:val="0"/>
              <w:autoSpaceDN w:val="0"/>
              <w:adjustRightInd w:val="0"/>
              <w:snapToGrid w:val="0"/>
              <w:spacing w:line="360" w:lineRule="auto"/>
              <w:jc w:val="center"/>
              <w:rPr>
                <w:rFonts w:hint="eastAsia" w:ascii="宋体" w:hAnsi="宋体" w:eastAsia="宋体" w:cs="宋体"/>
                <w:color w:val="auto"/>
                <w:szCs w:val="21"/>
                <w:highlight w:val="none"/>
              </w:rPr>
            </w:pPr>
          </w:p>
        </w:tc>
        <w:tc>
          <w:tcPr>
            <w:tcW w:w="1138" w:type="dxa"/>
            <w:tcBorders>
              <w:top w:val="single" w:color="auto" w:sz="4" w:space="0"/>
              <w:left w:val="single" w:color="auto" w:sz="4" w:space="0"/>
              <w:bottom w:val="single" w:color="auto" w:sz="4" w:space="0"/>
              <w:right w:val="single" w:color="auto" w:sz="4" w:space="0"/>
            </w:tcBorders>
            <w:shd w:val="clear" w:color="auto" w:fill="auto"/>
            <w:vAlign w:val="center"/>
          </w:tcPr>
          <w:p w14:paraId="35252BBE">
            <w:pPr>
              <w:autoSpaceDE w:val="0"/>
              <w:autoSpaceDN w:val="0"/>
              <w:adjustRightInd w:val="0"/>
              <w:snapToGrid w:val="0"/>
              <w:spacing w:line="360" w:lineRule="auto"/>
              <w:jc w:val="center"/>
              <w:rPr>
                <w:rFonts w:hint="eastAsia" w:ascii="宋体" w:hAnsi="宋体" w:eastAsia="宋体" w:cs="宋体"/>
                <w:color w:val="auto"/>
                <w:szCs w:val="21"/>
                <w:highlight w:val="none"/>
              </w:rPr>
            </w:pPr>
          </w:p>
        </w:tc>
      </w:tr>
      <w:tr w14:paraId="13D4C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323" w:type="dxa"/>
            <w:tcBorders>
              <w:top w:val="single" w:color="auto" w:sz="4" w:space="0"/>
              <w:left w:val="single" w:color="auto" w:sz="4" w:space="0"/>
              <w:bottom w:val="single" w:color="auto" w:sz="4" w:space="0"/>
              <w:right w:val="single" w:color="auto" w:sz="4" w:space="0"/>
            </w:tcBorders>
            <w:shd w:val="clear" w:color="auto" w:fill="auto"/>
            <w:vAlign w:val="center"/>
          </w:tcPr>
          <w:p w14:paraId="48088FC3">
            <w:pPr>
              <w:autoSpaceDE w:val="0"/>
              <w:autoSpaceDN w:val="0"/>
              <w:adjustRightInd w:val="0"/>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w:t>
            </w:r>
          </w:p>
        </w:tc>
        <w:tc>
          <w:tcPr>
            <w:tcW w:w="1763" w:type="dxa"/>
            <w:tcBorders>
              <w:top w:val="single" w:color="auto" w:sz="4" w:space="0"/>
              <w:left w:val="single" w:color="auto" w:sz="4" w:space="0"/>
              <w:bottom w:val="single" w:color="auto" w:sz="4" w:space="0"/>
              <w:right w:val="single" w:color="auto" w:sz="4" w:space="0"/>
            </w:tcBorders>
            <w:shd w:val="clear" w:color="auto" w:fill="auto"/>
            <w:vAlign w:val="center"/>
          </w:tcPr>
          <w:p w14:paraId="728A3F0D">
            <w:pPr>
              <w:autoSpaceDE w:val="0"/>
              <w:autoSpaceDN w:val="0"/>
              <w:adjustRightInd w:val="0"/>
              <w:snapToGrid w:val="0"/>
              <w:spacing w:line="360" w:lineRule="auto"/>
              <w:jc w:val="center"/>
              <w:rPr>
                <w:rFonts w:hint="eastAsia" w:ascii="宋体" w:hAnsi="宋体" w:eastAsia="宋体" w:cs="宋体"/>
                <w:color w:val="auto"/>
                <w:szCs w:val="21"/>
                <w:highlight w:val="none"/>
              </w:rPr>
            </w:pPr>
          </w:p>
        </w:tc>
        <w:tc>
          <w:tcPr>
            <w:tcW w:w="2191" w:type="dxa"/>
            <w:tcBorders>
              <w:top w:val="single" w:color="auto" w:sz="4" w:space="0"/>
              <w:left w:val="single" w:color="auto" w:sz="4" w:space="0"/>
              <w:bottom w:val="single" w:color="auto" w:sz="4" w:space="0"/>
              <w:right w:val="single" w:color="auto" w:sz="4" w:space="0"/>
            </w:tcBorders>
            <w:shd w:val="clear" w:color="auto" w:fill="auto"/>
            <w:vAlign w:val="center"/>
          </w:tcPr>
          <w:p w14:paraId="4147FE3E">
            <w:pPr>
              <w:autoSpaceDE w:val="0"/>
              <w:autoSpaceDN w:val="0"/>
              <w:adjustRightInd w:val="0"/>
              <w:snapToGrid w:val="0"/>
              <w:spacing w:line="360" w:lineRule="auto"/>
              <w:jc w:val="center"/>
              <w:rPr>
                <w:rFonts w:hint="eastAsia" w:ascii="宋体" w:hAnsi="宋体" w:eastAsia="宋体" w:cs="宋体"/>
                <w:color w:val="auto"/>
                <w:szCs w:val="21"/>
                <w:highlight w:val="none"/>
              </w:rPr>
            </w:pPr>
          </w:p>
        </w:tc>
        <w:tc>
          <w:tcPr>
            <w:tcW w:w="1323" w:type="dxa"/>
            <w:tcBorders>
              <w:top w:val="single" w:color="auto" w:sz="4" w:space="0"/>
              <w:left w:val="single" w:color="auto" w:sz="4" w:space="0"/>
              <w:bottom w:val="single" w:color="auto" w:sz="4" w:space="0"/>
              <w:right w:val="single" w:color="auto" w:sz="4" w:space="0"/>
            </w:tcBorders>
            <w:shd w:val="clear" w:color="auto" w:fill="auto"/>
            <w:vAlign w:val="center"/>
          </w:tcPr>
          <w:p w14:paraId="57EAABE3">
            <w:pPr>
              <w:autoSpaceDE w:val="0"/>
              <w:autoSpaceDN w:val="0"/>
              <w:adjustRightInd w:val="0"/>
              <w:snapToGrid w:val="0"/>
              <w:spacing w:line="360" w:lineRule="auto"/>
              <w:jc w:val="center"/>
              <w:rPr>
                <w:rFonts w:hint="eastAsia" w:ascii="宋体" w:hAnsi="宋体" w:eastAsia="宋体" w:cs="宋体"/>
                <w:color w:val="auto"/>
                <w:szCs w:val="21"/>
                <w:highlight w:val="none"/>
              </w:rPr>
            </w:pPr>
          </w:p>
        </w:tc>
        <w:tc>
          <w:tcPr>
            <w:tcW w:w="1323" w:type="dxa"/>
            <w:tcBorders>
              <w:top w:val="single" w:color="auto" w:sz="4" w:space="0"/>
              <w:left w:val="single" w:color="auto" w:sz="4" w:space="0"/>
              <w:bottom w:val="single" w:color="auto" w:sz="4" w:space="0"/>
              <w:right w:val="single" w:color="auto" w:sz="4" w:space="0"/>
            </w:tcBorders>
            <w:shd w:val="clear" w:color="auto" w:fill="auto"/>
            <w:vAlign w:val="center"/>
          </w:tcPr>
          <w:p w14:paraId="5D079D9D">
            <w:pPr>
              <w:autoSpaceDE w:val="0"/>
              <w:autoSpaceDN w:val="0"/>
              <w:adjustRightInd w:val="0"/>
              <w:snapToGrid w:val="0"/>
              <w:spacing w:line="360" w:lineRule="auto"/>
              <w:jc w:val="center"/>
              <w:rPr>
                <w:rFonts w:hint="eastAsia" w:ascii="宋体" w:hAnsi="宋体" w:eastAsia="宋体" w:cs="宋体"/>
                <w:color w:val="auto"/>
                <w:szCs w:val="21"/>
                <w:highlight w:val="none"/>
              </w:rPr>
            </w:pPr>
          </w:p>
        </w:tc>
        <w:tc>
          <w:tcPr>
            <w:tcW w:w="1138" w:type="dxa"/>
            <w:tcBorders>
              <w:top w:val="single" w:color="auto" w:sz="4" w:space="0"/>
              <w:left w:val="single" w:color="auto" w:sz="4" w:space="0"/>
              <w:bottom w:val="single" w:color="auto" w:sz="4" w:space="0"/>
              <w:right w:val="single" w:color="auto" w:sz="4" w:space="0"/>
            </w:tcBorders>
            <w:shd w:val="clear" w:color="auto" w:fill="auto"/>
            <w:vAlign w:val="center"/>
          </w:tcPr>
          <w:p w14:paraId="35620AE5">
            <w:pPr>
              <w:autoSpaceDE w:val="0"/>
              <w:autoSpaceDN w:val="0"/>
              <w:adjustRightInd w:val="0"/>
              <w:snapToGrid w:val="0"/>
              <w:spacing w:line="360" w:lineRule="auto"/>
              <w:jc w:val="center"/>
              <w:rPr>
                <w:rFonts w:hint="eastAsia" w:ascii="宋体" w:hAnsi="宋体" w:eastAsia="宋体" w:cs="宋体"/>
                <w:color w:val="auto"/>
                <w:szCs w:val="21"/>
                <w:highlight w:val="none"/>
              </w:rPr>
            </w:pPr>
          </w:p>
        </w:tc>
      </w:tr>
    </w:tbl>
    <w:p w14:paraId="3BCC9877">
      <w:pPr>
        <w:autoSpaceDE w:val="0"/>
        <w:autoSpaceDN w:val="0"/>
        <w:adjustRightInd w:val="0"/>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3</w:t>
      </w:r>
      <w:r>
        <w:rPr>
          <w:rFonts w:hint="eastAsia" w:ascii="宋体" w:hAnsi="宋体" w:eastAsia="宋体" w:cs="宋体"/>
          <w:color w:val="auto"/>
          <w:kern w:val="0"/>
          <w:szCs w:val="21"/>
          <w:highlight w:val="none"/>
          <w:lang w:val="en-US" w:eastAsia="zh-CN" w:bidi="ar"/>
        </w:rPr>
        <w:t>.</w:t>
      </w:r>
      <w:r>
        <w:rPr>
          <w:rFonts w:hint="eastAsia" w:ascii="宋体" w:hAnsi="宋体" w:eastAsia="宋体" w:cs="宋体"/>
          <w:color w:val="auto"/>
          <w:kern w:val="0"/>
          <w:szCs w:val="21"/>
          <w:highlight w:val="none"/>
          <w:lang w:bidi="ar"/>
        </w:rPr>
        <w:t>投标货物中本制造商不生产，而需从其它制造商购买的主要材料：</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13"/>
        <w:gridCol w:w="3421"/>
        <w:gridCol w:w="2827"/>
      </w:tblGrid>
      <w:tr w14:paraId="56CC3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2813" w:type="dxa"/>
            <w:tcBorders>
              <w:top w:val="single" w:color="auto" w:sz="4" w:space="0"/>
              <w:left w:val="single" w:color="auto" w:sz="4" w:space="0"/>
              <w:bottom w:val="single" w:color="auto" w:sz="4" w:space="0"/>
              <w:right w:val="single" w:color="auto" w:sz="4" w:space="0"/>
            </w:tcBorders>
            <w:shd w:val="clear" w:color="auto" w:fill="auto"/>
            <w:vAlign w:val="center"/>
          </w:tcPr>
          <w:p w14:paraId="3AE6B407">
            <w:pPr>
              <w:autoSpaceDE w:val="0"/>
              <w:autoSpaceDN w:val="0"/>
              <w:adjustRightInd w:val="0"/>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主要材料名称</w:t>
            </w:r>
          </w:p>
        </w:tc>
        <w:tc>
          <w:tcPr>
            <w:tcW w:w="3421" w:type="dxa"/>
            <w:tcBorders>
              <w:top w:val="single" w:color="auto" w:sz="4" w:space="0"/>
              <w:left w:val="single" w:color="auto" w:sz="4" w:space="0"/>
              <w:bottom w:val="single" w:color="auto" w:sz="4" w:space="0"/>
              <w:right w:val="single" w:color="auto" w:sz="4" w:space="0"/>
            </w:tcBorders>
            <w:shd w:val="clear" w:color="auto" w:fill="auto"/>
            <w:vAlign w:val="center"/>
          </w:tcPr>
          <w:p w14:paraId="5C612A8E">
            <w:pPr>
              <w:autoSpaceDE w:val="0"/>
              <w:autoSpaceDN w:val="0"/>
              <w:adjustRightInd w:val="0"/>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制造厂名称</w:t>
            </w:r>
          </w:p>
        </w:tc>
        <w:tc>
          <w:tcPr>
            <w:tcW w:w="2827" w:type="dxa"/>
            <w:tcBorders>
              <w:top w:val="single" w:color="auto" w:sz="4" w:space="0"/>
              <w:left w:val="single" w:color="auto" w:sz="4" w:space="0"/>
              <w:bottom w:val="single" w:color="auto" w:sz="4" w:space="0"/>
              <w:right w:val="single" w:color="auto" w:sz="4" w:space="0"/>
            </w:tcBorders>
            <w:shd w:val="clear" w:color="auto" w:fill="auto"/>
            <w:vAlign w:val="center"/>
          </w:tcPr>
          <w:p w14:paraId="7F30FB9B">
            <w:pPr>
              <w:autoSpaceDE w:val="0"/>
              <w:autoSpaceDN w:val="0"/>
              <w:adjustRightInd w:val="0"/>
              <w:snapToGrid w:val="0"/>
              <w:spacing w:line="360" w:lineRule="auto"/>
              <w:ind w:firstLine="1050" w:firstLineChars="5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产地</w:t>
            </w:r>
          </w:p>
        </w:tc>
      </w:tr>
      <w:tr w14:paraId="3AF1B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2813" w:type="dxa"/>
            <w:tcBorders>
              <w:top w:val="single" w:color="auto" w:sz="4" w:space="0"/>
              <w:left w:val="single" w:color="auto" w:sz="4" w:space="0"/>
              <w:bottom w:val="single" w:color="auto" w:sz="4" w:space="0"/>
              <w:right w:val="single" w:color="auto" w:sz="4" w:space="0"/>
            </w:tcBorders>
            <w:shd w:val="clear" w:color="auto" w:fill="auto"/>
            <w:vAlign w:val="center"/>
          </w:tcPr>
          <w:p w14:paraId="74C09A4E">
            <w:pPr>
              <w:autoSpaceDE w:val="0"/>
              <w:autoSpaceDN w:val="0"/>
              <w:adjustRightInd w:val="0"/>
              <w:snapToGrid w:val="0"/>
              <w:spacing w:line="360" w:lineRule="auto"/>
              <w:jc w:val="center"/>
              <w:rPr>
                <w:rFonts w:hint="eastAsia" w:ascii="宋体" w:hAnsi="宋体" w:eastAsia="宋体" w:cs="宋体"/>
                <w:color w:val="auto"/>
                <w:szCs w:val="21"/>
                <w:highlight w:val="none"/>
              </w:rPr>
            </w:pPr>
          </w:p>
        </w:tc>
        <w:tc>
          <w:tcPr>
            <w:tcW w:w="3421" w:type="dxa"/>
            <w:tcBorders>
              <w:top w:val="single" w:color="auto" w:sz="4" w:space="0"/>
              <w:left w:val="single" w:color="auto" w:sz="4" w:space="0"/>
              <w:bottom w:val="single" w:color="auto" w:sz="4" w:space="0"/>
              <w:right w:val="single" w:color="auto" w:sz="4" w:space="0"/>
            </w:tcBorders>
            <w:shd w:val="clear" w:color="auto" w:fill="auto"/>
            <w:vAlign w:val="center"/>
          </w:tcPr>
          <w:p w14:paraId="236BDD45">
            <w:pPr>
              <w:autoSpaceDE w:val="0"/>
              <w:autoSpaceDN w:val="0"/>
              <w:adjustRightInd w:val="0"/>
              <w:snapToGrid w:val="0"/>
              <w:spacing w:line="360" w:lineRule="auto"/>
              <w:jc w:val="center"/>
              <w:rPr>
                <w:rFonts w:hint="eastAsia" w:ascii="宋体" w:hAnsi="宋体" w:eastAsia="宋体" w:cs="宋体"/>
                <w:color w:val="auto"/>
                <w:szCs w:val="21"/>
                <w:highlight w:val="none"/>
              </w:rPr>
            </w:pPr>
          </w:p>
        </w:tc>
        <w:tc>
          <w:tcPr>
            <w:tcW w:w="2827" w:type="dxa"/>
            <w:tcBorders>
              <w:top w:val="single" w:color="auto" w:sz="4" w:space="0"/>
              <w:left w:val="single" w:color="auto" w:sz="4" w:space="0"/>
              <w:bottom w:val="single" w:color="auto" w:sz="4" w:space="0"/>
              <w:right w:val="single" w:color="auto" w:sz="4" w:space="0"/>
            </w:tcBorders>
            <w:shd w:val="clear" w:color="auto" w:fill="auto"/>
            <w:vAlign w:val="center"/>
          </w:tcPr>
          <w:p w14:paraId="24BE12E8">
            <w:pPr>
              <w:autoSpaceDE w:val="0"/>
              <w:autoSpaceDN w:val="0"/>
              <w:adjustRightInd w:val="0"/>
              <w:snapToGrid w:val="0"/>
              <w:spacing w:line="360" w:lineRule="auto"/>
              <w:jc w:val="center"/>
              <w:rPr>
                <w:rFonts w:hint="eastAsia" w:ascii="宋体" w:hAnsi="宋体" w:eastAsia="宋体" w:cs="宋体"/>
                <w:color w:val="auto"/>
                <w:szCs w:val="21"/>
                <w:highlight w:val="none"/>
              </w:rPr>
            </w:pPr>
          </w:p>
        </w:tc>
      </w:tr>
      <w:tr w14:paraId="7AF4C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2813" w:type="dxa"/>
            <w:tcBorders>
              <w:top w:val="single" w:color="auto" w:sz="4" w:space="0"/>
              <w:left w:val="single" w:color="auto" w:sz="4" w:space="0"/>
              <w:bottom w:val="single" w:color="auto" w:sz="4" w:space="0"/>
              <w:right w:val="single" w:color="auto" w:sz="4" w:space="0"/>
            </w:tcBorders>
            <w:shd w:val="clear" w:color="auto" w:fill="auto"/>
            <w:vAlign w:val="center"/>
          </w:tcPr>
          <w:p w14:paraId="6EB107FC">
            <w:pPr>
              <w:autoSpaceDE w:val="0"/>
              <w:autoSpaceDN w:val="0"/>
              <w:adjustRightInd w:val="0"/>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w:t>
            </w:r>
          </w:p>
        </w:tc>
        <w:tc>
          <w:tcPr>
            <w:tcW w:w="3421" w:type="dxa"/>
            <w:tcBorders>
              <w:top w:val="single" w:color="auto" w:sz="4" w:space="0"/>
              <w:left w:val="single" w:color="auto" w:sz="4" w:space="0"/>
              <w:bottom w:val="single" w:color="auto" w:sz="4" w:space="0"/>
              <w:right w:val="single" w:color="auto" w:sz="4" w:space="0"/>
            </w:tcBorders>
            <w:shd w:val="clear" w:color="auto" w:fill="auto"/>
            <w:vAlign w:val="center"/>
          </w:tcPr>
          <w:p w14:paraId="3EF8C5A6">
            <w:pPr>
              <w:autoSpaceDE w:val="0"/>
              <w:autoSpaceDN w:val="0"/>
              <w:adjustRightInd w:val="0"/>
              <w:snapToGrid w:val="0"/>
              <w:spacing w:line="360" w:lineRule="auto"/>
              <w:jc w:val="center"/>
              <w:rPr>
                <w:rFonts w:hint="eastAsia" w:ascii="宋体" w:hAnsi="宋体" w:eastAsia="宋体" w:cs="宋体"/>
                <w:color w:val="auto"/>
                <w:szCs w:val="21"/>
                <w:highlight w:val="none"/>
              </w:rPr>
            </w:pPr>
          </w:p>
        </w:tc>
        <w:tc>
          <w:tcPr>
            <w:tcW w:w="2827" w:type="dxa"/>
            <w:tcBorders>
              <w:top w:val="single" w:color="auto" w:sz="4" w:space="0"/>
              <w:left w:val="single" w:color="auto" w:sz="4" w:space="0"/>
              <w:bottom w:val="single" w:color="auto" w:sz="4" w:space="0"/>
              <w:right w:val="single" w:color="auto" w:sz="4" w:space="0"/>
            </w:tcBorders>
            <w:shd w:val="clear" w:color="auto" w:fill="auto"/>
            <w:vAlign w:val="center"/>
          </w:tcPr>
          <w:p w14:paraId="56011DC3">
            <w:pPr>
              <w:autoSpaceDE w:val="0"/>
              <w:autoSpaceDN w:val="0"/>
              <w:adjustRightInd w:val="0"/>
              <w:snapToGrid w:val="0"/>
              <w:spacing w:line="360" w:lineRule="auto"/>
              <w:jc w:val="center"/>
              <w:rPr>
                <w:rFonts w:hint="eastAsia" w:ascii="宋体" w:hAnsi="宋体" w:eastAsia="宋体" w:cs="宋体"/>
                <w:color w:val="auto"/>
                <w:szCs w:val="21"/>
                <w:highlight w:val="none"/>
              </w:rPr>
            </w:pPr>
          </w:p>
        </w:tc>
      </w:tr>
    </w:tbl>
    <w:p w14:paraId="3FF47668">
      <w:pPr>
        <w:autoSpaceDE w:val="0"/>
        <w:autoSpaceDN w:val="0"/>
        <w:adjustRightInd w:val="0"/>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4</w:t>
      </w:r>
      <w:r>
        <w:rPr>
          <w:rFonts w:hint="eastAsia" w:ascii="宋体" w:hAnsi="宋体" w:eastAsia="宋体" w:cs="宋体"/>
          <w:color w:val="auto"/>
          <w:kern w:val="0"/>
          <w:szCs w:val="21"/>
          <w:highlight w:val="none"/>
          <w:lang w:val="en-US" w:eastAsia="zh-CN" w:bidi="ar"/>
        </w:rPr>
        <w:t>.</w:t>
      </w:r>
      <w:r>
        <w:rPr>
          <w:rFonts w:hint="eastAsia" w:ascii="宋体" w:hAnsi="宋体" w:eastAsia="宋体" w:cs="宋体"/>
          <w:color w:val="auto"/>
          <w:kern w:val="0"/>
          <w:szCs w:val="21"/>
          <w:highlight w:val="none"/>
          <w:lang w:bidi="ar"/>
        </w:rPr>
        <w:t>近三年该货物主要销售给国内、外主要客户的名称地址：</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19"/>
        <w:gridCol w:w="3324"/>
        <w:gridCol w:w="2718"/>
      </w:tblGrid>
      <w:tr w14:paraId="1CC6C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3019" w:type="dxa"/>
            <w:tcBorders>
              <w:top w:val="single" w:color="auto" w:sz="4" w:space="0"/>
              <w:left w:val="single" w:color="auto" w:sz="4" w:space="0"/>
              <w:bottom w:val="single" w:color="auto" w:sz="4" w:space="0"/>
              <w:right w:val="single" w:color="auto" w:sz="4" w:space="0"/>
            </w:tcBorders>
            <w:shd w:val="clear" w:color="auto" w:fill="auto"/>
            <w:vAlign w:val="center"/>
          </w:tcPr>
          <w:p w14:paraId="59691A6D">
            <w:pPr>
              <w:autoSpaceDE w:val="0"/>
              <w:autoSpaceDN w:val="0"/>
              <w:adjustRightInd w:val="0"/>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客户名称</w:t>
            </w:r>
          </w:p>
        </w:tc>
        <w:tc>
          <w:tcPr>
            <w:tcW w:w="3324" w:type="dxa"/>
            <w:tcBorders>
              <w:top w:val="single" w:color="auto" w:sz="4" w:space="0"/>
              <w:left w:val="single" w:color="auto" w:sz="4" w:space="0"/>
              <w:bottom w:val="single" w:color="auto" w:sz="4" w:space="0"/>
              <w:right w:val="single" w:color="auto" w:sz="4" w:space="0"/>
            </w:tcBorders>
            <w:shd w:val="clear" w:color="auto" w:fill="auto"/>
            <w:vAlign w:val="center"/>
          </w:tcPr>
          <w:p w14:paraId="5648DE23">
            <w:pPr>
              <w:autoSpaceDE w:val="0"/>
              <w:autoSpaceDN w:val="0"/>
              <w:adjustRightInd w:val="0"/>
              <w:snapToGrid w:val="0"/>
              <w:spacing w:line="360" w:lineRule="auto"/>
              <w:ind w:left="342"/>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销售货物</w:t>
            </w:r>
          </w:p>
        </w:tc>
        <w:tc>
          <w:tcPr>
            <w:tcW w:w="2718" w:type="dxa"/>
            <w:tcBorders>
              <w:top w:val="single" w:color="auto" w:sz="4" w:space="0"/>
              <w:left w:val="single" w:color="auto" w:sz="4" w:space="0"/>
              <w:bottom w:val="single" w:color="auto" w:sz="4" w:space="0"/>
              <w:right w:val="single" w:color="auto" w:sz="4" w:space="0"/>
            </w:tcBorders>
            <w:shd w:val="clear" w:color="auto" w:fill="auto"/>
            <w:vAlign w:val="center"/>
          </w:tcPr>
          <w:p w14:paraId="57935541">
            <w:pPr>
              <w:autoSpaceDE w:val="0"/>
              <w:autoSpaceDN w:val="0"/>
              <w:adjustRightInd w:val="0"/>
              <w:snapToGrid w:val="0"/>
              <w:spacing w:line="360" w:lineRule="auto"/>
              <w:ind w:left="342"/>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数量</w:t>
            </w:r>
          </w:p>
        </w:tc>
      </w:tr>
      <w:tr w14:paraId="3631B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3019" w:type="dxa"/>
            <w:tcBorders>
              <w:top w:val="single" w:color="auto" w:sz="4" w:space="0"/>
              <w:left w:val="single" w:color="auto" w:sz="4" w:space="0"/>
              <w:bottom w:val="single" w:color="auto" w:sz="4" w:space="0"/>
              <w:right w:val="single" w:color="auto" w:sz="4" w:space="0"/>
            </w:tcBorders>
            <w:shd w:val="clear" w:color="auto" w:fill="auto"/>
            <w:vAlign w:val="center"/>
          </w:tcPr>
          <w:p w14:paraId="5743E4FA">
            <w:pPr>
              <w:autoSpaceDE w:val="0"/>
              <w:autoSpaceDN w:val="0"/>
              <w:adjustRightInd w:val="0"/>
              <w:snapToGrid w:val="0"/>
              <w:spacing w:line="360" w:lineRule="auto"/>
              <w:jc w:val="center"/>
              <w:rPr>
                <w:rFonts w:hint="eastAsia" w:ascii="宋体" w:hAnsi="宋体" w:eastAsia="宋体" w:cs="宋体"/>
                <w:color w:val="auto"/>
                <w:szCs w:val="21"/>
                <w:highlight w:val="none"/>
              </w:rPr>
            </w:pPr>
          </w:p>
        </w:tc>
        <w:tc>
          <w:tcPr>
            <w:tcW w:w="3324" w:type="dxa"/>
            <w:tcBorders>
              <w:top w:val="single" w:color="auto" w:sz="4" w:space="0"/>
              <w:left w:val="single" w:color="auto" w:sz="4" w:space="0"/>
              <w:bottom w:val="single" w:color="auto" w:sz="4" w:space="0"/>
              <w:right w:val="single" w:color="auto" w:sz="4" w:space="0"/>
            </w:tcBorders>
            <w:shd w:val="clear" w:color="auto" w:fill="auto"/>
            <w:vAlign w:val="center"/>
          </w:tcPr>
          <w:p w14:paraId="6444EA84">
            <w:pPr>
              <w:autoSpaceDE w:val="0"/>
              <w:autoSpaceDN w:val="0"/>
              <w:adjustRightInd w:val="0"/>
              <w:snapToGrid w:val="0"/>
              <w:spacing w:line="360" w:lineRule="auto"/>
              <w:ind w:left="342"/>
              <w:jc w:val="center"/>
              <w:rPr>
                <w:rFonts w:hint="eastAsia" w:ascii="宋体" w:hAnsi="宋体" w:eastAsia="宋体" w:cs="宋体"/>
                <w:color w:val="auto"/>
                <w:szCs w:val="21"/>
                <w:highlight w:val="none"/>
              </w:rPr>
            </w:pPr>
          </w:p>
        </w:tc>
        <w:tc>
          <w:tcPr>
            <w:tcW w:w="2718" w:type="dxa"/>
            <w:tcBorders>
              <w:top w:val="single" w:color="auto" w:sz="4" w:space="0"/>
              <w:left w:val="single" w:color="auto" w:sz="4" w:space="0"/>
              <w:bottom w:val="single" w:color="auto" w:sz="4" w:space="0"/>
              <w:right w:val="single" w:color="auto" w:sz="4" w:space="0"/>
            </w:tcBorders>
            <w:shd w:val="clear" w:color="auto" w:fill="auto"/>
            <w:vAlign w:val="center"/>
          </w:tcPr>
          <w:p w14:paraId="3F400975">
            <w:pPr>
              <w:autoSpaceDE w:val="0"/>
              <w:autoSpaceDN w:val="0"/>
              <w:adjustRightInd w:val="0"/>
              <w:snapToGrid w:val="0"/>
              <w:spacing w:line="360" w:lineRule="auto"/>
              <w:ind w:left="342"/>
              <w:jc w:val="center"/>
              <w:rPr>
                <w:rFonts w:hint="eastAsia" w:ascii="宋体" w:hAnsi="宋体" w:eastAsia="宋体" w:cs="宋体"/>
                <w:color w:val="auto"/>
                <w:szCs w:val="21"/>
                <w:highlight w:val="none"/>
              </w:rPr>
            </w:pPr>
          </w:p>
        </w:tc>
      </w:tr>
      <w:tr w14:paraId="234F7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3019" w:type="dxa"/>
            <w:tcBorders>
              <w:top w:val="single" w:color="auto" w:sz="4" w:space="0"/>
              <w:left w:val="single" w:color="auto" w:sz="4" w:space="0"/>
              <w:bottom w:val="single" w:color="auto" w:sz="4" w:space="0"/>
              <w:right w:val="single" w:color="auto" w:sz="4" w:space="0"/>
            </w:tcBorders>
            <w:shd w:val="clear" w:color="auto" w:fill="auto"/>
            <w:vAlign w:val="center"/>
          </w:tcPr>
          <w:p w14:paraId="52D088A3">
            <w:pPr>
              <w:autoSpaceDE w:val="0"/>
              <w:autoSpaceDN w:val="0"/>
              <w:adjustRightInd w:val="0"/>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w:t>
            </w:r>
          </w:p>
        </w:tc>
        <w:tc>
          <w:tcPr>
            <w:tcW w:w="3324" w:type="dxa"/>
            <w:tcBorders>
              <w:top w:val="single" w:color="auto" w:sz="4" w:space="0"/>
              <w:left w:val="single" w:color="auto" w:sz="4" w:space="0"/>
              <w:bottom w:val="single" w:color="auto" w:sz="4" w:space="0"/>
              <w:right w:val="single" w:color="auto" w:sz="4" w:space="0"/>
            </w:tcBorders>
            <w:shd w:val="clear" w:color="auto" w:fill="auto"/>
            <w:vAlign w:val="center"/>
          </w:tcPr>
          <w:p w14:paraId="6C656DFC">
            <w:pPr>
              <w:autoSpaceDE w:val="0"/>
              <w:autoSpaceDN w:val="0"/>
              <w:adjustRightInd w:val="0"/>
              <w:snapToGrid w:val="0"/>
              <w:spacing w:line="360" w:lineRule="auto"/>
              <w:ind w:left="357"/>
              <w:jc w:val="center"/>
              <w:rPr>
                <w:rFonts w:hint="eastAsia" w:ascii="宋体" w:hAnsi="宋体" w:eastAsia="宋体" w:cs="宋体"/>
                <w:color w:val="auto"/>
                <w:szCs w:val="21"/>
                <w:highlight w:val="none"/>
              </w:rPr>
            </w:pPr>
          </w:p>
        </w:tc>
        <w:tc>
          <w:tcPr>
            <w:tcW w:w="2718" w:type="dxa"/>
            <w:tcBorders>
              <w:top w:val="single" w:color="auto" w:sz="4" w:space="0"/>
              <w:left w:val="single" w:color="auto" w:sz="4" w:space="0"/>
              <w:bottom w:val="single" w:color="auto" w:sz="4" w:space="0"/>
              <w:right w:val="single" w:color="auto" w:sz="4" w:space="0"/>
            </w:tcBorders>
            <w:shd w:val="clear" w:color="auto" w:fill="auto"/>
            <w:vAlign w:val="center"/>
          </w:tcPr>
          <w:p w14:paraId="1AD12C30">
            <w:pPr>
              <w:autoSpaceDE w:val="0"/>
              <w:autoSpaceDN w:val="0"/>
              <w:adjustRightInd w:val="0"/>
              <w:snapToGrid w:val="0"/>
              <w:spacing w:line="360" w:lineRule="auto"/>
              <w:ind w:left="357"/>
              <w:jc w:val="center"/>
              <w:rPr>
                <w:rFonts w:hint="eastAsia" w:ascii="宋体" w:hAnsi="宋体" w:eastAsia="宋体" w:cs="宋体"/>
                <w:color w:val="auto"/>
                <w:szCs w:val="21"/>
                <w:highlight w:val="none"/>
              </w:rPr>
            </w:pPr>
          </w:p>
        </w:tc>
      </w:tr>
    </w:tbl>
    <w:p w14:paraId="4B666540">
      <w:pPr>
        <w:autoSpaceDE w:val="0"/>
        <w:autoSpaceDN w:val="0"/>
        <w:adjustRightInd w:val="0"/>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5</w:t>
      </w:r>
      <w:r>
        <w:rPr>
          <w:rFonts w:hint="eastAsia" w:ascii="宋体" w:hAnsi="宋体" w:eastAsia="宋体" w:cs="宋体"/>
          <w:color w:val="auto"/>
          <w:kern w:val="0"/>
          <w:szCs w:val="21"/>
          <w:highlight w:val="none"/>
          <w:lang w:val="en-US" w:eastAsia="zh-CN" w:bidi="ar"/>
        </w:rPr>
        <w:t>.</w:t>
      </w:r>
      <w:r>
        <w:rPr>
          <w:rFonts w:hint="eastAsia" w:ascii="宋体" w:hAnsi="宋体" w:eastAsia="宋体" w:cs="宋体"/>
          <w:color w:val="auto"/>
          <w:kern w:val="0"/>
          <w:szCs w:val="21"/>
          <w:highlight w:val="none"/>
          <w:lang w:bidi="ar"/>
        </w:rPr>
        <w:t>生产及管理人员</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6"/>
        <w:gridCol w:w="1196"/>
        <w:gridCol w:w="692"/>
        <w:gridCol w:w="692"/>
        <w:gridCol w:w="692"/>
        <w:gridCol w:w="1165"/>
        <w:gridCol w:w="1165"/>
        <w:gridCol w:w="719"/>
        <w:gridCol w:w="1104"/>
        <w:gridCol w:w="970"/>
      </w:tblGrid>
      <w:tr w14:paraId="02D7B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666" w:type="dxa"/>
            <w:tcBorders>
              <w:top w:val="single" w:color="auto" w:sz="4" w:space="0"/>
              <w:left w:val="single" w:color="auto" w:sz="4" w:space="0"/>
              <w:bottom w:val="single" w:color="auto" w:sz="4" w:space="0"/>
              <w:right w:val="single" w:color="auto" w:sz="4" w:space="0"/>
            </w:tcBorders>
            <w:shd w:val="clear" w:color="auto" w:fill="auto"/>
            <w:vAlign w:val="center"/>
          </w:tcPr>
          <w:p w14:paraId="58C456FD">
            <w:pPr>
              <w:autoSpaceDE w:val="0"/>
              <w:autoSpaceDN w:val="0"/>
              <w:adjustRightInd w:val="0"/>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序号</w:t>
            </w:r>
          </w:p>
        </w:tc>
        <w:tc>
          <w:tcPr>
            <w:tcW w:w="1196" w:type="dxa"/>
            <w:tcBorders>
              <w:top w:val="single" w:color="auto" w:sz="4" w:space="0"/>
              <w:left w:val="single" w:color="auto" w:sz="4" w:space="0"/>
              <w:bottom w:val="single" w:color="auto" w:sz="4" w:space="0"/>
              <w:right w:val="single" w:color="auto" w:sz="4" w:space="0"/>
            </w:tcBorders>
            <w:shd w:val="clear" w:color="auto" w:fill="auto"/>
            <w:vAlign w:val="center"/>
          </w:tcPr>
          <w:p w14:paraId="407F2E42">
            <w:pPr>
              <w:autoSpaceDE w:val="0"/>
              <w:autoSpaceDN w:val="0"/>
              <w:adjustRightInd w:val="0"/>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姓名</w:t>
            </w:r>
          </w:p>
        </w:tc>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24F7A30F">
            <w:pPr>
              <w:autoSpaceDE w:val="0"/>
              <w:autoSpaceDN w:val="0"/>
              <w:adjustRightInd w:val="0"/>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性别</w:t>
            </w:r>
          </w:p>
        </w:tc>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513404EA">
            <w:pPr>
              <w:autoSpaceDE w:val="0"/>
              <w:autoSpaceDN w:val="0"/>
              <w:adjustRightInd w:val="0"/>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年龄</w:t>
            </w:r>
          </w:p>
        </w:tc>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2E65F299">
            <w:pPr>
              <w:autoSpaceDE w:val="0"/>
              <w:autoSpaceDN w:val="0"/>
              <w:adjustRightInd w:val="0"/>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学历</w:t>
            </w:r>
          </w:p>
        </w:tc>
        <w:tc>
          <w:tcPr>
            <w:tcW w:w="1165" w:type="dxa"/>
            <w:tcBorders>
              <w:top w:val="single" w:color="auto" w:sz="4" w:space="0"/>
              <w:left w:val="single" w:color="auto" w:sz="4" w:space="0"/>
              <w:bottom w:val="single" w:color="auto" w:sz="4" w:space="0"/>
              <w:right w:val="single" w:color="auto" w:sz="4" w:space="0"/>
            </w:tcBorders>
            <w:shd w:val="clear" w:color="auto" w:fill="auto"/>
            <w:vAlign w:val="center"/>
          </w:tcPr>
          <w:p w14:paraId="67DDF4D7">
            <w:pPr>
              <w:autoSpaceDE w:val="0"/>
              <w:autoSpaceDN w:val="0"/>
              <w:adjustRightInd w:val="0"/>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所学专业</w:t>
            </w:r>
          </w:p>
        </w:tc>
        <w:tc>
          <w:tcPr>
            <w:tcW w:w="1165" w:type="dxa"/>
            <w:tcBorders>
              <w:top w:val="single" w:color="auto" w:sz="4" w:space="0"/>
              <w:left w:val="single" w:color="auto" w:sz="4" w:space="0"/>
              <w:bottom w:val="single" w:color="auto" w:sz="4" w:space="0"/>
              <w:right w:val="single" w:color="auto" w:sz="4" w:space="0"/>
            </w:tcBorders>
            <w:shd w:val="clear" w:color="auto" w:fill="auto"/>
            <w:vAlign w:val="center"/>
          </w:tcPr>
          <w:p w14:paraId="08D98D3E">
            <w:pPr>
              <w:autoSpaceDE w:val="0"/>
              <w:autoSpaceDN w:val="0"/>
              <w:adjustRightInd w:val="0"/>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资格/职称证书</w:t>
            </w:r>
          </w:p>
        </w:tc>
        <w:tc>
          <w:tcPr>
            <w:tcW w:w="719" w:type="dxa"/>
            <w:tcBorders>
              <w:top w:val="single" w:color="auto" w:sz="4" w:space="0"/>
              <w:left w:val="single" w:color="auto" w:sz="4" w:space="0"/>
              <w:bottom w:val="single" w:color="auto" w:sz="4" w:space="0"/>
              <w:right w:val="single" w:color="auto" w:sz="4" w:space="0"/>
            </w:tcBorders>
            <w:shd w:val="clear" w:color="auto" w:fill="auto"/>
            <w:vAlign w:val="center"/>
          </w:tcPr>
          <w:p w14:paraId="006F0418">
            <w:pPr>
              <w:autoSpaceDE w:val="0"/>
              <w:autoSpaceDN w:val="0"/>
              <w:adjustRightInd w:val="0"/>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职务</w:t>
            </w:r>
          </w:p>
        </w:tc>
        <w:tc>
          <w:tcPr>
            <w:tcW w:w="1104" w:type="dxa"/>
            <w:tcBorders>
              <w:top w:val="single" w:color="auto" w:sz="4" w:space="0"/>
              <w:left w:val="single" w:color="auto" w:sz="4" w:space="0"/>
              <w:bottom w:val="single" w:color="auto" w:sz="4" w:space="0"/>
              <w:right w:val="single" w:color="auto" w:sz="4" w:space="0"/>
            </w:tcBorders>
            <w:shd w:val="clear" w:color="auto" w:fill="auto"/>
            <w:vAlign w:val="center"/>
          </w:tcPr>
          <w:p w14:paraId="265D8FFC">
            <w:pPr>
              <w:autoSpaceDE w:val="0"/>
              <w:autoSpaceDN w:val="0"/>
              <w:adjustRightInd w:val="0"/>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从事本行业年限</w:t>
            </w:r>
          </w:p>
        </w:tc>
        <w:tc>
          <w:tcPr>
            <w:tcW w:w="970" w:type="dxa"/>
            <w:tcBorders>
              <w:top w:val="single" w:color="auto" w:sz="4" w:space="0"/>
              <w:left w:val="single" w:color="auto" w:sz="4" w:space="0"/>
              <w:bottom w:val="single" w:color="auto" w:sz="4" w:space="0"/>
              <w:right w:val="single" w:color="auto" w:sz="4" w:space="0"/>
            </w:tcBorders>
            <w:shd w:val="clear" w:color="auto" w:fill="auto"/>
            <w:vAlign w:val="center"/>
          </w:tcPr>
          <w:p w14:paraId="15E33A3B">
            <w:pPr>
              <w:autoSpaceDE w:val="0"/>
              <w:autoSpaceDN w:val="0"/>
              <w:adjustRightInd w:val="0"/>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 xml:space="preserve">  备注</w:t>
            </w:r>
          </w:p>
        </w:tc>
      </w:tr>
      <w:tr w14:paraId="01A4C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666" w:type="dxa"/>
            <w:tcBorders>
              <w:top w:val="single" w:color="auto" w:sz="4" w:space="0"/>
              <w:left w:val="single" w:color="auto" w:sz="4" w:space="0"/>
              <w:bottom w:val="single" w:color="auto" w:sz="4" w:space="0"/>
              <w:right w:val="single" w:color="auto" w:sz="4" w:space="0"/>
            </w:tcBorders>
            <w:shd w:val="clear" w:color="auto" w:fill="auto"/>
            <w:vAlign w:val="center"/>
          </w:tcPr>
          <w:p w14:paraId="57ADA2C9">
            <w:pPr>
              <w:autoSpaceDE w:val="0"/>
              <w:autoSpaceDN w:val="0"/>
              <w:adjustRightInd w:val="0"/>
              <w:snapToGrid w:val="0"/>
              <w:spacing w:line="360" w:lineRule="auto"/>
              <w:jc w:val="center"/>
              <w:rPr>
                <w:rFonts w:hint="eastAsia" w:ascii="宋体" w:hAnsi="宋体" w:eastAsia="宋体" w:cs="宋体"/>
                <w:color w:val="auto"/>
                <w:szCs w:val="21"/>
                <w:highlight w:val="none"/>
              </w:rPr>
            </w:pPr>
          </w:p>
        </w:tc>
        <w:tc>
          <w:tcPr>
            <w:tcW w:w="1196" w:type="dxa"/>
            <w:tcBorders>
              <w:top w:val="single" w:color="auto" w:sz="4" w:space="0"/>
              <w:left w:val="single" w:color="auto" w:sz="4" w:space="0"/>
              <w:bottom w:val="single" w:color="auto" w:sz="4" w:space="0"/>
              <w:right w:val="single" w:color="auto" w:sz="4" w:space="0"/>
            </w:tcBorders>
            <w:shd w:val="clear" w:color="auto" w:fill="auto"/>
            <w:vAlign w:val="center"/>
          </w:tcPr>
          <w:p w14:paraId="591F8DEC">
            <w:pPr>
              <w:autoSpaceDE w:val="0"/>
              <w:autoSpaceDN w:val="0"/>
              <w:adjustRightInd w:val="0"/>
              <w:snapToGrid w:val="0"/>
              <w:spacing w:line="360" w:lineRule="auto"/>
              <w:jc w:val="center"/>
              <w:rPr>
                <w:rFonts w:hint="eastAsia" w:ascii="宋体" w:hAnsi="宋体" w:eastAsia="宋体" w:cs="宋体"/>
                <w:color w:val="auto"/>
                <w:szCs w:val="21"/>
                <w:highlight w:val="none"/>
              </w:rPr>
            </w:pPr>
          </w:p>
        </w:tc>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6CB8B7EB">
            <w:pPr>
              <w:autoSpaceDE w:val="0"/>
              <w:autoSpaceDN w:val="0"/>
              <w:adjustRightInd w:val="0"/>
              <w:snapToGrid w:val="0"/>
              <w:spacing w:line="360" w:lineRule="auto"/>
              <w:jc w:val="center"/>
              <w:rPr>
                <w:rFonts w:hint="eastAsia" w:ascii="宋体" w:hAnsi="宋体" w:eastAsia="宋体" w:cs="宋体"/>
                <w:color w:val="auto"/>
                <w:szCs w:val="21"/>
                <w:highlight w:val="none"/>
              </w:rPr>
            </w:pPr>
          </w:p>
        </w:tc>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7AE8BF89">
            <w:pPr>
              <w:autoSpaceDE w:val="0"/>
              <w:autoSpaceDN w:val="0"/>
              <w:adjustRightInd w:val="0"/>
              <w:snapToGrid w:val="0"/>
              <w:spacing w:line="360" w:lineRule="auto"/>
              <w:jc w:val="center"/>
              <w:rPr>
                <w:rFonts w:hint="eastAsia" w:ascii="宋体" w:hAnsi="宋体" w:eastAsia="宋体" w:cs="宋体"/>
                <w:color w:val="auto"/>
                <w:szCs w:val="21"/>
                <w:highlight w:val="none"/>
              </w:rPr>
            </w:pPr>
          </w:p>
        </w:tc>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795E5CDA">
            <w:pPr>
              <w:autoSpaceDE w:val="0"/>
              <w:autoSpaceDN w:val="0"/>
              <w:adjustRightInd w:val="0"/>
              <w:snapToGrid w:val="0"/>
              <w:spacing w:line="360" w:lineRule="auto"/>
              <w:jc w:val="center"/>
              <w:rPr>
                <w:rFonts w:hint="eastAsia" w:ascii="宋体" w:hAnsi="宋体" w:eastAsia="宋体" w:cs="宋体"/>
                <w:color w:val="auto"/>
                <w:szCs w:val="21"/>
                <w:highlight w:val="none"/>
              </w:rPr>
            </w:pPr>
          </w:p>
        </w:tc>
        <w:tc>
          <w:tcPr>
            <w:tcW w:w="1165" w:type="dxa"/>
            <w:tcBorders>
              <w:top w:val="single" w:color="auto" w:sz="4" w:space="0"/>
              <w:left w:val="single" w:color="auto" w:sz="4" w:space="0"/>
              <w:bottom w:val="single" w:color="auto" w:sz="4" w:space="0"/>
              <w:right w:val="single" w:color="auto" w:sz="4" w:space="0"/>
            </w:tcBorders>
            <w:shd w:val="clear" w:color="auto" w:fill="auto"/>
            <w:vAlign w:val="center"/>
          </w:tcPr>
          <w:p w14:paraId="55776CB2">
            <w:pPr>
              <w:autoSpaceDE w:val="0"/>
              <w:autoSpaceDN w:val="0"/>
              <w:adjustRightInd w:val="0"/>
              <w:snapToGrid w:val="0"/>
              <w:spacing w:line="360" w:lineRule="auto"/>
              <w:jc w:val="center"/>
              <w:rPr>
                <w:rFonts w:hint="eastAsia" w:ascii="宋体" w:hAnsi="宋体" w:eastAsia="宋体" w:cs="宋体"/>
                <w:color w:val="auto"/>
                <w:szCs w:val="21"/>
                <w:highlight w:val="none"/>
              </w:rPr>
            </w:pPr>
          </w:p>
        </w:tc>
        <w:tc>
          <w:tcPr>
            <w:tcW w:w="1165" w:type="dxa"/>
            <w:tcBorders>
              <w:top w:val="single" w:color="auto" w:sz="4" w:space="0"/>
              <w:left w:val="single" w:color="auto" w:sz="4" w:space="0"/>
              <w:bottom w:val="single" w:color="auto" w:sz="4" w:space="0"/>
              <w:right w:val="single" w:color="auto" w:sz="4" w:space="0"/>
            </w:tcBorders>
            <w:shd w:val="clear" w:color="auto" w:fill="auto"/>
            <w:vAlign w:val="center"/>
          </w:tcPr>
          <w:p w14:paraId="796EBA37">
            <w:pPr>
              <w:autoSpaceDE w:val="0"/>
              <w:autoSpaceDN w:val="0"/>
              <w:adjustRightInd w:val="0"/>
              <w:snapToGrid w:val="0"/>
              <w:spacing w:line="360" w:lineRule="auto"/>
              <w:jc w:val="center"/>
              <w:rPr>
                <w:rFonts w:hint="eastAsia" w:ascii="宋体" w:hAnsi="宋体" w:eastAsia="宋体" w:cs="宋体"/>
                <w:color w:val="auto"/>
                <w:szCs w:val="21"/>
                <w:highlight w:val="none"/>
              </w:rPr>
            </w:pPr>
          </w:p>
        </w:tc>
        <w:tc>
          <w:tcPr>
            <w:tcW w:w="719" w:type="dxa"/>
            <w:tcBorders>
              <w:top w:val="single" w:color="auto" w:sz="4" w:space="0"/>
              <w:left w:val="single" w:color="auto" w:sz="4" w:space="0"/>
              <w:bottom w:val="single" w:color="auto" w:sz="4" w:space="0"/>
              <w:right w:val="single" w:color="auto" w:sz="4" w:space="0"/>
            </w:tcBorders>
            <w:shd w:val="clear" w:color="auto" w:fill="auto"/>
            <w:vAlign w:val="center"/>
          </w:tcPr>
          <w:p w14:paraId="6843B3AC">
            <w:pPr>
              <w:autoSpaceDE w:val="0"/>
              <w:autoSpaceDN w:val="0"/>
              <w:adjustRightInd w:val="0"/>
              <w:snapToGrid w:val="0"/>
              <w:spacing w:line="360" w:lineRule="auto"/>
              <w:jc w:val="center"/>
              <w:rPr>
                <w:rFonts w:hint="eastAsia" w:ascii="宋体" w:hAnsi="宋体" w:eastAsia="宋体" w:cs="宋体"/>
                <w:color w:val="auto"/>
                <w:szCs w:val="21"/>
                <w:highlight w:val="none"/>
              </w:rPr>
            </w:pPr>
          </w:p>
        </w:tc>
        <w:tc>
          <w:tcPr>
            <w:tcW w:w="1104" w:type="dxa"/>
            <w:tcBorders>
              <w:top w:val="single" w:color="auto" w:sz="4" w:space="0"/>
              <w:left w:val="single" w:color="auto" w:sz="4" w:space="0"/>
              <w:bottom w:val="single" w:color="auto" w:sz="4" w:space="0"/>
              <w:right w:val="single" w:color="auto" w:sz="4" w:space="0"/>
            </w:tcBorders>
            <w:shd w:val="clear" w:color="auto" w:fill="auto"/>
            <w:vAlign w:val="center"/>
          </w:tcPr>
          <w:p w14:paraId="51FB53B6">
            <w:pPr>
              <w:autoSpaceDE w:val="0"/>
              <w:autoSpaceDN w:val="0"/>
              <w:adjustRightInd w:val="0"/>
              <w:snapToGrid w:val="0"/>
              <w:spacing w:line="360" w:lineRule="auto"/>
              <w:jc w:val="center"/>
              <w:rPr>
                <w:rFonts w:hint="eastAsia" w:ascii="宋体" w:hAnsi="宋体" w:eastAsia="宋体" w:cs="宋体"/>
                <w:color w:val="auto"/>
                <w:szCs w:val="21"/>
                <w:highlight w:val="none"/>
              </w:rPr>
            </w:pPr>
          </w:p>
        </w:tc>
        <w:tc>
          <w:tcPr>
            <w:tcW w:w="970" w:type="dxa"/>
            <w:tcBorders>
              <w:top w:val="single" w:color="auto" w:sz="4" w:space="0"/>
              <w:left w:val="single" w:color="auto" w:sz="4" w:space="0"/>
              <w:bottom w:val="single" w:color="auto" w:sz="4" w:space="0"/>
              <w:right w:val="single" w:color="auto" w:sz="4" w:space="0"/>
            </w:tcBorders>
            <w:shd w:val="clear" w:color="auto" w:fill="auto"/>
            <w:vAlign w:val="center"/>
          </w:tcPr>
          <w:p w14:paraId="0D66F398">
            <w:pPr>
              <w:autoSpaceDE w:val="0"/>
              <w:autoSpaceDN w:val="0"/>
              <w:adjustRightInd w:val="0"/>
              <w:snapToGrid w:val="0"/>
              <w:spacing w:line="360" w:lineRule="auto"/>
              <w:jc w:val="center"/>
              <w:rPr>
                <w:rFonts w:hint="eastAsia" w:ascii="宋体" w:hAnsi="宋体" w:eastAsia="宋体" w:cs="宋体"/>
                <w:color w:val="auto"/>
                <w:szCs w:val="21"/>
                <w:highlight w:val="none"/>
              </w:rPr>
            </w:pPr>
          </w:p>
        </w:tc>
      </w:tr>
      <w:tr w14:paraId="74712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66" w:type="dxa"/>
            <w:tcBorders>
              <w:top w:val="single" w:color="auto" w:sz="4" w:space="0"/>
              <w:left w:val="single" w:color="auto" w:sz="4" w:space="0"/>
              <w:bottom w:val="single" w:color="auto" w:sz="4" w:space="0"/>
              <w:right w:val="single" w:color="auto" w:sz="4" w:space="0"/>
            </w:tcBorders>
            <w:shd w:val="clear" w:color="auto" w:fill="auto"/>
            <w:vAlign w:val="center"/>
          </w:tcPr>
          <w:p w14:paraId="6ECF196C">
            <w:pPr>
              <w:autoSpaceDE w:val="0"/>
              <w:autoSpaceDN w:val="0"/>
              <w:adjustRightInd w:val="0"/>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w:t>
            </w:r>
          </w:p>
        </w:tc>
        <w:tc>
          <w:tcPr>
            <w:tcW w:w="1196" w:type="dxa"/>
            <w:tcBorders>
              <w:top w:val="single" w:color="auto" w:sz="4" w:space="0"/>
              <w:left w:val="single" w:color="auto" w:sz="4" w:space="0"/>
              <w:bottom w:val="single" w:color="auto" w:sz="4" w:space="0"/>
              <w:right w:val="single" w:color="auto" w:sz="4" w:space="0"/>
            </w:tcBorders>
            <w:shd w:val="clear" w:color="auto" w:fill="auto"/>
            <w:vAlign w:val="center"/>
          </w:tcPr>
          <w:p w14:paraId="6979C2C2">
            <w:pPr>
              <w:autoSpaceDE w:val="0"/>
              <w:autoSpaceDN w:val="0"/>
              <w:adjustRightInd w:val="0"/>
              <w:snapToGrid w:val="0"/>
              <w:spacing w:line="360" w:lineRule="auto"/>
              <w:jc w:val="center"/>
              <w:rPr>
                <w:rFonts w:hint="eastAsia" w:ascii="宋体" w:hAnsi="宋体" w:eastAsia="宋体" w:cs="宋体"/>
                <w:color w:val="auto"/>
                <w:szCs w:val="21"/>
                <w:highlight w:val="none"/>
              </w:rPr>
            </w:pPr>
          </w:p>
        </w:tc>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684E6507">
            <w:pPr>
              <w:autoSpaceDE w:val="0"/>
              <w:autoSpaceDN w:val="0"/>
              <w:adjustRightInd w:val="0"/>
              <w:snapToGrid w:val="0"/>
              <w:spacing w:line="360" w:lineRule="auto"/>
              <w:jc w:val="center"/>
              <w:rPr>
                <w:rFonts w:hint="eastAsia" w:ascii="宋体" w:hAnsi="宋体" w:eastAsia="宋体" w:cs="宋体"/>
                <w:color w:val="auto"/>
                <w:szCs w:val="21"/>
                <w:highlight w:val="none"/>
              </w:rPr>
            </w:pPr>
          </w:p>
        </w:tc>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33681158">
            <w:pPr>
              <w:autoSpaceDE w:val="0"/>
              <w:autoSpaceDN w:val="0"/>
              <w:adjustRightInd w:val="0"/>
              <w:snapToGrid w:val="0"/>
              <w:spacing w:line="360" w:lineRule="auto"/>
              <w:jc w:val="center"/>
              <w:rPr>
                <w:rFonts w:hint="eastAsia" w:ascii="宋体" w:hAnsi="宋体" w:eastAsia="宋体" w:cs="宋体"/>
                <w:color w:val="auto"/>
                <w:szCs w:val="21"/>
                <w:highlight w:val="none"/>
              </w:rPr>
            </w:pPr>
          </w:p>
        </w:tc>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5425FE4D">
            <w:pPr>
              <w:autoSpaceDE w:val="0"/>
              <w:autoSpaceDN w:val="0"/>
              <w:adjustRightInd w:val="0"/>
              <w:snapToGrid w:val="0"/>
              <w:spacing w:line="360" w:lineRule="auto"/>
              <w:jc w:val="center"/>
              <w:rPr>
                <w:rFonts w:hint="eastAsia" w:ascii="宋体" w:hAnsi="宋体" w:eastAsia="宋体" w:cs="宋体"/>
                <w:color w:val="auto"/>
                <w:szCs w:val="21"/>
                <w:highlight w:val="none"/>
              </w:rPr>
            </w:pPr>
          </w:p>
        </w:tc>
        <w:tc>
          <w:tcPr>
            <w:tcW w:w="1165" w:type="dxa"/>
            <w:tcBorders>
              <w:top w:val="single" w:color="auto" w:sz="4" w:space="0"/>
              <w:left w:val="single" w:color="auto" w:sz="4" w:space="0"/>
              <w:bottom w:val="single" w:color="auto" w:sz="4" w:space="0"/>
              <w:right w:val="single" w:color="auto" w:sz="4" w:space="0"/>
            </w:tcBorders>
            <w:shd w:val="clear" w:color="auto" w:fill="auto"/>
            <w:vAlign w:val="center"/>
          </w:tcPr>
          <w:p w14:paraId="29173CAF">
            <w:pPr>
              <w:autoSpaceDE w:val="0"/>
              <w:autoSpaceDN w:val="0"/>
              <w:adjustRightInd w:val="0"/>
              <w:snapToGrid w:val="0"/>
              <w:spacing w:line="360" w:lineRule="auto"/>
              <w:jc w:val="center"/>
              <w:rPr>
                <w:rFonts w:hint="eastAsia" w:ascii="宋体" w:hAnsi="宋体" w:eastAsia="宋体" w:cs="宋体"/>
                <w:color w:val="auto"/>
                <w:szCs w:val="21"/>
                <w:highlight w:val="none"/>
              </w:rPr>
            </w:pPr>
          </w:p>
        </w:tc>
        <w:tc>
          <w:tcPr>
            <w:tcW w:w="1165" w:type="dxa"/>
            <w:tcBorders>
              <w:top w:val="single" w:color="auto" w:sz="4" w:space="0"/>
              <w:left w:val="single" w:color="auto" w:sz="4" w:space="0"/>
              <w:bottom w:val="single" w:color="auto" w:sz="4" w:space="0"/>
              <w:right w:val="single" w:color="auto" w:sz="4" w:space="0"/>
            </w:tcBorders>
            <w:shd w:val="clear" w:color="auto" w:fill="auto"/>
            <w:vAlign w:val="center"/>
          </w:tcPr>
          <w:p w14:paraId="530F1278">
            <w:pPr>
              <w:autoSpaceDE w:val="0"/>
              <w:autoSpaceDN w:val="0"/>
              <w:adjustRightInd w:val="0"/>
              <w:snapToGrid w:val="0"/>
              <w:spacing w:line="360" w:lineRule="auto"/>
              <w:jc w:val="center"/>
              <w:rPr>
                <w:rFonts w:hint="eastAsia" w:ascii="宋体" w:hAnsi="宋体" w:eastAsia="宋体" w:cs="宋体"/>
                <w:color w:val="auto"/>
                <w:szCs w:val="21"/>
                <w:highlight w:val="none"/>
              </w:rPr>
            </w:pPr>
          </w:p>
        </w:tc>
        <w:tc>
          <w:tcPr>
            <w:tcW w:w="719" w:type="dxa"/>
            <w:tcBorders>
              <w:top w:val="single" w:color="auto" w:sz="4" w:space="0"/>
              <w:left w:val="single" w:color="auto" w:sz="4" w:space="0"/>
              <w:bottom w:val="single" w:color="auto" w:sz="4" w:space="0"/>
              <w:right w:val="single" w:color="auto" w:sz="4" w:space="0"/>
            </w:tcBorders>
            <w:shd w:val="clear" w:color="auto" w:fill="auto"/>
            <w:vAlign w:val="center"/>
          </w:tcPr>
          <w:p w14:paraId="434815AA">
            <w:pPr>
              <w:autoSpaceDE w:val="0"/>
              <w:autoSpaceDN w:val="0"/>
              <w:adjustRightInd w:val="0"/>
              <w:snapToGrid w:val="0"/>
              <w:spacing w:line="360" w:lineRule="auto"/>
              <w:jc w:val="center"/>
              <w:rPr>
                <w:rFonts w:hint="eastAsia" w:ascii="宋体" w:hAnsi="宋体" w:eastAsia="宋体" w:cs="宋体"/>
                <w:color w:val="auto"/>
                <w:szCs w:val="21"/>
                <w:highlight w:val="none"/>
              </w:rPr>
            </w:pPr>
          </w:p>
        </w:tc>
        <w:tc>
          <w:tcPr>
            <w:tcW w:w="1104" w:type="dxa"/>
            <w:tcBorders>
              <w:top w:val="single" w:color="auto" w:sz="4" w:space="0"/>
              <w:left w:val="single" w:color="auto" w:sz="4" w:space="0"/>
              <w:bottom w:val="single" w:color="auto" w:sz="4" w:space="0"/>
              <w:right w:val="single" w:color="auto" w:sz="4" w:space="0"/>
            </w:tcBorders>
            <w:shd w:val="clear" w:color="auto" w:fill="auto"/>
            <w:vAlign w:val="center"/>
          </w:tcPr>
          <w:p w14:paraId="60B64407">
            <w:pPr>
              <w:autoSpaceDE w:val="0"/>
              <w:autoSpaceDN w:val="0"/>
              <w:adjustRightInd w:val="0"/>
              <w:snapToGrid w:val="0"/>
              <w:spacing w:line="360" w:lineRule="auto"/>
              <w:jc w:val="center"/>
              <w:rPr>
                <w:rFonts w:hint="eastAsia" w:ascii="宋体" w:hAnsi="宋体" w:eastAsia="宋体" w:cs="宋体"/>
                <w:color w:val="auto"/>
                <w:szCs w:val="21"/>
                <w:highlight w:val="none"/>
              </w:rPr>
            </w:pPr>
          </w:p>
        </w:tc>
        <w:tc>
          <w:tcPr>
            <w:tcW w:w="970" w:type="dxa"/>
            <w:tcBorders>
              <w:top w:val="single" w:color="auto" w:sz="4" w:space="0"/>
              <w:left w:val="single" w:color="auto" w:sz="4" w:space="0"/>
              <w:bottom w:val="single" w:color="auto" w:sz="4" w:space="0"/>
              <w:right w:val="single" w:color="auto" w:sz="4" w:space="0"/>
            </w:tcBorders>
            <w:shd w:val="clear" w:color="auto" w:fill="auto"/>
            <w:vAlign w:val="center"/>
          </w:tcPr>
          <w:p w14:paraId="74C03D9A">
            <w:pPr>
              <w:autoSpaceDE w:val="0"/>
              <w:autoSpaceDN w:val="0"/>
              <w:adjustRightInd w:val="0"/>
              <w:snapToGrid w:val="0"/>
              <w:spacing w:line="360" w:lineRule="auto"/>
              <w:jc w:val="center"/>
              <w:rPr>
                <w:rFonts w:hint="eastAsia" w:ascii="宋体" w:hAnsi="宋体" w:eastAsia="宋体" w:cs="宋体"/>
                <w:color w:val="auto"/>
                <w:szCs w:val="21"/>
                <w:highlight w:val="none"/>
              </w:rPr>
            </w:pPr>
          </w:p>
        </w:tc>
      </w:tr>
    </w:tbl>
    <w:p w14:paraId="7C88B7C3">
      <w:pPr>
        <w:autoSpaceDE w:val="0"/>
        <w:autoSpaceDN w:val="0"/>
        <w:adjustRightInd w:val="0"/>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6</w:t>
      </w:r>
      <w:r>
        <w:rPr>
          <w:rFonts w:hint="eastAsia" w:ascii="宋体" w:hAnsi="宋体" w:eastAsia="宋体" w:cs="宋体"/>
          <w:color w:val="auto"/>
          <w:kern w:val="0"/>
          <w:szCs w:val="21"/>
          <w:highlight w:val="none"/>
          <w:lang w:val="en-US" w:eastAsia="zh-CN" w:bidi="ar"/>
        </w:rPr>
        <w:t>.</w:t>
      </w:r>
      <w:r>
        <w:rPr>
          <w:rFonts w:hint="eastAsia" w:ascii="宋体" w:hAnsi="宋体" w:eastAsia="宋体" w:cs="宋体"/>
          <w:color w:val="auto"/>
          <w:kern w:val="0"/>
          <w:szCs w:val="21"/>
          <w:highlight w:val="none"/>
          <w:lang w:bidi="ar"/>
        </w:rPr>
        <w:t>其他情况：(公司简介、技术力量、本制造商生产投标货物的经验等)</w:t>
      </w:r>
    </w:p>
    <w:p w14:paraId="3FDB108B">
      <w:pPr>
        <w:autoSpaceDE w:val="0"/>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 </w:t>
      </w:r>
    </w:p>
    <w:p w14:paraId="6C817DEC">
      <w:pPr>
        <w:autoSpaceDE w:val="0"/>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兹证明上述声明是真实的、正确的，并提供了全部能提供的资料和数据，我们同意遵照贵方要求出示有关证明文件。</w:t>
      </w:r>
    </w:p>
    <w:p w14:paraId="0F2E9775">
      <w:pPr>
        <w:autoSpaceDE w:val="0"/>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 </w:t>
      </w:r>
    </w:p>
    <w:p w14:paraId="2EF0F991">
      <w:pPr>
        <w:autoSpaceDE w:val="0"/>
        <w:adjustRightInd w:val="0"/>
        <w:snapToGrid w:val="0"/>
        <w:spacing w:line="360" w:lineRule="auto"/>
        <w:ind w:firstLine="525" w:firstLineChars="250"/>
        <w:rPr>
          <w:rFonts w:hint="eastAsia"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制造商名称：</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（同时加盖制造商法人公章）</w:t>
      </w:r>
    </w:p>
    <w:p w14:paraId="51EE8EC1">
      <w:pPr>
        <w:autoSpaceDE w:val="0"/>
        <w:autoSpaceDN w:val="0"/>
        <w:adjustRightInd w:val="0"/>
        <w:snapToGrid w:val="0"/>
        <w:spacing w:line="360" w:lineRule="auto"/>
        <w:ind w:firstLine="525" w:firstLineChars="25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制造商</w:t>
      </w:r>
      <w:r>
        <w:rPr>
          <w:rFonts w:hint="eastAsia" w:ascii="宋体" w:hAnsi="宋体" w:eastAsia="宋体" w:cs="宋体"/>
          <w:color w:val="auto"/>
          <w:kern w:val="0"/>
          <w:szCs w:val="21"/>
          <w:highlight w:val="none"/>
          <w:lang w:bidi="ar"/>
        </w:rPr>
        <w:t>法定代表人或被授权人：</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（打印名字，并签名或盖私章）</w:t>
      </w:r>
    </w:p>
    <w:p w14:paraId="2F4B9F0A">
      <w:pPr>
        <w:autoSpaceDE w:val="0"/>
        <w:adjustRightInd w:val="0"/>
        <w:snapToGrid w:val="0"/>
        <w:spacing w:line="360" w:lineRule="auto"/>
        <w:ind w:firstLine="525" w:firstLineChars="250"/>
        <w:rPr>
          <w:rFonts w:hint="eastAsia"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签署人职务：</w:t>
      </w:r>
      <w:r>
        <w:rPr>
          <w:rFonts w:hint="eastAsia" w:ascii="宋体" w:hAnsi="宋体" w:eastAsia="宋体" w:cs="宋体"/>
          <w:color w:val="auto"/>
          <w:kern w:val="0"/>
          <w:szCs w:val="21"/>
          <w:highlight w:val="none"/>
          <w:u w:val="single"/>
          <w:lang w:bidi="ar"/>
        </w:rPr>
        <w:t xml:space="preserve">                                     </w:t>
      </w:r>
    </w:p>
    <w:p w14:paraId="15A099CB">
      <w:pPr>
        <w:autoSpaceDE w:val="0"/>
        <w:adjustRightInd w:val="0"/>
        <w:snapToGrid w:val="0"/>
        <w:spacing w:line="360" w:lineRule="auto"/>
        <w:ind w:firstLine="525" w:firstLineChars="25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传真：</w:t>
      </w:r>
      <w:r>
        <w:rPr>
          <w:rFonts w:hint="eastAsia" w:ascii="宋体" w:hAnsi="宋体" w:eastAsia="宋体" w:cs="宋体"/>
          <w:color w:val="auto"/>
          <w:kern w:val="0"/>
          <w:szCs w:val="21"/>
          <w:highlight w:val="none"/>
          <w:u w:val="single"/>
          <w:lang w:bidi="ar"/>
        </w:rPr>
        <w:t xml:space="preserve">                                           </w:t>
      </w:r>
    </w:p>
    <w:p w14:paraId="24068D2B">
      <w:pPr>
        <w:autoSpaceDE w:val="0"/>
        <w:adjustRightInd w:val="0"/>
        <w:snapToGrid w:val="0"/>
        <w:spacing w:line="360" w:lineRule="auto"/>
        <w:ind w:firstLine="525" w:firstLineChars="250"/>
        <w:rPr>
          <w:rFonts w:hint="eastAsia"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电话：</w:t>
      </w:r>
      <w:r>
        <w:rPr>
          <w:rFonts w:hint="eastAsia" w:ascii="宋体" w:hAnsi="宋体" w:eastAsia="宋体" w:cs="宋体"/>
          <w:color w:val="auto"/>
          <w:kern w:val="0"/>
          <w:szCs w:val="21"/>
          <w:highlight w:val="none"/>
          <w:u w:val="single"/>
          <w:lang w:bidi="ar"/>
        </w:rPr>
        <w:t xml:space="preserve">                                           </w:t>
      </w:r>
    </w:p>
    <w:p w14:paraId="04710B13">
      <w:pPr>
        <w:autoSpaceDE w:val="0"/>
        <w:adjustRightInd w:val="0"/>
        <w:snapToGrid w:val="0"/>
        <w:spacing w:line="360" w:lineRule="auto"/>
        <w:ind w:firstLine="525" w:firstLineChars="250"/>
        <w:rPr>
          <w:rFonts w:hint="eastAsia"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网址：</w:t>
      </w:r>
      <w:r>
        <w:rPr>
          <w:rFonts w:hint="eastAsia" w:ascii="宋体" w:hAnsi="宋体" w:eastAsia="宋体" w:cs="宋体"/>
          <w:color w:val="auto"/>
          <w:kern w:val="0"/>
          <w:szCs w:val="21"/>
          <w:highlight w:val="none"/>
          <w:u w:val="single"/>
          <w:lang w:bidi="ar"/>
        </w:rPr>
        <w:t xml:space="preserve">                                           </w:t>
      </w:r>
    </w:p>
    <w:p w14:paraId="47F10C71">
      <w:pPr>
        <w:autoSpaceDE w:val="0"/>
        <w:adjustRightInd w:val="0"/>
        <w:snapToGrid w:val="0"/>
        <w:spacing w:line="360" w:lineRule="auto"/>
        <w:ind w:firstLine="525" w:firstLineChars="250"/>
        <w:rPr>
          <w:rFonts w:hint="eastAsia"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电子邮箱：</w:t>
      </w:r>
      <w:r>
        <w:rPr>
          <w:rFonts w:hint="eastAsia" w:ascii="宋体" w:hAnsi="宋体" w:eastAsia="宋体" w:cs="宋体"/>
          <w:color w:val="auto"/>
          <w:kern w:val="0"/>
          <w:szCs w:val="21"/>
          <w:highlight w:val="none"/>
          <w:u w:val="single"/>
          <w:lang w:bidi="ar"/>
        </w:rPr>
        <w:t xml:space="preserve">                                       </w:t>
      </w:r>
    </w:p>
    <w:p w14:paraId="63087162">
      <w:pPr>
        <w:autoSpaceDE w:val="0"/>
        <w:adjustRightInd w:val="0"/>
        <w:snapToGrid w:val="0"/>
        <w:spacing w:line="360" w:lineRule="auto"/>
        <w:ind w:firstLine="525" w:firstLineChars="250"/>
        <w:rPr>
          <w:rFonts w:hint="eastAsia"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联系地址：</w:t>
      </w:r>
      <w:r>
        <w:rPr>
          <w:rFonts w:hint="eastAsia" w:ascii="宋体" w:hAnsi="宋体" w:eastAsia="宋体" w:cs="宋体"/>
          <w:color w:val="auto"/>
          <w:kern w:val="0"/>
          <w:szCs w:val="21"/>
          <w:highlight w:val="none"/>
          <w:u w:val="single"/>
          <w:lang w:bidi="ar"/>
        </w:rPr>
        <w:t xml:space="preserve">                                       </w:t>
      </w:r>
    </w:p>
    <w:p w14:paraId="076ECF0B">
      <w:pPr>
        <w:autoSpaceDE w:val="0"/>
        <w:adjustRightInd w:val="0"/>
        <w:snapToGrid w:val="0"/>
        <w:spacing w:line="360" w:lineRule="auto"/>
        <w:ind w:firstLine="525" w:firstLineChars="250"/>
        <w:rPr>
          <w:rFonts w:hint="eastAsia"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日期：</w:t>
      </w:r>
      <w:r>
        <w:rPr>
          <w:rFonts w:hint="eastAsia" w:ascii="宋体" w:hAnsi="宋体" w:eastAsia="宋体" w:cs="宋体"/>
          <w:color w:val="auto"/>
          <w:kern w:val="0"/>
          <w:szCs w:val="21"/>
          <w:highlight w:val="none"/>
          <w:u w:val="single"/>
          <w:lang w:bidi="ar"/>
        </w:rPr>
        <w:t xml:space="preserve">                                           </w:t>
      </w:r>
    </w:p>
    <w:p w14:paraId="21790737">
      <w:pPr>
        <w:autoSpaceDE w:val="0"/>
        <w:adjustRightInd w:val="0"/>
        <w:spacing w:line="360" w:lineRule="auto"/>
        <w:ind w:firstLine="422" w:firstLineChars="200"/>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bidi="ar"/>
        </w:rPr>
        <w:t>备注: 投标文件正本内必须提供原件。</w:t>
      </w:r>
    </w:p>
    <w:p w14:paraId="66192ADA">
      <w:pPr>
        <w:rPr>
          <w:rFonts w:hint="eastAsia" w:ascii="宋体" w:hAnsi="宋体" w:eastAsia="宋体" w:cs="宋体"/>
          <w:b/>
          <w:bCs/>
          <w:color w:val="auto"/>
          <w:sz w:val="28"/>
          <w:szCs w:val="32"/>
          <w:highlight w:val="none"/>
          <w:lang w:val="zh-CN"/>
        </w:rPr>
      </w:pPr>
      <w:r>
        <w:rPr>
          <w:rFonts w:hint="eastAsia" w:ascii="宋体" w:hAnsi="宋体" w:eastAsia="宋体" w:cs="宋体"/>
          <w:b/>
          <w:bCs/>
          <w:color w:val="auto"/>
          <w:sz w:val="28"/>
          <w:szCs w:val="32"/>
          <w:highlight w:val="none"/>
          <w:lang w:val="zh-CN"/>
        </w:rPr>
        <w:br w:type="page"/>
      </w:r>
    </w:p>
    <w:p w14:paraId="6E10DDE2">
      <w:pPr>
        <w:bidi w:val="0"/>
        <w:jc w:val="center"/>
        <w:rPr>
          <w:rFonts w:hint="eastAsia" w:ascii="宋体" w:hAnsi="宋体" w:eastAsia="宋体" w:cs="宋体"/>
          <w:b/>
          <w:bCs/>
          <w:color w:val="auto"/>
          <w:sz w:val="28"/>
          <w:szCs w:val="32"/>
          <w:highlight w:val="none"/>
        </w:rPr>
      </w:pPr>
      <w:r>
        <w:rPr>
          <w:rFonts w:hint="eastAsia" w:ascii="宋体" w:hAnsi="宋体" w:eastAsia="宋体" w:cs="宋体"/>
          <w:b/>
          <w:bCs/>
          <w:color w:val="auto"/>
          <w:sz w:val="28"/>
          <w:szCs w:val="32"/>
          <w:highlight w:val="none"/>
        </w:rPr>
        <w:t>（2）制造商售后服务承诺函及独家授权书</w:t>
      </w:r>
    </w:p>
    <w:p w14:paraId="1ED97313">
      <w:pPr>
        <w:bidi w:val="0"/>
        <w:jc w:val="center"/>
        <w:rPr>
          <w:rFonts w:hint="eastAsia" w:ascii="宋体" w:hAnsi="宋体" w:eastAsia="宋体" w:cs="宋体"/>
          <w:b/>
          <w:bCs/>
          <w:color w:val="auto"/>
          <w:sz w:val="24"/>
          <w:szCs w:val="28"/>
          <w:highlight w:val="none"/>
        </w:rPr>
      </w:pPr>
      <w:r>
        <w:rPr>
          <w:rFonts w:hint="eastAsia" w:ascii="宋体" w:hAnsi="宋体" w:eastAsia="宋体" w:cs="宋体"/>
          <w:b/>
          <w:bCs/>
          <w:color w:val="auto"/>
          <w:sz w:val="24"/>
          <w:szCs w:val="28"/>
          <w:highlight w:val="none"/>
        </w:rPr>
        <w:t>①制造商售后服务承诺函</w:t>
      </w:r>
    </w:p>
    <w:p w14:paraId="1016F181">
      <w:pPr>
        <w:autoSpaceDE w:val="0"/>
        <w:adjustRightInd w:val="0"/>
        <w:spacing w:line="360" w:lineRule="auto"/>
        <w:ind w:firstLine="1054" w:firstLineChars="500"/>
        <w:jc w:val="left"/>
        <w:rPr>
          <w:rFonts w:hint="eastAsia" w:ascii="宋体" w:hAnsi="宋体" w:eastAsia="宋体" w:cs="宋体"/>
          <w:b/>
          <w:color w:val="auto"/>
          <w:szCs w:val="21"/>
          <w:highlight w:val="none"/>
          <w:u w:val="single"/>
        </w:rPr>
      </w:pPr>
      <w:r>
        <w:rPr>
          <w:rFonts w:hint="eastAsia" w:ascii="宋体" w:hAnsi="宋体" w:eastAsia="宋体" w:cs="宋体"/>
          <w:b/>
          <w:color w:val="auto"/>
          <w:szCs w:val="21"/>
          <w:highlight w:val="none"/>
          <w:lang w:bidi="ar"/>
        </w:rPr>
        <w:t>（投标人根据实际情况选用，本格式适用于：</w:t>
      </w:r>
      <w:r>
        <w:rPr>
          <w:rFonts w:hint="eastAsia" w:ascii="宋体" w:hAnsi="宋体" w:eastAsia="宋体" w:cs="宋体"/>
          <w:b/>
          <w:color w:val="auto"/>
          <w:szCs w:val="21"/>
          <w:highlight w:val="none"/>
          <w:u w:val="single"/>
          <w:lang w:bidi="ar"/>
        </w:rPr>
        <w:t>投标人为制造商时提供。</w:t>
      </w:r>
      <w:r>
        <w:rPr>
          <w:rFonts w:hint="eastAsia" w:ascii="宋体" w:hAnsi="宋体" w:eastAsia="宋体" w:cs="宋体"/>
          <w:b/>
          <w:color w:val="auto"/>
          <w:szCs w:val="21"/>
          <w:highlight w:val="none"/>
          <w:lang w:bidi="ar"/>
        </w:rPr>
        <w:t>）</w:t>
      </w:r>
    </w:p>
    <w:p w14:paraId="6990D9C7">
      <w:pPr>
        <w:autoSpaceDE w:val="0"/>
        <w:adjustRightInd w:val="0"/>
        <w:spacing w:line="360" w:lineRule="auto"/>
        <w:jc w:val="left"/>
        <w:rPr>
          <w:rFonts w:hint="eastAsia" w:ascii="宋体" w:hAnsi="宋体" w:eastAsia="宋体" w:cs="宋体"/>
          <w:color w:val="auto"/>
          <w:szCs w:val="21"/>
          <w:highlight w:val="none"/>
          <w:lang w:eastAsia="zh-CN"/>
        </w:rPr>
      </w:pPr>
      <w:r>
        <w:rPr>
          <w:rFonts w:hint="eastAsia" w:ascii="宋体" w:hAnsi="宋体" w:eastAsia="宋体" w:cs="宋体"/>
          <w:color w:val="auto"/>
          <w:kern w:val="0"/>
          <w:szCs w:val="21"/>
          <w:highlight w:val="none"/>
          <w:lang w:bidi="ar"/>
        </w:rPr>
        <w:t>致：</w:t>
      </w:r>
      <w:r>
        <w:rPr>
          <w:rFonts w:hint="eastAsia" w:ascii="宋体" w:hAnsi="宋体" w:eastAsia="宋体" w:cs="宋体"/>
          <w:color w:val="auto"/>
          <w:kern w:val="0"/>
          <w:szCs w:val="21"/>
          <w:highlight w:val="none"/>
          <w:lang w:eastAsia="zh-CN" w:bidi="ar"/>
        </w:rPr>
        <w:t>东莞市碧水信息科技有限公司</w:t>
      </w:r>
    </w:p>
    <w:p w14:paraId="0CAEB2A8">
      <w:pPr>
        <w:autoSpaceDE w:val="0"/>
        <w:adjustRightIn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我方就</w:t>
      </w:r>
      <w:r>
        <w:rPr>
          <w:rFonts w:hint="eastAsia" w:cs="宋体"/>
          <w:b/>
          <w:bCs/>
          <w:color w:val="auto"/>
          <w:kern w:val="0"/>
          <w:sz w:val="21"/>
          <w:szCs w:val="21"/>
          <w:highlight w:val="none"/>
          <w:lang w:val="zh-CN" w:eastAsia="zh-CN" w:bidi="ar"/>
        </w:rPr>
        <w:t>东莞市碧水信息科技有限公司2025年度球墨铸铁阀门采购项目（第三次招标）</w:t>
      </w:r>
      <w:r>
        <w:rPr>
          <w:rFonts w:hint="eastAsia" w:ascii="宋体" w:hAnsi="宋体" w:eastAsia="宋体" w:cs="宋体"/>
          <w:b/>
          <w:color w:val="auto"/>
          <w:kern w:val="0"/>
          <w:szCs w:val="21"/>
          <w:highlight w:val="none"/>
          <w:u w:val="single"/>
          <w:lang w:bidi="ar"/>
        </w:rPr>
        <w:t>（招标编号：</w:t>
      </w:r>
      <w:r>
        <w:rPr>
          <w:rFonts w:hint="eastAsia" w:cs="宋体"/>
          <w:b/>
          <w:color w:val="auto"/>
          <w:kern w:val="0"/>
          <w:szCs w:val="21"/>
          <w:highlight w:val="none"/>
          <w:u w:val="single"/>
          <w:lang w:val="en-US" w:eastAsia="zh-CN" w:bidi="ar"/>
        </w:rPr>
        <w:t>YDZB25DGQY0149-2</w:t>
      </w:r>
      <w:r>
        <w:rPr>
          <w:rFonts w:hint="eastAsia" w:ascii="宋体" w:hAnsi="宋体" w:eastAsia="宋体" w:cs="宋体"/>
          <w:b/>
          <w:color w:val="auto"/>
          <w:kern w:val="0"/>
          <w:szCs w:val="21"/>
          <w:highlight w:val="none"/>
          <w:u w:val="single"/>
          <w:lang w:bidi="ar"/>
        </w:rPr>
        <w:t>）</w:t>
      </w:r>
      <w:r>
        <w:rPr>
          <w:rFonts w:hint="eastAsia" w:ascii="宋体" w:hAnsi="宋体" w:eastAsia="宋体" w:cs="宋体"/>
          <w:color w:val="auto"/>
          <w:kern w:val="0"/>
          <w:szCs w:val="21"/>
          <w:highlight w:val="none"/>
          <w:lang w:bidi="ar"/>
        </w:rPr>
        <w:t>售后服务事宜承诺如下：</w:t>
      </w:r>
    </w:p>
    <w:p w14:paraId="427BE296">
      <w:pPr>
        <w:autoSpaceDE w:val="0"/>
        <w:adjustRightIn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我方对我方提供货物的质量和售后服务承担全部责任。本次提供的货物按以下方式提供售后服务：</w:t>
      </w:r>
    </w:p>
    <w:p w14:paraId="4C8DEE53">
      <w:pPr>
        <w:autoSpaceDE w:val="0"/>
        <w:adjustRightIn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我方保证在以下承诺的质保期内，我方在中华人民共和国关境内具有常驻的售后服务机构和服务人员，由我方直接向贵方按照招标文件的要求和范围，</w:t>
      </w:r>
      <w:r>
        <w:rPr>
          <w:rFonts w:hint="eastAsia" w:ascii="宋体" w:hAnsi="宋体" w:eastAsia="宋体" w:cs="宋体"/>
          <w:bCs/>
          <w:color w:val="auto"/>
          <w:kern w:val="0"/>
          <w:szCs w:val="21"/>
          <w:highlight w:val="none"/>
          <w:lang w:bidi="ar"/>
        </w:rPr>
        <w:t>并按照投标承诺</w:t>
      </w:r>
      <w:r>
        <w:rPr>
          <w:rFonts w:hint="eastAsia" w:ascii="宋体" w:hAnsi="宋体" w:eastAsia="宋体" w:cs="宋体"/>
          <w:color w:val="auto"/>
          <w:kern w:val="0"/>
          <w:szCs w:val="21"/>
          <w:highlight w:val="none"/>
          <w:lang w:bidi="ar"/>
        </w:rPr>
        <w:t>内提供免费的质保期保修服务，质保期自本项目所有设备验收合格之日起算（以设备整体验收报告日期为准）。</w:t>
      </w:r>
    </w:p>
    <w:p w14:paraId="320C12FA">
      <w:pPr>
        <w:autoSpaceDE w:val="0"/>
        <w:autoSpaceDN w:val="0"/>
        <w:adjustRightIn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质保期服务期间，质保服务包括但不限于对设备出现的不符合招标文件要求或我方出厂质量标准的、有问题的地方按招标文件要求及时进行免费维修、保修或更换配件，在设备出现严重故障、影响正常运行、修复有困难的情况下，我方承诺对设备进行免费更换。</w:t>
      </w:r>
    </w:p>
    <w:p w14:paraId="5681A2D1">
      <w:pPr>
        <w:autoSpaceDE w:val="0"/>
        <w:adjustRightIn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3</w:t>
      </w:r>
      <w:r>
        <w:rPr>
          <w:rFonts w:hint="eastAsia" w:ascii="宋体" w:hAnsi="宋体" w:eastAsia="宋体" w:cs="宋体"/>
          <w:color w:val="auto"/>
          <w:kern w:val="0"/>
          <w:szCs w:val="21"/>
          <w:highlight w:val="none"/>
          <w:lang w:val="en-US" w:eastAsia="zh-CN" w:bidi="ar"/>
        </w:rPr>
        <w:t>.</w:t>
      </w:r>
      <w:r>
        <w:rPr>
          <w:rFonts w:hint="eastAsia" w:ascii="宋体" w:hAnsi="宋体" w:eastAsia="宋体" w:cs="宋体"/>
          <w:color w:val="auto"/>
          <w:kern w:val="0"/>
          <w:szCs w:val="21"/>
          <w:highlight w:val="none"/>
          <w:lang w:bidi="ar"/>
        </w:rPr>
        <w:t>我方此次参与贵方投标的产品如下：</w:t>
      </w:r>
    </w:p>
    <w:tbl>
      <w:tblPr>
        <w:tblStyle w:val="2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0"/>
        <w:gridCol w:w="2134"/>
        <w:gridCol w:w="1320"/>
        <w:gridCol w:w="1598"/>
        <w:gridCol w:w="1409"/>
        <w:gridCol w:w="1606"/>
        <w:gridCol w:w="1259"/>
      </w:tblGrid>
      <w:tr w14:paraId="6C56F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1" w:type="pct"/>
            <w:tcBorders>
              <w:top w:val="single" w:color="auto" w:sz="4" w:space="0"/>
              <w:left w:val="single" w:color="auto" w:sz="4" w:space="0"/>
              <w:bottom w:val="single" w:color="auto" w:sz="4" w:space="0"/>
              <w:right w:val="single" w:color="auto" w:sz="4" w:space="0"/>
            </w:tcBorders>
            <w:shd w:val="clear" w:color="auto" w:fill="auto"/>
            <w:vAlign w:val="center"/>
          </w:tcPr>
          <w:p w14:paraId="4F95C380">
            <w:pPr>
              <w:autoSpaceDE w:val="0"/>
              <w:adjustRightIn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序号</w:t>
            </w:r>
          </w:p>
        </w:tc>
        <w:tc>
          <w:tcPr>
            <w:tcW w:w="1036" w:type="pct"/>
            <w:tcBorders>
              <w:top w:val="single" w:color="auto" w:sz="4" w:space="0"/>
              <w:left w:val="nil"/>
              <w:bottom w:val="single" w:color="auto" w:sz="4" w:space="0"/>
              <w:right w:val="single" w:color="auto" w:sz="4" w:space="0"/>
            </w:tcBorders>
            <w:shd w:val="clear" w:color="auto" w:fill="auto"/>
            <w:vAlign w:val="center"/>
          </w:tcPr>
          <w:p w14:paraId="31F6F59C">
            <w:pPr>
              <w:autoSpaceDE w:val="0"/>
              <w:adjustRightIn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产品名称</w:t>
            </w:r>
          </w:p>
        </w:tc>
        <w:tc>
          <w:tcPr>
            <w:tcW w:w="641" w:type="pct"/>
            <w:tcBorders>
              <w:top w:val="single" w:color="auto" w:sz="4" w:space="0"/>
              <w:left w:val="nil"/>
              <w:bottom w:val="single" w:color="auto" w:sz="4" w:space="0"/>
              <w:right w:val="single" w:color="auto" w:sz="4" w:space="0"/>
            </w:tcBorders>
            <w:shd w:val="clear" w:color="auto" w:fill="auto"/>
            <w:vAlign w:val="center"/>
          </w:tcPr>
          <w:p w14:paraId="5F8355F5">
            <w:pPr>
              <w:autoSpaceDE w:val="0"/>
              <w:adjustRightIn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品牌</w:t>
            </w:r>
          </w:p>
        </w:tc>
        <w:tc>
          <w:tcPr>
            <w:tcW w:w="776" w:type="pct"/>
            <w:tcBorders>
              <w:top w:val="single" w:color="auto" w:sz="4" w:space="0"/>
              <w:left w:val="nil"/>
              <w:bottom w:val="single" w:color="auto" w:sz="4" w:space="0"/>
              <w:right w:val="single" w:color="auto" w:sz="4" w:space="0"/>
            </w:tcBorders>
            <w:shd w:val="clear" w:color="auto" w:fill="auto"/>
            <w:vAlign w:val="center"/>
          </w:tcPr>
          <w:p w14:paraId="3C2EB024">
            <w:pPr>
              <w:autoSpaceDE w:val="0"/>
              <w:adjustRightIn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规格型号</w:t>
            </w:r>
          </w:p>
        </w:tc>
        <w:tc>
          <w:tcPr>
            <w:tcW w:w="684" w:type="pct"/>
            <w:tcBorders>
              <w:top w:val="single" w:color="auto" w:sz="4" w:space="0"/>
              <w:left w:val="nil"/>
              <w:bottom w:val="single" w:color="auto" w:sz="4" w:space="0"/>
              <w:right w:val="single" w:color="auto" w:sz="4" w:space="0"/>
            </w:tcBorders>
            <w:shd w:val="clear" w:color="auto" w:fill="auto"/>
            <w:vAlign w:val="center"/>
          </w:tcPr>
          <w:p w14:paraId="55678636">
            <w:pPr>
              <w:autoSpaceDE w:val="0"/>
              <w:adjustRightIn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产地</w:t>
            </w:r>
          </w:p>
        </w:tc>
        <w:tc>
          <w:tcPr>
            <w:tcW w:w="780" w:type="pct"/>
            <w:tcBorders>
              <w:top w:val="single" w:color="auto" w:sz="4" w:space="0"/>
              <w:left w:val="nil"/>
              <w:bottom w:val="single" w:color="auto" w:sz="4" w:space="0"/>
              <w:right w:val="single" w:color="auto" w:sz="4" w:space="0"/>
            </w:tcBorders>
            <w:shd w:val="clear" w:color="auto" w:fill="auto"/>
            <w:vAlign w:val="center"/>
          </w:tcPr>
          <w:p w14:paraId="49999FB3">
            <w:pPr>
              <w:autoSpaceDE w:val="0"/>
              <w:adjustRightIn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单位</w:t>
            </w:r>
          </w:p>
        </w:tc>
        <w:tc>
          <w:tcPr>
            <w:tcW w:w="611" w:type="pct"/>
            <w:tcBorders>
              <w:top w:val="single" w:color="auto" w:sz="4" w:space="0"/>
              <w:left w:val="nil"/>
              <w:bottom w:val="single" w:color="auto" w:sz="4" w:space="0"/>
              <w:right w:val="single" w:color="auto" w:sz="4" w:space="0"/>
            </w:tcBorders>
            <w:shd w:val="clear" w:color="auto" w:fill="auto"/>
            <w:vAlign w:val="center"/>
          </w:tcPr>
          <w:p w14:paraId="0079DC27">
            <w:pPr>
              <w:autoSpaceDE w:val="0"/>
              <w:adjustRightIn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数量</w:t>
            </w:r>
          </w:p>
        </w:tc>
      </w:tr>
      <w:tr w14:paraId="514B1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1" w:type="pct"/>
            <w:tcBorders>
              <w:top w:val="single" w:color="auto" w:sz="4" w:space="0"/>
              <w:left w:val="single" w:color="auto" w:sz="4" w:space="0"/>
              <w:bottom w:val="single" w:color="auto" w:sz="4" w:space="0"/>
              <w:right w:val="single" w:color="auto" w:sz="4" w:space="0"/>
            </w:tcBorders>
            <w:shd w:val="clear" w:color="auto" w:fill="auto"/>
            <w:vAlign w:val="center"/>
          </w:tcPr>
          <w:p w14:paraId="39C61BEC">
            <w:pPr>
              <w:autoSpaceDE w:val="0"/>
              <w:adjustRightIn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1</w:t>
            </w:r>
          </w:p>
        </w:tc>
        <w:tc>
          <w:tcPr>
            <w:tcW w:w="1036" w:type="pct"/>
            <w:tcBorders>
              <w:top w:val="single" w:color="auto" w:sz="4" w:space="0"/>
              <w:left w:val="nil"/>
              <w:bottom w:val="single" w:color="auto" w:sz="4" w:space="0"/>
              <w:right w:val="single" w:color="auto" w:sz="4" w:space="0"/>
            </w:tcBorders>
            <w:shd w:val="clear" w:color="auto" w:fill="auto"/>
            <w:vAlign w:val="center"/>
          </w:tcPr>
          <w:p w14:paraId="05861FCC">
            <w:pPr>
              <w:autoSpaceDE w:val="0"/>
              <w:adjustRightInd w:val="0"/>
              <w:spacing w:line="360" w:lineRule="auto"/>
              <w:jc w:val="left"/>
              <w:rPr>
                <w:rFonts w:hint="eastAsia" w:ascii="宋体" w:hAnsi="宋体" w:eastAsia="宋体" w:cs="宋体"/>
                <w:color w:val="auto"/>
                <w:szCs w:val="21"/>
                <w:highlight w:val="none"/>
              </w:rPr>
            </w:pPr>
          </w:p>
        </w:tc>
        <w:tc>
          <w:tcPr>
            <w:tcW w:w="641" w:type="pct"/>
            <w:tcBorders>
              <w:top w:val="single" w:color="auto" w:sz="4" w:space="0"/>
              <w:left w:val="nil"/>
              <w:bottom w:val="single" w:color="auto" w:sz="4" w:space="0"/>
              <w:right w:val="single" w:color="auto" w:sz="4" w:space="0"/>
            </w:tcBorders>
            <w:shd w:val="clear" w:color="auto" w:fill="auto"/>
            <w:vAlign w:val="center"/>
          </w:tcPr>
          <w:p w14:paraId="6DB6E093">
            <w:pPr>
              <w:autoSpaceDE w:val="0"/>
              <w:adjustRightInd w:val="0"/>
              <w:spacing w:line="360" w:lineRule="auto"/>
              <w:jc w:val="left"/>
              <w:rPr>
                <w:rFonts w:hint="eastAsia" w:ascii="宋体" w:hAnsi="宋体" w:eastAsia="宋体" w:cs="宋体"/>
                <w:color w:val="auto"/>
                <w:szCs w:val="21"/>
                <w:highlight w:val="none"/>
              </w:rPr>
            </w:pPr>
          </w:p>
        </w:tc>
        <w:tc>
          <w:tcPr>
            <w:tcW w:w="776" w:type="pct"/>
            <w:tcBorders>
              <w:top w:val="single" w:color="auto" w:sz="4" w:space="0"/>
              <w:left w:val="nil"/>
              <w:bottom w:val="single" w:color="auto" w:sz="4" w:space="0"/>
              <w:right w:val="single" w:color="auto" w:sz="4" w:space="0"/>
            </w:tcBorders>
            <w:shd w:val="clear" w:color="auto" w:fill="auto"/>
            <w:vAlign w:val="center"/>
          </w:tcPr>
          <w:p w14:paraId="09B2BAFF">
            <w:pPr>
              <w:autoSpaceDE w:val="0"/>
              <w:adjustRightInd w:val="0"/>
              <w:spacing w:line="360" w:lineRule="auto"/>
              <w:jc w:val="left"/>
              <w:rPr>
                <w:rFonts w:hint="eastAsia" w:ascii="宋体" w:hAnsi="宋体" w:eastAsia="宋体" w:cs="宋体"/>
                <w:color w:val="auto"/>
                <w:szCs w:val="21"/>
                <w:highlight w:val="none"/>
              </w:rPr>
            </w:pPr>
          </w:p>
        </w:tc>
        <w:tc>
          <w:tcPr>
            <w:tcW w:w="684" w:type="pct"/>
            <w:tcBorders>
              <w:top w:val="single" w:color="auto" w:sz="4" w:space="0"/>
              <w:left w:val="nil"/>
              <w:bottom w:val="single" w:color="auto" w:sz="4" w:space="0"/>
              <w:right w:val="single" w:color="auto" w:sz="4" w:space="0"/>
            </w:tcBorders>
            <w:shd w:val="clear" w:color="auto" w:fill="auto"/>
            <w:vAlign w:val="center"/>
          </w:tcPr>
          <w:p w14:paraId="176B4813">
            <w:pPr>
              <w:autoSpaceDE w:val="0"/>
              <w:adjustRightInd w:val="0"/>
              <w:spacing w:line="360" w:lineRule="auto"/>
              <w:jc w:val="left"/>
              <w:rPr>
                <w:rFonts w:hint="eastAsia" w:ascii="宋体" w:hAnsi="宋体" w:eastAsia="宋体" w:cs="宋体"/>
                <w:color w:val="auto"/>
                <w:szCs w:val="21"/>
                <w:highlight w:val="none"/>
              </w:rPr>
            </w:pPr>
          </w:p>
        </w:tc>
        <w:tc>
          <w:tcPr>
            <w:tcW w:w="780" w:type="pct"/>
            <w:tcBorders>
              <w:top w:val="single" w:color="auto" w:sz="4" w:space="0"/>
              <w:left w:val="nil"/>
              <w:bottom w:val="single" w:color="auto" w:sz="4" w:space="0"/>
              <w:right w:val="single" w:color="auto" w:sz="4" w:space="0"/>
            </w:tcBorders>
            <w:shd w:val="clear" w:color="auto" w:fill="auto"/>
            <w:vAlign w:val="center"/>
          </w:tcPr>
          <w:p w14:paraId="5BBD08D4">
            <w:pPr>
              <w:autoSpaceDE w:val="0"/>
              <w:adjustRightInd w:val="0"/>
              <w:spacing w:line="360" w:lineRule="auto"/>
              <w:jc w:val="left"/>
              <w:rPr>
                <w:rFonts w:hint="eastAsia" w:ascii="宋体" w:hAnsi="宋体" w:eastAsia="宋体" w:cs="宋体"/>
                <w:color w:val="auto"/>
                <w:szCs w:val="21"/>
                <w:highlight w:val="none"/>
              </w:rPr>
            </w:pPr>
          </w:p>
        </w:tc>
        <w:tc>
          <w:tcPr>
            <w:tcW w:w="611" w:type="pct"/>
            <w:tcBorders>
              <w:top w:val="single" w:color="auto" w:sz="4" w:space="0"/>
              <w:left w:val="nil"/>
              <w:bottom w:val="single" w:color="auto" w:sz="4" w:space="0"/>
              <w:right w:val="single" w:color="auto" w:sz="4" w:space="0"/>
            </w:tcBorders>
            <w:shd w:val="clear" w:color="auto" w:fill="auto"/>
            <w:vAlign w:val="center"/>
          </w:tcPr>
          <w:p w14:paraId="7B5CADA0">
            <w:pPr>
              <w:autoSpaceDE w:val="0"/>
              <w:adjustRightInd w:val="0"/>
              <w:spacing w:line="360" w:lineRule="auto"/>
              <w:jc w:val="left"/>
              <w:rPr>
                <w:rFonts w:hint="eastAsia" w:ascii="宋体" w:hAnsi="宋体" w:eastAsia="宋体" w:cs="宋体"/>
                <w:color w:val="auto"/>
                <w:szCs w:val="21"/>
                <w:highlight w:val="none"/>
              </w:rPr>
            </w:pPr>
          </w:p>
        </w:tc>
      </w:tr>
      <w:tr w14:paraId="19F58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1" w:type="pct"/>
            <w:tcBorders>
              <w:top w:val="single" w:color="auto" w:sz="4" w:space="0"/>
              <w:left w:val="single" w:color="auto" w:sz="4" w:space="0"/>
              <w:bottom w:val="single" w:color="auto" w:sz="4" w:space="0"/>
              <w:right w:val="single" w:color="auto" w:sz="4" w:space="0"/>
            </w:tcBorders>
            <w:shd w:val="clear" w:color="auto" w:fill="auto"/>
            <w:vAlign w:val="center"/>
          </w:tcPr>
          <w:p w14:paraId="1D99FB00">
            <w:pPr>
              <w:autoSpaceDE w:val="0"/>
              <w:adjustRightIn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2</w:t>
            </w:r>
          </w:p>
        </w:tc>
        <w:tc>
          <w:tcPr>
            <w:tcW w:w="1036" w:type="pct"/>
            <w:tcBorders>
              <w:top w:val="single" w:color="auto" w:sz="4" w:space="0"/>
              <w:left w:val="nil"/>
              <w:bottom w:val="single" w:color="auto" w:sz="4" w:space="0"/>
              <w:right w:val="single" w:color="auto" w:sz="4" w:space="0"/>
            </w:tcBorders>
            <w:shd w:val="clear" w:color="auto" w:fill="auto"/>
            <w:vAlign w:val="center"/>
          </w:tcPr>
          <w:p w14:paraId="34DEDA66">
            <w:pPr>
              <w:autoSpaceDE w:val="0"/>
              <w:adjustRightInd w:val="0"/>
              <w:spacing w:line="360" w:lineRule="auto"/>
              <w:jc w:val="left"/>
              <w:rPr>
                <w:rFonts w:hint="eastAsia" w:ascii="宋体" w:hAnsi="宋体" w:eastAsia="宋体" w:cs="宋体"/>
                <w:color w:val="auto"/>
                <w:szCs w:val="21"/>
                <w:highlight w:val="none"/>
              </w:rPr>
            </w:pPr>
          </w:p>
        </w:tc>
        <w:tc>
          <w:tcPr>
            <w:tcW w:w="641" w:type="pct"/>
            <w:tcBorders>
              <w:top w:val="single" w:color="auto" w:sz="4" w:space="0"/>
              <w:left w:val="nil"/>
              <w:bottom w:val="single" w:color="auto" w:sz="4" w:space="0"/>
              <w:right w:val="single" w:color="auto" w:sz="4" w:space="0"/>
            </w:tcBorders>
            <w:shd w:val="clear" w:color="auto" w:fill="auto"/>
            <w:vAlign w:val="center"/>
          </w:tcPr>
          <w:p w14:paraId="45BC9B3A">
            <w:pPr>
              <w:autoSpaceDE w:val="0"/>
              <w:adjustRightInd w:val="0"/>
              <w:spacing w:line="360" w:lineRule="auto"/>
              <w:jc w:val="left"/>
              <w:rPr>
                <w:rFonts w:hint="eastAsia" w:ascii="宋体" w:hAnsi="宋体" w:eastAsia="宋体" w:cs="宋体"/>
                <w:color w:val="auto"/>
                <w:szCs w:val="21"/>
                <w:highlight w:val="none"/>
              </w:rPr>
            </w:pPr>
          </w:p>
        </w:tc>
        <w:tc>
          <w:tcPr>
            <w:tcW w:w="776" w:type="pct"/>
            <w:tcBorders>
              <w:top w:val="single" w:color="auto" w:sz="4" w:space="0"/>
              <w:left w:val="nil"/>
              <w:bottom w:val="single" w:color="auto" w:sz="4" w:space="0"/>
              <w:right w:val="single" w:color="auto" w:sz="4" w:space="0"/>
            </w:tcBorders>
            <w:shd w:val="clear" w:color="auto" w:fill="auto"/>
            <w:vAlign w:val="center"/>
          </w:tcPr>
          <w:p w14:paraId="2EAD889D">
            <w:pPr>
              <w:autoSpaceDE w:val="0"/>
              <w:adjustRightInd w:val="0"/>
              <w:spacing w:line="360" w:lineRule="auto"/>
              <w:jc w:val="left"/>
              <w:rPr>
                <w:rFonts w:hint="eastAsia" w:ascii="宋体" w:hAnsi="宋体" w:eastAsia="宋体" w:cs="宋体"/>
                <w:color w:val="auto"/>
                <w:szCs w:val="21"/>
                <w:highlight w:val="none"/>
              </w:rPr>
            </w:pPr>
          </w:p>
        </w:tc>
        <w:tc>
          <w:tcPr>
            <w:tcW w:w="684" w:type="pct"/>
            <w:tcBorders>
              <w:top w:val="single" w:color="auto" w:sz="4" w:space="0"/>
              <w:left w:val="nil"/>
              <w:bottom w:val="single" w:color="auto" w:sz="4" w:space="0"/>
              <w:right w:val="single" w:color="auto" w:sz="4" w:space="0"/>
            </w:tcBorders>
            <w:shd w:val="clear" w:color="auto" w:fill="auto"/>
            <w:vAlign w:val="center"/>
          </w:tcPr>
          <w:p w14:paraId="5856F10A">
            <w:pPr>
              <w:autoSpaceDE w:val="0"/>
              <w:adjustRightInd w:val="0"/>
              <w:spacing w:line="360" w:lineRule="auto"/>
              <w:jc w:val="left"/>
              <w:rPr>
                <w:rFonts w:hint="eastAsia" w:ascii="宋体" w:hAnsi="宋体" w:eastAsia="宋体" w:cs="宋体"/>
                <w:color w:val="auto"/>
                <w:szCs w:val="21"/>
                <w:highlight w:val="none"/>
              </w:rPr>
            </w:pPr>
          </w:p>
        </w:tc>
        <w:tc>
          <w:tcPr>
            <w:tcW w:w="780" w:type="pct"/>
            <w:tcBorders>
              <w:top w:val="single" w:color="auto" w:sz="4" w:space="0"/>
              <w:left w:val="nil"/>
              <w:bottom w:val="single" w:color="auto" w:sz="4" w:space="0"/>
              <w:right w:val="single" w:color="auto" w:sz="4" w:space="0"/>
            </w:tcBorders>
            <w:shd w:val="clear" w:color="auto" w:fill="auto"/>
            <w:vAlign w:val="center"/>
          </w:tcPr>
          <w:p w14:paraId="66DBE0EB">
            <w:pPr>
              <w:autoSpaceDE w:val="0"/>
              <w:adjustRightInd w:val="0"/>
              <w:spacing w:line="360" w:lineRule="auto"/>
              <w:jc w:val="left"/>
              <w:rPr>
                <w:rFonts w:hint="eastAsia" w:ascii="宋体" w:hAnsi="宋体" w:eastAsia="宋体" w:cs="宋体"/>
                <w:color w:val="auto"/>
                <w:szCs w:val="21"/>
                <w:highlight w:val="none"/>
              </w:rPr>
            </w:pPr>
          </w:p>
        </w:tc>
        <w:tc>
          <w:tcPr>
            <w:tcW w:w="611" w:type="pct"/>
            <w:tcBorders>
              <w:top w:val="single" w:color="auto" w:sz="4" w:space="0"/>
              <w:left w:val="nil"/>
              <w:bottom w:val="single" w:color="auto" w:sz="4" w:space="0"/>
              <w:right w:val="single" w:color="auto" w:sz="4" w:space="0"/>
            </w:tcBorders>
            <w:shd w:val="clear" w:color="auto" w:fill="auto"/>
            <w:vAlign w:val="center"/>
          </w:tcPr>
          <w:p w14:paraId="3B833E94">
            <w:pPr>
              <w:autoSpaceDE w:val="0"/>
              <w:adjustRightInd w:val="0"/>
              <w:spacing w:line="360" w:lineRule="auto"/>
              <w:jc w:val="left"/>
              <w:rPr>
                <w:rFonts w:hint="eastAsia" w:ascii="宋体" w:hAnsi="宋体" w:eastAsia="宋体" w:cs="宋体"/>
                <w:color w:val="auto"/>
                <w:szCs w:val="21"/>
                <w:highlight w:val="none"/>
              </w:rPr>
            </w:pPr>
          </w:p>
        </w:tc>
      </w:tr>
      <w:tr w14:paraId="59479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1" w:type="pct"/>
            <w:tcBorders>
              <w:top w:val="single" w:color="auto" w:sz="4" w:space="0"/>
              <w:left w:val="single" w:color="auto" w:sz="4" w:space="0"/>
              <w:bottom w:val="single" w:color="auto" w:sz="4" w:space="0"/>
              <w:right w:val="single" w:color="auto" w:sz="4" w:space="0"/>
            </w:tcBorders>
            <w:shd w:val="clear" w:color="auto" w:fill="auto"/>
            <w:vAlign w:val="center"/>
          </w:tcPr>
          <w:p w14:paraId="593E01C2">
            <w:pPr>
              <w:autoSpaceDE w:val="0"/>
              <w:adjustRightIn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w:t>
            </w:r>
          </w:p>
        </w:tc>
        <w:tc>
          <w:tcPr>
            <w:tcW w:w="1036" w:type="pct"/>
            <w:tcBorders>
              <w:top w:val="single" w:color="auto" w:sz="4" w:space="0"/>
              <w:left w:val="nil"/>
              <w:bottom w:val="single" w:color="auto" w:sz="4" w:space="0"/>
              <w:right w:val="single" w:color="auto" w:sz="4" w:space="0"/>
            </w:tcBorders>
            <w:shd w:val="clear" w:color="auto" w:fill="auto"/>
            <w:vAlign w:val="center"/>
          </w:tcPr>
          <w:p w14:paraId="324E8F0F">
            <w:pPr>
              <w:autoSpaceDE w:val="0"/>
              <w:adjustRightInd w:val="0"/>
              <w:spacing w:line="360" w:lineRule="auto"/>
              <w:jc w:val="left"/>
              <w:rPr>
                <w:rFonts w:hint="eastAsia" w:ascii="宋体" w:hAnsi="宋体" w:eastAsia="宋体" w:cs="宋体"/>
                <w:color w:val="auto"/>
                <w:szCs w:val="21"/>
                <w:highlight w:val="none"/>
              </w:rPr>
            </w:pPr>
          </w:p>
        </w:tc>
        <w:tc>
          <w:tcPr>
            <w:tcW w:w="641" w:type="pct"/>
            <w:tcBorders>
              <w:top w:val="single" w:color="auto" w:sz="4" w:space="0"/>
              <w:left w:val="nil"/>
              <w:bottom w:val="single" w:color="auto" w:sz="4" w:space="0"/>
              <w:right w:val="single" w:color="auto" w:sz="4" w:space="0"/>
            </w:tcBorders>
            <w:shd w:val="clear" w:color="auto" w:fill="auto"/>
            <w:vAlign w:val="center"/>
          </w:tcPr>
          <w:p w14:paraId="5FA0A220">
            <w:pPr>
              <w:autoSpaceDE w:val="0"/>
              <w:adjustRightInd w:val="0"/>
              <w:spacing w:line="360" w:lineRule="auto"/>
              <w:jc w:val="left"/>
              <w:rPr>
                <w:rFonts w:hint="eastAsia" w:ascii="宋体" w:hAnsi="宋体" w:eastAsia="宋体" w:cs="宋体"/>
                <w:color w:val="auto"/>
                <w:szCs w:val="21"/>
                <w:highlight w:val="none"/>
              </w:rPr>
            </w:pPr>
          </w:p>
        </w:tc>
        <w:tc>
          <w:tcPr>
            <w:tcW w:w="776" w:type="pct"/>
            <w:tcBorders>
              <w:top w:val="single" w:color="auto" w:sz="4" w:space="0"/>
              <w:left w:val="nil"/>
              <w:bottom w:val="single" w:color="auto" w:sz="4" w:space="0"/>
              <w:right w:val="single" w:color="auto" w:sz="4" w:space="0"/>
            </w:tcBorders>
            <w:shd w:val="clear" w:color="auto" w:fill="auto"/>
            <w:vAlign w:val="center"/>
          </w:tcPr>
          <w:p w14:paraId="35D88651">
            <w:pPr>
              <w:autoSpaceDE w:val="0"/>
              <w:adjustRightInd w:val="0"/>
              <w:spacing w:line="360" w:lineRule="auto"/>
              <w:jc w:val="left"/>
              <w:rPr>
                <w:rFonts w:hint="eastAsia" w:ascii="宋体" w:hAnsi="宋体" w:eastAsia="宋体" w:cs="宋体"/>
                <w:color w:val="auto"/>
                <w:szCs w:val="21"/>
                <w:highlight w:val="none"/>
              </w:rPr>
            </w:pPr>
          </w:p>
        </w:tc>
        <w:tc>
          <w:tcPr>
            <w:tcW w:w="684" w:type="pct"/>
            <w:tcBorders>
              <w:top w:val="single" w:color="auto" w:sz="4" w:space="0"/>
              <w:left w:val="nil"/>
              <w:bottom w:val="single" w:color="auto" w:sz="4" w:space="0"/>
              <w:right w:val="single" w:color="auto" w:sz="4" w:space="0"/>
            </w:tcBorders>
            <w:shd w:val="clear" w:color="auto" w:fill="auto"/>
            <w:vAlign w:val="center"/>
          </w:tcPr>
          <w:p w14:paraId="33AED84A">
            <w:pPr>
              <w:autoSpaceDE w:val="0"/>
              <w:adjustRightInd w:val="0"/>
              <w:spacing w:line="360" w:lineRule="auto"/>
              <w:jc w:val="left"/>
              <w:rPr>
                <w:rFonts w:hint="eastAsia" w:ascii="宋体" w:hAnsi="宋体" w:eastAsia="宋体" w:cs="宋体"/>
                <w:color w:val="auto"/>
                <w:szCs w:val="21"/>
                <w:highlight w:val="none"/>
              </w:rPr>
            </w:pPr>
          </w:p>
        </w:tc>
        <w:tc>
          <w:tcPr>
            <w:tcW w:w="780" w:type="pct"/>
            <w:tcBorders>
              <w:top w:val="single" w:color="auto" w:sz="4" w:space="0"/>
              <w:left w:val="nil"/>
              <w:bottom w:val="single" w:color="auto" w:sz="4" w:space="0"/>
              <w:right w:val="single" w:color="auto" w:sz="4" w:space="0"/>
            </w:tcBorders>
            <w:shd w:val="clear" w:color="auto" w:fill="auto"/>
            <w:vAlign w:val="center"/>
          </w:tcPr>
          <w:p w14:paraId="413C51E6">
            <w:pPr>
              <w:autoSpaceDE w:val="0"/>
              <w:adjustRightInd w:val="0"/>
              <w:spacing w:line="360" w:lineRule="auto"/>
              <w:jc w:val="left"/>
              <w:rPr>
                <w:rFonts w:hint="eastAsia" w:ascii="宋体" w:hAnsi="宋体" w:eastAsia="宋体" w:cs="宋体"/>
                <w:color w:val="auto"/>
                <w:szCs w:val="21"/>
                <w:highlight w:val="none"/>
              </w:rPr>
            </w:pPr>
          </w:p>
        </w:tc>
        <w:tc>
          <w:tcPr>
            <w:tcW w:w="611" w:type="pct"/>
            <w:tcBorders>
              <w:top w:val="single" w:color="auto" w:sz="4" w:space="0"/>
              <w:left w:val="nil"/>
              <w:bottom w:val="single" w:color="auto" w:sz="4" w:space="0"/>
              <w:right w:val="single" w:color="auto" w:sz="4" w:space="0"/>
            </w:tcBorders>
            <w:shd w:val="clear" w:color="auto" w:fill="auto"/>
            <w:vAlign w:val="center"/>
          </w:tcPr>
          <w:p w14:paraId="1CB41B1A">
            <w:pPr>
              <w:autoSpaceDE w:val="0"/>
              <w:adjustRightInd w:val="0"/>
              <w:spacing w:line="360" w:lineRule="auto"/>
              <w:jc w:val="left"/>
              <w:rPr>
                <w:rFonts w:hint="eastAsia" w:ascii="宋体" w:hAnsi="宋体" w:eastAsia="宋体" w:cs="宋体"/>
                <w:color w:val="auto"/>
                <w:szCs w:val="21"/>
                <w:highlight w:val="none"/>
              </w:rPr>
            </w:pPr>
          </w:p>
        </w:tc>
      </w:tr>
    </w:tbl>
    <w:p w14:paraId="7A0B8B41">
      <w:pPr>
        <w:autoSpaceDE w:val="0"/>
        <w:adjustRightIn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我方保证：我方提供的产品既非试验产品也非积压产品，而是于</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年投产的成熟产品，且生产（完工）日期不早于</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年</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月；在可以预见的</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 xml:space="preserve">（天）内，我方没有对该型号产品进行升级、停产、淘汰的计划。    </w:t>
      </w:r>
    </w:p>
    <w:p w14:paraId="692297E0">
      <w:pPr>
        <w:autoSpaceDE w:val="0"/>
        <w:adjustRightIn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4</w:t>
      </w:r>
      <w:r>
        <w:rPr>
          <w:rFonts w:hint="eastAsia" w:ascii="宋体" w:hAnsi="宋体" w:eastAsia="宋体" w:cs="宋体"/>
          <w:color w:val="auto"/>
          <w:kern w:val="0"/>
          <w:szCs w:val="21"/>
          <w:highlight w:val="none"/>
          <w:lang w:val="en-US" w:eastAsia="zh-CN" w:bidi="ar"/>
        </w:rPr>
        <w:t>.</w:t>
      </w:r>
      <w:r>
        <w:rPr>
          <w:rFonts w:hint="eastAsia" w:ascii="宋体" w:hAnsi="宋体" w:eastAsia="宋体" w:cs="宋体"/>
          <w:color w:val="auto"/>
          <w:kern w:val="0"/>
          <w:szCs w:val="21"/>
          <w:highlight w:val="none"/>
          <w:lang w:bidi="ar"/>
        </w:rPr>
        <w:t>我方同意按照贵方要求提供与投标产品有关的一切数据或资料。</w:t>
      </w:r>
    </w:p>
    <w:p w14:paraId="1D3EABFF">
      <w:pPr>
        <w:autoSpaceDE w:val="0"/>
        <w:adjustRightIn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法定代表人：</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（签名或盖私章）</w:t>
      </w:r>
    </w:p>
    <w:p w14:paraId="0CFF53E9">
      <w:pPr>
        <w:autoSpaceDE w:val="0"/>
        <w:adjustRightInd w:val="0"/>
        <w:spacing w:line="360" w:lineRule="auto"/>
        <w:ind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签署人职务：</w:t>
      </w:r>
      <w:r>
        <w:rPr>
          <w:rFonts w:hint="eastAsia" w:ascii="宋体" w:hAnsi="宋体" w:eastAsia="宋体" w:cs="宋体"/>
          <w:color w:val="auto"/>
          <w:kern w:val="0"/>
          <w:szCs w:val="21"/>
          <w:highlight w:val="none"/>
          <w:u w:val="single"/>
          <w:lang w:bidi="ar"/>
        </w:rPr>
        <w:t xml:space="preserve">                    </w:t>
      </w:r>
    </w:p>
    <w:p w14:paraId="393F3524">
      <w:pPr>
        <w:autoSpaceDE w:val="0"/>
        <w:adjustRightIn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电话：</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传真：</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 xml:space="preserve"> </w:t>
      </w:r>
    </w:p>
    <w:p w14:paraId="45F8992A">
      <w:pPr>
        <w:autoSpaceDE w:val="0"/>
        <w:adjustRightIn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地址：</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 xml:space="preserve">                        </w:t>
      </w:r>
    </w:p>
    <w:p w14:paraId="283D905E">
      <w:pPr>
        <w:autoSpaceDE w:val="0"/>
        <w:adjustRightIn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网址： </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 xml:space="preserve">                       </w:t>
      </w:r>
    </w:p>
    <w:p w14:paraId="3A3DE7FE">
      <w:pPr>
        <w:autoSpaceDE w:val="0"/>
        <w:adjustRightIn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电子邮箱：</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 xml:space="preserve">                      </w:t>
      </w:r>
    </w:p>
    <w:p w14:paraId="124F3121">
      <w:pPr>
        <w:autoSpaceDE w:val="0"/>
        <w:adjustRightIn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签发日期：</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年</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月</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日</w:t>
      </w:r>
    </w:p>
    <w:p w14:paraId="0D9D9B2C">
      <w:pPr>
        <w:autoSpaceDE w:val="0"/>
        <w:adjustRightInd w:val="0"/>
        <w:spacing w:line="360" w:lineRule="auto"/>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bidi="ar"/>
        </w:rPr>
        <w:t xml:space="preserve"> </w:t>
      </w:r>
    </w:p>
    <w:p w14:paraId="2FB893D9">
      <w:pPr>
        <w:autoSpaceDE w:val="0"/>
        <w:adjustRightInd w:val="0"/>
        <w:spacing w:line="360" w:lineRule="auto"/>
        <w:ind w:firstLine="422" w:firstLineChars="200"/>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bidi="ar"/>
        </w:rPr>
        <w:t>备注: 投标文件正本内必须提供原件。</w:t>
      </w:r>
    </w:p>
    <w:p w14:paraId="0ABFAFA3">
      <w:pPr>
        <w:pageBreakBefore/>
        <w:autoSpaceDE w:val="0"/>
        <w:autoSpaceDN w:val="0"/>
        <w:adjustRightInd w:val="0"/>
        <w:snapToGrid w:val="0"/>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lang w:bidi="ar"/>
        </w:rPr>
        <w:t>②</w:t>
      </w:r>
      <w:r>
        <w:rPr>
          <w:rFonts w:hint="eastAsia" w:ascii="宋体" w:hAnsi="宋体" w:eastAsia="宋体" w:cs="宋体"/>
          <w:b/>
          <w:bCs/>
          <w:color w:val="auto"/>
          <w:kern w:val="0"/>
          <w:sz w:val="24"/>
          <w:szCs w:val="24"/>
          <w:highlight w:val="none"/>
          <w:lang w:bidi="ar"/>
        </w:rPr>
        <w:t>制造商独家授权书</w:t>
      </w:r>
    </w:p>
    <w:p w14:paraId="6F0D07D1">
      <w:pPr>
        <w:autoSpaceDE w:val="0"/>
        <w:autoSpaceDN w:val="0"/>
        <w:adjustRightInd w:val="0"/>
        <w:spacing w:line="360" w:lineRule="auto"/>
        <w:ind w:firstLine="0" w:firstLineChars="0"/>
        <w:jc w:val="center"/>
        <w:rPr>
          <w:rFonts w:hint="eastAsia" w:ascii="宋体" w:hAnsi="宋体" w:eastAsia="宋体" w:cs="宋体"/>
          <w:color w:val="auto"/>
          <w:szCs w:val="21"/>
          <w:highlight w:val="none"/>
        </w:rPr>
      </w:pPr>
      <w:r>
        <w:rPr>
          <w:rFonts w:hint="eastAsia" w:ascii="宋体" w:hAnsi="宋体" w:eastAsia="宋体" w:cs="宋体"/>
          <w:b/>
          <w:color w:val="auto"/>
          <w:kern w:val="0"/>
          <w:szCs w:val="21"/>
          <w:highlight w:val="none"/>
          <w:lang w:bidi="ar"/>
        </w:rPr>
        <w:t>（投标人根据实际情况选用，本格式适用于：</w:t>
      </w:r>
      <w:r>
        <w:rPr>
          <w:rFonts w:hint="eastAsia" w:ascii="宋体" w:hAnsi="宋体" w:eastAsia="宋体" w:cs="宋体"/>
          <w:b/>
          <w:color w:val="auto"/>
          <w:kern w:val="0"/>
          <w:szCs w:val="21"/>
          <w:highlight w:val="none"/>
          <w:u w:val="single"/>
          <w:lang w:bidi="ar"/>
        </w:rPr>
        <w:t>投标人是经销商时提供</w:t>
      </w:r>
      <w:r>
        <w:rPr>
          <w:rFonts w:hint="eastAsia" w:ascii="宋体" w:hAnsi="宋体" w:eastAsia="宋体" w:cs="宋体"/>
          <w:b/>
          <w:color w:val="auto"/>
          <w:kern w:val="0"/>
          <w:szCs w:val="21"/>
          <w:highlight w:val="none"/>
          <w:lang w:bidi="ar"/>
        </w:rPr>
        <w:t>。）</w:t>
      </w:r>
    </w:p>
    <w:p w14:paraId="4D907443">
      <w:pPr>
        <w:autoSpaceDE w:val="0"/>
        <w:autoSpaceDN w:val="0"/>
        <w:adjustRightInd w:val="0"/>
        <w:spacing w:before="120" w:beforeLines="50" w:after="120" w:afterLines="50" w:line="360" w:lineRule="auto"/>
        <w:jc w:val="left"/>
        <w:rPr>
          <w:rFonts w:hint="eastAsia" w:ascii="宋体" w:hAnsi="宋体" w:eastAsia="宋体" w:cs="宋体"/>
          <w:color w:val="auto"/>
          <w:szCs w:val="21"/>
          <w:highlight w:val="none"/>
          <w:lang w:eastAsia="zh-CN"/>
        </w:rPr>
      </w:pPr>
      <w:r>
        <w:rPr>
          <w:rFonts w:hint="eastAsia" w:ascii="宋体" w:hAnsi="宋体" w:eastAsia="宋体" w:cs="宋体"/>
          <w:color w:val="auto"/>
          <w:kern w:val="0"/>
          <w:szCs w:val="21"/>
          <w:highlight w:val="none"/>
          <w:lang w:bidi="ar"/>
        </w:rPr>
        <w:t>致：</w:t>
      </w:r>
      <w:r>
        <w:rPr>
          <w:rFonts w:hint="eastAsia" w:ascii="宋体" w:hAnsi="宋体" w:eastAsia="宋体" w:cs="宋体"/>
          <w:color w:val="auto"/>
          <w:kern w:val="0"/>
          <w:szCs w:val="21"/>
          <w:highlight w:val="none"/>
          <w:lang w:eastAsia="zh-CN" w:bidi="ar"/>
        </w:rPr>
        <w:t>东莞市碧水信息科技有限公司</w:t>
      </w:r>
    </w:p>
    <w:p w14:paraId="4E67B210">
      <w:pPr>
        <w:autoSpaceDE w:val="0"/>
        <w:autoSpaceDN w:val="0"/>
        <w:adjustRightInd w:val="0"/>
        <w:snapToGrid w:val="0"/>
        <w:spacing w:before="120" w:beforeLines="50" w:after="120" w:afterLines="50"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我方</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（产品制造商名称）是按</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（国家名称）法律成立的一家公司，主要营业地址设在</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。兹证明参加贵方</w:t>
      </w:r>
      <w:r>
        <w:rPr>
          <w:rFonts w:hint="eastAsia" w:cs="宋体"/>
          <w:color w:val="auto"/>
          <w:kern w:val="0"/>
          <w:sz w:val="21"/>
          <w:szCs w:val="21"/>
          <w:highlight w:val="none"/>
          <w:lang w:val="zh-CN" w:eastAsia="zh-CN" w:bidi="ar"/>
        </w:rPr>
        <w:t>东莞市碧水信息科技有限公司2025年度球墨铸铁阀门采购项目（第三次招标）</w:t>
      </w:r>
      <w:r>
        <w:rPr>
          <w:rFonts w:hint="eastAsia" w:ascii="宋体" w:hAnsi="宋体" w:eastAsia="宋体" w:cs="宋体"/>
          <w:color w:val="auto"/>
          <w:kern w:val="0"/>
          <w:szCs w:val="21"/>
          <w:highlight w:val="none"/>
          <w:u w:val="single"/>
          <w:lang w:bidi="ar"/>
        </w:rPr>
        <w:t>（招标编号：</w:t>
      </w:r>
      <w:r>
        <w:rPr>
          <w:rFonts w:hint="eastAsia" w:cs="宋体"/>
          <w:color w:val="auto"/>
          <w:kern w:val="0"/>
          <w:szCs w:val="21"/>
          <w:highlight w:val="none"/>
          <w:u w:val="single"/>
          <w:lang w:val="en-US" w:eastAsia="zh-CN" w:bidi="ar"/>
        </w:rPr>
        <w:t>YDZB25DGQY0149-2</w:t>
      </w:r>
      <w:r>
        <w:rPr>
          <w:rFonts w:hint="eastAsia" w:ascii="宋体" w:hAnsi="宋体" w:eastAsia="宋体" w:cs="宋体"/>
          <w:color w:val="auto"/>
          <w:kern w:val="0"/>
          <w:szCs w:val="21"/>
          <w:highlight w:val="none"/>
          <w:u w:val="single"/>
          <w:lang w:bidi="ar"/>
        </w:rPr>
        <w:t>）</w:t>
      </w:r>
      <w:r>
        <w:rPr>
          <w:rFonts w:hint="eastAsia" w:ascii="宋体" w:hAnsi="宋体" w:eastAsia="宋体" w:cs="宋体"/>
          <w:color w:val="auto"/>
          <w:kern w:val="0"/>
          <w:szCs w:val="21"/>
          <w:highlight w:val="none"/>
          <w:lang w:bidi="ar"/>
        </w:rPr>
        <w:t>的按</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（国家名称）法律成立的、主要营业地址在</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的</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（下称“投标人”）作为我方真正的、</w:t>
      </w:r>
      <w:r>
        <w:rPr>
          <w:rFonts w:hint="eastAsia" w:ascii="宋体" w:hAnsi="宋体" w:eastAsia="宋体" w:cs="宋体"/>
          <w:b/>
          <w:color w:val="auto"/>
          <w:kern w:val="0"/>
          <w:szCs w:val="21"/>
          <w:highlight w:val="none"/>
          <w:lang w:bidi="ar"/>
        </w:rPr>
        <w:t>唯一合法</w:t>
      </w:r>
      <w:r>
        <w:rPr>
          <w:rFonts w:hint="eastAsia" w:ascii="宋体" w:hAnsi="宋体" w:eastAsia="宋体" w:cs="宋体"/>
          <w:color w:val="auto"/>
          <w:kern w:val="0"/>
          <w:szCs w:val="21"/>
          <w:highlight w:val="none"/>
          <w:lang w:bidi="ar"/>
        </w:rPr>
        <w:t>的授权参与本项目投标、合同签订、售后服务等相关事项的经销商：</w:t>
      </w:r>
    </w:p>
    <w:p w14:paraId="4C4A0E44">
      <w:pPr>
        <w:autoSpaceDE w:val="0"/>
        <w:autoSpaceDN w:val="0"/>
        <w:adjustRightInd w:val="0"/>
        <w:snapToGrid w:val="0"/>
        <w:spacing w:before="120" w:beforeLines="50" w:after="120" w:afterLines="5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w:t>
      </w:r>
      <w:r>
        <w:rPr>
          <w:rFonts w:hint="eastAsia" w:ascii="宋体" w:hAnsi="宋体" w:eastAsia="宋体" w:cs="宋体"/>
          <w:color w:val="auto"/>
          <w:kern w:val="0"/>
          <w:szCs w:val="21"/>
          <w:highlight w:val="none"/>
          <w:lang w:val="en-US" w:eastAsia="zh-CN" w:bidi="ar"/>
        </w:rPr>
        <w:t>.</w:t>
      </w:r>
      <w:r>
        <w:rPr>
          <w:rFonts w:hint="eastAsia" w:ascii="宋体" w:hAnsi="宋体" w:eastAsia="宋体" w:cs="宋体"/>
          <w:color w:val="auto"/>
          <w:kern w:val="0"/>
          <w:szCs w:val="21"/>
          <w:highlight w:val="none"/>
          <w:lang w:bidi="ar"/>
        </w:rPr>
        <w:t>我方确认，投标人就</w:t>
      </w:r>
      <w:r>
        <w:rPr>
          <w:rFonts w:hint="eastAsia" w:cs="宋体"/>
          <w:b/>
          <w:bCs/>
          <w:color w:val="auto"/>
          <w:kern w:val="0"/>
          <w:sz w:val="21"/>
          <w:szCs w:val="21"/>
          <w:highlight w:val="none"/>
          <w:lang w:val="zh-CN" w:eastAsia="zh-CN" w:bidi="ar"/>
        </w:rPr>
        <w:t>东莞市碧水信息科技有限公司2025年度球墨铸铁阀门采购项目（第三次招标）</w:t>
      </w:r>
      <w:r>
        <w:rPr>
          <w:rFonts w:hint="eastAsia" w:ascii="宋体" w:hAnsi="宋体" w:eastAsia="宋体" w:cs="宋体"/>
          <w:b/>
          <w:color w:val="auto"/>
          <w:kern w:val="0"/>
          <w:szCs w:val="21"/>
          <w:highlight w:val="none"/>
          <w:u w:val="single"/>
          <w:lang w:bidi="ar"/>
        </w:rPr>
        <w:t>（招标编号：</w:t>
      </w:r>
      <w:r>
        <w:rPr>
          <w:rFonts w:hint="eastAsia" w:cs="宋体"/>
          <w:b/>
          <w:color w:val="auto"/>
          <w:kern w:val="0"/>
          <w:szCs w:val="21"/>
          <w:highlight w:val="none"/>
          <w:u w:val="single"/>
          <w:lang w:val="en-US" w:eastAsia="zh-CN" w:bidi="ar"/>
        </w:rPr>
        <w:t>YDZB25DGQY0149-2</w:t>
      </w:r>
      <w:r>
        <w:rPr>
          <w:rFonts w:hint="eastAsia" w:ascii="宋体" w:hAnsi="宋体" w:eastAsia="宋体" w:cs="宋体"/>
          <w:b/>
          <w:color w:val="auto"/>
          <w:kern w:val="0"/>
          <w:szCs w:val="21"/>
          <w:highlight w:val="none"/>
          <w:u w:val="single"/>
          <w:lang w:bidi="ar"/>
        </w:rPr>
        <w:t>）</w:t>
      </w:r>
      <w:r>
        <w:rPr>
          <w:rFonts w:hint="eastAsia" w:ascii="宋体" w:hAnsi="宋体" w:eastAsia="宋体" w:cs="宋体"/>
          <w:color w:val="auto"/>
          <w:kern w:val="0"/>
          <w:szCs w:val="21"/>
          <w:highlight w:val="none"/>
          <w:lang w:bidi="ar"/>
        </w:rPr>
        <w:t>提供货物时附带的出厂质量标准、售后服务承诺等合法有效，并对我方具有约束力。</w:t>
      </w:r>
    </w:p>
    <w:p w14:paraId="580138C1">
      <w:pPr>
        <w:autoSpaceDE w:val="0"/>
        <w:autoSpaceDN w:val="0"/>
        <w:adjustRightInd w:val="0"/>
        <w:snapToGrid w:val="0"/>
        <w:spacing w:before="120" w:beforeLines="50" w:after="120" w:afterLines="5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2</w:t>
      </w:r>
      <w:r>
        <w:rPr>
          <w:rFonts w:hint="eastAsia" w:ascii="宋体" w:hAnsi="宋体" w:eastAsia="宋体" w:cs="宋体"/>
          <w:color w:val="auto"/>
          <w:kern w:val="0"/>
          <w:szCs w:val="21"/>
          <w:highlight w:val="none"/>
          <w:lang w:val="en-US" w:eastAsia="zh-CN" w:bidi="ar"/>
        </w:rPr>
        <w:t>.</w:t>
      </w:r>
      <w:r>
        <w:rPr>
          <w:rFonts w:hint="eastAsia" w:ascii="宋体" w:hAnsi="宋体" w:eastAsia="宋体" w:cs="宋体"/>
          <w:color w:val="auto"/>
          <w:kern w:val="0"/>
          <w:szCs w:val="21"/>
          <w:highlight w:val="none"/>
          <w:lang w:bidi="ar"/>
        </w:rPr>
        <w:t>作为产品制造商，我方对我方提供货物的质量和售后服务承担全部责任。本次提供的货物按以下方式提供售后服务：</w:t>
      </w:r>
    </w:p>
    <w:p w14:paraId="58D2C0E2">
      <w:pPr>
        <w:autoSpaceDE w:val="0"/>
        <w:autoSpaceDN w:val="0"/>
        <w:adjustRightInd w:val="0"/>
        <w:snapToGrid w:val="0"/>
        <w:spacing w:before="120" w:beforeLines="50" w:after="120" w:afterLines="5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我方保证在以下承诺的质保期内，我方在中华人民共和国关境内具有常驻的售后服务机构和服务人员，由我方直接向贵方按照招标文件的要求和范围，并按照投标承诺提供免费的质保期保修服务，质保期自本项目所有设备验收合格之日起算（以设备整体验收报告日期为准）。</w:t>
      </w:r>
    </w:p>
    <w:p w14:paraId="00C18794">
      <w:pPr>
        <w:bidi w:val="0"/>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质保期服务期间，质保服务包括但不限于对设备出现的不符合招标文件要求或我方出厂质量标准的、有问题的地方按招标文件要求及时进行免费维修、保修或更换配件，在设备出现严重故障、影响正常运行、修复有困难的情况下，我方承诺对设备进行免费更换。同时在本售后服务方式下，不免除投标人对货物的质量及售后服务责任，投标人与我方就货物质量及售后服务向贵方承担连带责任。</w:t>
      </w:r>
    </w:p>
    <w:p w14:paraId="19C15D60">
      <w:pPr>
        <w:autoSpaceDE w:val="0"/>
        <w:autoSpaceDN w:val="0"/>
        <w:adjustRightInd w:val="0"/>
        <w:snapToGrid w:val="0"/>
        <w:spacing w:before="120" w:beforeLines="50" w:after="120" w:afterLines="5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4</w:t>
      </w:r>
      <w:r>
        <w:rPr>
          <w:rFonts w:hint="eastAsia" w:ascii="宋体" w:hAnsi="宋体" w:eastAsia="宋体" w:cs="宋体"/>
          <w:color w:val="auto"/>
          <w:kern w:val="0"/>
          <w:szCs w:val="21"/>
          <w:highlight w:val="none"/>
          <w:lang w:val="en-US" w:eastAsia="zh-CN" w:bidi="ar"/>
        </w:rPr>
        <w:t>.</w:t>
      </w:r>
      <w:r>
        <w:rPr>
          <w:rFonts w:hint="eastAsia" w:ascii="宋体" w:hAnsi="宋体" w:eastAsia="宋体" w:cs="宋体"/>
          <w:color w:val="auto"/>
          <w:kern w:val="0"/>
          <w:szCs w:val="21"/>
          <w:highlight w:val="none"/>
          <w:lang w:bidi="ar"/>
        </w:rPr>
        <w:t>我方此次参与贵方投标的产品如下：</w:t>
      </w:r>
    </w:p>
    <w:tbl>
      <w:tblPr>
        <w:tblStyle w:val="2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0"/>
        <w:gridCol w:w="2134"/>
        <w:gridCol w:w="1320"/>
        <w:gridCol w:w="1598"/>
        <w:gridCol w:w="1409"/>
        <w:gridCol w:w="1606"/>
        <w:gridCol w:w="1259"/>
      </w:tblGrid>
      <w:tr w14:paraId="7D50C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1" w:type="pct"/>
            <w:tcBorders>
              <w:top w:val="single" w:color="auto" w:sz="4" w:space="0"/>
              <w:left w:val="single" w:color="auto" w:sz="4" w:space="0"/>
              <w:bottom w:val="single" w:color="auto" w:sz="4" w:space="0"/>
              <w:right w:val="single" w:color="auto" w:sz="4" w:space="0"/>
            </w:tcBorders>
            <w:shd w:val="clear" w:color="auto" w:fill="auto"/>
            <w:vAlign w:val="center"/>
          </w:tcPr>
          <w:p w14:paraId="291EFD75">
            <w:pPr>
              <w:autoSpaceDE w:val="0"/>
              <w:adjustRightInd w:val="0"/>
              <w:spacing w:before="120" w:beforeLines="50" w:after="120" w:afterLines="50"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序号</w:t>
            </w:r>
          </w:p>
        </w:tc>
        <w:tc>
          <w:tcPr>
            <w:tcW w:w="1036" w:type="pct"/>
            <w:tcBorders>
              <w:top w:val="single" w:color="auto" w:sz="4" w:space="0"/>
              <w:left w:val="nil"/>
              <w:bottom w:val="single" w:color="auto" w:sz="4" w:space="0"/>
              <w:right w:val="single" w:color="auto" w:sz="4" w:space="0"/>
            </w:tcBorders>
            <w:shd w:val="clear" w:color="auto" w:fill="auto"/>
            <w:vAlign w:val="center"/>
          </w:tcPr>
          <w:p w14:paraId="0B9CED76">
            <w:pPr>
              <w:autoSpaceDE w:val="0"/>
              <w:adjustRightInd w:val="0"/>
              <w:spacing w:before="120" w:beforeLines="50" w:after="120" w:afterLines="50"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产品名称</w:t>
            </w:r>
          </w:p>
        </w:tc>
        <w:tc>
          <w:tcPr>
            <w:tcW w:w="641" w:type="pct"/>
            <w:tcBorders>
              <w:top w:val="single" w:color="auto" w:sz="4" w:space="0"/>
              <w:left w:val="nil"/>
              <w:bottom w:val="single" w:color="auto" w:sz="4" w:space="0"/>
              <w:right w:val="single" w:color="auto" w:sz="4" w:space="0"/>
            </w:tcBorders>
            <w:shd w:val="clear" w:color="auto" w:fill="auto"/>
            <w:vAlign w:val="center"/>
          </w:tcPr>
          <w:p w14:paraId="1C91859D">
            <w:pPr>
              <w:autoSpaceDE w:val="0"/>
              <w:adjustRightInd w:val="0"/>
              <w:spacing w:before="120" w:beforeLines="50" w:after="120" w:afterLines="50"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品牌</w:t>
            </w:r>
          </w:p>
        </w:tc>
        <w:tc>
          <w:tcPr>
            <w:tcW w:w="776" w:type="pct"/>
            <w:tcBorders>
              <w:top w:val="single" w:color="auto" w:sz="4" w:space="0"/>
              <w:left w:val="nil"/>
              <w:bottom w:val="single" w:color="auto" w:sz="4" w:space="0"/>
              <w:right w:val="single" w:color="auto" w:sz="4" w:space="0"/>
            </w:tcBorders>
            <w:shd w:val="clear" w:color="auto" w:fill="auto"/>
            <w:vAlign w:val="center"/>
          </w:tcPr>
          <w:p w14:paraId="3F2F4C99">
            <w:pPr>
              <w:autoSpaceDE w:val="0"/>
              <w:adjustRightInd w:val="0"/>
              <w:spacing w:before="120" w:beforeLines="50" w:after="120" w:afterLines="50"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规格型号</w:t>
            </w:r>
          </w:p>
        </w:tc>
        <w:tc>
          <w:tcPr>
            <w:tcW w:w="684" w:type="pct"/>
            <w:tcBorders>
              <w:top w:val="single" w:color="auto" w:sz="4" w:space="0"/>
              <w:left w:val="nil"/>
              <w:bottom w:val="single" w:color="auto" w:sz="4" w:space="0"/>
              <w:right w:val="single" w:color="auto" w:sz="4" w:space="0"/>
            </w:tcBorders>
            <w:shd w:val="clear" w:color="auto" w:fill="auto"/>
            <w:vAlign w:val="center"/>
          </w:tcPr>
          <w:p w14:paraId="737E0876">
            <w:pPr>
              <w:autoSpaceDE w:val="0"/>
              <w:adjustRightInd w:val="0"/>
              <w:spacing w:before="120" w:beforeLines="50" w:after="120" w:afterLines="50"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产地</w:t>
            </w:r>
          </w:p>
        </w:tc>
        <w:tc>
          <w:tcPr>
            <w:tcW w:w="780" w:type="pct"/>
            <w:tcBorders>
              <w:top w:val="single" w:color="auto" w:sz="4" w:space="0"/>
              <w:left w:val="nil"/>
              <w:bottom w:val="single" w:color="auto" w:sz="4" w:space="0"/>
              <w:right w:val="single" w:color="auto" w:sz="4" w:space="0"/>
            </w:tcBorders>
            <w:shd w:val="clear" w:color="auto" w:fill="auto"/>
            <w:vAlign w:val="center"/>
          </w:tcPr>
          <w:p w14:paraId="2966D6FE">
            <w:pPr>
              <w:autoSpaceDE w:val="0"/>
              <w:adjustRightInd w:val="0"/>
              <w:spacing w:before="120" w:beforeLines="50" w:after="120" w:afterLines="50"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单位</w:t>
            </w:r>
          </w:p>
        </w:tc>
        <w:tc>
          <w:tcPr>
            <w:tcW w:w="611" w:type="pct"/>
            <w:tcBorders>
              <w:top w:val="single" w:color="auto" w:sz="4" w:space="0"/>
              <w:left w:val="nil"/>
              <w:bottom w:val="single" w:color="auto" w:sz="4" w:space="0"/>
              <w:right w:val="single" w:color="auto" w:sz="4" w:space="0"/>
            </w:tcBorders>
            <w:shd w:val="clear" w:color="auto" w:fill="auto"/>
            <w:vAlign w:val="center"/>
          </w:tcPr>
          <w:p w14:paraId="6179B147">
            <w:pPr>
              <w:autoSpaceDE w:val="0"/>
              <w:adjustRightInd w:val="0"/>
              <w:spacing w:before="120" w:beforeLines="50" w:after="120" w:afterLines="50"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数量</w:t>
            </w:r>
          </w:p>
        </w:tc>
      </w:tr>
      <w:tr w14:paraId="34C7A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1" w:type="pct"/>
            <w:tcBorders>
              <w:top w:val="single" w:color="auto" w:sz="4" w:space="0"/>
              <w:left w:val="single" w:color="auto" w:sz="4" w:space="0"/>
              <w:bottom w:val="single" w:color="auto" w:sz="4" w:space="0"/>
              <w:right w:val="single" w:color="auto" w:sz="4" w:space="0"/>
            </w:tcBorders>
            <w:shd w:val="clear" w:color="auto" w:fill="auto"/>
            <w:vAlign w:val="center"/>
          </w:tcPr>
          <w:p w14:paraId="3C55B560">
            <w:pPr>
              <w:autoSpaceDE w:val="0"/>
              <w:adjustRightInd w:val="0"/>
              <w:spacing w:before="120" w:beforeLines="50" w:after="120" w:afterLines="50"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1</w:t>
            </w:r>
          </w:p>
        </w:tc>
        <w:tc>
          <w:tcPr>
            <w:tcW w:w="1036" w:type="pct"/>
            <w:tcBorders>
              <w:top w:val="single" w:color="auto" w:sz="4" w:space="0"/>
              <w:left w:val="nil"/>
              <w:bottom w:val="single" w:color="auto" w:sz="4" w:space="0"/>
              <w:right w:val="single" w:color="auto" w:sz="4" w:space="0"/>
            </w:tcBorders>
            <w:shd w:val="clear" w:color="auto" w:fill="auto"/>
            <w:vAlign w:val="center"/>
          </w:tcPr>
          <w:p w14:paraId="65B84DFD">
            <w:pPr>
              <w:autoSpaceDE w:val="0"/>
              <w:adjustRightInd w:val="0"/>
              <w:spacing w:before="120" w:beforeLines="50" w:after="120" w:afterLines="50" w:line="360" w:lineRule="auto"/>
              <w:jc w:val="center"/>
              <w:rPr>
                <w:rFonts w:hint="eastAsia" w:ascii="宋体" w:hAnsi="宋体" w:eastAsia="宋体" w:cs="宋体"/>
                <w:color w:val="auto"/>
                <w:szCs w:val="21"/>
                <w:highlight w:val="none"/>
              </w:rPr>
            </w:pPr>
          </w:p>
        </w:tc>
        <w:tc>
          <w:tcPr>
            <w:tcW w:w="641" w:type="pct"/>
            <w:tcBorders>
              <w:top w:val="single" w:color="auto" w:sz="4" w:space="0"/>
              <w:left w:val="nil"/>
              <w:bottom w:val="single" w:color="auto" w:sz="4" w:space="0"/>
              <w:right w:val="single" w:color="auto" w:sz="4" w:space="0"/>
            </w:tcBorders>
            <w:shd w:val="clear" w:color="auto" w:fill="auto"/>
            <w:vAlign w:val="center"/>
          </w:tcPr>
          <w:p w14:paraId="5F4407B1">
            <w:pPr>
              <w:autoSpaceDE w:val="0"/>
              <w:adjustRightInd w:val="0"/>
              <w:spacing w:before="120" w:beforeLines="50" w:after="120" w:afterLines="50" w:line="360" w:lineRule="auto"/>
              <w:jc w:val="center"/>
              <w:rPr>
                <w:rFonts w:hint="eastAsia" w:ascii="宋体" w:hAnsi="宋体" w:eastAsia="宋体" w:cs="宋体"/>
                <w:color w:val="auto"/>
                <w:szCs w:val="21"/>
                <w:highlight w:val="none"/>
              </w:rPr>
            </w:pPr>
          </w:p>
        </w:tc>
        <w:tc>
          <w:tcPr>
            <w:tcW w:w="776" w:type="pct"/>
            <w:tcBorders>
              <w:top w:val="single" w:color="auto" w:sz="4" w:space="0"/>
              <w:left w:val="nil"/>
              <w:bottom w:val="single" w:color="auto" w:sz="4" w:space="0"/>
              <w:right w:val="single" w:color="auto" w:sz="4" w:space="0"/>
            </w:tcBorders>
            <w:shd w:val="clear" w:color="auto" w:fill="auto"/>
            <w:vAlign w:val="center"/>
          </w:tcPr>
          <w:p w14:paraId="40332178">
            <w:pPr>
              <w:autoSpaceDE w:val="0"/>
              <w:adjustRightInd w:val="0"/>
              <w:spacing w:before="120" w:beforeLines="50" w:after="120" w:afterLines="50" w:line="360" w:lineRule="auto"/>
              <w:jc w:val="center"/>
              <w:rPr>
                <w:rFonts w:hint="eastAsia" w:ascii="宋体" w:hAnsi="宋体" w:eastAsia="宋体" w:cs="宋体"/>
                <w:color w:val="auto"/>
                <w:szCs w:val="21"/>
                <w:highlight w:val="none"/>
              </w:rPr>
            </w:pPr>
          </w:p>
        </w:tc>
        <w:tc>
          <w:tcPr>
            <w:tcW w:w="684" w:type="pct"/>
            <w:tcBorders>
              <w:top w:val="single" w:color="auto" w:sz="4" w:space="0"/>
              <w:left w:val="nil"/>
              <w:bottom w:val="single" w:color="auto" w:sz="4" w:space="0"/>
              <w:right w:val="single" w:color="auto" w:sz="4" w:space="0"/>
            </w:tcBorders>
            <w:shd w:val="clear" w:color="auto" w:fill="auto"/>
            <w:vAlign w:val="center"/>
          </w:tcPr>
          <w:p w14:paraId="117CEDE4">
            <w:pPr>
              <w:autoSpaceDE w:val="0"/>
              <w:adjustRightInd w:val="0"/>
              <w:spacing w:before="120" w:beforeLines="50" w:after="120" w:afterLines="50" w:line="360" w:lineRule="auto"/>
              <w:jc w:val="center"/>
              <w:rPr>
                <w:rFonts w:hint="eastAsia" w:ascii="宋体" w:hAnsi="宋体" w:eastAsia="宋体" w:cs="宋体"/>
                <w:color w:val="auto"/>
                <w:szCs w:val="21"/>
                <w:highlight w:val="none"/>
              </w:rPr>
            </w:pPr>
          </w:p>
        </w:tc>
        <w:tc>
          <w:tcPr>
            <w:tcW w:w="780" w:type="pct"/>
            <w:tcBorders>
              <w:top w:val="single" w:color="auto" w:sz="4" w:space="0"/>
              <w:left w:val="nil"/>
              <w:bottom w:val="single" w:color="auto" w:sz="4" w:space="0"/>
              <w:right w:val="single" w:color="auto" w:sz="4" w:space="0"/>
            </w:tcBorders>
            <w:shd w:val="clear" w:color="auto" w:fill="auto"/>
            <w:vAlign w:val="center"/>
          </w:tcPr>
          <w:p w14:paraId="360E4F3F">
            <w:pPr>
              <w:autoSpaceDE w:val="0"/>
              <w:adjustRightInd w:val="0"/>
              <w:spacing w:before="120" w:beforeLines="50" w:after="120" w:afterLines="50" w:line="360" w:lineRule="auto"/>
              <w:jc w:val="center"/>
              <w:rPr>
                <w:rFonts w:hint="eastAsia" w:ascii="宋体" w:hAnsi="宋体" w:eastAsia="宋体" w:cs="宋体"/>
                <w:color w:val="auto"/>
                <w:szCs w:val="21"/>
                <w:highlight w:val="none"/>
              </w:rPr>
            </w:pPr>
          </w:p>
        </w:tc>
        <w:tc>
          <w:tcPr>
            <w:tcW w:w="611" w:type="pct"/>
            <w:tcBorders>
              <w:top w:val="single" w:color="auto" w:sz="4" w:space="0"/>
              <w:left w:val="nil"/>
              <w:bottom w:val="single" w:color="auto" w:sz="4" w:space="0"/>
              <w:right w:val="single" w:color="auto" w:sz="4" w:space="0"/>
            </w:tcBorders>
            <w:shd w:val="clear" w:color="auto" w:fill="auto"/>
            <w:vAlign w:val="center"/>
          </w:tcPr>
          <w:p w14:paraId="1CEB8131">
            <w:pPr>
              <w:autoSpaceDE w:val="0"/>
              <w:adjustRightInd w:val="0"/>
              <w:spacing w:before="120" w:beforeLines="50" w:after="120" w:afterLines="50" w:line="360" w:lineRule="auto"/>
              <w:jc w:val="center"/>
              <w:rPr>
                <w:rFonts w:hint="eastAsia" w:ascii="宋体" w:hAnsi="宋体" w:eastAsia="宋体" w:cs="宋体"/>
                <w:color w:val="auto"/>
                <w:szCs w:val="21"/>
                <w:highlight w:val="none"/>
              </w:rPr>
            </w:pPr>
          </w:p>
        </w:tc>
      </w:tr>
      <w:tr w14:paraId="607E0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1" w:type="pct"/>
            <w:tcBorders>
              <w:top w:val="single" w:color="auto" w:sz="4" w:space="0"/>
              <w:left w:val="single" w:color="auto" w:sz="4" w:space="0"/>
              <w:bottom w:val="single" w:color="auto" w:sz="4" w:space="0"/>
              <w:right w:val="single" w:color="auto" w:sz="4" w:space="0"/>
            </w:tcBorders>
            <w:shd w:val="clear" w:color="auto" w:fill="auto"/>
            <w:vAlign w:val="center"/>
          </w:tcPr>
          <w:p w14:paraId="4670C8B5">
            <w:pPr>
              <w:autoSpaceDE w:val="0"/>
              <w:adjustRightInd w:val="0"/>
              <w:spacing w:before="120" w:beforeLines="50" w:after="120" w:afterLines="50"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2</w:t>
            </w:r>
          </w:p>
        </w:tc>
        <w:tc>
          <w:tcPr>
            <w:tcW w:w="1036" w:type="pct"/>
            <w:tcBorders>
              <w:top w:val="single" w:color="auto" w:sz="4" w:space="0"/>
              <w:left w:val="nil"/>
              <w:bottom w:val="single" w:color="auto" w:sz="4" w:space="0"/>
              <w:right w:val="single" w:color="auto" w:sz="4" w:space="0"/>
            </w:tcBorders>
            <w:shd w:val="clear" w:color="auto" w:fill="auto"/>
            <w:vAlign w:val="center"/>
          </w:tcPr>
          <w:p w14:paraId="675B5E6F">
            <w:pPr>
              <w:autoSpaceDE w:val="0"/>
              <w:adjustRightInd w:val="0"/>
              <w:spacing w:before="120" w:beforeLines="50" w:after="120" w:afterLines="50" w:line="360" w:lineRule="auto"/>
              <w:jc w:val="center"/>
              <w:rPr>
                <w:rFonts w:hint="eastAsia" w:ascii="宋体" w:hAnsi="宋体" w:eastAsia="宋体" w:cs="宋体"/>
                <w:color w:val="auto"/>
                <w:szCs w:val="21"/>
                <w:highlight w:val="none"/>
              </w:rPr>
            </w:pPr>
          </w:p>
        </w:tc>
        <w:tc>
          <w:tcPr>
            <w:tcW w:w="641" w:type="pct"/>
            <w:tcBorders>
              <w:top w:val="single" w:color="auto" w:sz="4" w:space="0"/>
              <w:left w:val="nil"/>
              <w:bottom w:val="single" w:color="auto" w:sz="4" w:space="0"/>
              <w:right w:val="single" w:color="auto" w:sz="4" w:space="0"/>
            </w:tcBorders>
            <w:shd w:val="clear" w:color="auto" w:fill="auto"/>
            <w:vAlign w:val="center"/>
          </w:tcPr>
          <w:p w14:paraId="69555F14">
            <w:pPr>
              <w:autoSpaceDE w:val="0"/>
              <w:adjustRightInd w:val="0"/>
              <w:spacing w:before="120" w:beforeLines="50" w:after="120" w:afterLines="50" w:line="360" w:lineRule="auto"/>
              <w:jc w:val="center"/>
              <w:rPr>
                <w:rFonts w:hint="eastAsia" w:ascii="宋体" w:hAnsi="宋体" w:eastAsia="宋体" w:cs="宋体"/>
                <w:color w:val="auto"/>
                <w:szCs w:val="21"/>
                <w:highlight w:val="none"/>
              </w:rPr>
            </w:pPr>
          </w:p>
        </w:tc>
        <w:tc>
          <w:tcPr>
            <w:tcW w:w="776" w:type="pct"/>
            <w:tcBorders>
              <w:top w:val="single" w:color="auto" w:sz="4" w:space="0"/>
              <w:left w:val="nil"/>
              <w:bottom w:val="single" w:color="auto" w:sz="4" w:space="0"/>
              <w:right w:val="single" w:color="auto" w:sz="4" w:space="0"/>
            </w:tcBorders>
            <w:shd w:val="clear" w:color="auto" w:fill="auto"/>
            <w:vAlign w:val="center"/>
          </w:tcPr>
          <w:p w14:paraId="6CA8C3D8">
            <w:pPr>
              <w:autoSpaceDE w:val="0"/>
              <w:adjustRightInd w:val="0"/>
              <w:spacing w:before="120" w:beforeLines="50" w:after="120" w:afterLines="50" w:line="360" w:lineRule="auto"/>
              <w:jc w:val="center"/>
              <w:rPr>
                <w:rFonts w:hint="eastAsia" w:ascii="宋体" w:hAnsi="宋体" w:eastAsia="宋体" w:cs="宋体"/>
                <w:color w:val="auto"/>
                <w:szCs w:val="21"/>
                <w:highlight w:val="none"/>
              </w:rPr>
            </w:pPr>
          </w:p>
        </w:tc>
        <w:tc>
          <w:tcPr>
            <w:tcW w:w="684" w:type="pct"/>
            <w:tcBorders>
              <w:top w:val="single" w:color="auto" w:sz="4" w:space="0"/>
              <w:left w:val="nil"/>
              <w:bottom w:val="single" w:color="auto" w:sz="4" w:space="0"/>
              <w:right w:val="single" w:color="auto" w:sz="4" w:space="0"/>
            </w:tcBorders>
            <w:shd w:val="clear" w:color="auto" w:fill="auto"/>
            <w:vAlign w:val="center"/>
          </w:tcPr>
          <w:p w14:paraId="32208054">
            <w:pPr>
              <w:autoSpaceDE w:val="0"/>
              <w:adjustRightInd w:val="0"/>
              <w:spacing w:before="120" w:beforeLines="50" w:after="120" w:afterLines="50" w:line="360" w:lineRule="auto"/>
              <w:jc w:val="center"/>
              <w:rPr>
                <w:rFonts w:hint="eastAsia" w:ascii="宋体" w:hAnsi="宋体" w:eastAsia="宋体" w:cs="宋体"/>
                <w:color w:val="auto"/>
                <w:szCs w:val="21"/>
                <w:highlight w:val="none"/>
              </w:rPr>
            </w:pPr>
          </w:p>
        </w:tc>
        <w:tc>
          <w:tcPr>
            <w:tcW w:w="780" w:type="pct"/>
            <w:tcBorders>
              <w:top w:val="single" w:color="auto" w:sz="4" w:space="0"/>
              <w:left w:val="nil"/>
              <w:bottom w:val="single" w:color="auto" w:sz="4" w:space="0"/>
              <w:right w:val="single" w:color="auto" w:sz="4" w:space="0"/>
            </w:tcBorders>
            <w:shd w:val="clear" w:color="auto" w:fill="auto"/>
            <w:vAlign w:val="center"/>
          </w:tcPr>
          <w:p w14:paraId="4280AE0C">
            <w:pPr>
              <w:autoSpaceDE w:val="0"/>
              <w:adjustRightInd w:val="0"/>
              <w:spacing w:before="120" w:beforeLines="50" w:after="120" w:afterLines="50" w:line="360" w:lineRule="auto"/>
              <w:jc w:val="center"/>
              <w:rPr>
                <w:rFonts w:hint="eastAsia" w:ascii="宋体" w:hAnsi="宋体" w:eastAsia="宋体" w:cs="宋体"/>
                <w:color w:val="auto"/>
                <w:szCs w:val="21"/>
                <w:highlight w:val="none"/>
              </w:rPr>
            </w:pPr>
          </w:p>
        </w:tc>
        <w:tc>
          <w:tcPr>
            <w:tcW w:w="611" w:type="pct"/>
            <w:tcBorders>
              <w:top w:val="single" w:color="auto" w:sz="4" w:space="0"/>
              <w:left w:val="nil"/>
              <w:bottom w:val="single" w:color="auto" w:sz="4" w:space="0"/>
              <w:right w:val="single" w:color="auto" w:sz="4" w:space="0"/>
            </w:tcBorders>
            <w:shd w:val="clear" w:color="auto" w:fill="auto"/>
            <w:vAlign w:val="center"/>
          </w:tcPr>
          <w:p w14:paraId="6B82FEBF">
            <w:pPr>
              <w:autoSpaceDE w:val="0"/>
              <w:adjustRightInd w:val="0"/>
              <w:spacing w:before="120" w:beforeLines="50" w:after="120" w:afterLines="50" w:line="360" w:lineRule="auto"/>
              <w:jc w:val="center"/>
              <w:rPr>
                <w:rFonts w:hint="eastAsia" w:ascii="宋体" w:hAnsi="宋体" w:eastAsia="宋体" w:cs="宋体"/>
                <w:color w:val="auto"/>
                <w:szCs w:val="21"/>
                <w:highlight w:val="none"/>
              </w:rPr>
            </w:pPr>
          </w:p>
        </w:tc>
      </w:tr>
      <w:tr w14:paraId="3DC5F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1" w:type="pct"/>
            <w:tcBorders>
              <w:top w:val="single" w:color="auto" w:sz="4" w:space="0"/>
              <w:left w:val="single" w:color="auto" w:sz="4" w:space="0"/>
              <w:bottom w:val="single" w:color="auto" w:sz="4" w:space="0"/>
              <w:right w:val="single" w:color="auto" w:sz="4" w:space="0"/>
            </w:tcBorders>
            <w:shd w:val="clear" w:color="auto" w:fill="auto"/>
            <w:vAlign w:val="center"/>
          </w:tcPr>
          <w:p w14:paraId="372F1DBB">
            <w:pPr>
              <w:autoSpaceDE w:val="0"/>
              <w:adjustRightInd w:val="0"/>
              <w:spacing w:before="120" w:beforeLines="50" w:after="120" w:afterLines="50"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w:t>
            </w:r>
          </w:p>
        </w:tc>
        <w:tc>
          <w:tcPr>
            <w:tcW w:w="1036" w:type="pct"/>
            <w:tcBorders>
              <w:top w:val="single" w:color="auto" w:sz="4" w:space="0"/>
              <w:left w:val="nil"/>
              <w:bottom w:val="single" w:color="auto" w:sz="4" w:space="0"/>
              <w:right w:val="single" w:color="auto" w:sz="4" w:space="0"/>
            </w:tcBorders>
            <w:shd w:val="clear" w:color="auto" w:fill="auto"/>
            <w:vAlign w:val="center"/>
          </w:tcPr>
          <w:p w14:paraId="295995E6">
            <w:pPr>
              <w:autoSpaceDE w:val="0"/>
              <w:adjustRightInd w:val="0"/>
              <w:spacing w:before="120" w:beforeLines="50" w:after="120" w:afterLines="50" w:line="360" w:lineRule="auto"/>
              <w:jc w:val="center"/>
              <w:rPr>
                <w:rFonts w:hint="eastAsia" w:ascii="宋体" w:hAnsi="宋体" w:eastAsia="宋体" w:cs="宋体"/>
                <w:color w:val="auto"/>
                <w:szCs w:val="21"/>
                <w:highlight w:val="none"/>
              </w:rPr>
            </w:pPr>
          </w:p>
        </w:tc>
        <w:tc>
          <w:tcPr>
            <w:tcW w:w="641" w:type="pct"/>
            <w:tcBorders>
              <w:top w:val="single" w:color="auto" w:sz="4" w:space="0"/>
              <w:left w:val="nil"/>
              <w:bottom w:val="single" w:color="auto" w:sz="4" w:space="0"/>
              <w:right w:val="single" w:color="auto" w:sz="4" w:space="0"/>
            </w:tcBorders>
            <w:shd w:val="clear" w:color="auto" w:fill="auto"/>
            <w:vAlign w:val="center"/>
          </w:tcPr>
          <w:p w14:paraId="53A0F381">
            <w:pPr>
              <w:autoSpaceDE w:val="0"/>
              <w:adjustRightInd w:val="0"/>
              <w:spacing w:before="120" w:beforeLines="50" w:after="120" w:afterLines="50" w:line="360" w:lineRule="auto"/>
              <w:jc w:val="center"/>
              <w:rPr>
                <w:rFonts w:hint="eastAsia" w:ascii="宋体" w:hAnsi="宋体" w:eastAsia="宋体" w:cs="宋体"/>
                <w:color w:val="auto"/>
                <w:szCs w:val="21"/>
                <w:highlight w:val="none"/>
              </w:rPr>
            </w:pPr>
          </w:p>
        </w:tc>
        <w:tc>
          <w:tcPr>
            <w:tcW w:w="776" w:type="pct"/>
            <w:tcBorders>
              <w:top w:val="single" w:color="auto" w:sz="4" w:space="0"/>
              <w:left w:val="nil"/>
              <w:bottom w:val="single" w:color="auto" w:sz="4" w:space="0"/>
              <w:right w:val="single" w:color="auto" w:sz="4" w:space="0"/>
            </w:tcBorders>
            <w:shd w:val="clear" w:color="auto" w:fill="auto"/>
            <w:vAlign w:val="center"/>
          </w:tcPr>
          <w:p w14:paraId="6B15BA31">
            <w:pPr>
              <w:autoSpaceDE w:val="0"/>
              <w:adjustRightInd w:val="0"/>
              <w:spacing w:before="120" w:beforeLines="50" w:after="120" w:afterLines="50" w:line="360" w:lineRule="auto"/>
              <w:jc w:val="center"/>
              <w:rPr>
                <w:rFonts w:hint="eastAsia" w:ascii="宋体" w:hAnsi="宋体" w:eastAsia="宋体" w:cs="宋体"/>
                <w:color w:val="auto"/>
                <w:szCs w:val="21"/>
                <w:highlight w:val="none"/>
              </w:rPr>
            </w:pPr>
          </w:p>
        </w:tc>
        <w:tc>
          <w:tcPr>
            <w:tcW w:w="684" w:type="pct"/>
            <w:tcBorders>
              <w:top w:val="single" w:color="auto" w:sz="4" w:space="0"/>
              <w:left w:val="nil"/>
              <w:bottom w:val="single" w:color="auto" w:sz="4" w:space="0"/>
              <w:right w:val="single" w:color="auto" w:sz="4" w:space="0"/>
            </w:tcBorders>
            <w:shd w:val="clear" w:color="auto" w:fill="auto"/>
            <w:vAlign w:val="center"/>
          </w:tcPr>
          <w:p w14:paraId="1170A73B">
            <w:pPr>
              <w:autoSpaceDE w:val="0"/>
              <w:adjustRightInd w:val="0"/>
              <w:spacing w:before="120" w:beforeLines="50" w:after="120" w:afterLines="50" w:line="360" w:lineRule="auto"/>
              <w:jc w:val="center"/>
              <w:rPr>
                <w:rFonts w:hint="eastAsia" w:ascii="宋体" w:hAnsi="宋体" w:eastAsia="宋体" w:cs="宋体"/>
                <w:color w:val="auto"/>
                <w:szCs w:val="21"/>
                <w:highlight w:val="none"/>
              </w:rPr>
            </w:pPr>
          </w:p>
        </w:tc>
        <w:tc>
          <w:tcPr>
            <w:tcW w:w="780" w:type="pct"/>
            <w:tcBorders>
              <w:top w:val="single" w:color="auto" w:sz="4" w:space="0"/>
              <w:left w:val="nil"/>
              <w:bottom w:val="single" w:color="auto" w:sz="4" w:space="0"/>
              <w:right w:val="single" w:color="auto" w:sz="4" w:space="0"/>
            </w:tcBorders>
            <w:shd w:val="clear" w:color="auto" w:fill="auto"/>
            <w:vAlign w:val="center"/>
          </w:tcPr>
          <w:p w14:paraId="4ED11281">
            <w:pPr>
              <w:autoSpaceDE w:val="0"/>
              <w:adjustRightInd w:val="0"/>
              <w:spacing w:before="120" w:beforeLines="50" w:after="120" w:afterLines="50" w:line="360" w:lineRule="auto"/>
              <w:jc w:val="center"/>
              <w:rPr>
                <w:rFonts w:hint="eastAsia" w:ascii="宋体" w:hAnsi="宋体" w:eastAsia="宋体" w:cs="宋体"/>
                <w:color w:val="auto"/>
                <w:szCs w:val="21"/>
                <w:highlight w:val="none"/>
              </w:rPr>
            </w:pPr>
          </w:p>
        </w:tc>
        <w:tc>
          <w:tcPr>
            <w:tcW w:w="611" w:type="pct"/>
            <w:tcBorders>
              <w:top w:val="single" w:color="auto" w:sz="4" w:space="0"/>
              <w:left w:val="nil"/>
              <w:bottom w:val="single" w:color="auto" w:sz="4" w:space="0"/>
              <w:right w:val="single" w:color="auto" w:sz="4" w:space="0"/>
            </w:tcBorders>
            <w:shd w:val="clear" w:color="auto" w:fill="auto"/>
            <w:vAlign w:val="center"/>
          </w:tcPr>
          <w:p w14:paraId="137BEA16">
            <w:pPr>
              <w:autoSpaceDE w:val="0"/>
              <w:adjustRightInd w:val="0"/>
              <w:spacing w:before="120" w:beforeLines="50" w:after="120" w:afterLines="50" w:line="360" w:lineRule="auto"/>
              <w:jc w:val="center"/>
              <w:rPr>
                <w:rFonts w:hint="eastAsia" w:ascii="宋体" w:hAnsi="宋体" w:eastAsia="宋体" w:cs="宋体"/>
                <w:color w:val="auto"/>
                <w:szCs w:val="21"/>
                <w:highlight w:val="none"/>
              </w:rPr>
            </w:pPr>
          </w:p>
        </w:tc>
      </w:tr>
    </w:tbl>
    <w:p w14:paraId="49569EE9">
      <w:pPr>
        <w:autoSpaceDE w:val="0"/>
        <w:autoSpaceDN w:val="0"/>
        <w:adjustRightInd w:val="0"/>
        <w:snapToGrid w:val="0"/>
        <w:spacing w:before="120" w:beforeLines="50" w:after="120" w:afterLines="5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我方保证：我方提供的产品既非试验产品也非积压产品，而是于</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年投产的成熟产品，且生产（完工）日期不早于</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年</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月；在可以预见的</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 xml:space="preserve">（天）内，我方没有对该型号产品进行升级、停产、淘汰的计划。 </w:t>
      </w:r>
    </w:p>
    <w:p w14:paraId="53282BB4">
      <w:pPr>
        <w:autoSpaceDE w:val="0"/>
        <w:autoSpaceDN w:val="0"/>
        <w:adjustRightInd w:val="0"/>
        <w:snapToGrid w:val="0"/>
        <w:spacing w:before="120" w:beforeLines="50" w:after="120" w:afterLines="5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5</w:t>
      </w:r>
      <w:r>
        <w:rPr>
          <w:rFonts w:hint="eastAsia" w:ascii="宋体" w:hAnsi="宋体" w:eastAsia="宋体" w:cs="宋体"/>
          <w:color w:val="auto"/>
          <w:kern w:val="0"/>
          <w:szCs w:val="21"/>
          <w:highlight w:val="none"/>
          <w:lang w:val="en-US" w:eastAsia="zh-CN" w:bidi="ar"/>
        </w:rPr>
        <w:t>.</w:t>
      </w:r>
      <w:r>
        <w:rPr>
          <w:rFonts w:hint="eastAsia" w:ascii="宋体" w:hAnsi="宋体" w:eastAsia="宋体" w:cs="宋体"/>
          <w:color w:val="auto"/>
          <w:kern w:val="0"/>
          <w:szCs w:val="21"/>
          <w:highlight w:val="none"/>
          <w:lang w:bidi="ar"/>
        </w:rPr>
        <w:t>我方同意按照贵方要求提供与投标产品有关的一切数据或资料。</w:t>
      </w:r>
    </w:p>
    <w:p w14:paraId="59B68993">
      <w:pPr>
        <w:autoSpaceDE w:val="0"/>
        <w:autoSpaceDN w:val="0"/>
        <w:adjustRightInd w:val="0"/>
        <w:snapToGrid w:val="0"/>
        <w:spacing w:before="120" w:beforeLines="50" w:after="120" w:afterLines="5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6</w:t>
      </w:r>
      <w:r>
        <w:rPr>
          <w:rFonts w:hint="eastAsia" w:ascii="宋体" w:hAnsi="宋体" w:eastAsia="宋体" w:cs="宋体"/>
          <w:color w:val="auto"/>
          <w:kern w:val="0"/>
          <w:szCs w:val="21"/>
          <w:highlight w:val="none"/>
          <w:lang w:val="en-US" w:eastAsia="zh-CN" w:bidi="ar"/>
        </w:rPr>
        <w:t>.</w:t>
      </w:r>
      <w:r>
        <w:rPr>
          <w:rFonts w:hint="eastAsia" w:ascii="宋体" w:hAnsi="宋体" w:eastAsia="宋体" w:cs="宋体"/>
          <w:color w:val="auto"/>
          <w:kern w:val="0"/>
          <w:szCs w:val="21"/>
          <w:highlight w:val="none"/>
          <w:lang w:bidi="ar"/>
        </w:rPr>
        <w:t>本授权函不得进行二次授权或转授权，否则无效。</w:t>
      </w:r>
    </w:p>
    <w:p w14:paraId="31CC99ED">
      <w:pPr>
        <w:autoSpaceDE w:val="0"/>
        <w:autoSpaceDN w:val="0"/>
        <w:adjustRightInd w:val="0"/>
        <w:snapToGrid w:val="0"/>
        <w:spacing w:before="120" w:beforeLines="50" w:after="120" w:afterLines="50" w:line="360" w:lineRule="auto"/>
        <w:ind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出具授权书的产品制造商（或境外品牌境外生产的产品生产制造商</w:t>
      </w:r>
      <w:r>
        <w:rPr>
          <w:rFonts w:hint="eastAsia" w:ascii="宋体" w:hAnsi="宋体" w:eastAsia="宋体" w:cs="宋体"/>
          <w:bCs/>
          <w:color w:val="auto"/>
          <w:kern w:val="0"/>
          <w:szCs w:val="21"/>
          <w:highlight w:val="none"/>
          <w:lang w:bidi="ar"/>
        </w:rPr>
        <w:t>境内的办事机构）</w:t>
      </w:r>
      <w:r>
        <w:rPr>
          <w:rFonts w:hint="eastAsia" w:ascii="宋体" w:hAnsi="宋体" w:eastAsia="宋体" w:cs="宋体"/>
          <w:color w:val="auto"/>
          <w:kern w:val="0"/>
          <w:szCs w:val="21"/>
          <w:highlight w:val="none"/>
          <w:lang w:bidi="ar"/>
        </w:rPr>
        <w:t>名称：</w:t>
      </w:r>
      <w:r>
        <w:rPr>
          <w:rFonts w:hint="eastAsia" w:ascii="宋体" w:hAnsi="宋体" w:eastAsia="宋体" w:cs="宋体"/>
          <w:color w:val="auto"/>
          <w:kern w:val="0"/>
          <w:szCs w:val="21"/>
          <w:highlight w:val="none"/>
          <w:u w:val="single"/>
          <w:lang w:bidi="ar"/>
        </w:rPr>
        <w:t xml:space="preserve">  </w:t>
      </w:r>
    </w:p>
    <w:p w14:paraId="01A1F1AB">
      <w:pPr>
        <w:autoSpaceDE w:val="0"/>
        <w:autoSpaceDN w:val="0"/>
        <w:adjustRightInd w:val="0"/>
        <w:snapToGrid w:val="0"/>
        <w:spacing w:before="120" w:beforeLines="50" w:after="120" w:afterLines="50" w:line="360" w:lineRule="auto"/>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(其中，境内工商注册的产品制造商必须同时加盖法人公章，若境外品牌境外生产的产品生产制造商</w:t>
      </w:r>
      <w:r>
        <w:rPr>
          <w:rFonts w:hint="eastAsia" w:ascii="宋体" w:hAnsi="宋体" w:eastAsia="宋体" w:cs="宋体"/>
          <w:bCs/>
          <w:color w:val="auto"/>
          <w:kern w:val="0"/>
          <w:szCs w:val="21"/>
          <w:highlight w:val="none"/>
          <w:lang w:bidi="ar"/>
        </w:rPr>
        <w:t>境内的办事机构</w:t>
      </w:r>
      <w:r>
        <w:rPr>
          <w:rFonts w:hint="eastAsia" w:ascii="宋体" w:hAnsi="宋体" w:eastAsia="宋体" w:cs="宋体"/>
          <w:color w:val="auto"/>
          <w:kern w:val="0"/>
          <w:szCs w:val="21"/>
          <w:highlight w:val="none"/>
          <w:lang w:bidi="ar"/>
        </w:rPr>
        <w:t>在境内工商注册的，必须同时加盖公章)</w:t>
      </w:r>
    </w:p>
    <w:p w14:paraId="50028E5E">
      <w:pPr>
        <w:autoSpaceDE w:val="0"/>
        <w:autoSpaceDN w:val="0"/>
        <w:adjustRightInd w:val="0"/>
        <w:snapToGrid w:val="0"/>
        <w:spacing w:before="120" w:beforeLines="50" w:after="120" w:afterLines="5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法定代表人：</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（签名或盖私章）</w:t>
      </w:r>
    </w:p>
    <w:p w14:paraId="147873F4">
      <w:pPr>
        <w:autoSpaceDE w:val="0"/>
        <w:autoSpaceDN w:val="0"/>
        <w:adjustRightInd w:val="0"/>
        <w:snapToGrid w:val="0"/>
        <w:spacing w:before="120" w:beforeLines="50" w:after="120" w:afterLines="50" w:line="360" w:lineRule="auto"/>
        <w:ind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签署人职务：</w:t>
      </w:r>
      <w:r>
        <w:rPr>
          <w:rFonts w:hint="eastAsia" w:ascii="宋体" w:hAnsi="宋体" w:eastAsia="宋体" w:cs="宋体"/>
          <w:color w:val="auto"/>
          <w:kern w:val="0"/>
          <w:szCs w:val="21"/>
          <w:highlight w:val="none"/>
          <w:u w:val="single"/>
          <w:lang w:bidi="ar"/>
        </w:rPr>
        <w:t xml:space="preserve">                    </w:t>
      </w:r>
    </w:p>
    <w:p w14:paraId="7E5566E1">
      <w:pPr>
        <w:autoSpaceDE w:val="0"/>
        <w:autoSpaceDN w:val="0"/>
        <w:adjustRightInd w:val="0"/>
        <w:snapToGrid w:val="0"/>
        <w:spacing w:before="120" w:beforeLines="50" w:after="120" w:afterLines="5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电话：</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 xml:space="preserve">   传真：</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 xml:space="preserve"> </w:t>
      </w:r>
    </w:p>
    <w:p w14:paraId="5476A67A">
      <w:pPr>
        <w:autoSpaceDE w:val="0"/>
        <w:autoSpaceDN w:val="0"/>
        <w:adjustRightInd w:val="0"/>
        <w:snapToGrid w:val="0"/>
        <w:spacing w:before="120" w:beforeLines="50" w:after="120" w:afterLines="50" w:line="360" w:lineRule="auto"/>
        <w:ind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地址：</w:t>
      </w:r>
      <w:r>
        <w:rPr>
          <w:rFonts w:hint="eastAsia" w:ascii="宋体" w:hAnsi="宋体" w:eastAsia="宋体" w:cs="宋体"/>
          <w:color w:val="auto"/>
          <w:kern w:val="0"/>
          <w:szCs w:val="21"/>
          <w:highlight w:val="none"/>
          <w:u w:val="single"/>
          <w:lang w:bidi="ar"/>
        </w:rPr>
        <w:t xml:space="preserve">                                                </w:t>
      </w:r>
    </w:p>
    <w:p w14:paraId="7E1ABA88">
      <w:pPr>
        <w:autoSpaceDE w:val="0"/>
        <w:autoSpaceDN w:val="0"/>
        <w:adjustRightInd w:val="0"/>
        <w:snapToGrid w:val="0"/>
        <w:spacing w:before="120" w:beforeLines="50" w:after="120" w:afterLines="50" w:line="360" w:lineRule="auto"/>
        <w:ind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网址：</w:t>
      </w:r>
      <w:r>
        <w:rPr>
          <w:rFonts w:hint="eastAsia" w:ascii="宋体" w:hAnsi="宋体" w:eastAsia="宋体" w:cs="宋体"/>
          <w:color w:val="auto"/>
          <w:kern w:val="0"/>
          <w:szCs w:val="21"/>
          <w:highlight w:val="none"/>
          <w:u w:val="single"/>
          <w:lang w:bidi="ar"/>
        </w:rPr>
        <w:t xml:space="preserve">                                                </w:t>
      </w:r>
    </w:p>
    <w:p w14:paraId="491AD639">
      <w:pPr>
        <w:autoSpaceDE w:val="0"/>
        <w:autoSpaceDN w:val="0"/>
        <w:adjustRightInd w:val="0"/>
        <w:snapToGrid w:val="0"/>
        <w:spacing w:before="120" w:beforeLines="50" w:after="120" w:afterLines="50" w:line="360" w:lineRule="auto"/>
        <w:ind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电子邮箱：</w:t>
      </w:r>
      <w:r>
        <w:rPr>
          <w:rFonts w:hint="eastAsia" w:ascii="宋体" w:hAnsi="宋体" w:eastAsia="宋体" w:cs="宋体"/>
          <w:color w:val="auto"/>
          <w:kern w:val="0"/>
          <w:szCs w:val="21"/>
          <w:highlight w:val="none"/>
          <w:u w:val="single"/>
          <w:lang w:bidi="ar"/>
        </w:rPr>
        <w:t xml:space="preserve">                                            </w:t>
      </w:r>
    </w:p>
    <w:p w14:paraId="656DA472">
      <w:pPr>
        <w:autoSpaceDE w:val="0"/>
        <w:autoSpaceDN w:val="0"/>
        <w:adjustRightInd w:val="0"/>
        <w:snapToGrid w:val="0"/>
        <w:spacing w:before="120" w:beforeLines="50" w:after="120" w:afterLines="5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签发日期：</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年</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月</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日</w:t>
      </w:r>
    </w:p>
    <w:p w14:paraId="74054823">
      <w:pPr>
        <w:rPr>
          <w:rFonts w:hint="eastAsia" w:ascii="宋体" w:hAnsi="宋体" w:eastAsia="宋体" w:cs="宋体"/>
          <w:b/>
          <w:bCs/>
          <w:color w:val="auto"/>
          <w:sz w:val="28"/>
          <w:szCs w:val="32"/>
          <w:highlight w:val="none"/>
          <w:lang w:val="zh-CN"/>
        </w:rPr>
      </w:pPr>
      <w:r>
        <w:rPr>
          <w:rFonts w:hint="eastAsia" w:ascii="宋体" w:hAnsi="宋体" w:eastAsia="宋体" w:cs="宋体"/>
          <w:b/>
          <w:bCs/>
          <w:color w:val="auto"/>
          <w:kern w:val="0"/>
          <w:szCs w:val="21"/>
          <w:highlight w:val="none"/>
          <w:lang w:bidi="ar"/>
        </w:rPr>
        <w:t xml:space="preserve"> 备注：投标文件正本内必须提供原件。</w:t>
      </w:r>
    </w:p>
    <w:p w14:paraId="6A2C579F">
      <w:pPr>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br w:type="page"/>
      </w:r>
    </w:p>
    <w:p w14:paraId="5BBF1A42">
      <w:pPr>
        <w:jc w:val="left"/>
        <w:rPr>
          <w:rFonts w:hint="eastAsia" w:ascii="宋体" w:hAnsi="宋体" w:eastAsia="宋体" w:cs="宋体"/>
          <w:b/>
          <w:bCs/>
          <w:color w:val="auto"/>
          <w:sz w:val="28"/>
          <w:szCs w:val="28"/>
          <w:highlight w:val="none"/>
          <w:lang w:val="zh-CN"/>
        </w:rPr>
      </w:pPr>
      <w:r>
        <w:rPr>
          <w:rFonts w:hint="eastAsia" w:ascii="宋体" w:hAnsi="宋体" w:eastAsia="宋体" w:cs="宋体"/>
          <w:b/>
          <w:bCs/>
          <w:color w:val="auto"/>
          <w:sz w:val="28"/>
          <w:szCs w:val="32"/>
          <w:highlight w:val="none"/>
          <w:lang w:val="zh-CN"/>
        </w:rPr>
        <w:t>5.</w:t>
      </w:r>
      <w:r>
        <w:rPr>
          <w:rFonts w:hint="eastAsia" w:ascii="宋体" w:hAnsi="宋体" w:eastAsia="宋体" w:cs="宋体"/>
          <w:b/>
          <w:bCs/>
          <w:color w:val="auto"/>
          <w:sz w:val="28"/>
          <w:szCs w:val="32"/>
          <w:highlight w:val="none"/>
          <w:lang w:val="en-US" w:eastAsia="zh-CN"/>
        </w:rPr>
        <w:t>5</w:t>
      </w:r>
      <w:r>
        <w:rPr>
          <w:rFonts w:hint="eastAsia" w:ascii="宋体" w:hAnsi="宋体" w:eastAsia="宋体" w:cs="宋体"/>
          <w:b/>
          <w:bCs/>
          <w:color w:val="auto"/>
          <w:sz w:val="28"/>
          <w:szCs w:val="32"/>
          <w:highlight w:val="none"/>
          <w:lang w:val="zh-CN"/>
        </w:rPr>
        <w:t xml:space="preserve"> 资格业绩【</w:t>
      </w:r>
      <w:r>
        <w:rPr>
          <w:rFonts w:hint="eastAsia" w:ascii="宋体" w:hAnsi="宋体" w:eastAsia="宋体" w:cs="宋体"/>
          <w:b/>
          <w:bCs/>
          <w:color w:val="auto"/>
          <w:sz w:val="28"/>
          <w:szCs w:val="28"/>
          <w:highlight w:val="none"/>
          <w:lang w:val="zh-CN"/>
        </w:rPr>
        <w:t>投标人至少提供一份2022年1月1日以来投标品牌球墨铸铁阀门在国内的销售业绩（合同签订日期为2022年1月1日或以后）】</w:t>
      </w:r>
    </w:p>
    <w:tbl>
      <w:tblPr>
        <w:tblStyle w:val="20"/>
        <w:tblW w:w="4392"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668"/>
        <w:gridCol w:w="1634"/>
        <w:gridCol w:w="1249"/>
        <w:gridCol w:w="1185"/>
        <w:gridCol w:w="1067"/>
        <w:gridCol w:w="1815"/>
        <w:gridCol w:w="1426"/>
      </w:tblGrid>
      <w:tr w14:paraId="6B44B9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8" w:hRule="atLeast"/>
          <w:jc w:val="center"/>
        </w:trPr>
        <w:tc>
          <w:tcPr>
            <w:tcW w:w="669" w:type="dxa"/>
            <w:tcBorders>
              <w:top w:val="single" w:color="auto" w:sz="4" w:space="0"/>
              <w:left w:val="single" w:color="auto" w:sz="4" w:space="0"/>
              <w:bottom w:val="single" w:color="auto" w:sz="4" w:space="0"/>
              <w:right w:val="single" w:color="auto" w:sz="4" w:space="0"/>
            </w:tcBorders>
            <w:vAlign w:val="center"/>
          </w:tcPr>
          <w:p w14:paraId="2F3E75A6">
            <w:pPr>
              <w:autoSpaceDE w:val="0"/>
              <w:autoSpaceDN w:val="0"/>
              <w:adjustRightInd w:val="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val="zh-CN"/>
              </w:rPr>
              <w:t>序号</w:t>
            </w:r>
          </w:p>
        </w:tc>
        <w:tc>
          <w:tcPr>
            <w:tcW w:w="1634" w:type="dxa"/>
            <w:tcBorders>
              <w:top w:val="single" w:color="auto" w:sz="4" w:space="0"/>
              <w:left w:val="single" w:color="auto" w:sz="4" w:space="0"/>
              <w:bottom w:val="single" w:color="auto" w:sz="4" w:space="0"/>
              <w:right w:val="single" w:color="auto" w:sz="4" w:space="0"/>
            </w:tcBorders>
            <w:vAlign w:val="center"/>
          </w:tcPr>
          <w:p w14:paraId="6DF4AC8C">
            <w:pPr>
              <w:autoSpaceDE w:val="0"/>
              <w:autoSpaceDN w:val="0"/>
              <w:adjustRightInd w:val="0"/>
              <w:jc w:val="center"/>
              <w:rPr>
                <w:rFonts w:hint="eastAsia" w:ascii="宋体" w:hAnsi="宋体" w:eastAsia="宋体" w:cs="宋体"/>
                <w:color w:val="auto"/>
                <w:szCs w:val="21"/>
                <w:highlight w:val="none"/>
                <w:lang w:val="zh-CN"/>
              </w:rPr>
            </w:pPr>
            <w:r>
              <w:rPr>
                <w:rFonts w:hint="eastAsia" w:ascii="宋体" w:hAnsi="宋体" w:eastAsia="宋体" w:cs="宋体"/>
                <w:color w:val="auto"/>
                <w:kern w:val="0"/>
                <w:szCs w:val="21"/>
                <w:highlight w:val="none"/>
                <w:lang w:val="zh-CN"/>
              </w:rPr>
              <w:t>项目名称</w:t>
            </w:r>
          </w:p>
        </w:tc>
        <w:tc>
          <w:tcPr>
            <w:tcW w:w="1249" w:type="dxa"/>
            <w:tcBorders>
              <w:top w:val="single" w:color="auto" w:sz="4" w:space="0"/>
              <w:left w:val="single" w:color="auto" w:sz="4" w:space="0"/>
              <w:bottom w:val="single" w:color="auto" w:sz="4" w:space="0"/>
              <w:right w:val="single" w:color="auto" w:sz="4" w:space="0"/>
            </w:tcBorders>
            <w:vAlign w:val="center"/>
          </w:tcPr>
          <w:p w14:paraId="6B6AD61C">
            <w:pPr>
              <w:autoSpaceDE w:val="0"/>
              <w:autoSpaceDN w:val="0"/>
              <w:adjustRightInd w:val="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val="zh-CN"/>
              </w:rPr>
              <w:t>合同期限</w:t>
            </w:r>
          </w:p>
        </w:tc>
        <w:tc>
          <w:tcPr>
            <w:tcW w:w="1185" w:type="dxa"/>
            <w:tcBorders>
              <w:top w:val="single" w:color="auto" w:sz="4" w:space="0"/>
              <w:left w:val="single" w:color="auto" w:sz="4" w:space="0"/>
              <w:bottom w:val="single" w:color="auto" w:sz="4" w:space="0"/>
              <w:right w:val="single" w:color="auto" w:sz="4" w:space="0"/>
            </w:tcBorders>
            <w:vAlign w:val="center"/>
          </w:tcPr>
          <w:p w14:paraId="482B62BD">
            <w:pPr>
              <w:autoSpaceDE w:val="0"/>
              <w:autoSpaceDN w:val="0"/>
              <w:adjustRightInd w:val="0"/>
              <w:jc w:val="center"/>
              <w:rPr>
                <w:rFonts w:hint="eastAsia" w:ascii="宋体" w:hAnsi="宋体" w:eastAsia="宋体" w:cs="宋体"/>
                <w:color w:val="auto"/>
                <w:szCs w:val="21"/>
                <w:highlight w:val="none"/>
                <w:lang w:val="zh-CN"/>
              </w:rPr>
            </w:pPr>
            <w:r>
              <w:rPr>
                <w:rFonts w:hint="eastAsia" w:ascii="宋体" w:hAnsi="宋体" w:eastAsia="宋体" w:cs="宋体"/>
                <w:color w:val="auto"/>
                <w:kern w:val="0"/>
                <w:szCs w:val="21"/>
                <w:highlight w:val="none"/>
                <w:lang w:val="zh-CN"/>
              </w:rPr>
              <w:t>签约日期</w:t>
            </w:r>
          </w:p>
        </w:tc>
        <w:tc>
          <w:tcPr>
            <w:tcW w:w="1067" w:type="dxa"/>
            <w:tcBorders>
              <w:top w:val="single" w:color="auto" w:sz="4" w:space="0"/>
              <w:left w:val="single" w:color="auto" w:sz="4" w:space="0"/>
              <w:bottom w:val="single" w:color="auto" w:sz="4" w:space="0"/>
              <w:right w:val="single" w:color="auto" w:sz="4" w:space="0"/>
            </w:tcBorders>
            <w:vAlign w:val="center"/>
          </w:tcPr>
          <w:p w14:paraId="2821F46C">
            <w:pPr>
              <w:autoSpaceDE w:val="0"/>
              <w:autoSpaceDN w:val="0"/>
              <w:adjustRightInd w:val="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val="zh-CN"/>
              </w:rPr>
              <w:t>完成情况</w:t>
            </w:r>
          </w:p>
        </w:tc>
        <w:tc>
          <w:tcPr>
            <w:tcW w:w="1815" w:type="dxa"/>
            <w:tcBorders>
              <w:top w:val="single" w:color="auto" w:sz="4" w:space="0"/>
              <w:left w:val="single" w:color="auto" w:sz="4" w:space="0"/>
              <w:bottom w:val="single" w:color="auto" w:sz="4" w:space="0"/>
              <w:right w:val="single" w:color="auto" w:sz="4" w:space="0"/>
            </w:tcBorders>
            <w:vAlign w:val="center"/>
          </w:tcPr>
          <w:p w14:paraId="7807C9C9">
            <w:pPr>
              <w:autoSpaceDE w:val="0"/>
              <w:autoSpaceDN w:val="0"/>
              <w:adjustRightInd w:val="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val="zh-CN"/>
              </w:rPr>
              <w:t>买方单位联系人及电话</w:t>
            </w:r>
          </w:p>
        </w:tc>
        <w:tc>
          <w:tcPr>
            <w:tcW w:w="1426" w:type="dxa"/>
            <w:tcBorders>
              <w:top w:val="single" w:color="auto" w:sz="4" w:space="0"/>
              <w:left w:val="single" w:color="auto" w:sz="4" w:space="0"/>
              <w:bottom w:val="single" w:color="auto" w:sz="4" w:space="0"/>
              <w:right w:val="single" w:color="auto" w:sz="4" w:space="0"/>
            </w:tcBorders>
            <w:vAlign w:val="center"/>
          </w:tcPr>
          <w:p w14:paraId="58F2DC16">
            <w:pPr>
              <w:autoSpaceDE w:val="0"/>
              <w:autoSpaceDN w:val="0"/>
              <w:adjustRightInd w:val="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val="zh-CN"/>
              </w:rPr>
              <w:t>备注</w:t>
            </w:r>
          </w:p>
        </w:tc>
      </w:tr>
      <w:tr w14:paraId="2D5E78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4" w:hRule="atLeast"/>
          <w:jc w:val="center"/>
        </w:trPr>
        <w:tc>
          <w:tcPr>
            <w:tcW w:w="669" w:type="dxa"/>
            <w:tcBorders>
              <w:top w:val="single" w:color="auto" w:sz="4" w:space="0"/>
              <w:left w:val="single" w:color="auto" w:sz="4" w:space="0"/>
              <w:bottom w:val="single" w:color="auto" w:sz="4" w:space="0"/>
              <w:right w:val="single" w:color="auto" w:sz="4" w:space="0"/>
            </w:tcBorders>
            <w:vAlign w:val="center"/>
          </w:tcPr>
          <w:p w14:paraId="14581F4F">
            <w:pPr>
              <w:jc w:val="center"/>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w:t>
            </w:r>
          </w:p>
        </w:tc>
        <w:tc>
          <w:tcPr>
            <w:tcW w:w="1634" w:type="dxa"/>
            <w:tcBorders>
              <w:top w:val="single" w:color="auto" w:sz="4" w:space="0"/>
              <w:left w:val="single" w:color="auto" w:sz="4" w:space="0"/>
              <w:bottom w:val="single" w:color="auto" w:sz="4" w:space="0"/>
              <w:right w:val="single" w:color="auto" w:sz="4" w:space="0"/>
            </w:tcBorders>
            <w:vAlign w:val="center"/>
          </w:tcPr>
          <w:p w14:paraId="4FA63CAE">
            <w:pPr>
              <w:jc w:val="center"/>
              <w:rPr>
                <w:rFonts w:hint="eastAsia" w:ascii="宋体" w:hAnsi="宋体" w:eastAsia="宋体" w:cs="宋体"/>
                <w:color w:val="auto"/>
                <w:szCs w:val="21"/>
                <w:highlight w:val="none"/>
              </w:rPr>
            </w:pPr>
          </w:p>
        </w:tc>
        <w:tc>
          <w:tcPr>
            <w:tcW w:w="1249" w:type="dxa"/>
            <w:tcBorders>
              <w:top w:val="single" w:color="auto" w:sz="4" w:space="0"/>
              <w:left w:val="single" w:color="auto" w:sz="4" w:space="0"/>
              <w:bottom w:val="single" w:color="auto" w:sz="4" w:space="0"/>
              <w:right w:val="single" w:color="auto" w:sz="4" w:space="0"/>
            </w:tcBorders>
            <w:vAlign w:val="center"/>
          </w:tcPr>
          <w:p w14:paraId="1EB36AFD">
            <w:pPr>
              <w:jc w:val="center"/>
              <w:rPr>
                <w:rFonts w:hint="eastAsia" w:ascii="宋体" w:hAnsi="宋体" w:eastAsia="宋体" w:cs="宋体"/>
                <w:color w:val="auto"/>
                <w:szCs w:val="21"/>
                <w:highlight w:val="none"/>
              </w:rPr>
            </w:pPr>
          </w:p>
        </w:tc>
        <w:tc>
          <w:tcPr>
            <w:tcW w:w="1185" w:type="dxa"/>
            <w:tcBorders>
              <w:top w:val="single" w:color="auto" w:sz="4" w:space="0"/>
              <w:left w:val="single" w:color="auto" w:sz="4" w:space="0"/>
              <w:bottom w:val="single" w:color="auto" w:sz="4" w:space="0"/>
              <w:right w:val="single" w:color="auto" w:sz="4" w:space="0"/>
            </w:tcBorders>
            <w:vAlign w:val="center"/>
          </w:tcPr>
          <w:p w14:paraId="00C010CF">
            <w:pPr>
              <w:jc w:val="center"/>
              <w:rPr>
                <w:rFonts w:hint="eastAsia" w:ascii="宋体" w:hAnsi="宋体" w:eastAsia="宋体" w:cs="宋体"/>
                <w:color w:val="auto"/>
                <w:szCs w:val="21"/>
                <w:highlight w:val="none"/>
              </w:rPr>
            </w:pPr>
          </w:p>
        </w:tc>
        <w:tc>
          <w:tcPr>
            <w:tcW w:w="1067" w:type="dxa"/>
            <w:tcBorders>
              <w:top w:val="single" w:color="auto" w:sz="4" w:space="0"/>
              <w:left w:val="single" w:color="auto" w:sz="4" w:space="0"/>
              <w:bottom w:val="single" w:color="auto" w:sz="4" w:space="0"/>
              <w:right w:val="single" w:color="auto" w:sz="4" w:space="0"/>
            </w:tcBorders>
            <w:vAlign w:val="center"/>
          </w:tcPr>
          <w:p w14:paraId="0A91DA50">
            <w:pPr>
              <w:jc w:val="center"/>
              <w:rPr>
                <w:rFonts w:hint="eastAsia" w:ascii="宋体" w:hAnsi="宋体" w:eastAsia="宋体" w:cs="宋体"/>
                <w:color w:val="auto"/>
                <w:szCs w:val="21"/>
                <w:highlight w:val="none"/>
              </w:rPr>
            </w:pPr>
          </w:p>
        </w:tc>
        <w:tc>
          <w:tcPr>
            <w:tcW w:w="1815" w:type="dxa"/>
            <w:tcBorders>
              <w:top w:val="single" w:color="auto" w:sz="4" w:space="0"/>
              <w:left w:val="single" w:color="auto" w:sz="4" w:space="0"/>
              <w:bottom w:val="single" w:color="auto" w:sz="4" w:space="0"/>
              <w:right w:val="single" w:color="auto" w:sz="4" w:space="0"/>
            </w:tcBorders>
            <w:vAlign w:val="center"/>
          </w:tcPr>
          <w:p w14:paraId="7355A633">
            <w:pPr>
              <w:jc w:val="center"/>
              <w:rPr>
                <w:rFonts w:hint="eastAsia" w:ascii="宋体" w:hAnsi="宋体" w:eastAsia="宋体" w:cs="宋体"/>
                <w:color w:val="auto"/>
                <w:szCs w:val="21"/>
                <w:highlight w:val="none"/>
              </w:rPr>
            </w:pPr>
          </w:p>
        </w:tc>
        <w:tc>
          <w:tcPr>
            <w:tcW w:w="1426" w:type="dxa"/>
            <w:tcBorders>
              <w:top w:val="single" w:color="auto" w:sz="4" w:space="0"/>
              <w:left w:val="single" w:color="auto" w:sz="4" w:space="0"/>
              <w:bottom w:val="single" w:color="auto" w:sz="4" w:space="0"/>
              <w:right w:val="single" w:color="auto" w:sz="4" w:space="0"/>
            </w:tcBorders>
            <w:vAlign w:val="center"/>
          </w:tcPr>
          <w:p w14:paraId="6F0C6DD8">
            <w:pPr>
              <w:jc w:val="center"/>
              <w:rPr>
                <w:rFonts w:hint="eastAsia" w:ascii="宋体" w:hAnsi="宋体" w:eastAsia="宋体" w:cs="宋体"/>
                <w:color w:val="auto"/>
                <w:szCs w:val="21"/>
                <w:highlight w:val="none"/>
              </w:rPr>
            </w:pPr>
          </w:p>
        </w:tc>
      </w:tr>
      <w:tr w14:paraId="1043C7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563" w:hRule="atLeast"/>
          <w:jc w:val="center"/>
        </w:trPr>
        <w:tc>
          <w:tcPr>
            <w:tcW w:w="669" w:type="dxa"/>
            <w:tcBorders>
              <w:top w:val="single" w:color="auto" w:sz="4" w:space="0"/>
              <w:left w:val="single" w:color="auto" w:sz="4" w:space="0"/>
              <w:bottom w:val="single" w:color="auto" w:sz="4" w:space="0"/>
              <w:right w:val="single" w:color="auto" w:sz="4" w:space="0"/>
            </w:tcBorders>
            <w:vAlign w:val="center"/>
          </w:tcPr>
          <w:p w14:paraId="6EADFF18">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634" w:type="dxa"/>
            <w:tcBorders>
              <w:top w:val="single" w:color="auto" w:sz="4" w:space="0"/>
              <w:left w:val="single" w:color="auto" w:sz="4" w:space="0"/>
              <w:bottom w:val="single" w:color="auto" w:sz="4" w:space="0"/>
              <w:right w:val="single" w:color="auto" w:sz="4" w:space="0"/>
            </w:tcBorders>
            <w:vAlign w:val="center"/>
          </w:tcPr>
          <w:p w14:paraId="78830B06">
            <w:pPr>
              <w:jc w:val="center"/>
              <w:rPr>
                <w:rFonts w:hint="eastAsia" w:ascii="宋体" w:hAnsi="宋体" w:eastAsia="宋体" w:cs="宋体"/>
                <w:color w:val="auto"/>
                <w:szCs w:val="21"/>
                <w:highlight w:val="none"/>
              </w:rPr>
            </w:pPr>
          </w:p>
        </w:tc>
        <w:tc>
          <w:tcPr>
            <w:tcW w:w="1249" w:type="dxa"/>
            <w:tcBorders>
              <w:top w:val="single" w:color="auto" w:sz="4" w:space="0"/>
              <w:left w:val="single" w:color="auto" w:sz="4" w:space="0"/>
              <w:bottom w:val="single" w:color="auto" w:sz="4" w:space="0"/>
              <w:right w:val="single" w:color="auto" w:sz="4" w:space="0"/>
            </w:tcBorders>
            <w:vAlign w:val="center"/>
          </w:tcPr>
          <w:p w14:paraId="49996134">
            <w:pPr>
              <w:jc w:val="center"/>
              <w:rPr>
                <w:rFonts w:hint="eastAsia" w:ascii="宋体" w:hAnsi="宋体" w:eastAsia="宋体" w:cs="宋体"/>
                <w:color w:val="auto"/>
                <w:szCs w:val="21"/>
                <w:highlight w:val="none"/>
              </w:rPr>
            </w:pPr>
          </w:p>
        </w:tc>
        <w:tc>
          <w:tcPr>
            <w:tcW w:w="1185" w:type="dxa"/>
            <w:tcBorders>
              <w:top w:val="single" w:color="auto" w:sz="4" w:space="0"/>
              <w:left w:val="single" w:color="auto" w:sz="4" w:space="0"/>
              <w:bottom w:val="single" w:color="auto" w:sz="4" w:space="0"/>
              <w:right w:val="single" w:color="auto" w:sz="4" w:space="0"/>
            </w:tcBorders>
            <w:vAlign w:val="center"/>
          </w:tcPr>
          <w:p w14:paraId="3136E0C2">
            <w:pPr>
              <w:jc w:val="center"/>
              <w:rPr>
                <w:rFonts w:hint="eastAsia" w:ascii="宋体" w:hAnsi="宋体" w:eastAsia="宋体" w:cs="宋体"/>
                <w:color w:val="auto"/>
                <w:szCs w:val="21"/>
                <w:highlight w:val="none"/>
              </w:rPr>
            </w:pPr>
          </w:p>
        </w:tc>
        <w:tc>
          <w:tcPr>
            <w:tcW w:w="1067" w:type="dxa"/>
            <w:tcBorders>
              <w:top w:val="single" w:color="auto" w:sz="4" w:space="0"/>
              <w:left w:val="single" w:color="auto" w:sz="4" w:space="0"/>
              <w:bottom w:val="single" w:color="auto" w:sz="4" w:space="0"/>
              <w:right w:val="single" w:color="auto" w:sz="4" w:space="0"/>
            </w:tcBorders>
            <w:vAlign w:val="center"/>
          </w:tcPr>
          <w:p w14:paraId="3E562F7A">
            <w:pPr>
              <w:jc w:val="center"/>
              <w:rPr>
                <w:rFonts w:hint="eastAsia" w:ascii="宋体" w:hAnsi="宋体" w:eastAsia="宋体" w:cs="宋体"/>
                <w:color w:val="auto"/>
                <w:szCs w:val="21"/>
                <w:highlight w:val="none"/>
              </w:rPr>
            </w:pPr>
          </w:p>
        </w:tc>
        <w:tc>
          <w:tcPr>
            <w:tcW w:w="1815" w:type="dxa"/>
            <w:tcBorders>
              <w:top w:val="single" w:color="auto" w:sz="4" w:space="0"/>
              <w:left w:val="single" w:color="auto" w:sz="4" w:space="0"/>
              <w:bottom w:val="single" w:color="auto" w:sz="4" w:space="0"/>
              <w:right w:val="single" w:color="auto" w:sz="4" w:space="0"/>
            </w:tcBorders>
            <w:vAlign w:val="center"/>
          </w:tcPr>
          <w:p w14:paraId="6FEF4817">
            <w:pPr>
              <w:jc w:val="center"/>
              <w:rPr>
                <w:rFonts w:hint="eastAsia" w:ascii="宋体" w:hAnsi="宋体" w:eastAsia="宋体" w:cs="宋体"/>
                <w:color w:val="auto"/>
                <w:szCs w:val="21"/>
                <w:highlight w:val="none"/>
              </w:rPr>
            </w:pPr>
          </w:p>
        </w:tc>
        <w:tc>
          <w:tcPr>
            <w:tcW w:w="1426" w:type="dxa"/>
            <w:tcBorders>
              <w:top w:val="single" w:color="auto" w:sz="4" w:space="0"/>
              <w:left w:val="single" w:color="auto" w:sz="4" w:space="0"/>
              <w:bottom w:val="single" w:color="auto" w:sz="4" w:space="0"/>
              <w:right w:val="single" w:color="auto" w:sz="4" w:space="0"/>
            </w:tcBorders>
            <w:vAlign w:val="center"/>
          </w:tcPr>
          <w:p w14:paraId="4A412D95">
            <w:pPr>
              <w:jc w:val="center"/>
              <w:rPr>
                <w:rFonts w:hint="eastAsia" w:ascii="宋体" w:hAnsi="宋体" w:eastAsia="宋体" w:cs="宋体"/>
                <w:color w:val="auto"/>
                <w:szCs w:val="21"/>
                <w:highlight w:val="none"/>
              </w:rPr>
            </w:pPr>
          </w:p>
        </w:tc>
      </w:tr>
    </w:tbl>
    <w:p w14:paraId="4A0DD31C">
      <w:pPr>
        <w:rPr>
          <w:rFonts w:hint="eastAsia" w:ascii="宋体" w:hAnsi="宋体" w:eastAsia="宋体" w:cs="宋体"/>
          <w:color w:val="auto"/>
          <w:highlight w:val="none"/>
          <w:lang w:val="zh-CN"/>
        </w:rPr>
      </w:pPr>
      <w:r>
        <w:rPr>
          <w:rFonts w:hint="eastAsia" w:ascii="宋体" w:hAnsi="宋体" w:eastAsia="宋体" w:cs="宋体"/>
          <w:b/>
          <w:bCs/>
          <w:color w:val="auto"/>
          <w:highlight w:val="none"/>
          <w:lang w:val="zh-CN"/>
        </w:rPr>
        <w:t>资格业绩证明材料提交要求：</w:t>
      </w:r>
      <w:r>
        <w:rPr>
          <w:rFonts w:hint="eastAsia" w:ascii="宋体" w:hAnsi="宋体" w:eastAsia="宋体" w:cs="宋体"/>
          <w:color w:val="auto"/>
          <w:highlight w:val="none"/>
          <w:lang w:val="zh-CN"/>
        </w:rPr>
        <w:t xml:space="preserve"> </w:t>
      </w:r>
    </w:p>
    <w:p w14:paraId="10FEF235">
      <w:pPr>
        <w:ind w:left="525" w:hanging="525" w:hangingChars="25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（1）作为投标人资格条件证明的业绩放置在此处；</w:t>
      </w:r>
    </w:p>
    <w:p w14:paraId="2F9BE8DD">
      <w:pPr>
        <w:ind w:left="525" w:hanging="525" w:hangingChars="25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（2）业绩须同时提供①投标品牌球墨铸铁阀门销售合同复印件；②已供货产品任意一张发票复印件（发票开具日期须在本项目招标公告发布之日前）；</w:t>
      </w:r>
    </w:p>
    <w:p w14:paraId="4622AB58">
      <w:pPr>
        <w:ind w:left="525" w:hanging="525" w:hangingChars="25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（3）若合同无法反映评审条件【合同签订日期为2022年1月1日或以后、合同标的必须包含投标品牌</w:t>
      </w:r>
      <w:r>
        <w:rPr>
          <w:rFonts w:hint="eastAsia" w:ascii="宋体" w:hAnsi="宋体" w:eastAsia="宋体" w:cs="宋体"/>
          <w:color w:val="auto"/>
          <w:kern w:val="2"/>
          <w:sz w:val="21"/>
          <w:szCs w:val="22"/>
          <w:highlight w:val="none"/>
          <w:lang w:val="zh-CN" w:eastAsia="zh-CN" w:bidi="ar-SA"/>
        </w:rPr>
        <w:t>球墨铸铁阀门</w:t>
      </w:r>
      <w:r>
        <w:rPr>
          <w:rFonts w:hint="eastAsia" w:ascii="宋体" w:hAnsi="宋体" w:eastAsia="宋体" w:cs="宋体"/>
          <w:color w:val="auto"/>
          <w:highlight w:val="none"/>
          <w:lang w:val="zh-CN"/>
        </w:rPr>
        <w:t>)</w:t>
      </w:r>
      <w:r>
        <w:rPr>
          <w:rFonts w:hint="eastAsia" w:ascii="宋体" w:hAnsi="宋体" w:eastAsia="宋体" w:cs="宋体"/>
          <w:color w:val="auto"/>
          <w:sz w:val="21"/>
          <w:highlight w:val="none"/>
          <w:lang w:val="zh-CN"/>
        </w:rPr>
        <w:t>】</w:t>
      </w:r>
      <w:r>
        <w:rPr>
          <w:rFonts w:hint="eastAsia" w:ascii="宋体" w:hAnsi="宋体" w:eastAsia="宋体" w:cs="宋体"/>
          <w:color w:val="auto"/>
          <w:highlight w:val="none"/>
          <w:lang w:val="zh-CN"/>
        </w:rPr>
        <w:t>的，还需提供产品购买方出具的书面补充说明文件复印件作为辅助证明（需显示购买方公章）；</w:t>
      </w:r>
    </w:p>
    <w:p w14:paraId="62F93552">
      <w:pPr>
        <w:ind w:left="525" w:hanging="525" w:hangingChars="250"/>
        <w:rPr>
          <w:rFonts w:hint="eastAsia" w:ascii="宋体" w:hAnsi="宋体" w:eastAsia="宋体" w:cs="宋体"/>
          <w:color w:val="auto"/>
          <w:highlight w:val="none"/>
        </w:rPr>
      </w:pPr>
      <w:r>
        <w:rPr>
          <w:rFonts w:hint="eastAsia" w:ascii="宋体" w:hAnsi="宋体" w:eastAsia="宋体" w:cs="宋体"/>
          <w:color w:val="auto"/>
          <w:highlight w:val="none"/>
          <w:lang w:val="zh-CN"/>
        </w:rPr>
        <w:t>（4）未按上述要求在此格式下提供证明材料的业绩，或在此格式下所附材料无法证明符合资格要求的业绩，按无效投标文件处理</w:t>
      </w:r>
      <w:r>
        <w:rPr>
          <w:rFonts w:hint="eastAsia" w:ascii="宋体" w:hAnsi="宋体" w:eastAsia="宋体" w:cs="宋体"/>
          <w:b w:val="0"/>
          <w:bCs w:val="0"/>
          <w:color w:val="auto"/>
          <w:highlight w:val="none"/>
          <w:lang w:val="zh-CN"/>
        </w:rPr>
        <w:t>。</w:t>
      </w:r>
    </w:p>
    <w:bookmarkEnd w:id="915"/>
    <w:bookmarkEnd w:id="916"/>
    <w:bookmarkEnd w:id="917"/>
    <w:bookmarkEnd w:id="918"/>
    <w:bookmarkEnd w:id="919"/>
    <w:bookmarkEnd w:id="920"/>
    <w:bookmarkEnd w:id="921"/>
    <w:bookmarkEnd w:id="922"/>
    <w:bookmarkEnd w:id="923"/>
    <w:p w14:paraId="5276F14E">
      <w:pPr>
        <w:rPr>
          <w:rFonts w:hint="eastAsia" w:ascii="宋体" w:hAnsi="宋体" w:eastAsia="宋体" w:cs="宋体"/>
          <w:color w:val="auto"/>
          <w:highlight w:val="none"/>
        </w:rPr>
      </w:pPr>
      <w:bookmarkStart w:id="929" w:name="_Toc31879"/>
      <w:bookmarkStart w:id="930" w:name="_Toc8979"/>
    </w:p>
    <w:p w14:paraId="067C3A13">
      <w:pPr>
        <w:rPr>
          <w:rFonts w:hint="eastAsia" w:ascii="宋体" w:hAnsi="宋体" w:eastAsia="宋体" w:cs="宋体"/>
          <w:b/>
          <w:bCs/>
          <w:color w:val="auto"/>
          <w:sz w:val="28"/>
          <w:szCs w:val="32"/>
          <w:highlight w:val="none"/>
        </w:rPr>
      </w:pPr>
      <w:r>
        <w:rPr>
          <w:rFonts w:hint="eastAsia" w:ascii="宋体" w:hAnsi="宋体" w:eastAsia="宋体" w:cs="宋体"/>
          <w:b/>
          <w:bCs/>
          <w:color w:val="auto"/>
          <w:sz w:val="28"/>
          <w:szCs w:val="32"/>
          <w:highlight w:val="none"/>
        </w:rPr>
        <w:br w:type="page"/>
      </w:r>
    </w:p>
    <w:p w14:paraId="1B84A928">
      <w:pPr>
        <w:rPr>
          <w:rFonts w:hint="eastAsia" w:ascii="宋体" w:hAnsi="宋体" w:eastAsia="宋体" w:cs="宋体"/>
          <w:b/>
          <w:bCs/>
          <w:color w:val="auto"/>
          <w:sz w:val="28"/>
          <w:szCs w:val="32"/>
          <w:highlight w:val="none"/>
        </w:rPr>
      </w:pPr>
      <w:r>
        <w:rPr>
          <w:rFonts w:hint="eastAsia" w:ascii="宋体" w:hAnsi="宋体" w:eastAsia="宋体" w:cs="宋体"/>
          <w:b/>
          <w:bCs/>
          <w:color w:val="auto"/>
          <w:sz w:val="28"/>
          <w:szCs w:val="32"/>
          <w:highlight w:val="none"/>
        </w:rPr>
        <w:t>5.</w:t>
      </w:r>
      <w:r>
        <w:rPr>
          <w:rFonts w:hint="eastAsia" w:ascii="宋体" w:hAnsi="宋体" w:eastAsia="宋体" w:cs="宋体"/>
          <w:b/>
          <w:bCs/>
          <w:color w:val="auto"/>
          <w:sz w:val="28"/>
          <w:szCs w:val="32"/>
          <w:highlight w:val="none"/>
          <w:lang w:val="en-US" w:eastAsia="zh-CN"/>
        </w:rPr>
        <w:t>6</w:t>
      </w:r>
      <w:r>
        <w:rPr>
          <w:rFonts w:hint="eastAsia" w:ascii="宋体" w:hAnsi="宋体" w:eastAsia="宋体" w:cs="宋体"/>
          <w:b/>
          <w:bCs/>
          <w:color w:val="auto"/>
          <w:sz w:val="28"/>
          <w:szCs w:val="32"/>
          <w:highlight w:val="none"/>
        </w:rPr>
        <w:t xml:space="preserve"> 投标人所供球墨铸铁阀门具有有效的省级以上(含省级)卫生行政主管部门颁发的《涉及饮用水卫生安全产品卫生许可批件》；</w:t>
      </w:r>
    </w:p>
    <w:p w14:paraId="4E852F2A">
      <w:pPr>
        <w:rPr>
          <w:rFonts w:hint="eastAsia" w:ascii="宋体" w:hAnsi="宋体" w:eastAsia="宋体" w:cs="宋体"/>
          <w:b/>
          <w:bCs/>
          <w:color w:val="auto"/>
          <w:sz w:val="28"/>
          <w:szCs w:val="32"/>
          <w:highlight w:val="none"/>
        </w:rPr>
      </w:pPr>
      <w:r>
        <w:rPr>
          <w:rFonts w:hint="eastAsia" w:ascii="宋体" w:hAnsi="宋体" w:eastAsia="宋体" w:cs="宋体"/>
          <w:b/>
          <w:bCs/>
          <w:color w:val="auto"/>
          <w:sz w:val="28"/>
          <w:szCs w:val="32"/>
          <w:highlight w:val="none"/>
        </w:rPr>
        <w:br w:type="page"/>
      </w:r>
    </w:p>
    <w:p w14:paraId="180DF253">
      <w:pPr>
        <w:rPr>
          <w:rFonts w:hint="eastAsia" w:ascii="宋体" w:hAnsi="宋体" w:eastAsia="宋体" w:cs="宋体"/>
          <w:b/>
          <w:bCs/>
          <w:color w:val="auto"/>
          <w:sz w:val="28"/>
          <w:szCs w:val="32"/>
          <w:highlight w:val="none"/>
          <w:lang w:val="zh-CN"/>
        </w:rPr>
      </w:pPr>
      <w:r>
        <w:rPr>
          <w:rFonts w:hint="eastAsia" w:ascii="宋体" w:hAnsi="宋体" w:eastAsia="宋体" w:cs="宋体"/>
          <w:b/>
          <w:bCs/>
          <w:color w:val="auto"/>
          <w:sz w:val="28"/>
          <w:szCs w:val="32"/>
          <w:highlight w:val="none"/>
          <w:lang w:val="en-US" w:eastAsia="zh-CN"/>
        </w:rPr>
        <w:t xml:space="preserve">5.7 </w:t>
      </w:r>
      <w:r>
        <w:rPr>
          <w:rFonts w:hint="eastAsia" w:ascii="宋体" w:hAnsi="宋体" w:eastAsia="宋体" w:cs="宋体"/>
          <w:b/>
          <w:bCs/>
          <w:color w:val="auto"/>
          <w:sz w:val="28"/>
          <w:szCs w:val="32"/>
          <w:highlight w:val="none"/>
        </w:rPr>
        <w:t>最近3年投标人牵涉的其他（失信和违法）处罚说明格式</w:t>
      </w:r>
      <w:bookmarkEnd w:id="924"/>
      <w:bookmarkEnd w:id="925"/>
      <w:bookmarkEnd w:id="926"/>
      <w:bookmarkEnd w:id="927"/>
      <w:bookmarkEnd w:id="928"/>
      <w:bookmarkEnd w:id="929"/>
      <w:bookmarkEnd w:id="930"/>
    </w:p>
    <w:p w14:paraId="2C1953E2">
      <w:pPr>
        <w:jc w:val="center"/>
        <w:rPr>
          <w:rFonts w:hint="eastAsia" w:ascii="宋体" w:hAnsi="宋体" w:eastAsia="宋体" w:cs="宋体"/>
          <w:color w:val="auto"/>
          <w:highlight w:val="none"/>
          <w:lang w:val="zh-CN"/>
        </w:rPr>
      </w:pPr>
      <w:r>
        <w:rPr>
          <w:rFonts w:hint="eastAsia" w:ascii="宋体" w:hAnsi="宋体" w:eastAsia="宋体" w:cs="宋体"/>
          <w:b/>
          <w:bCs/>
          <w:color w:val="auto"/>
          <w:sz w:val="28"/>
          <w:szCs w:val="32"/>
          <w:highlight w:val="none"/>
        </w:rPr>
        <w:t>最近3年投标人牵涉的其他（失信和违法）</w:t>
      </w:r>
      <w:r>
        <w:rPr>
          <w:rFonts w:hint="eastAsia" w:ascii="宋体" w:hAnsi="宋体" w:eastAsia="宋体" w:cs="宋体"/>
          <w:b/>
          <w:bCs/>
          <w:color w:val="auto"/>
          <w:sz w:val="28"/>
          <w:szCs w:val="32"/>
          <w:highlight w:val="none"/>
          <w:lang w:val="zh-CN"/>
        </w:rPr>
        <w:t>处罚说明</w:t>
      </w:r>
    </w:p>
    <w:tbl>
      <w:tblPr>
        <w:tblStyle w:val="20"/>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55"/>
        <w:gridCol w:w="1581"/>
        <w:gridCol w:w="2533"/>
        <w:gridCol w:w="1423"/>
      </w:tblGrid>
      <w:tr w14:paraId="270CA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2309" w:type="pct"/>
            <w:vAlign w:val="center"/>
          </w:tcPr>
          <w:p w14:paraId="1D73BDD0">
            <w:pPr>
              <w:jc w:val="center"/>
              <w:rPr>
                <w:rFonts w:hint="eastAsia" w:ascii="宋体" w:hAnsi="宋体" w:eastAsia="宋体" w:cs="宋体"/>
                <w:color w:val="auto"/>
                <w:highlight w:val="none"/>
              </w:rPr>
            </w:pPr>
            <w:r>
              <w:rPr>
                <w:rFonts w:hint="eastAsia" w:ascii="宋体" w:hAnsi="宋体" w:eastAsia="宋体" w:cs="宋体"/>
                <w:color w:val="auto"/>
                <w:highlight w:val="none"/>
              </w:rPr>
              <w:t>事项名称</w:t>
            </w:r>
          </w:p>
        </w:tc>
        <w:tc>
          <w:tcPr>
            <w:tcW w:w="768" w:type="pct"/>
            <w:vAlign w:val="center"/>
          </w:tcPr>
          <w:p w14:paraId="1BB8DEAF">
            <w:pPr>
              <w:jc w:val="center"/>
              <w:rPr>
                <w:rFonts w:hint="eastAsia" w:ascii="宋体" w:hAnsi="宋体" w:eastAsia="宋体" w:cs="宋体"/>
                <w:color w:val="auto"/>
                <w:highlight w:val="none"/>
              </w:rPr>
            </w:pPr>
            <w:r>
              <w:rPr>
                <w:rFonts w:hint="eastAsia" w:ascii="宋体" w:hAnsi="宋体" w:eastAsia="宋体" w:cs="宋体"/>
                <w:color w:val="auto"/>
                <w:highlight w:val="none"/>
              </w:rPr>
              <w:t>认定时间</w:t>
            </w:r>
          </w:p>
        </w:tc>
        <w:tc>
          <w:tcPr>
            <w:tcW w:w="1230" w:type="pct"/>
          </w:tcPr>
          <w:p w14:paraId="5CDF279B">
            <w:pPr>
              <w:jc w:val="center"/>
              <w:rPr>
                <w:rFonts w:hint="eastAsia" w:ascii="宋体" w:hAnsi="宋体" w:eastAsia="宋体" w:cs="宋体"/>
                <w:color w:val="auto"/>
                <w:highlight w:val="none"/>
              </w:rPr>
            </w:pPr>
            <w:r>
              <w:rPr>
                <w:rFonts w:hint="eastAsia" w:ascii="宋体" w:hAnsi="宋体" w:eastAsia="宋体" w:cs="宋体"/>
                <w:color w:val="auto"/>
                <w:highlight w:val="none"/>
              </w:rPr>
              <w:t>处罚期届满异常名录信息失效时间</w:t>
            </w:r>
          </w:p>
        </w:tc>
        <w:tc>
          <w:tcPr>
            <w:tcW w:w="691" w:type="pct"/>
            <w:vAlign w:val="center"/>
          </w:tcPr>
          <w:p w14:paraId="7F6FB2F1">
            <w:pPr>
              <w:jc w:val="center"/>
              <w:rPr>
                <w:rFonts w:hint="eastAsia" w:ascii="宋体" w:hAnsi="宋体" w:eastAsia="宋体" w:cs="宋体"/>
                <w:color w:val="auto"/>
                <w:highlight w:val="none"/>
              </w:rPr>
            </w:pPr>
            <w:r>
              <w:rPr>
                <w:rFonts w:hint="eastAsia" w:ascii="宋体" w:hAnsi="宋体" w:eastAsia="宋体" w:cs="宋体"/>
                <w:color w:val="auto"/>
                <w:highlight w:val="none"/>
              </w:rPr>
              <w:t>备注</w:t>
            </w:r>
          </w:p>
        </w:tc>
      </w:tr>
      <w:tr w14:paraId="5E0AF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2309" w:type="pct"/>
            <w:vAlign w:val="center"/>
          </w:tcPr>
          <w:p w14:paraId="0D2951D2">
            <w:pPr>
              <w:rPr>
                <w:rFonts w:hint="eastAsia" w:ascii="宋体" w:hAnsi="宋体" w:eastAsia="宋体" w:cs="宋体"/>
                <w:color w:val="auto"/>
                <w:highlight w:val="none"/>
              </w:rPr>
            </w:pPr>
            <w:r>
              <w:rPr>
                <w:rFonts w:hint="eastAsia" w:ascii="宋体" w:hAnsi="宋体" w:eastAsia="宋体" w:cs="宋体"/>
                <w:color w:val="auto"/>
                <w:highlight w:val="none"/>
              </w:rPr>
              <w:t>是否被认定为失信被执行人</w:t>
            </w:r>
          </w:p>
        </w:tc>
        <w:tc>
          <w:tcPr>
            <w:tcW w:w="768" w:type="pct"/>
            <w:vAlign w:val="center"/>
          </w:tcPr>
          <w:p w14:paraId="3ECAE0B1">
            <w:pPr>
              <w:rPr>
                <w:rFonts w:hint="eastAsia" w:ascii="宋体" w:hAnsi="宋体" w:eastAsia="宋体" w:cs="宋体"/>
                <w:color w:val="auto"/>
                <w:highlight w:val="none"/>
              </w:rPr>
            </w:pPr>
          </w:p>
        </w:tc>
        <w:tc>
          <w:tcPr>
            <w:tcW w:w="1230" w:type="pct"/>
            <w:vAlign w:val="center"/>
          </w:tcPr>
          <w:p w14:paraId="78CCFD32">
            <w:pPr>
              <w:rPr>
                <w:rFonts w:hint="eastAsia" w:ascii="宋体" w:hAnsi="宋体" w:eastAsia="宋体" w:cs="宋体"/>
                <w:color w:val="auto"/>
                <w:highlight w:val="none"/>
              </w:rPr>
            </w:pPr>
          </w:p>
        </w:tc>
        <w:tc>
          <w:tcPr>
            <w:tcW w:w="691" w:type="pct"/>
            <w:vAlign w:val="center"/>
          </w:tcPr>
          <w:p w14:paraId="7B7BD900">
            <w:pPr>
              <w:rPr>
                <w:rFonts w:hint="eastAsia" w:ascii="宋体" w:hAnsi="宋体" w:eastAsia="宋体" w:cs="宋体"/>
                <w:color w:val="auto"/>
                <w:highlight w:val="none"/>
              </w:rPr>
            </w:pPr>
          </w:p>
        </w:tc>
      </w:tr>
      <w:tr w14:paraId="59D4B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2309" w:type="pct"/>
            <w:vAlign w:val="center"/>
          </w:tcPr>
          <w:p w14:paraId="0A5954A8">
            <w:pPr>
              <w:rPr>
                <w:rFonts w:hint="eastAsia" w:ascii="宋体" w:hAnsi="宋体" w:eastAsia="宋体" w:cs="宋体"/>
                <w:color w:val="auto"/>
                <w:highlight w:val="none"/>
              </w:rPr>
            </w:pPr>
            <w:r>
              <w:rPr>
                <w:rFonts w:hint="eastAsia" w:ascii="宋体" w:hAnsi="宋体" w:eastAsia="宋体" w:cs="宋体"/>
                <w:color w:val="auto"/>
                <w:highlight w:val="none"/>
              </w:rPr>
              <w:t>是否被认定为重大税收违法失信主体</w:t>
            </w:r>
          </w:p>
        </w:tc>
        <w:tc>
          <w:tcPr>
            <w:tcW w:w="768" w:type="pct"/>
            <w:vAlign w:val="center"/>
          </w:tcPr>
          <w:p w14:paraId="39A5C412">
            <w:pPr>
              <w:rPr>
                <w:rFonts w:hint="eastAsia" w:ascii="宋体" w:hAnsi="宋体" w:eastAsia="宋体" w:cs="宋体"/>
                <w:color w:val="auto"/>
                <w:highlight w:val="none"/>
              </w:rPr>
            </w:pPr>
          </w:p>
        </w:tc>
        <w:tc>
          <w:tcPr>
            <w:tcW w:w="1230" w:type="pct"/>
            <w:vAlign w:val="center"/>
          </w:tcPr>
          <w:p w14:paraId="560C0237">
            <w:pPr>
              <w:rPr>
                <w:rFonts w:hint="eastAsia" w:ascii="宋体" w:hAnsi="宋体" w:eastAsia="宋体" w:cs="宋体"/>
                <w:color w:val="auto"/>
                <w:highlight w:val="none"/>
              </w:rPr>
            </w:pPr>
          </w:p>
        </w:tc>
        <w:tc>
          <w:tcPr>
            <w:tcW w:w="691" w:type="pct"/>
            <w:vAlign w:val="center"/>
          </w:tcPr>
          <w:p w14:paraId="7C093092">
            <w:pPr>
              <w:rPr>
                <w:rFonts w:hint="eastAsia" w:ascii="宋体" w:hAnsi="宋体" w:eastAsia="宋体" w:cs="宋体"/>
                <w:color w:val="auto"/>
                <w:highlight w:val="none"/>
              </w:rPr>
            </w:pPr>
          </w:p>
        </w:tc>
      </w:tr>
      <w:tr w14:paraId="4746A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2309" w:type="pct"/>
            <w:vAlign w:val="center"/>
          </w:tcPr>
          <w:p w14:paraId="3482A27D">
            <w:pPr>
              <w:rPr>
                <w:rFonts w:hint="eastAsia" w:ascii="宋体" w:hAnsi="宋体" w:eastAsia="宋体" w:cs="宋体"/>
                <w:color w:val="auto"/>
                <w:highlight w:val="none"/>
              </w:rPr>
            </w:pPr>
            <w:r>
              <w:rPr>
                <w:rFonts w:hint="eastAsia" w:ascii="宋体" w:hAnsi="宋体" w:eastAsia="宋体" w:cs="宋体"/>
                <w:color w:val="auto"/>
                <w:highlight w:val="none"/>
              </w:rPr>
              <w:t>是否被认定为政府采购严重违法失信行为记录名单</w:t>
            </w:r>
          </w:p>
        </w:tc>
        <w:tc>
          <w:tcPr>
            <w:tcW w:w="768" w:type="pct"/>
            <w:vAlign w:val="center"/>
          </w:tcPr>
          <w:p w14:paraId="7052F57E">
            <w:pPr>
              <w:rPr>
                <w:rFonts w:hint="eastAsia" w:ascii="宋体" w:hAnsi="宋体" w:eastAsia="宋体" w:cs="宋体"/>
                <w:color w:val="auto"/>
                <w:highlight w:val="none"/>
              </w:rPr>
            </w:pPr>
          </w:p>
        </w:tc>
        <w:tc>
          <w:tcPr>
            <w:tcW w:w="1230" w:type="pct"/>
            <w:vAlign w:val="center"/>
          </w:tcPr>
          <w:p w14:paraId="1A1FF3C9">
            <w:pPr>
              <w:rPr>
                <w:rFonts w:hint="eastAsia" w:ascii="宋体" w:hAnsi="宋体" w:eastAsia="宋体" w:cs="宋体"/>
                <w:color w:val="auto"/>
                <w:highlight w:val="none"/>
              </w:rPr>
            </w:pPr>
          </w:p>
        </w:tc>
        <w:tc>
          <w:tcPr>
            <w:tcW w:w="691" w:type="pct"/>
            <w:vAlign w:val="center"/>
          </w:tcPr>
          <w:p w14:paraId="17158398">
            <w:pPr>
              <w:rPr>
                <w:rFonts w:hint="eastAsia" w:ascii="宋体" w:hAnsi="宋体" w:eastAsia="宋体" w:cs="宋体"/>
                <w:color w:val="auto"/>
                <w:highlight w:val="none"/>
              </w:rPr>
            </w:pPr>
          </w:p>
        </w:tc>
      </w:tr>
    </w:tbl>
    <w:p w14:paraId="615A23FC">
      <w:pPr>
        <w:rPr>
          <w:rFonts w:hint="eastAsia" w:ascii="宋体" w:hAnsi="宋体" w:eastAsia="宋体" w:cs="宋体"/>
          <w:color w:val="auto"/>
          <w:szCs w:val="21"/>
          <w:highlight w:val="none"/>
          <w:lang w:val="zh-CN"/>
        </w:rPr>
      </w:pPr>
      <w:r>
        <w:rPr>
          <w:rFonts w:hint="eastAsia" w:ascii="宋体" w:hAnsi="宋体" w:eastAsia="宋体" w:cs="宋体"/>
          <w:color w:val="auto"/>
          <w:kern w:val="0"/>
          <w:szCs w:val="21"/>
          <w:highlight w:val="none"/>
        </w:rPr>
        <w:t>备注：根据投标人及其不具有独立法人资格的分支机构的实际情况自行编写，无相关事项的，在 “认定时间”列填“无”；若受到相关处罚的应附处罚相关材料复印件；若出现相关处罚的处罚期满,但处罚公示没有及时更新的情况，投标人须提供相关材料(复印件)佐证，需原件备查</w:t>
      </w:r>
      <w:r>
        <w:rPr>
          <w:rFonts w:hint="eastAsia" w:ascii="宋体" w:hAnsi="宋体" w:eastAsia="宋体" w:cs="宋体"/>
          <w:color w:val="auto"/>
          <w:szCs w:val="21"/>
          <w:highlight w:val="none"/>
          <w:lang w:val="zh-CN"/>
        </w:rPr>
        <w:t>。</w:t>
      </w:r>
    </w:p>
    <w:p w14:paraId="21869201">
      <w:pPr>
        <w:rPr>
          <w:rFonts w:hint="eastAsia" w:ascii="宋体" w:hAnsi="宋体" w:eastAsia="宋体" w:cs="宋体"/>
          <w:color w:val="auto"/>
          <w:highlight w:val="none"/>
          <w:lang w:val="zh-CN"/>
        </w:rPr>
      </w:pPr>
    </w:p>
    <w:p w14:paraId="2792FE41">
      <w:pPr>
        <w:ind w:left="4620" w:leftChars="22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投标人：（加盖投标人法人公章）</w:t>
      </w:r>
    </w:p>
    <w:p w14:paraId="64F013A9">
      <w:pPr>
        <w:ind w:left="4620" w:leftChars="22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日期：   年   月   日</w:t>
      </w:r>
    </w:p>
    <w:p w14:paraId="25A2BD0B">
      <w:pPr>
        <w:rPr>
          <w:rFonts w:hint="eastAsia" w:ascii="宋体" w:hAnsi="宋体" w:eastAsia="宋体" w:cs="宋体"/>
          <w:b/>
          <w:color w:val="auto"/>
          <w:sz w:val="32"/>
          <w:szCs w:val="32"/>
          <w:highlight w:val="none"/>
        </w:rPr>
      </w:pPr>
      <w:bookmarkStart w:id="931" w:name="_Toc140596934"/>
      <w:bookmarkStart w:id="932" w:name="_Toc102860423"/>
      <w:bookmarkStart w:id="933" w:name="_Toc533708126"/>
      <w:bookmarkStart w:id="934" w:name="_Toc104991881"/>
      <w:bookmarkStart w:id="935" w:name="_Toc94107215"/>
      <w:bookmarkStart w:id="936" w:name="_Toc11148"/>
      <w:bookmarkStart w:id="937" w:name="_Toc1977731"/>
      <w:bookmarkStart w:id="938" w:name="_Toc2031_WPSOffice_Level2"/>
      <w:bookmarkStart w:id="939" w:name="_Toc102860079"/>
      <w:bookmarkStart w:id="940" w:name="_Toc13237"/>
      <w:bookmarkStart w:id="941" w:name="_Toc142508374"/>
      <w:bookmarkStart w:id="942" w:name="_Toc486167714"/>
      <w:r>
        <w:rPr>
          <w:rFonts w:hint="eastAsia" w:ascii="宋体" w:hAnsi="宋体" w:eastAsia="宋体" w:cs="宋体"/>
          <w:b/>
          <w:color w:val="auto"/>
          <w:sz w:val="32"/>
          <w:szCs w:val="32"/>
          <w:highlight w:val="none"/>
        </w:rPr>
        <w:br w:type="page"/>
      </w:r>
    </w:p>
    <w:p w14:paraId="5D9B9F5C">
      <w:pPr>
        <w:pStyle w:val="3"/>
        <w:rPr>
          <w:rFonts w:hint="eastAsia" w:ascii="宋体" w:hAnsi="宋体" w:eastAsia="宋体" w:cs="宋体"/>
          <w:color w:val="auto"/>
          <w:sz w:val="28"/>
          <w:szCs w:val="36"/>
          <w:highlight w:val="none"/>
        </w:rPr>
      </w:pPr>
      <w:bookmarkStart w:id="943" w:name="_Toc9076"/>
      <w:bookmarkStart w:id="944" w:name="_Toc14001"/>
      <w:bookmarkStart w:id="945" w:name="_Toc30193"/>
      <w:bookmarkStart w:id="946" w:name="_Toc21521"/>
      <w:bookmarkStart w:id="947" w:name="_Toc32064"/>
      <w:bookmarkStart w:id="948" w:name="_Toc17543"/>
      <w:bookmarkStart w:id="949" w:name="_Toc15649"/>
      <w:r>
        <w:rPr>
          <w:rFonts w:hint="eastAsia" w:ascii="宋体" w:hAnsi="宋体" w:eastAsia="宋体" w:cs="宋体"/>
          <w:color w:val="auto"/>
          <w:sz w:val="28"/>
          <w:szCs w:val="36"/>
          <w:highlight w:val="none"/>
        </w:rPr>
        <w:t>六、投标人基本情况一览表</w:t>
      </w:r>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p>
    <w:p w14:paraId="39E567D6">
      <w:pPr>
        <w:jc w:val="center"/>
        <w:rPr>
          <w:rFonts w:hint="eastAsia" w:ascii="宋体" w:hAnsi="宋体" w:eastAsia="宋体" w:cs="宋体"/>
          <w:b/>
          <w:bCs/>
          <w:color w:val="auto"/>
          <w:sz w:val="28"/>
          <w:szCs w:val="32"/>
          <w:highlight w:val="none"/>
        </w:rPr>
      </w:pPr>
      <w:bookmarkStart w:id="950" w:name="_Toc2773_WPSOffice_Level3"/>
      <w:r>
        <w:rPr>
          <w:rFonts w:hint="eastAsia" w:ascii="宋体" w:hAnsi="宋体" w:eastAsia="宋体" w:cs="宋体"/>
          <w:b/>
          <w:bCs/>
          <w:color w:val="auto"/>
          <w:sz w:val="28"/>
          <w:szCs w:val="32"/>
          <w:highlight w:val="none"/>
          <w:lang w:val="zh-CN"/>
        </w:rPr>
        <w:t>投标人基本情况一览表</w:t>
      </w:r>
      <w:bookmarkEnd w:id="950"/>
    </w:p>
    <w:p w14:paraId="37E0D256">
      <w:pPr>
        <w:ind w:left="420" w:left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zh-CN"/>
        </w:rPr>
        <w:t>名称及概况：</w:t>
      </w:r>
    </w:p>
    <w:p w14:paraId="075DAFE9">
      <w:pPr>
        <w:ind w:left="840" w:leftChars="40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（1）投标人名称：_______________________________________</w:t>
      </w:r>
    </w:p>
    <w:p w14:paraId="2E2AA6C8">
      <w:pPr>
        <w:ind w:left="840" w:leftChars="40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（2）总部地址：_________________________________________</w:t>
      </w:r>
    </w:p>
    <w:p w14:paraId="41CB75F0">
      <w:pPr>
        <w:ind w:left="1365" w:leftChars="65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邮政编码：_________________________________________</w:t>
      </w:r>
    </w:p>
    <w:p w14:paraId="094E3896">
      <w:pPr>
        <w:ind w:left="1365" w:leftChars="65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电话号码：_________________________________________</w:t>
      </w:r>
    </w:p>
    <w:p w14:paraId="2B558AE5">
      <w:pPr>
        <w:ind w:left="1365" w:leftChars="65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传真号码：_________________________________________</w:t>
      </w:r>
    </w:p>
    <w:p w14:paraId="1CD65BF3">
      <w:pPr>
        <w:ind w:left="840" w:leftChars="40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（3）成立和／或注册日期：_______________________________</w:t>
      </w:r>
    </w:p>
    <w:p w14:paraId="4DF70525">
      <w:pPr>
        <w:ind w:left="840" w:leftChars="40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（4）法人代表：_________________________________________</w:t>
      </w:r>
    </w:p>
    <w:p w14:paraId="04E88F3B">
      <w:pPr>
        <w:ind w:left="840" w:leftChars="40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（5）开户银行：_________________________________________</w:t>
      </w:r>
    </w:p>
    <w:p w14:paraId="19A03A8C">
      <w:pPr>
        <w:ind w:left="840" w:leftChars="40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（6）开户账号：_________________________________________</w:t>
      </w:r>
    </w:p>
    <w:p w14:paraId="58B2C79C">
      <w:pPr>
        <w:ind w:left="840" w:leftChars="40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（7）注册资金：_________________________________________</w:t>
      </w:r>
    </w:p>
    <w:p w14:paraId="69E14430">
      <w:pPr>
        <w:ind w:left="840" w:leftChars="400"/>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zh-CN"/>
        </w:rPr>
        <w:t>（8）主要负责人姓名：___________________________________</w:t>
      </w:r>
    </w:p>
    <w:p w14:paraId="5EB08265">
      <w:pPr>
        <w:ind w:left="840" w:leftChars="40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（9）项目主要联系人（姓名、职务、通讯）：________________</w:t>
      </w:r>
    </w:p>
    <w:p w14:paraId="2B8A59DB">
      <w:pPr>
        <w:ind w:left="840" w:leftChars="400"/>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zh-CN"/>
        </w:rPr>
        <w:t>（10）在中国的代表的姓名和地址（如有）：_________________</w:t>
      </w:r>
    </w:p>
    <w:p w14:paraId="16455B95">
      <w:pPr>
        <w:ind w:left="420" w:leftChars="20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w:t>
      </w:r>
      <w:r>
        <w:rPr>
          <w:rFonts w:hint="eastAsia" w:ascii="宋体" w:hAnsi="宋体" w:eastAsia="宋体" w:cs="宋体"/>
          <w:color w:val="auto"/>
          <w:szCs w:val="24"/>
          <w:highlight w:val="none"/>
        </w:rPr>
        <w:t>.</w:t>
      </w:r>
      <w:r>
        <w:rPr>
          <w:rFonts w:hint="eastAsia" w:ascii="宋体" w:hAnsi="宋体" w:eastAsia="宋体" w:cs="宋体"/>
          <w:color w:val="auto"/>
          <w:szCs w:val="24"/>
          <w:highlight w:val="none"/>
          <w:lang w:val="zh-CN"/>
        </w:rPr>
        <w:t>供征询之银行的名称和地址：________________________________</w:t>
      </w:r>
    </w:p>
    <w:p w14:paraId="1E1AB6FB">
      <w:pPr>
        <w:ind w:left="420" w:leftChars="200"/>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zh-CN"/>
        </w:rPr>
        <w:t>3</w:t>
      </w:r>
      <w:r>
        <w:rPr>
          <w:rFonts w:hint="eastAsia" w:ascii="宋体" w:hAnsi="宋体" w:eastAsia="宋体" w:cs="宋体"/>
          <w:color w:val="auto"/>
          <w:szCs w:val="24"/>
          <w:highlight w:val="none"/>
        </w:rPr>
        <w:t>.</w:t>
      </w:r>
      <w:r>
        <w:rPr>
          <w:rFonts w:hint="eastAsia" w:ascii="宋体" w:hAnsi="宋体" w:eastAsia="宋体" w:cs="宋体"/>
          <w:color w:val="auto"/>
          <w:szCs w:val="24"/>
          <w:highlight w:val="none"/>
          <w:lang w:val="zh-CN"/>
        </w:rPr>
        <w:t>公司所隶属之国际集团名称（如果是）________________________</w:t>
      </w:r>
    </w:p>
    <w:p w14:paraId="4EED21DF">
      <w:pPr>
        <w:ind w:left="420" w:leftChars="200"/>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zh-CN"/>
        </w:rPr>
        <w:t>4</w:t>
      </w:r>
      <w:r>
        <w:rPr>
          <w:rFonts w:hint="eastAsia" w:ascii="宋体" w:hAnsi="宋体" w:eastAsia="宋体" w:cs="宋体"/>
          <w:color w:val="auto"/>
          <w:szCs w:val="24"/>
          <w:highlight w:val="none"/>
        </w:rPr>
        <w:t>.</w:t>
      </w:r>
      <w:r>
        <w:rPr>
          <w:rFonts w:hint="eastAsia" w:ascii="宋体" w:hAnsi="宋体" w:eastAsia="宋体" w:cs="宋体"/>
          <w:color w:val="auto"/>
          <w:szCs w:val="24"/>
          <w:highlight w:val="none"/>
          <w:lang w:val="zh-CN"/>
        </w:rPr>
        <w:t>提交资料（包括但不限于组织架构、公司简介等）：</w:t>
      </w:r>
    </w:p>
    <w:p w14:paraId="054593DD">
      <w:pPr>
        <w:ind w:left="840" w:leftChars="40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（1）公司简介</w:t>
      </w:r>
    </w:p>
    <w:p w14:paraId="4B2F75FC">
      <w:pPr>
        <w:ind w:left="840" w:leftChars="40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__________________________________________________</w:t>
      </w:r>
    </w:p>
    <w:p w14:paraId="6A7348C7">
      <w:pPr>
        <w:ind w:left="840" w:leftChars="40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（2）公司组织架构</w:t>
      </w:r>
    </w:p>
    <w:p w14:paraId="05225816">
      <w:pPr>
        <w:ind w:left="840" w:leftChars="400"/>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zh-CN"/>
        </w:rPr>
        <w:t>__________________________________________________</w:t>
      </w:r>
    </w:p>
    <w:p w14:paraId="709EB5F3">
      <w:pPr>
        <w:ind w:left="840" w:leftChars="40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（3）东莞市内设有分支机构情况介绍[应提供该分支机构的多证合一营业执照复印件等证明材料]（若无前述分支机构的无需介绍）。</w:t>
      </w:r>
    </w:p>
    <w:p w14:paraId="381B8F1B">
      <w:pPr>
        <w:ind w:left="420" w:leftChars="200" w:firstLine="420" w:firstLineChars="20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兹证明上述说明是真实、正确的，并提供了全部能提供的资料和数据，我们同意遵照贵方要求出示有关证明文件。</w:t>
      </w:r>
    </w:p>
    <w:p w14:paraId="370A2A5D">
      <w:pPr>
        <w:rPr>
          <w:rFonts w:hint="eastAsia" w:ascii="宋体" w:hAnsi="宋体" w:eastAsia="宋体" w:cs="宋体"/>
          <w:color w:val="auto"/>
          <w:highlight w:val="none"/>
        </w:rPr>
      </w:pPr>
    </w:p>
    <w:p w14:paraId="1A47E936">
      <w:pPr>
        <w:ind w:left="4620" w:leftChars="22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投标人：（加盖投标人法人公章）</w:t>
      </w:r>
    </w:p>
    <w:p w14:paraId="7D2C01E9">
      <w:pPr>
        <w:ind w:left="4620" w:leftChars="22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日  期：　年  月  日</w:t>
      </w:r>
    </w:p>
    <w:p w14:paraId="083DD5B1">
      <w:pPr>
        <w:rPr>
          <w:rFonts w:hint="eastAsia" w:ascii="宋体" w:hAnsi="宋体" w:eastAsia="宋体" w:cs="宋体"/>
          <w:b/>
          <w:color w:val="auto"/>
          <w:sz w:val="32"/>
          <w:szCs w:val="32"/>
          <w:highlight w:val="none"/>
        </w:rPr>
      </w:pPr>
      <w:bookmarkStart w:id="951" w:name="_Toc104991882"/>
      <w:bookmarkStart w:id="952" w:name="_Toc4495"/>
      <w:bookmarkStart w:id="953" w:name="_Toc94107216"/>
      <w:bookmarkStart w:id="954" w:name="_Toc102860080"/>
      <w:bookmarkStart w:id="955" w:name="_Toc140596935"/>
      <w:bookmarkStart w:id="956" w:name="_Toc102860424"/>
      <w:bookmarkStart w:id="957" w:name="_Toc3711"/>
      <w:bookmarkStart w:id="958" w:name="_Toc142508375"/>
      <w:bookmarkStart w:id="959" w:name="_Toc1977733"/>
      <w:bookmarkStart w:id="960" w:name="_Toc9051_WPSOffice_Level2"/>
      <w:bookmarkStart w:id="961" w:name="_Toc533708128"/>
      <w:bookmarkStart w:id="962" w:name="_Toc486167715"/>
      <w:r>
        <w:rPr>
          <w:rFonts w:hint="eastAsia" w:ascii="宋体" w:hAnsi="宋体" w:eastAsia="宋体" w:cs="宋体"/>
          <w:b/>
          <w:color w:val="auto"/>
          <w:sz w:val="32"/>
          <w:szCs w:val="32"/>
          <w:highlight w:val="none"/>
        </w:rPr>
        <w:br w:type="page"/>
      </w:r>
    </w:p>
    <w:p w14:paraId="0FF1003D">
      <w:pPr>
        <w:pStyle w:val="3"/>
        <w:rPr>
          <w:rFonts w:hint="eastAsia" w:ascii="宋体" w:hAnsi="宋体" w:eastAsia="宋体" w:cs="宋体"/>
          <w:color w:val="auto"/>
          <w:sz w:val="28"/>
          <w:szCs w:val="36"/>
          <w:highlight w:val="none"/>
        </w:rPr>
      </w:pPr>
      <w:bookmarkStart w:id="963" w:name="_Toc8308"/>
      <w:bookmarkStart w:id="964" w:name="_Toc19416"/>
      <w:bookmarkStart w:id="965" w:name="_Toc27515"/>
      <w:bookmarkStart w:id="966" w:name="_Toc29862"/>
      <w:bookmarkStart w:id="967" w:name="_Toc5019"/>
      <w:bookmarkStart w:id="968" w:name="_Toc27338"/>
      <w:bookmarkStart w:id="969" w:name="_Toc10548"/>
      <w:r>
        <w:rPr>
          <w:rFonts w:hint="eastAsia" w:ascii="宋体" w:hAnsi="宋体" w:eastAsia="宋体" w:cs="宋体"/>
          <w:color w:val="auto"/>
          <w:sz w:val="28"/>
          <w:szCs w:val="36"/>
          <w:highlight w:val="none"/>
        </w:rPr>
        <w:t>七</w:t>
      </w:r>
      <w:r>
        <w:rPr>
          <w:rFonts w:hint="eastAsia" w:ascii="宋体" w:hAnsi="宋体" w:eastAsia="宋体" w:cs="宋体"/>
          <w:color w:val="auto"/>
          <w:sz w:val="28"/>
          <w:szCs w:val="36"/>
          <w:highlight w:val="none"/>
          <w:lang w:val="zh-CN"/>
        </w:rPr>
        <w:t>、投标人财务状况表格式</w:t>
      </w:r>
      <w:bookmarkEnd w:id="951"/>
      <w:bookmarkEnd w:id="952"/>
      <w:bookmarkEnd w:id="953"/>
      <w:bookmarkEnd w:id="954"/>
      <w:bookmarkEnd w:id="955"/>
      <w:bookmarkEnd w:id="956"/>
      <w:bookmarkEnd w:id="957"/>
      <w:bookmarkEnd w:id="958"/>
      <w:bookmarkEnd w:id="963"/>
      <w:bookmarkEnd w:id="964"/>
      <w:bookmarkEnd w:id="965"/>
      <w:bookmarkEnd w:id="966"/>
      <w:bookmarkEnd w:id="967"/>
      <w:bookmarkEnd w:id="968"/>
      <w:bookmarkEnd w:id="969"/>
    </w:p>
    <w:p w14:paraId="64C78AFE">
      <w:pPr>
        <w:jc w:val="center"/>
        <w:rPr>
          <w:rFonts w:hint="eastAsia" w:ascii="宋体" w:hAnsi="宋体" w:eastAsia="宋体" w:cs="宋体"/>
          <w:b/>
          <w:bCs/>
          <w:color w:val="auto"/>
          <w:sz w:val="28"/>
          <w:szCs w:val="32"/>
          <w:highlight w:val="none"/>
        </w:rPr>
      </w:pPr>
      <w:r>
        <w:rPr>
          <w:rFonts w:hint="eastAsia" w:ascii="宋体" w:hAnsi="宋体" w:eastAsia="宋体" w:cs="宋体"/>
          <w:b/>
          <w:bCs/>
          <w:color w:val="auto"/>
          <w:sz w:val="28"/>
          <w:szCs w:val="32"/>
          <w:highlight w:val="none"/>
        </w:rPr>
        <w:t>投标人财务状况表</w:t>
      </w:r>
    </w:p>
    <w:p w14:paraId="548DB2CD">
      <w:pPr>
        <w:jc w:val="right"/>
        <w:rPr>
          <w:rFonts w:hint="eastAsia" w:ascii="宋体" w:hAnsi="宋体" w:eastAsia="宋体" w:cs="宋体"/>
          <w:color w:val="auto"/>
          <w:highlight w:val="none"/>
        </w:rPr>
      </w:pPr>
      <w:r>
        <w:rPr>
          <w:rFonts w:hint="eastAsia" w:ascii="宋体" w:hAnsi="宋体" w:eastAsia="宋体" w:cs="宋体"/>
          <w:color w:val="auto"/>
          <w:highlight w:val="none"/>
        </w:rPr>
        <w:t>[价格单位：（人民币）元]</w:t>
      </w:r>
    </w:p>
    <w:tbl>
      <w:tblPr>
        <w:tblStyle w:val="20"/>
        <w:tblW w:w="4998"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221"/>
        <w:gridCol w:w="2036"/>
        <w:gridCol w:w="2038"/>
        <w:gridCol w:w="2841"/>
        <w:gridCol w:w="2156"/>
      </w:tblGrid>
      <w:tr w14:paraId="5CA5D9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593" w:type="pct"/>
            <w:vAlign w:val="center"/>
          </w:tcPr>
          <w:p w14:paraId="14B68EDB">
            <w:pPr>
              <w:jc w:val="center"/>
              <w:rPr>
                <w:rFonts w:hint="eastAsia" w:ascii="宋体" w:hAnsi="宋体" w:eastAsia="宋体" w:cs="宋体"/>
                <w:color w:val="auto"/>
                <w:highlight w:val="none"/>
              </w:rPr>
            </w:pPr>
            <w:r>
              <w:rPr>
                <w:rFonts w:hint="eastAsia" w:ascii="宋体" w:hAnsi="宋体" w:eastAsia="宋体" w:cs="宋体"/>
                <w:color w:val="auto"/>
                <w:highlight w:val="none"/>
              </w:rPr>
              <w:t>年  度</w:t>
            </w:r>
          </w:p>
        </w:tc>
        <w:tc>
          <w:tcPr>
            <w:tcW w:w="989" w:type="pct"/>
            <w:vAlign w:val="center"/>
          </w:tcPr>
          <w:p w14:paraId="6EA157C1">
            <w:pPr>
              <w:jc w:val="center"/>
              <w:rPr>
                <w:rFonts w:hint="eastAsia" w:ascii="宋体" w:hAnsi="宋体" w:eastAsia="宋体" w:cs="宋体"/>
                <w:color w:val="auto"/>
                <w:highlight w:val="none"/>
              </w:rPr>
            </w:pPr>
            <w:r>
              <w:rPr>
                <w:rFonts w:hint="eastAsia" w:ascii="宋体" w:hAnsi="宋体" w:eastAsia="宋体" w:cs="宋体"/>
                <w:color w:val="auto"/>
                <w:highlight w:val="none"/>
              </w:rPr>
              <w:t>总资产（元）</w:t>
            </w:r>
          </w:p>
        </w:tc>
        <w:tc>
          <w:tcPr>
            <w:tcW w:w="989" w:type="pct"/>
            <w:vAlign w:val="center"/>
          </w:tcPr>
          <w:p w14:paraId="4851B524">
            <w:pPr>
              <w:jc w:val="center"/>
              <w:rPr>
                <w:rFonts w:hint="eastAsia" w:ascii="宋体" w:hAnsi="宋体" w:eastAsia="宋体" w:cs="宋体"/>
                <w:color w:val="auto"/>
                <w:highlight w:val="none"/>
              </w:rPr>
            </w:pPr>
            <w:r>
              <w:rPr>
                <w:rFonts w:hint="eastAsia" w:ascii="宋体" w:hAnsi="宋体" w:eastAsia="宋体" w:cs="宋体"/>
                <w:color w:val="auto"/>
                <w:highlight w:val="none"/>
              </w:rPr>
              <w:t>净资产（元）</w:t>
            </w:r>
          </w:p>
        </w:tc>
        <w:tc>
          <w:tcPr>
            <w:tcW w:w="1380" w:type="pct"/>
            <w:vAlign w:val="center"/>
          </w:tcPr>
          <w:p w14:paraId="3AA737DB">
            <w:pPr>
              <w:jc w:val="center"/>
              <w:rPr>
                <w:rFonts w:hint="eastAsia" w:ascii="宋体" w:hAnsi="宋体" w:eastAsia="宋体" w:cs="宋体"/>
                <w:color w:val="auto"/>
                <w:highlight w:val="none"/>
              </w:rPr>
            </w:pPr>
            <w:r>
              <w:rPr>
                <w:rFonts w:hint="eastAsia" w:ascii="宋体" w:hAnsi="宋体" w:eastAsia="宋体" w:cs="宋体"/>
                <w:color w:val="auto"/>
                <w:highlight w:val="none"/>
              </w:rPr>
              <w:t>年营业额（元）</w:t>
            </w:r>
          </w:p>
        </w:tc>
        <w:tc>
          <w:tcPr>
            <w:tcW w:w="1047" w:type="pct"/>
            <w:vAlign w:val="center"/>
          </w:tcPr>
          <w:p w14:paraId="1B02E9EF">
            <w:pPr>
              <w:jc w:val="center"/>
              <w:rPr>
                <w:rFonts w:hint="eastAsia" w:ascii="宋体" w:hAnsi="宋体" w:eastAsia="宋体" w:cs="宋体"/>
                <w:color w:val="auto"/>
                <w:highlight w:val="none"/>
              </w:rPr>
            </w:pPr>
            <w:r>
              <w:rPr>
                <w:rFonts w:hint="eastAsia" w:ascii="宋体" w:hAnsi="宋体" w:eastAsia="宋体" w:cs="宋体"/>
                <w:color w:val="auto"/>
                <w:highlight w:val="none"/>
              </w:rPr>
              <w:t>年净利润（元）</w:t>
            </w:r>
          </w:p>
        </w:tc>
      </w:tr>
      <w:tr w14:paraId="6E4370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221" w:type="dxa"/>
            <w:vAlign w:val="center"/>
          </w:tcPr>
          <w:p w14:paraId="2C56D886">
            <w:pPr>
              <w:autoSpaceDE w:val="0"/>
              <w:autoSpaceDN w:val="0"/>
              <w:adjustRightInd w:val="0"/>
              <w:spacing w:line="360" w:lineRule="auto"/>
              <w:jc w:val="center"/>
              <w:rPr>
                <w:rFonts w:hint="eastAsia" w:ascii="宋体" w:hAnsi="宋体" w:eastAsia="宋体" w:cs="宋体"/>
                <w:color w:val="auto"/>
                <w:highlight w:val="none"/>
              </w:rPr>
            </w:pPr>
            <w:r>
              <w:rPr>
                <w:rFonts w:hint="eastAsia" w:ascii="宋体" w:hAnsi="宋体" w:eastAsia="宋体" w:cs="宋体"/>
                <w:color w:val="auto"/>
                <w:kern w:val="0"/>
                <w:szCs w:val="21"/>
                <w:highlight w:val="none"/>
                <w:lang w:val="en-US" w:eastAsia="zh-CN"/>
              </w:rPr>
              <w:t>2022</w:t>
            </w:r>
          </w:p>
        </w:tc>
        <w:tc>
          <w:tcPr>
            <w:tcW w:w="989" w:type="pct"/>
            <w:vAlign w:val="center"/>
          </w:tcPr>
          <w:p w14:paraId="4532AA36">
            <w:pPr>
              <w:jc w:val="center"/>
              <w:rPr>
                <w:rFonts w:hint="eastAsia" w:ascii="宋体" w:hAnsi="宋体" w:eastAsia="宋体" w:cs="宋体"/>
                <w:color w:val="auto"/>
                <w:highlight w:val="none"/>
              </w:rPr>
            </w:pPr>
          </w:p>
        </w:tc>
        <w:tc>
          <w:tcPr>
            <w:tcW w:w="989" w:type="pct"/>
            <w:vAlign w:val="center"/>
          </w:tcPr>
          <w:p w14:paraId="72EC9327">
            <w:pPr>
              <w:jc w:val="center"/>
              <w:rPr>
                <w:rFonts w:hint="eastAsia" w:ascii="宋体" w:hAnsi="宋体" w:eastAsia="宋体" w:cs="宋体"/>
                <w:color w:val="auto"/>
                <w:highlight w:val="none"/>
              </w:rPr>
            </w:pPr>
          </w:p>
        </w:tc>
        <w:tc>
          <w:tcPr>
            <w:tcW w:w="1380" w:type="pct"/>
            <w:vAlign w:val="center"/>
          </w:tcPr>
          <w:p w14:paraId="738C2A77">
            <w:pPr>
              <w:jc w:val="center"/>
              <w:rPr>
                <w:rFonts w:hint="eastAsia" w:ascii="宋体" w:hAnsi="宋体" w:eastAsia="宋体" w:cs="宋体"/>
                <w:color w:val="auto"/>
                <w:highlight w:val="none"/>
              </w:rPr>
            </w:pPr>
          </w:p>
        </w:tc>
        <w:tc>
          <w:tcPr>
            <w:tcW w:w="1047" w:type="pct"/>
            <w:vAlign w:val="center"/>
          </w:tcPr>
          <w:p w14:paraId="2F8996E9">
            <w:pPr>
              <w:jc w:val="center"/>
              <w:rPr>
                <w:rFonts w:hint="eastAsia" w:ascii="宋体" w:hAnsi="宋体" w:eastAsia="宋体" w:cs="宋体"/>
                <w:color w:val="auto"/>
                <w:highlight w:val="none"/>
              </w:rPr>
            </w:pPr>
          </w:p>
        </w:tc>
      </w:tr>
      <w:tr w14:paraId="2163E1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221" w:type="dxa"/>
            <w:vAlign w:val="center"/>
          </w:tcPr>
          <w:p w14:paraId="1048F9A2">
            <w:pPr>
              <w:autoSpaceDE w:val="0"/>
              <w:autoSpaceDN w:val="0"/>
              <w:adjustRightInd w:val="0"/>
              <w:spacing w:line="360" w:lineRule="auto"/>
              <w:jc w:val="center"/>
              <w:rPr>
                <w:rFonts w:hint="eastAsia" w:ascii="宋体" w:hAnsi="宋体" w:eastAsia="宋体" w:cs="宋体"/>
                <w:color w:val="auto"/>
                <w:highlight w:val="none"/>
              </w:rPr>
            </w:pPr>
            <w:r>
              <w:rPr>
                <w:rFonts w:hint="eastAsia" w:ascii="宋体" w:hAnsi="宋体" w:eastAsia="宋体" w:cs="宋体"/>
                <w:color w:val="auto"/>
                <w:kern w:val="0"/>
                <w:szCs w:val="21"/>
                <w:highlight w:val="none"/>
                <w:lang w:val="en-US" w:eastAsia="zh-CN"/>
              </w:rPr>
              <w:t>2023</w:t>
            </w:r>
          </w:p>
        </w:tc>
        <w:tc>
          <w:tcPr>
            <w:tcW w:w="989" w:type="pct"/>
            <w:vAlign w:val="center"/>
          </w:tcPr>
          <w:p w14:paraId="6D321301">
            <w:pPr>
              <w:jc w:val="center"/>
              <w:rPr>
                <w:rFonts w:hint="eastAsia" w:ascii="宋体" w:hAnsi="宋体" w:eastAsia="宋体" w:cs="宋体"/>
                <w:color w:val="auto"/>
                <w:highlight w:val="none"/>
              </w:rPr>
            </w:pPr>
          </w:p>
        </w:tc>
        <w:tc>
          <w:tcPr>
            <w:tcW w:w="989" w:type="pct"/>
            <w:vAlign w:val="center"/>
          </w:tcPr>
          <w:p w14:paraId="4F11F92C">
            <w:pPr>
              <w:jc w:val="center"/>
              <w:rPr>
                <w:rFonts w:hint="eastAsia" w:ascii="宋体" w:hAnsi="宋体" w:eastAsia="宋体" w:cs="宋体"/>
                <w:color w:val="auto"/>
                <w:highlight w:val="none"/>
              </w:rPr>
            </w:pPr>
          </w:p>
        </w:tc>
        <w:tc>
          <w:tcPr>
            <w:tcW w:w="1380" w:type="pct"/>
          </w:tcPr>
          <w:p w14:paraId="07C9D7EE">
            <w:pPr>
              <w:jc w:val="center"/>
              <w:rPr>
                <w:rFonts w:hint="eastAsia" w:ascii="宋体" w:hAnsi="宋体" w:eastAsia="宋体" w:cs="宋体"/>
                <w:color w:val="auto"/>
                <w:highlight w:val="none"/>
              </w:rPr>
            </w:pPr>
          </w:p>
        </w:tc>
        <w:tc>
          <w:tcPr>
            <w:tcW w:w="1047" w:type="pct"/>
            <w:vAlign w:val="center"/>
          </w:tcPr>
          <w:p w14:paraId="0ECF5BE4">
            <w:pPr>
              <w:jc w:val="center"/>
              <w:rPr>
                <w:rFonts w:hint="eastAsia" w:ascii="宋体" w:hAnsi="宋体" w:eastAsia="宋体" w:cs="宋体"/>
                <w:color w:val="auto"/>
                <w:highlight w:val="none"/>
              </w:rPr>
            </w:pPr>
          </w:p>
        </w:tc>
      </w:tr>
      <w:tr w14:paraId="289FDC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221" w:type="dxa"/>
            <w:vAlign w:val="center"/>
          </w:tcPr>
          <w:p w14:paraId="4FBEAC1B">
            <w:pPr>
              <w:autoSpaceDE w:val="0"/>
              <w:autoSpaceDN w:val="0"/>
              <w:adjustRightInd w:val="0"/>
              <w:spacing w:line="360" w:lineRule="auto"/>
              <w:jc w:val="center"/>
              <w:rPr>
                <w:rFonts w:hint="eastAsia" w:ascii="宋体" w:hAnsi="宋体" w:eastAsia="宋体" w:cs="宋体"/>
                <w:color w:val="auto"/>
                <w:highlight w:val="none"/>
              </w:rPr>
            </w:pPr>
            <w:r>
              <w:rPr>
                <w:rFonts w:hint="eastAsia" w:ascii="宋体" w:hAnsi="宋体" w:eastAsia="宋体" w:cs="宋体"/>
                <w:color w:val="auto"/>
                <w:kern w:val="0"/>
                <w:szCs w:val="21"/>
                <w:highlight w:val="none"/>
                <w:lang w:val="en-US" w:eastAsia="zh-CN"/>
              </w:rPr>
              <w:t>2024</w:t>
            </w:r>
          </w:p>
        </w:tc>
        <w:tc>
          <w:tcPr>
            <w:tcW w:w="989" w:type="pct"/>
            <w:vAlign w:val="center"/>
          </w:tcPr>
          <w:p w14:paraId="49B8B79A">
            <w:pPr>
              <w:jc w:val="center"/>
              <w:rPr>
                <w:rFonts w:hint="eastAsia" w:ascii="宋体" w:hAnsi="宋体" w:eastAsia="宋体" w:cs="宋体"/>
                <w:color w:val="auto"/>
                <w:highlight w:val="none"/>
              </w:rPr>
            </w:pPr>
          </w:p>
        </w:tc>
        <w:tc>
          <w:tcPr>
            <w:tcW w:w="989" w:type="pct"/>
            <w:vAlign w:val="center"/>
          </w:tcPr>
          <w:p w14:paraId="235547FB">
            <w:pPr>
              <w:jc w:val="center"/>
              <w:rPr>
                <w:rFonts w:hint="eastAsia" w:ascii="宋体" w:hAnsi="宋体" w:eastAsia="宋体" w:cs="宋体"/>
                <w:color w:val="auto"/>
                <w:highlight w:val="none"/>
              </w:rPr>
            </w:pPr>
          </w:p>
        </w:tc>
        <w:tc>
          <w:tcPr>
            <w:tcW w:w="1380" w:type="pct"/>
          </w:tcPr>
          <w:p w14:paraId="229672D7">
            <w:pPr>
              <w:jc w:val="center"/>
              <w:rPr>
                <w:rFonts w:hint="eastAsia" w:ascii="宋体" w:hAnsi="宋体" w:eastAsia="宋体" w:cs="宋体"/>
                <w:color w:val="auto"/>
                <w:highlight w:val="none"/>
              </w:rPr>
            </w:pPr>
          </w:p>
        </w:tc>
        <w:tc>
          <w:tcPr>
            <w:tcW w:w="1047" w:type="pct"/>
            <w:vAlign w:val="center"/>
          </w:tcPr>
          <w:p w14:paraId="5ED8F6AB">
            <w:pPr>
              <w:jc w:val="center"/>
              <w:rPr>
                <w:rFonts w:hint="eastAsia" w:ascii="宋体" w:hAnsi="宋体" w:eastAsia="宋体" w:cs="宋体"/>
                <w:color w:val="auto"/>
                <w:highlight w:val="none"/>
              </w:rPr>
            </w:pPr>
          </w:p>
        </w:tc>
      </w:tr>
      <w:tr w14:paraId="17FFA4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2572" w:type="pct"/>
            <w:gridSpan w:val="3"/>
            <w:vAlign w:val="center"/>
          </w:tcPr>
          <w:p w14:paraId="7F423FF5">
            <w:pPr>
              <w:jc w:val="center"/>
              <w:rPr>
                <w:rFonts w:hint="eastAsia" w:ascii="宋体" w:hAnsi="宋体" w:eastAsia="宋体" w:cs="宋体"/>
                <w:color w:val="auto"/>
                <w:highlight w:val="none"/>
              </w:rPr>
            </w:pPr>
            <w:r>
              <w:rPr>
                <w:rFonts w:hint="eastAsia" w:ascii="宋体" w:hAnsi="宋体" w:eastAsia="宋体" w:cs="宋体"/>
                <w:color w:val="auto"/>
                <w:highlight w:val="none"/>
              </w:rPr>
              <w:t>总计</w:t>
            </w:r>
          </w:p>
        </w:tc>
        <w:tc>
          <w:tcPr>
            <w:tcW w:w="1380" w:type="pct"/>
          </w:tcPr>
          <w:p w14:paraId="68E56A6D">
            <w:pPr>
              <w:jc w:val="center"/>
              <w:rPr>
                <w:rFonts w:hint="eastAsia" w:ascii="宋体" w:hAnsi="宋体" w:eastAsia="宋体" w:cs="宋体"/>
                <w:color w:val="auto"/>
                <w:highlight w:val="none"/>
              </w:rPr>
            </w:pPr>
          </w:p>
        </w:tc>
        <w:tc>
          <w:tcPr>
            <w:tcW w:w="1047" w:type="pct"/>
            <w:vAlign w:val="center"/>
          </w:tcPr>
          <w:p w14:paraId="637A29DB">
            <w:pPr>
              <w:jc w:val="center"/>
              <w:rPr>
                <w:rFonts w:hint="eastAsia" w:ascii="宋体" w:hAnsi="宋体" w:eastAsia="宋体" w:cs="宋体"/>
                <w:color w:val="auto"/>
                <w:highlight w:val="none"/>
              </w:rPr>
            </w:pPr>
          </w:p>
        </w:tc>
      </w:tr>
    </w:tbl>
    <w:p w14:paraId="12D15D0A">
      <w:pPr>
        <w:rPr>
          <w:rFonts w:hint="eastAsia" w:ascii="宋体" w:hAnsi="宋体" w:eastAsia="宋体" w:cs="宋体"/>
          <w:color w:val="auto"/>
          <w:highlight w:val="none"/>
        </w:rPr>
      </w:pPr>
      <w:r>
        <w:rPr>
          <w:rFonts w:hint="eastAsia" w:ascii="宋体" w:hAnsi="宋体" w:eastAsia="宋体" w:cs="宋体"/>
          <w:color w:val="auto"/>
          <w:highlight w:val="none"/>
        </w:rPr>
        <w:t>备注：需提供对应年度经独立会计师事务所审计的审计报告及投标人财务状况表；若投标人为新成立或未进行独立会计师事务所审计的，本表中对应年度的财务信息应填写“/”，投标人的投标文件不作无效投标处理，但存在因不符合评标办法中的评分标准而导致对应项不得分。</w:t>
      </w:r>
    </w:p>
    <w:p w14:paraId="12D44F33">
      <w:pPr>
        <w:rPr>
          <w:rFonts w:hint="eastAsia" w:ascii="宋体" w:hAnsi="宋体" w:eastAsia="宋体" w:cs="宋体"/>
          <w:color w:val="auto"/>
          <w:highlight w:val="none"/>
          <w:lang w:val="zh-CN"/>
        </w:rPr>
      </w:pPr>
    </w:p>
    <w:p w14:paraId="180874E4">
      <w:pPr>
        <w:ind w:left="4620" w:leftChars="22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投标人：（加盖投标人法人公章）</w:t>
      </w:r>
    </w:p>
    <w:p w14:paraId="630AD0D9">
      <w:pPr>
        <w:ind w:left="4620" w:leftChars="2200"/>
        <w:rPr>
          <w:rFonts w:hint="eastAsia" w:ascii="宋体" w:hAnsi="宋体" w:eastAsia="宋体" w:cs="宋体"/>
          <w:color w:val="auto"/>
          <w:highlight w:val="none"/>
        </w:rPr>
      </w:pPr>
      <w:r>
        <w:rPr>
          <w:rFonts w:hint="eastAsia" w:ascii="宋体" w:hAnsi="宋体" w:eastAsia="宋体" w:cs="宋体"/>
          <w:color w:val="auto"/>
          <w:szCs w:val="21"/>
          <w:highlight w:val="none"/>
          <w:lang w:val="zh-CN"/>
        </w:rPr>
        <w:t>日  期：　年  月  日</w:t>
      </w:r>
      <w:bookmarkEnd w:id="959"/>
      <w:bookmarkEnd w:id="960"/>
      <w:bookmarkEnd w:id="961"/>
      <w:bookmarkEnd w:id="962"/>
      <w:bookmarkStart w:id="970" w:name="_Toc533708130"/>
      <w:bookmarkStart w:id="971" w:name="_Toc1977736"/>
      <w:bookmarkStart w:id="972" w:name="_Toc486167716"/>
      <w:bookmarkStart w:id="973" w:name="_Toc20034"/>
      <w:bookmarkStart w:id="974" w:name="_Toc102860425"/>
      <w:bookmarkStart w:id="975" w:name="_Toc142508376"/>
      <w:bookmarkStart w:id="976" w:name="_Toc15551"/>
      <w:bookmarkStart w:id="977" w:name="_Toc739_WPSOffice_Level2"/>
      <w:bookmarkStart w:id="978" w:name="_Toc104991883"/>
      <w:bookmarkStart w:id="979" w:name="_Toc94107217"/>
      <w:bookmarkStart w:id="980" w:name="_Toc140596936"/>
      <w:bookmarkStart w:id="981" w:name="_Toc102860081"/>
    </w:p>
    <w:p w14:paraId="7CC2D2B3">
      <w:pP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6DF50372">
      <w:pPr>
        <w:pStyle w:val="3"/>
        <w:rPr>
          <w:rFonts w:hint="eastAsia" w:ascii="宋体" w:hAnsi="宋体" w:eastAsia="宋体" w:cs="宋体"/>
          <w:color w:val="auto"/>
          <w:sz w:val="28"/>
          <w:szCs w:val="36"/>
          <w:highlight w:val="none"/>
          <w:lang w:val="zh-CN"/>
        </w:rPr>
      </w:pPr>
      <w:bookmarkStart w:id="982" w:name="_Toc27643"/>
      <w:bookmarkStart w:id="983" w:name="_Toc22070"/>
      <w:bookmarkStart w:id="984" w:name="_Toc27697"/>
      <w:bookmarkStart w:id="985" w:name="_Toc9052"/>
      <w:bookmarkStart w:id="986" w:name="_Toc31083"/>
      <w:bookmarkStart w:id="987" w:name="_Toc28770"/>
      <w:bookmarkStart w:id="988" w:name="_Toc25181"/>
      <w:r>
        <w:rPr>
          <w:rFonts w:hint="eastAsia" w:ascii="宋体" w:hAnsi="宋体" w:eastAsia="宋体" w:cs="宋体"/>
          <w:color w:val="auto"/>
          <w:sz w:val="28"/>
          <w:szCs w:val="36"/>
          <w:highlight w:val="none"/>
        </w:rPr>
        <w:t>八</w:t>
      </w:r>
      <w:r>
        <w:rPr>
          <w:rFonts w:hint="eastAsia" w:ascii="宋体" w:hAnsi="宋体" w:eastAsia="宋体" w:cs="宋体"/>
          <w:color w:val="auto"/>
          <w:sz w:val="28"/>
          <w:szCs w:val="36"/>
          <w:highlight w:val="none"/>
          <w:lang w:val="zh-CN"/>
        </w:rPr>
        <w:t>、合同条款偏离表格式</w:t>
      </w:r>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p>
    <w:p w14:paraId="15265D58">
      <w:pPr>
        <w:jc w:val="center"/>
        <w:rPr>
          <w:rFonts w:hint="eastAsia" w:ascii="宋体" w:hAnsi="宋体" w:eastAsia="宋体" w:cs="宋体"/>
          <w:b/>
          <w:bCs/>
          <w:color w:val="auto"/>
          <w:sz w:val="28"/>
          <w:szCs w:val="32"/>
          <w:highlight w:val="none"/>
          <w:lang w:val="zh-CN"/>
        </w:rPr>
      </w:pPr>
      <w:bookmarkStart w:id="989" w:name="_Toc26412_WPSOffice_Level3"/>
      <w:r>
        <w:rPr>
          <w:rFonts w:hint="eastAsia" w:cs="宋体"/>
          <w:b/>
          <w:bCs/>
          <w:color w:val="auto"/>
          <w:kern w:val="2"/>
          <w:sz w:val="28"/>
          <w:szCs w:val="32"/>
          <w:highlight w:val="none"/>
          <w:lang w:val="zh-CN" w:eastAsia="zh-CN" w:bidi="ar-SA"/>
        </w:rPr>
        <w:t>东莞市碧水信息科技有限公司2025年度球墨铸铁阀门采购项目（第三次招标）</w:t>
      </w:r>
      <w:r>
        <w:rPr>
          <w:rFonts w:hint="eastAsia" w:ascii="宋体" w:hAnsi="宋体" w:eastAsia="宋体" w:cs="宋体"/>
          <w:b/>
          <w:bCs/>
          <w:color w:val="auto"/>
          <w:sz w:val="28"/>
          <w:szCs w:val="32"/>
          <w:highlight w:val="none"/>
          <w:lang w:val="zh-CN"/>
        </w:rPr>
        <w:t>合同条款偏离表</w:t>
      </w:r>
      <w:bookmarkEnd w:id="989"/>
    </w:p>
    <w:tbl>
      <w:tblPr>
        <w:tblStyle w:val="20"/>
        <w:tblW w:w="103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0"/>
        <w:gridCol w:w="1425"/>
        <w:gridCol w:w="3055"/>
        <w:gridCol w:w="1346"/>
        <w:gridCol w:w="3524"/>
      </w:tblGrid>
      <w:tr w14:paraId="7DA09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trPr>
        <w:tc>
          <w:tcPr>
            <w:tcW w:w="1020" w:type="dxa"/>
            <w:vMerge w:val="restart"/>
            <w:vAlign w:val="center"/>
          </w:tcPr>
          <w:p w14:paraId="075BB578">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4480" w:type="dxa"/>
            <w:gridSpan w:val="2"/>
            <w:vAlign w:val="center"/>
          </w:tcPr>
          <w:p w14:paraId="1EF661BF">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招标文件要求</w:t>
            </w:r>
          </w:p>
        </w:tc>
        <w:tc>
          <w:tcPr>
            <w:tcW w:w="4870" w:type="dxa"/>
            <w:gridSpan w:val="2"/>
            <w:vAlign w:val="center"/>
          </w:tcPr>
          <w:p w14:paraId="116F4D2B">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投标文件内容</w:t>
            </w:r>
          </w:p>
        </w:tc>
      </w:tr>
      <w:tr w14:paraId="4AD9F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trPr>
        <w:tc>
          <w:tcPr>
            <w:tcW w:w="1020" w:type="dxa"/>
            <w:vMerge w:val="continue"/>
            <w:vAlign w:val="center"/>
          </w:tcPr>
          <w:p w14:paraId="220D18E9">
            <w:pPr>
              <w:autoSpaceDE w:val="0"/>
              <w:autoSpaceDN w:val="0"/>
              <w:adjustRightInd w:val="0"/>
              <w:spacing w:line="400" w:lineRule="exact"/>
              <w:jc w:val="center"/>
              <w:rPr>
                <w:rFonts w:hint="eastAsia" w:ascii="宋体" w:hAnsi="宋体" w:eastAsia="宋体" w:cs="宋体"/>
                <w:color w:val="auto"/>
                <w:kern w:val="0"/>
                <w:szCs w:val="21"/>
                <w:highlight w:val="none"/>
              </w:rPr>
            </w:pPr>
          </w:p>
        </w:tc>
        <w:tc>
          <w:tcPr>
            <w:tcW w:w="1425" w:type="dxa"/>
            <w:vAlign w:val="center"/>
          </w:tcPr>
          <w:p w14:paraId="20CE9355">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条款号</w:t>
            </w:r>
          </w:p>
        </w:tc>
        <w:tc>
          <w:tcPr>
            <w:tcW w:w="3055" w:type="dxa"/>
            <w:vAlign w:val="center"/>
          </w:tcPr>
          <w:p w14:paraId="141D5956">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简要内容</w:t>
            </w:r>
          </w:p>
        </w:tc>
        <w:tc>
          <w:tcPr>
            <w:tcW w:w="1346" w:type="dxa"/>
            <w:vAlign w:val="center"/>
          </w:tcPr>
          <w:p w14:paraId="22C01300">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偏离情况</w:t>
            </w:r>
          </w:p>
        </w:tc>
        <w:tc>
          <w:tcPr>
            <w:tcW w:w="3524" w:type="dxa"/>
            <w:vAlign w:val="center"/>
          </w:tcPr>
          <w:p w14:paraId="4FFDC48B">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具体偏离内容</w:t>
            </w:r>
          </w:p>
        </w:tc>
      </w:tr>
      <w:tr w14:paraId="2F3DB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200EC37D">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1425" w:type="dxa"/>
            <w:vAlign w:val="center"/>
          </w:tcPr>
          <w:p w14:paraId="1724EDC1">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第一条</w:t>
            </w:r>
          </w:p>
        </w:tc>
        <w:tc>
          <w:tcPr>
            <w:tcW w:w="3055" w:type="dxa"/>
            <w:vAlign w:val="center"/>
          </w:tcPr>
          <w:p w14:paraId="05B0D39D">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供货资格及范围</w:t>
            </w:r>
          </w:p>
        </w:tc>
        <w:tc>
          <w:tcPr>
            <w:tcW w:w="1346" w:type="dxa"/>
            <w:vAlign w:val="center"/>
          </w:tcPr>
          <w:p w14:paraId="6ADE9B78">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Cs w:val="21"/>
                <w:highlight w:val="none"/>
              </w:rPr>
            </w:pPr>
          </w:p>
        </w:tc>
        <w:tc>
          <w:tcPr>
            <w:tcW w:w="3524" w:type="dxa"/>
            <w:vAlign w:val="center"/>
          </w:tcPr>
          <w:p w14:paraId="530044CD">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Cs w:val="21"/>
                <w:highlight w:val="none"/>
              </w:rPr>
            </w:pPr>
          </w:p>
        </w:tc>
      </w:tr>
      <w:tr w14:paraId="22E90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1020" w:type="dxa"/>
            <w:vAlign w:val="center"/>
          </w:tcPr>
          <w:p w14:paraId="23F29418">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1425" w:type="dxa"/>
            <w:vAlign w:val="center"/>
          </w:tcPr>
          <w:p w14:paraId="0D0238B6">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第</w:t>
            </w:r>
            <w:r>
              <w:rPr>
                <w:rFonts w:hint="eastAsia" w:ascii="宋体" w:hAnsi="宋体" w:eastAsia="宋体" w:cs="宋体"/>
                <w:color w:val="auto"/>
                <w:kern w:val="0"/>
                <w:szCs w:val="21"/>
                <w:highlight w:val="none"/>
                <w:lang w:val="en-US" w:eastAsia="zh-CN"/>
              </w:rPr>
              <w:t>二</w:t>
            </w:r>
            <w:r>
              <w:rPr>
                <w:rFonts w:hint="eastAsia" w:ascii="宋体" w:hAnsi="宋体" w:eastAsia="宋体" w:cs="宋体"/>
                <w:color w:val="auto"/>
                <w:kern w:val="0"/>
                <w:szCs w:val="21"/>
                <w:highlight w:val="none"/>
              </w:rPr>
              <w:t>条</w:t>
            </w:r>
          </w:p>
        </w:tc>
        <w:tc>
          <w:tcPr>
            <w:tcW w:w="3055" w:type="dxa"/>
            <w:vAlign w:val="center"/>
          </w:tcPr>
          <w:p w14:paraId="0C0C6F10">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合同供货期</w:t>
            </w:r>
          </w:p>
        </w:tc>
        <w:tc>
          <w:tcPr>
            <w:tcW w:w="1346" w:type="dxa"/>
            <w:vAlign w:val="center"/>
          </w:tcPr>
          <w:p w14:paraId="09AA03DC">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Cs w:val="21"/>
                <w:highlight w:val="none"/>
              </w:rPr>
            </w:pPr>
          </w:p>
        </w:tc>
        <w:tc>
          <w:tcPr>
            <w:tcW w:w="3524" w:type="dxa"/>
            <w:vAlign w:val="center"/>
          </w:tcPr>
          <w:p w14:paraId="5AB8ED8D">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Cs w:val="21"/>
                <w:highlight w:val="none"/>
              </w:rPr>
            </w:pPr>
          </w:p>
        </w:tc>
      </w:tr>
      <w:tr w14:paraId="5E915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21A78B9D">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1425" w:type="dxa"/>
            <w:vAlign w:val="center"/>
          </w:tcPr>
          <w:p w14:paraId="1EA86CDB">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第</w:t>
            </w:r>
            <w:r>
              <w:rPr>
                <w:rFonts w:hint="eastAsia" w:ascii="宋体" w:hAnsi="宋体" w:eastAsia="宋体" w:cs="宋体"/>
                <w:color w:val="auto"/>
                <w:kern w:val="0"/>
                <w:szCs w:val="21"/>
                <w:highlight w:val="none"/>
                <w:lang w:val="en-US" w:eastAsia="zh-CN"/>
              </w:rPr>
              <w:t>三</w:t>
            </w:r>
            <w:r>
              <w:rPr>
                <w:rFonts w:hint="eastAsia" w:ascii="宋体" w:hAnsi="宋体" w:eastAsia="宋体" w:cs="宋体"/>
                <w:color w:val="auto"/>
                <w:kern w:val="0"/>
                <w:szCs w:val="21"/>
                <w:highlight w:val="none"/>
              </w:rPr>
              <w:t>条</w:t>
            </w:r>
          </w:p>
        </w:tc>
        <w:tc>
          <w:tcPr>
            <w:tcW w:w="3055" w:type="dxa"/>
            <w:vAlign w:val="center"/>
          </w:tcPr>
          <w:p w14:paraId="17351586">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技术</w:t>
            </w:r>
            <w:r>
              <w:rPr>
                <w:rFonts w:hint="eastAsia" w:ascii="宋体" w:hAnsi="宋体" w:eastAsia="宋体" w:cs="宋体"/>
                <w:color w:val="auto"/>
                <w:kern w:val="0"/>
                <w:szCs w:val="21"/>
                <w:highlight w:val="none"/>
                <w:lang w:eastAsia="zh-CN"/>
              </w:rPr>
              <w:t>参数</w:t>
            </w:r>
            <w:r>
              <w:rPr>
                <w:rFonts w:hint="eastAsia" w:ascii="宋体" w:hAnsi="宋体" w:eastAsia="宋体" w:cs="宋体"/>
                <w:color w:val="auto"/>
                <w:kern w:val="0"/>
                <w:szCs w:val="21"/>
                <w:highlight w:val="none"/>
              </w:rPr>
              <w:t>要求</w:t>
            </w:r>
          </w:p>
        </w:tc>
        <w:tc>
          <w:tcPr>
            <w:tcW w:w="1346" w:type="dxa"/>
            <w:vAlign w:val="center"/>
          </w:tcPr>
          <w:p w14:paraId="27DEAF27">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Cs w:val="21"/>
                <w:highlight w:val="none"/>
              </w:rPr>
            </w:pPr>
          </w:p>
        </w:tc>
        <w:tc>
          <w:tcPr>
            <w:tcW w:w="3524" w:type="dxa"/>
            <w:vAlign w:val="center"/>
          </w:tcPr>
          <w:p w14:paraId="04F32183">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Cs w:val="21"/>
                <w:highlight w:val="none"/>
              </w:rPr>
            </w:pPr>
          </w:p>
        </w:tc>
      </w:tr>
      <w:tr w14:paraId="24349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5F76CB52">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p>
        </w:tc>
        <w:tc>
          <w:tcPr>
            <w:tcW w:w="1425" w:type="dxa"/>
            <w:vAlign w:val="center"/>
          </w:tcPr>
          <w:p w14:paraId="54AF7F55">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第</w:t>
            </w:r>
            <w:r>
              <w:rPr>
                <w:rFonts w:hint="eastAsia" w:ascii="宋体" w:hAnsi="宋体" w:eastAsia="宋体" w:cs="宋体"/>
                <w:color w:val="auto"/>
                <w:kern w:val="0"/>
                <w:szCs w:val="21"/>
                <w:highlight w:val="none"/>
                <w:lang w:val="en-US" w:eastAsia="zh-CN"/>
              </w:rPr>
              <w:t>四</w:t>
            </w:r>
            <w:r>
              <w:rPr>
                <w:rFonts w:hint="eastAsia" w:ascii="宋体" w:hAnsi="宋体" w:eastAsia="宋体" w:cs="宋体"/>
                <w:color w:val="auto"/>
                <w:kern w:val="0"/>
                <w:szCs w:val="21"/>
                <w:highlight w:val="none"/>
              </w:rPr>
              <w:t>条</w:t>
            </w:r>
          </w:p>
        </w:tc>
        <w:tc>
          <w:tcPr>
            <w:tcW w:w="3055" w:type="dxa"/>
            <w:vAlign w:val="center"/>
          </w:tcPr>
          <w:p w14:paraId="46B1AB36">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其他要求</w:t>
            </w:r>
          </w:p>
        </w:tc>
        <w:tc>
          <w:tcPr>
            <w:tcW w:w="1346" w:type="dxa"/>
            <w:vAlign w:val="center"/>
          </w:tcPr>
          <w:p w14:paraId="20C733BD">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Cs w:val="21"/>
                <w:highlight w:val="none"/>
              </w:rPr>
            </w:pPr>
          </w:p>
        </w:tc>
        <w:tc>
          <w:tcPr>
            <w:tcW w:w="3524" w:type="dxa"/>
            <w:vAlign w:val="center"/>
          </w:tcPr>
          <w:p w14:paraId="0C721CC8">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Cs w:val="21"/>
                <w:highlight w:val="none"/>
              </w:rPr>
            </w:pPr>
          </w:p>
        </w:tc>
      </w:tr>
      <w:tr w14:paraId="1C1E9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51E5EFBC">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p>
        </w:tc>
        <w:tc>
          <w:tcPr>
            <w:tcW w:w="1425" w:type="dxa"/>
            <w:vAlign w:val="center"/>
          </w:tcPr>
          <w:p w14:paraId="78049AC1">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第</w:t>
            </w:r>
            <w:r>
              <w:rPr>
                <w:rFonts w:hint="eastAsia" w:ascii="宋体" w:hAnsi="宋体" w:eastAsia="宋体" w:cs="宋体"/>
                <w:color w:val="auto"/>
                <w:kern w:val="0"/>
                <w:szCs w:val="21"/>
                <w:highlight w:val="none"/>
                <w:lang w:val="en-US" w:eastAsia="zh-CN"/>
              </w:rPr>
              <w:t>五</w:t>
            </w:r>
            <w:r>
              <w:rPr>
                <w:rFonts w:hint="eastAsia" w:ascii="宋体" w:hAnsi="宋体" w:eastAsia="宋体" w:cs="宋体"/>
                <w:color w:val="auto"/>
                <w:kern w:val="0"/>
                <w:szCs w:val="21"/>
                <w:highlight w:val="none"/>
              </w:rPr>
              <w:t>条</w:t>
            </w:r>
          </w:p>
        </w:tc>
        <w:tc>
          <w:tcPr>
            <w:tcW w:w="3055" w:type="dxa"/>
            <w:vAlign w:val="center"/>
          </w:tcPr>
          <w:p w14:paraId="6F73ED7B">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eastAsia="zh-CN"/>
              </w:rPr>
              <w:t>交货要求</w:t>
            </w:r>
          </w:p>
        </w:tc>
        <w:tc>
          <w:tcPr>
            <w:tcW w:w="1346" w:type="dxa"/>
            <w:vAlign w:val="center"/>
          </w:tcPr>
          <w:p w14:paraId="64176585">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Cs w:val="21"/>
                <w:highlight w:val="none"/>
              </w:rPr>
            </w:pPr>
          </w:p>
        </w:tc>
        <w:tc>
          <w:tcPr>
            <w:tcW w:w="3524" w:type="dxa"/>
            <w:vAlign w:val="center"/>
          </w:tcPr>
          <w:p w14:paraId="0261C4DE">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Cs w:val="21"/>
                <w:highlight w:val="none"/>
              </w:rPr>
            </w:pPr>
          </w:p>
        </w:tc>
      </w:tr>
      <w:tr w14:paraId="56412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441F4AD6">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w:t>
            </w:r>
          </w:p>
        </w:tc>
        <w:tc>
          <w:tcPr>
            <w:tcW w:w="1425" w:type="dxa"/>
            <w:vAlign w:val="center"/>
          </w:tcPr>
          <w:p w14:paraId="0623A84B">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第</w:t>
            </w:r>
            <w:r>
              <w:rPr>
                <w:rFonts w:hint="eastAsia" w:ascii="宋体" w:hAnsi="宋体" w:eastAsia="宋体" w:cs="宋体"/>
                <w:color w:val="auto"/>
                <w:kern w:val="0"/>
                <w:szCs w:val="21"/>
                <w:highlight w:val="none"/>
                <w:lang w:val="en-US" w:eastAsia="zh-CN"/>
              </w:rPr>
              <w:t>六</w:t>
            </w:r>
            <w:r>
              <w:rPr>
                <w:rFonts w:hint="eastAsia" w:ascii="宋体" w:hAnsi="宋体" w:eastAsia="宋体" w:cs="宋体"/>
                <w:color w:val="auto"/>
                <w:kern w:val="0"/>
                <w:szCs w:val="21"/>
                <w:highlight w:val="none"/>
              </w:rPr>
              <w:t>条</w:t>
            </w:r>
          </w:p>
        </w:tc>
        <w:tc>
          <w:tcPr>
            <w:tcW w:w="3055" w:type="dxa"/>
            <w:vAlign w:val="center"/>
          </w:tcPr>
          <w:p w14:paraId="0E5DACB3">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验收</w:t>
            </w:r>
            <w:r>
              <w:rPr>
                <w:rFonts w:hint="eastAsia" w:ascii="宋体" w:hAnsi="宋体" w:eastAsia="宋体" w:cs="宋体"/>
                <w:color w:val="auto"/>
                <w:kern w:val="0"/>
                <w:szCs w:val="21"/>
                <w:highlight w:val="none"/>
                <w:lang w:val="en-US" w:eastAsia="zh-CN"/>
              </w:rPr>
              <w:t>与检测</w:t>
            </w:r>
            <w:r>
              <w:rPr>
                <w:rFonts w:hint="eastAsia" w:ascii="宋体" w:hAnsi="宋体" w:eastAsia="宋体" w:cs="宋体"/>
                <w:color w:val="auto"/>
                <w:kern w:val="0"/>
                <w:szCs w:val="21"/>
                <w:highlight w:val="none"/>
                <w:lang w:eastAsia="zh-CN"/>
              </w:rPr>
              <w:t>及质保期要求</w:t>
            </w:r>
          </w:p>
        </w:tc>
        <w:tc>
          <w:tcPr>
            <w:tcW w:w="1346" w:type="dxa"/>
            <w:vAlign w:val="center"/>
          </w:tcPr>
          <w:p w14:paraId="69DFBDD6">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Cs w:val="21"/>
                <w:highlight w:val="none"/>
              </w:rPr>
            </w:pPr>
          </w:p>
        </w:tc>
        <w:tc>
          <w:tcPr>
            <w:tcW w:w="3524" w:type="dxa"/>
            <w:vAlign w:val="center"/>
          </w:tcPr>
          <w:p w14:paraId="29C42804">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Cs w:val="21"/>
                <w:highlight w:val="none"/>
              </w:rPr>
            </w:pPr>
          </w:p>
        </w:tc>
      </w:tr>
      <w:tr w14:paraId="05E86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1B6DABF5">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w:t>
            </w:r>
          </w:p>
        </w:tc>
        <w:tc>
          <w:tcPr>
            <w:tcW w:w="1425" w:type="dxa"/>
            <w:vAlign w:val="center"/>
          </w:tcPr>
          <w:p w14:paraId="0919F9E9">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第</w:t>
            </w:r>
            <w:r>
              <w:rPr>
                <w:rFonts w:hint="eastAsia" w:ascii="宋体" w:hAnsi="宋体" w:eastAsia="宋体" w:cs="宋体"/>
                <w:color w:val="auto"/>
                <w:kern w:val="0"/>
                <w:szCs w:val="21"/>
                <w:highlight w:val="none"/>
                <w:lang w:val="en-US" w:eastAsia="zh-CN"/>
              </w:rPr>
              <w:t>七</w:t>
            </w:r>
            <w:r>
              <w:rPr>
                <w:rFonts w:hint="eastAsia" w:ascii="宋体" w:hAnsi="宋体" w:eastAsia="宋体" w:cs="宋体"/>
                <w:color w:val="auto"/>
                <w:kern w:val="0"/>
                <w:szCs w:val="21"/>
                <w:highlight w:val="none"/>
              </w:rPr>
              <w:t>条</w:t>
            </w:r>
          </w:p>
        </w:tc>
        <w:tc>
          <w:tcPr>
            <w:tcW w:w="3055" w:type="dxa"/>
            <w:vAlign w:val="center"/>
          </w:tcPr>
          <w:p w14:paraId="3EDEDD25">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综合单价、暂定合同价及付款方式</w:t>
            </w:r>
          </w:p>
        </w:tc>
        <w:tc>
          <w:tcPr>
            <w:tcW w:w="1346" w:type="dxa"/>
            <w:vAlign w:val="center"/>
          </w:tcPr>
          <w:p w14:paraId="5AB68591">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Cs w:val="21"/>
                <w:highlight w:val="none"/>
              </w:rPr>
            </w:pPr>
          </w:p>
        </w:tc>
        <w:tc>
          <w:tcPr>
            <w:tcW w:w="3524" w:type="dxa"/>
            <w:vAlign w:val="center"/>
          </w:tcPr>
          <w:p w14:paraId="3AE29F68">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Cs w:val="21"/>
                <w:highlight w:val="none"/>
              </w:rPr>
            </w:pPr>
          </w:p>
        </w:tc>
      </w:tr>
      <w:tr w14:paraId="2E026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0CECBE7C">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w:t>
            </w:r>
          </w:p>
        </w:tc>
        <w:tc>
          <w:tcPr>
            <w:tcW w:w="1425" w:type="dxa"/>
            <w:vAlign w:val="center"/>
          </w:tcPr>
          <w:p w14:paraId="394E4993">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第</w:t>
            </w:r>
            <w:r>
              <w:rPr>
                <w:rFonts w:hint="eastAsia" w:ascii="宋体" w:hAnsi="宋体" w:eastAsia="宋体" w:cs="宋体"/>
                <w:color w:val="auto"/>
                <w:kern w:val="0"/>
                <w:szCs w:val="21"/>
                <w:highlight w:val="none"/>
                <w:lang w:val="en-US" w:eastAsia="zh-CN"/>
              </w:rPr>
              <w:t>八</w:t>
            </w:r>
            <w:r>
              <w:rPr>
                <w:rFonts w:hint="eastAsia" w:ascii="宋体" w:hAnsi="宋体" w:eastAsia="宋体" w:cs="宋体"/>
                <w:color w:val="auto"/>
                <w:kern w:val="0"/>
                <w:szCs w:val="21"/>
                <w:highlight w:val="none"/>
              </w:rPr>
              <w:t>条</w:t>
            </w:r>
          </w:p>
        </w:tc>
        <w:tc>
          <w:tcPr>
            <w:tcW w:w="3055" w:type="dxa"/>
            <w:vAlign w:val="center"/>
          </w:tcPr>
          <w:p w14:paraId="341AED68">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履约担保</w:t>
            </w:r>
          </w:p>
        </w:tc>
        <w:tc>
          <w:tcPr>
            <w:tcW w:w="1346" w:type="dxa"/>
            <w:vAlign w:val="center"/>
          </w:tcPr>
          <w:p w14:paraId="50E7E789">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Cs w:val="21"/>
                <w:highlight w:val="none"/>
              </w:rPr>
            </w:pPr>
          </w:p>
        </w:tc>
        <w:tc>
          <w:tcPr>
            <w:tcW w:w="3524" w:type="dxa"/>
            <w:vAlign w:val="center"/>
          </w:tcPr>
          <w:p w14:paraId="5387E83D">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Cs w:val="21"/>
                <w:highlight w:val="none"/>
              </w:rPr>
            </w:pPr>
          </w:p>
        </w:tc>
      </w:tr>
      <w:tr w14:paraId="3D7C1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436A0C9C">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w:t>
            </w:r>
          </w:p>
        </w:tc>
        <w:tc>
          <w:tcPr>
            <w:tcW w:w="1425" w:type="dxa"/>
            <w:vAlign w:val="center"/>
          </w:tcPr>
          <w:p w14:paraId="2306BA98">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第</w:t>
            </w:r>
            <w:r>
              <w:rPr>
                <w:rFonts w:hint="eastAsia" w:ascii="宋体" w:hAnsi="宋体" w:eastAsia="宋体" w:cs="宋体"/>
                <w:color w:val="auto"/>
                <w:kern w:val="0"/>
                <w:szCs w:val="21"/>
                <w:highlight w:val="none"/>
                <w:lang w:val="en-US" w:eastAsia="zh-CN"/>
              </w:rPr>
              <w:t>九</w:t>
            </w:r>
            <w:r>
              <w:rPr>
                <w:rFonts w:hint="eastAsia" w:ascii="宋体" w:hAnsi="宋体" w:eastAsia="宋体" w:cs="宋体"/>
                <w:color w:val="auto"/>
                <w:kern w:val="0"/>
                <w:szCs w:val="21"/>
                <w:highlight w:val="none"/>
              </w:rPr>
              <w:t>条</w:t>
            </w:r>
          </w:p>
        </w:tc>
        <w:tc>
          <w:tcPr>
            <w:tcW w:w="3055" w:type="dxa"/>
            <w:vAlign w:val="center"/>
          </w:tcPr>
          <w:p w14:paraId="6400F6CC">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违约责任</w:t>
            </w:r>
          </w:p>
        </w:tc>
        <w:tc>
          <w:tcPr>
            <w:tcW w:w="1346" w:type="dxa"/>
            <w:vAlign w:val="center"/>
          </w:tcPr>
          <w:p w14:paraId="3F99E707">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Cs w:val="21"/>
                <w:highlight w:val="none"/>
              </w:rPr>
            </w:pPr>
          </w:p>
        </w:tc>
        <w:tc>
          <w:tcPr>
            <w:tcW w:w="3524" w:type="dxa"/>
            <w:vAlign w:val="center"/>
          </w:tcPr>
          <w:p w14:paraId="05B3D4A7">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Cs w:val="21"/>
                <w:highlight w:val="none"/>
              </w:rPr>
            </w:pPr>
          </w:p>
        </w:tc>
      </w:tr>
      <w:tr w14:paraId="0285D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1C4A2E27">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w:t>
            </w:r>
          </w:p>
        </w:tc>
        <w:tc>
          <w:tcPr>
            <w:tcW w:w="1425" w:type="dxa"/>
            <w:vAlign w:val="center"/>
          </w:tcPr>
          <w:p w14:paraId="23888FBC">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第</w:t>
            </w:r>
            <w:r>
              <w:rPr>
                <w:rFonts w:hint="eastAsia" w:ascii="宋体" w:hAnsi="宋体" w:eastAsia="宋体" w:cs="宋体"/>
                <w:color w:val="auto"/>
                <w:kern w:val="0"/>
                <w:szCs w:val="21"/>
                <w:highlight w:val="none"/>
                <w:lang w:val="en-US" w:eastAsia="zh-CN"/>
              </w:rPr>
              <w:t>十</w:t>
            </w:r>
            <w:r>
              <w:rPr>
                <w:rFonts w:hint="eastAsia" w:ascii="宋体" w:hAnsi="宋体" w:eastAsia="宋体" w:cs="宋体"/>
                <w:color w:val="auto"/>
                <w:kern w:val="0"/>
                <w:szCs w:val="21"/>
                <w:highlight w:val="none"/>
              </w:rPr>
              <w:t>条</w:t>
            </w:r>
          </w:p>
        </w:tc>
        <w:tc>
          <w:tcPr>
            <w:tcW w:w="3055" w:type="dxa"/>
            <w:vAlign w:val="center"/>
          </w:tcPr>
          <w:p w14:paraId="2AE07E37">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不可抗力</w:t>
            </w:r>
          </w:p>
        </w:tc>
        <w:tc>
          <w:tcPr>
            <w:tcW w:w="1346" w:type="dxa"/>
            <w:vAlign w:val="center"/>
          </w:tcPr>
          <w:p w14:paraId="1551C58C">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Cs w:val="21"/>
                <w:highlight w:val="none"/>
              </w:rPr>
            </w:pPr>
          </w:p>
        </w:tc>
        <w:tc>
          <w:tcPr>
            <w:tcW w:w="3524" w:type="dxa"/>
            <w:vAlign w:val="center"/>
          </w:tcPr>
          <w:p w14:paraId="0B938C37">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Cs w:val="21"/>
                <w:highlight w:val="none"/>
              </w:rPr>
            </w:pPr>
          </w:p>
        </w:tc>
      </w:tr>
      <w:tr w14:paraId="04B49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5E3A8AFB">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w:t>
            </w:r>
          </w:p>
        </w:tc>
        <w:tc>
          <w:tcPr>
            <w:tcW w:w="1425" w:type="dxa"/>
            <w:vAlign w:val="center"/>
          </w:tcPr>
          <w:p w14:paraId="2B94C6B3">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第</w:t>
            </w:r>
            <w:r>
              <w:rPr>
                <w:rFonts w:hint="eastAsia" w:ascii="宋体" w:hAnsi="宋体" w:eastAsia="宋体" w:cs="宋体"/>
                <w:color w:val="auto"/>
                <w:kern w:val="0"/>
                <w:szCs w:val="21"/>
                <w:highlight w:val="none"/>
                <w:lang w:val="en-US" w:eastAsia="zh-CN"/>
              </w:rPr>
              <w:t>十一</w:t>
            </w:r>
            <w:r>
              <w:rPr>
                <w:rFonts w:hint="eastAsia" w:ascii="宋体" w:hAnsi="宋体" w:eastAsia="宋体" w:cs="宋体"/>
                <w:color w:val="auto"/>
                <w:kern w:val="0"/>
                <w:szCs w:val="21"/>
                <w:highlight w:val="none"/>
              </w:rPr>
              <w:t>条</w:t>
            </w:r>
          </w:p>
        </w:tc>
        <w:tc>
          <w:tcPr>
            <w:tcW w:w="3055" w:type="dxa"/>
            <w:vAlign w:val="center"/>
          </w:tcPr>
          <w:p w14:paraId="0B0D7103">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承诺与保证</w:t>
            </w:r>
          </w:p>
        </w:tc>
        <w:tc>
          <w:tcPr>
            <w:tcW w:w="1346" w:type="dxa"/>
            <w:vAlign w:val="center"/>
          </w:tcPr>
          <w:p w14:paraId="008411F8">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Cs w:val="21"/>
                <w:highlight w:val="none"/>
              </w:rPr>
            </w:pPr>
          </w:p>
        </w:tc>
        <w:tc>
          <w:tcPr>
            <w:tcW w:w="3524" w:type="dxa"/>
            <w:vAlign w:val="center"/>
          </w:tcPr>
          <w:p w14:paraId="5ED461AA">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Cs w:val="21"/>
                <w:highlight w:val="none"/>
              </w:rPr>
            </w:pPr>
          </w:p>
        </w:tc>
      </w:tr>
      <w:tr w14:paraId="328F9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574332CF">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w:t>
            </w:r>
          </w:p>
        </w:tc>
        <w:tc>
          <w:tcPr>
            <w:tcW w:w="1425" w:type="dxa"/>
            <w:vAlign w:val="center"/>
          </w:tcPr>
          <w:p w14:paraId="63EC0B76">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第</w:t>
            </w:r>
            <w:r>
              <w:rPr>
                <w:rFonts w:hint="eastAsia" w:ascii="宋体" w:hAnsi="宋体" w:eastAsia="宋体" w:cs="宋体"/>
                <w:color w:val="auto"/>
                <w:kern w:val="0"/>
                <w:szCs w:val="21"/>
                <w:highlight w:val="none"/>
                <w:lang w:val="en-US" w:eastAsia="zh-CN"/>
              </w:rPr>
              <w:t>十二</w:t>
            </w:r>
            <w:r>
              <w:rPr>
                <w:rFonts w:hint="eastAsia" w:ascii="宋体" w:hAnsi="宋体" w:eastAsia="宋体" w:cs="宋体"/>
                <w:color w:val="auto"/>
                <w:kern w:val="0"/>
                <w:szCs w:val="21"/>
                <w:highlight w:val="none"/>
              </w:rPr>
              <w:t>条</w:t>
            </w:r>
          </w:p>
        </w:tc>
        <w:tc>
          <w:tcPr>
            <w:tcW w:w="3055" w:type="dxa"/>
            <w:vAlign w:val="center"/>
          </w:tcPr>
          <w:p w14:paraId="2273EC6B">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合同争议的解决办法</w:t>
            </w:r>
          </w:p>
        </w:tc>
        <w:tc>
          <w:tcPr>
            <w:tcW w:w="1346" w:type="dxa"/>
            <w:vAlign w:val="center"/>
          </w:tcPr>
          <w:p w14:paraId="7CD1E5A8">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Cs w:val="21"/>
                <w:highlight w:val="none"/>
              </w:rPr>
            </w:pPr>
          </w:p>
        </w:tc>
        <w:tc>
          <w:tcPr>
            <w:tcW w:w="3524" w:type="dxa"/>
            <w:vAlign w:val="center"/>
          </w:tcPr>
          <w:p w14:paraId="6EEF9AFD">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Cs w:val="21"/>
                <w:highlight w:val="none"/>
              </w:rPr>
            </w:pPr>
          </w:p>
        </w:tc>
      </w:tr>
      <w:tr w14:paraId="4A5EC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6E43FB96">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w:t>
            </w:r>
          </w:p>
        </w:tc>
        <w:tc>
          <w:tcPr>
            <w:tcW w:w="1425" w:type="dxa"/>
            <w:vAlign w:val="center"/>
          </w:tcPr>
          <w:p w14:paraId="2D3CF3D9">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第</w:t>
            </w:r>
            <w:r>
              <w:rPr>
                <w:rFonts w:hint="eastAsia" w:ascii="宋体" w:hAnsi="宋体" w:eastAsia="宋体" w:cs="宋体"/>
                <w:color w:val="auto"/>
                <w:kern w:val="0"/>
                <w:szCs w:val="21"/>
                <w:highlight w:val="none"/>
                <w:lang w:val="en-US" w:eastAsia="zh-CN"/>
              </w:rPr>
              <w:t>十三</w:t>
            </w:r>
            <w:r>
              <w:rPr>
                <w:rFonts w:hint="eastAsia" w:ascii="宋体" w:hAnsi="宋体" w:eastAsia="宋体" w:cs="宋体"/>
                <w:color w:val="auto"/>
                <w:kern w:val="0"/>
                <w:szCs w:val="21"/>
                <w:highlight w:val="none"/>
              </w:rPr>
              <w:t>条</w:t>
            </w:r>
          </w:p>
        </w:tc>
        <w:tc>
          <w:tcPr>
            <w:tcW w:w="3055" w:type="dxa"/>
            <w:vAlign w:val="center"/>
          </w:tcPr>
          <w:p w14:paraId="769CA7B1">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其他</w:t>
            </w:r>
          </w:p>
        </w:tc>
        <w:tc>
          <w:tcPr>
            <w:tcW w:w="1346" w:type="dxa"/>
            <w:vAlign w:val="center"/>
          </w:tcPr>
          <w:p w14:paraId="364A5AF0">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Cs w:val="21"/>
                <w:highlight w:val="none"/>
              </w:rPr>
            </w:pPr>
          </w:p>
        </w:tc>
        <w:tc>
          <w:tcPr>
            <w:tcW w:w="3524" w:type="dxa"/>
            <w:vAlign w:val="center"/>
          </w:tcPr>
          <w:p w14:paraId="66A646E6">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Cs w:val="21"/>
                <w:highlight w:val="none"/>
              </w:rPr>
            </w:pPr>
          </w:p>
        </w:tc>
      </w:tr>
      <w:tr w14:paraId="5265F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37E4D786">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14</w:t>
            </w:r>
          </w:p>
        </w:tc>
        <w:tc>
          <w:tcPr>
            <w:tcW w:w="1425" w:type="dxa"/>
            <w:vAlign w:val="center"/>
          </w:tcPr>
          <w:p w14:paraId="364B0F6E">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附件1</w:t>
            </w:r>
          </w:p>
        </w:tc>
        <w:tc>
          <w:tcPr>
            <w:tcW w:w="3055" w:type="dxa"/>
            <w:vAlign w:val="center"/>
          </w:tcPr>
          <w:p w14:paraId="63C77E31">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东莞市碧水信息科技有限公司</w:t>
            </w:r>
            <w:r>
              <w:rPr>
                <w:rFonts w:hint="eastAsia" w:ascii="宋体" w:hAnsi="宋体" w:eastAsia="宋体" w:cs="宋体"/>
                <w:color w:val="auto"/>
                <w:kern w:val="0"/>
                <w:szCs w:val="21"/>
                <w:highlight w:val="none"/>
              </w:rPr>
              <w:t>货物到货验收表</w:t>
            </w:r>
          </w:p>
        </w:tc>
        <w:tc>
          <w:tcPr>
            <w:tcW w:w="1346" w:type="dxa"/>
            <w:vAlign w:val="center"/>
          </w:tcPr>
          <w:p w14:paraId="397F9DA3">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Cs w:val="21"/>
                <w:highlight w:val="none"/>
              </w:rPr>
            </w:pPr>
          </w:p>
        </w:tc>
        <w:tc>
          <w:tcPr>
            <w:tcW w:w="3524" w:type="dxa"/>
            <w:vAlign w:val="center"/>
          </w:tcPr>
          <w:p w14:paraId="01838D9F">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Cs w:val="21"/>
                <w:highlight w:val="none"/>
              </w:rPr>
            </w:pPr>
          </w:p>
        </w:tc>
      </w:tr>
      <w:tr w14:paraId="1D77C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309AA7B6">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15</w:t>
            </w:r>
          </w:p>
        </w:tc>
        <w:tc>
          <w:tcPr>
            <w:tcW w:w="1425" w:type="dxa"/>
            <w:vAlign w:val="center"/>
          </w:tcPr>
          <w:p w14:paraId="58423CEA">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附件2</w:t>
            </w:r>
          </w:p>
        </w:tc>
        <w:tc>
          <w:tcPr>
            <w:tcW w:w="3055" w:type="dxa"/>
            <w:vAlign w:val="center"/>
          </w:tcPr>
          <w:p w14:paraId="423301A0">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eastAsia="zh-CN"/>
              </w:rPr>
              <w:t>送货清单</w:t>
            </w:r>
          </w:p>
        </w:tc>
        <w:tc>
          <w:tcPr>
            <w:tcW w:w="1346" w:type="dxa"/>
            <w:vAlign w:val="center"/>
          </w:tcPr>
          <w:p w14:paraId="1CB5E3A8">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Cs w:val="21"/>
                <w:highlight w:val="none"/>
              </w:rPr>
            </w:pPr>
          </w:p>
        </w:tc>
        <w:tc>
          <w:tcPr>
            <w:tcW w:w="3524" w:type="dxa"/>
            <w:vAlign w:val="center"/>
          </w:tcPr>
          <w:p w14:paraId="1F73E370">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Cs w:val="21"/>
                <w:highlight w:val="none"/>
              </w:rPr>
            </w:pPr>
          </w:p>
        </w:tc>
      </w:tr>
      <w:tr w14:paraId="13343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4B0B8ED8">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宋体" w:hAnsi="宋体" w:eastAsia="宋体" w:cs="宋体"/>
                <w:color w:val="auto"/>
                <w:kern w:val="0"/>
                <w:szCs w:val="21"/>
                <w:highlight w:val="none"/>
                <w:lang w:val="en-US" w:eastAsia="zh-CN"/>
              </w:rPr>
            </w:pPr>
            <w:r>
              <w:rPr>
                <w:rFonts w:hint="eastAsia" w:cs="宋体"/>
                <w:color w:val="auto"/>
                <w:kern w:val="0"/>
                <w:szCs w:val="21"/>
                <w:highlight w:val="none"/>
                <w:lang w:val="en-US" w:eastAsia="zh-CN"/>
              </w:rPr>
              <w:t>16</w:t>
            </w:r>
          </w:p>
        </w:tc>
        <w:tc>
          <w:tcPr>
            <w:tcW w:w="1425" w:type="dxa"/>
            <w:vAlign w:val="center"/>
          </w:tcPr>
          <w:p w14:paraId="6E7D99F4">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宋体" w:hAnsi="宋体" w:eastAsia="宋体" w:cs="宋体"/>
                <w:color w:val="auto"/>
                <w:kern w:val="0"/>
                <w:szCs w:val="21"/>
                <w:highlight w:val="none"/>
                <w:lang w:val="en-US" w:eastAsia="zh-CN"/>
              </w:rPr>
            </w:pPr>
            <w:r>
              <w:rPr>
                <w:rFonts w:hint="eastAsia" w:cs="宋体"/>
                <w:color w:val="auto"/>
                <w:kern w:val="0"/>
                <w:szCs w:val="21"/>
                <w:highlight w:val="none"/>
                <w:lang w:val="en-US" w:eastAsia="zh-CN"/>
              </w:rPr>
              <w:t>附件3</w:t>
            </w:r>
          </w:p>
        </w:tc>
        <w:tc>
          <w:tcPr>
            <w:tcW w:w="3055" w:type="dxa"/>
            <w:vAlign w:val="center"/>
          </w:tcPr>
          <w:p w14:paraId="6F8FDB1F">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eastAsia="zh-CN"/>
              </w:rPr>
              <w:t>东莞市碧水信息科技有限公司2025年度阀门采购清单及价格表</w:t>
            </w:r>
          </w:p>
        </w:tc>
        <w:tc>
          <w:tcPr>
            <w:tcW w:w="1346" w:type="dxa"/>
            <w:vAlign w:val="center"/>
          </w:tcPr>
          <w:p w14:paraId="40FDFA41">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Cs w:val="21"/>
                <w:highlight w:val="none"/>
              </w:rPr>
            </w:pPr>
          </w:p>
        </w:tc>
        <w:tc>
          <w:tcPr>
            <w:tcW w:w="3524" w:type="dxa"/>
            <w:vAlign w:val="center"/>
          </w:tcPr>
          <w:p w14:paraId="27BA9D0B">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Cs w:val="21"/>
                <w:highlight w:val="none"/>
              </w:rPr>
            </w:pPr>
          </w:p>
        </w:tc>
      </w:tr>
      <w:tr w14:paraId="4C562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73EC5BE2">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宋体" w:hAnsi="宋体" w:eastAsia="宋体" w:cs="宋体"/>
                <w:color w:val="auto"/>
                <w:kern w:val="0"/>
                <w:szCs w:val="21"/>
                <w:highlight w:val="none"/>
                <w:lang w:val="en-US" w:eastAsia="zh-CN"/>
              </w:rPr>
            </w:pPr>
            <w:r>
              <w:rPr>
                <w:rFonts w:hint="eastAsia" w:cs="宋体"/>
                <w:color w:val="auto"/>
                <w:kern w:val="0"/>
                <w:szCs w:val="21"/>
                <w:highlight w:val="none"/>
                <w:lang w:val="en-US" w:eastAsia="zh-CN"/>
              </w:rPr>
              <w:t>17</w:t>
            </w:r>
          </w:p>
        </w:tc>
        <w:tc>
          <w:tcPr>
            <w:tcW w:w="1425" w:type="dxa"/>
            <w:shd w:val="clear" w:color="auto" w:fill="auto"/>
            <w:vAlign w:val="center"/>
          </w:tcPr>
          <w:p w14:paraId="68CA59A1">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附件4</w:t>
            </w:r>
          </w:p>
        </w:tc>
        <w:tc>
          <w:tcPr>
            <w:tcW w:w="3055" w:type="dxa"/>
            <w:shd w:val="clear" w:color="auto" w:fill="auto"/>
            <w:vAlign w:val="center"/>
          </w:tcPr>
          <w:p w14:paraId="1CA0709C">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廉洁协议书</w:t>
            </w:r>
          </w:p>
        </w:tc>
        <w:tc>
          <w:tcPr>
            <w:tcW w:w="1346" w:type="dxa"/>
            <w:vAlign w:val="center"/>
          </w:tcPr>
          <w:p w14:paraId="7B4AEF3A">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Cs w:val="21"/>
                <w:highlight w:val="none"/>
              </w:rPr>
            </w:pPr>
          </w:p>
        </w:tc>
        <w:tc>
          <w:tcPr>
            <w:tcW w:w="3524" w:type="dxa"/>
            <w:vAlign w:val="center"/>
          </w:tcPr>
          <w:p w14:paraId="67458D5F">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Cs w:val="21"/>
                <w:highlight w:val="none"/>
              </w:rPr>
            </w:pPr>
          </w:p>
        </w:tc>
      </w:tr>
      <w:tr w14:paraId="05466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0ACA78A5">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宋体" w:hAnsi="宋体" w:eastAsia="宋体" w:cs="宋体"/>
                <w:color w:val="auto"/>
                <w:kern w:val="0"/>
                <w:szCs w:val="21"/>
                <w:highlight w:val="none"/>
                <w:lang w:val="en-US" w:eastAsia="zh-CN"/>
              </w:rPr>
            </w:pPr>
            <w:r>
              <w:rPr>
                <w:rFonts w:hint="eastAsia" w:cs="宋体"/>
                <w:color w:val="auto"/>
                <w:kern w:val="0"/>
                <w:szCs w:val="21"/>
                <w:highlight w:val="none"/>
                <w:lang w:val="en-US" w:eastAsia="zh-CN"/>
              </w:rPr>
              <w:t>18</w:t>
            </w:r>
          </w:p>
        </w:tc>
        <w:tc>
          <w:tcPr>
            <w:tcW w:w="1425" w:type="dxa"/>
            <w:shd w:val="clear" w:color="auto" w:fill="auto"/>
            <w:vAlign w:val="center"/>
          </w:tcPr>
          <w:p w14:paraId="0EA0658B">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Cs w:val="21"/>
                <w:highlight w:val="none"/>
                <w:lang w:val="en-US" w:eastAsia="zh-CN"/>
              </w:rPr>
              <w:t>一</w:t>
            </w:r>
          </w:p>
        </w:tc>
        <w:tc>
          <w:tcPr>
            <w:tcW w:w="3055" w:type="dxa"/>
            <w:shd w:val="clear" w:color="auto" w:fill="auto"/>
            <w:vAlign w:val="center"/>
          </w:tcPr>
          <w:p w14:paraId="4C32AABE">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Cs w:val="21"/>
                <w:highlight w:val="none"/>
              </w:rPr>
              <w:t>不可撤销银行履约保函</w:t>
            </w:r>
          </w:p>
        </w:tc>
        <w:tc>
          <w:tcPr>
            <w:tcW w:w="1346" w:type="dxa"/>
            <w:vAlign w:val="center"/>
          </w:tcPr>
          <w:p w14:paraId="0AA8EC81">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Cs w:val="21"/>
                <w:highlight w:val="none"/>
              </w:rPr>
            </w:pPr>
          </w:p>
        </w:tc>
        <w:tc>
          <w:tcPr>
            <w:tcW w:w="3524" w:type="dxa"/>
            <w:vAlign w:val="center"/>
          </w:tcPr>
          <w:p w14:paraId="12CD98EF">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Cs w:val="21"/>
                <w:highlight w:val="none"/>
              </w:rPr>
            </w:pPr>
          </w:p>
        </w:tc>
      </w:tr>
      <w:tr w14:paraId="7687D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684B1B22">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宋体" w:hAnsi="宋体" w:eastAsia="宋体" w:cs="宋体"/>
                <w:color w:val="auto"/>
                <w:kern w:val="0"/>
                <w:szCs w:val="21"/>
                <w:highlight w:val="none"/>
                <w:lang w:val="en-US" w:eastAsia="zh-CN"/>
              </w:rPr>
            </w:pPr>
            <w:r>
              <w:rPr>
                <w:rFonts w:hint="eastAsia" w:cs="宋体"/>
                <w:color w:val="auto"/>
                <w:kern w:val="0"/>
                <w:szCs w:val="21"/>
                <w:highlight w:val="none"/>
                <w:lang w:val="en-US" w:eastAsia="zh-CN"/>
              </w:rPr>
              <w:t>19</w:t>
            </w:r>
          </w:p>
        </w:tc>
        <w:tc>
          <w:tcPr>
            <w:tcW w:w="1425" w:type="dxa"/>
            <w:shd w:val="clear" w:color="auto" w:fill="auto"/>
            <w:vAlign w:val="center"/>
          </w:tcPr>
          <w:p w14:paraId="6A97CE7D">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Cs w:val="21"/>
                <w:highlight w:val="none"/>
                <w:lang w:val="en-US" w:eastAsia="zh-CN"/>
              </w:rPr>
              <w:t>二</w:t>
            </w:r>
          </w:p>
        </w:tc>
        <w:tc>
          <w:tcPr>
            <w:tcW w:w="3055" w:type="dxa"/>
            <w:shd w:val="clear" w:color="auto" w:fill="auto"/>
            <w:vAlign w:val="center"/>
          </w:tcPr>
          <w:p w14:paraId="2E794FB4">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Cs w:val="21"/>
                <w:highlight w:val="none"/>
              </w:rPr>
              <w:t>履约保证保险凭证</w:t>
            </w:r>
          </w:p>
        </w:tc>
        <w:tc>
          <w:tcPr>
            <w:tcW w:w="1346" w:type="dxa"/>
            <w:vAlign w:val="center"/>
          </w:tcPr>
          <w:p w14:paraId="7E848185">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Cs w:val="21"/>
                <w:highlight w:val="none"/>
              </w:rPr>
            </w:pPr>
          </w:p>
        </w:tc>
        <w:tc>
          <w:tcPr>
            <w:tcW w:w="3524" w:type="dxa"/>
            <w:vAlign w:val="center"/>
          </w:tcPr>
          <w:p w14:paraId="3BCD7460">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Cs w:val="21"/>
                <w:highlight w:val="none"/>
              </w:rPr>
            </w:pPr>
          </w:p>
        </w:tc>
      </w:tr>
      <w:tr w14:paraId="558FC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30BAA2AA">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宋体" w:hAnsi="宋体" w:eastAsia="宋体" w:cs="宋体"/>
                <w:color w:val="auto"/>
                <w:kern w:val="0"/>
                <w:szCs w:val="21"/>
                <w:highlight w:val="none"/>
                <w:lang w:val="en-US" w:eastAsia="zh-CN"/>
              </w:rPr>
            </w:pPr>
            <w:r>
              <w:rPr>
                <w:rFonts w:hint="eastAsia" w:cs="宋体"/>
                <w:color w:val="auto"/>
                <w:kern w:val="0"/>
                <w:szCs w:val="21"/>
                <w:highlight w:val="none"/>
                <w:lang w:val="en-US" w:eastAsia="zh-CN"/>
              </w:rPr>
              <w:t>20</w:t>
            </w:r>
          </w:p>
        </w:tc>
        <w:tc>
          <w:tcPr>
            <w:tcW w:w="1425" w:type="dxa"/>
            <w:shd w:val="clear" w:color="auto" w:fill="auto"/>
            <w:vAlign w:val="center"/>
          </w:tcPr>
          <w:p w14:paraId="75CE6433">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Cs w:val="21"/>
                <w:highlight w:val="none"/>
                <w:lang w:val="en-US" w:eastAsia="zh-CN"/>
              </w:rPr>
              <w:t>三</w:t>
            </w:r>
          </w:p>
        </w:tc>
        <w:tc>
          <w:tcPr>
            <w:tcW w:w="3055" w:type="dxa"/>
            <w:shd w:val="clear" w:color="auto" w:fill="auto"/>
            <w:vAlign w:val="center"/>
          </w:tcPr>
          <w:p w14:paraId="4DB42581">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Cs w:val="21"/>
                <w:highlight w:val="none"/>
              </w:rPr>
              <w:t>担保公司履约担保书</w:t>
            </w:r>
          </w:p>
        </w:tc>
        <w:tc>
          <w:tcPr>
            <w:tcW w:w="1346" w:type="dxa"/>
            <w:vAlign w:val="center"/>
          </w:tcPr>
          <w:p w14:paraId="59C15EC0">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Cs w:val="21"/>
                <w:highlight w:val="none"/>
              </w:rPr>
            </w:pPr>
          </w:p>
        </w:tc>
        <w:tc>
          <w:tcPr>
            <w:tcW w:w="3524" w:type="dxa"/>
            <w:vAlign w:val="center"/>
          </w:tcPr>
          <w:p w14:paraId="6D8249D8">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Cs w:val="21"/>
                <w:highlight w:val="none"/>
              </w:rPr>
            </w:pPr>
          </w:p>
        </w:tc>
      </w:tr>
    </w:tbl>
    <w:p w14:paraId="73330546">
      <w:pPr>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备注：</w:t>
      </w:r>
    </w:p>
    <w:p w14:paraId="6B50CAD2">
      <w:pPr>
        <w:ind w:left="525" w:hanging="525" w:hangingChars="250"/>
        <w:rPr>
          <w:rFonts w:hint="eastAsia" w:ascii="宋体" w:hAnsi="宋体" w:eastAsia="宋体" w:cs="宋体"/>
          <w:b/>
          <w:bCs/>
          <w:color w:val="auto"/>
          <w:highlight w:val="none"/>
          <w:u w:val="single"/>
        </w:rPr>
      </w:pPr>
      <w:r>
        <w:rPr>
          <w:rFonts w:hint="eastAsia" w:ascii="宋体" w:hAnsi="宋体" w:eastAsia="宋体" w:cs="宋体"/>
          <w:color w:val="auto"/>
          <w:highlight w:val="none"/>
        </w:rPr>
        <w:t>（1）</w:t>
      </w:r>
      <w:r>
        <w:rPr>
          <w:rFonts w:hint="eastAsia" w:ascii="宋体" w:hAnsi="宋体" w:eastAsia="宋体" w:cs="宋体"/>
          <w:b/>
          <w:bCs/>
          <w:color w:val="auto"/>
          <w:highlight w:val="none"/>
          <w:u w:val="single"/>
        </w:rPr>
        <w:t>投标人应对照招标文件合同格式内合同条款及附件，逐条、如实地填写“偏离情况”项。“偏离情况”项为正偏离（或负偏离）的，必须在“具体偏离内容”项内详细说明与招标文件的偏离内容，“偏离情况”项为无偏离的，在“具体偏离内容”项内填“无”。若发现虚假填写本表，或对合同及其附件响应有负偏离的，按无效投标文件处理。若发现此表未逐条填写视为完全满足招标文件要求。</w:t>
      </w:r>
    </w:p>
    <w:p w14:paraId="342F3630">
      <w:pPr>
        <w:ind w:left="525" w:hanging="525" w:hangingChars="250"/>
        <w:rPr>
          <w:rFonts w:hint="eastAsia" w:ascii="宋体" w:hAnsi="宋体" w:eastAsia="宋体" w:cs="宋体"/>
          <w:b w:val="0"/>
          <w:bCs w:val="0"/>
          <w:color w:val="auto"/>
          <w:highlight w:val="none"/>
          <w:u w:val="none"/>
        </w:rPr>
      </w:pPr>
      <w:r>
        <w:rPr>
          <w:rFonts w:hint="eastAsia" w:ascii="宋体" w:hAnsi="宋体" w:eastAsia="宋体" w:cs="宋体"/>
          <w:b w:val="0"/>
          <w:bCs w:val="0"/>
          <w:color w:val="auto"/>
          <w:highlight w:val="none"/>
          <w:u w:val="none"/>
        </w:rPr>
        <w:t>（2）偏离情况（投标文件对招标文件合同条款的响应程度）分为：正偏离、负偏离、无偏离。正偏离是指投标人提供的货物及有关服务商务条件优于招标文件的要求；负偏离是指投标人提供的货物及有关服务商务条件不满足或不完全满足招标文件的要求；无偏离是指投标人提供的货物及有关服务商务条件完全满足招标文件的要求。</w:t>
      </w:r>
    </w:p>
    <w:p w14:paraId="230EB0FA">
      <w:pPr>
        <w:ind w:left="525" w:hanging="525" w:hangingChars="250"/>
        <w:rPr>
          <w:rFonts w:hint="eastAsia" w:ascii="宋体" w:hAnsi="宋体" w:eastAsia="宋体" w:cs="宋体"/>
          <w:b w:val="0"/>
          <w:bCs w:val="0"/>
          <w:color w:val="auto"/>
          <w:highlight w:val="none"/>
          <w:u w:val="none"/>
        </w:rPr>
      </w:pPr>
      <w:r>
        <w:rPr>
          <w:rFonts w:hint="eastAsia" w:ascii="宋体" w:hAnsi="宋体" w:eastAsia="宋体" w:cs="宋体"/>
          <w:b w:val="0"/>
          <w:bCs w:val="0"/>
          <w:color w:val="auto"/>
          <w:highlight w:val="none"/>
          <w:u w:val="none"/>
        </w:rPr>
        <w:t>（3）招标文件“第五篇 相关保函格式”作为重要的商务条款，投标人的响应情况列入本合同条款偏离表。</w:t>
      </w:r>
    </w:p>
    <w:p w14:paraId="4DB52C34">
      <w:pPr>
        <w:ind w:left="525" w:hanging="525" w:hangingChars="250"/>
        <w:rPr>
          <w:rFonts w:hint="eastAsia" w:ascii="宋体" w:hAnsi="宋体" w:eastAsia="宋体" w:cs="宋体"/>
          <w:b w:val="0"/>
          <w:bCs w:val="0"/>
          <w:color w:val="auto"/>
          <w:highlight w:val="none"/>
          <w:u w:val="none"/>
        </w:rPr>
      </w:pPr>
      <w:r>
        <w:rPr>
          <w:rFonts w:hint="eastAsia" w:ascii="宋体" w:hAnsi="宋体" w:eastAsia="宋体" w:cs="宋体"/>
          <w:b w:val="0"/>
          <w:bCs w:val="0"/>
          <w:color w:val="auto"/>
          <w:highlight w:val="none"/>
          <w:u w:val="none"/>
        </w:rPr>
        <w:t>（4）如投标人差异内容较多可另附页说明，并在本偏离表“具体偏离内容”项注明其在投标文件中的具体页码。</w:t>
      </w:r>
    </w:p>
    <w:p w14:paraId="7F2BDAC8">
      <w:pPr>
        <w:ind w:left="357" w:leftChars="-100" w:hanging="567" w:hangingChars="270"/>
        <w:rPr>
          <w:rFonts w:hint="eastAsia" w:ascii="宋体" w:hAnsi="宋体" w:eastAsia="宋体" w:cs="宋体"/>
          <w:color w:val="auto"/>
          <w:szCs w:val="21"/>
          <w:highlight w:val="none"/>
        </w:rPr>
      </w:pPr>
    </w:p>
    <w:p w14:paraId="541B92E0">
      <w:pPr>
        <w:ind w:left="4620" w:leftChars="22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投标人：（加盖投标人法人公章）</w:t>
      </w:r>
    </w:p>
    <w:p w14:paraId="5A49ACF2">
      <w:pPr>
        <w:ind w:left="4620" w:leftChars="2200"/>
        <w:rPr>
          <w:rFonts w:hint="eastAsia" w:ascii="宋体" w:hAnsi="宋体" w:eastAsia="宋体" w:cs="宋体"/>
          <w:color w:val="auto"/>
          <w:highlight w:val="none"/>
        </w:rPr>
      </w:pPr>
      <w:r>
        <w:rPr>
          <w:rFonts w:hint="eastAsia" w:ascii="宋体" w:hAnsi="宋体" w:eastAsia="宋体" w:cs="宋体"/>
          <w:color w:val="auto"/>
          <w:szCs w:val="21"/>
          <w:highlight w:val="none"/>
          <w:lang w:val="zh-CN"/>
        </w:rPr>
        <w:t>日  期：　年  月  日</w:t>
      </w:r>
    </w:p>
    <w:p w14:paraId="68AF5246">
      <w:pPr>
        <w:rPr>
          <w:rFonts w:hint="eastAsia" w:ascii="宋体" w:hAnsi="宋体" w:eastAsia="宋体" w:cs="宋体"/>
          <w:color w:val="auto"/>
          <w:sz w:val="28"/>
          <w:szCs w:val="36"/>
          <w:highlight w:val="none"/>
        </w:rPr>
      </w:pPr>
      <w:bookmarkStart w:id="990" w:name="_Toc178076613"/>
      <w:bookmarkStart w:id="991" w:name="_Toc28473"/>
      <w:bookmarkStart w:id="992" w:name="_Toc16820"/>
      <w:bookmarkStart w:id="993" w:name="_Toc102860426"/>
      <w:bookmarkStart w:id="994" w:name="_Toc10265"/>
      <w:bookmarkStart w:id="995" w:name="_Toc15833"/>
      <w:bookmarkStart w:id="996" w:name="_Toc20306"/>
      <w:bookmarkStart w:id="997" w:name="_Toc94107218"/>
      <w:bookmarkStart w:id="998" w:name="_Toc13348"/>
      <w:bookmarkStart w:id="999" w:name="_Toc176627934"/>
      <w:bookmarkStart w:id="1000" w:name="_Toc140596937"/>
      <w:bookmarkStart w:id="1001" w:name="_Toc26972"/>
      <w:bookmarkStart w:id="1002" w:name="_Toc102860082"/>
      <w:bookmarkStart w:id="1003" w:name="_Toc2075"/>
      <w:bookmarkStart w:id="1004" w:name="_Toc104991884"/>
      <w:bookmarkStart w:id="1005" w:name="_Toc1223"/>
      <w:bookmarkStart w:id="1006" w:name="_Toc142508377"/>
      <w:bookmarkStart w:id="1007" w:name="_Toc271"/>
      <w:bookmarkStart w:id="1008" w:name="_Toc27980_WPSOffice_Level2"/>
      <w:bookmarkStart w:id="1009" w:name="_Toc486167717"/>
      <w:r>
        <w:rPr>
          <w:rFonts w:hint="eastAsia" w:ascii="宋体" w:hAnsi="宋体" w:eastAsia="宋体" w:cs="宋体"/>
          <w:color w:val="auto"/>
          <w:sz w:val="28"/>
          <w:szCs w:val="36"/>
          <w:highlight w:val="none"/>
        </w:rPr>
        <w:br w:type="page"/>
      </w:r>
    </w:p>
    <w:p w14:paraId="310CB88A">
      <w:pPr>
        <w:pStyle w:val="3"/>
        <w:rPr>
          <w:rFonts w:hint="eastAsia" w:ascii="宋体" w:hAnsi="宋体" w:eastAsia="宋体" w:cs="宋体"/>
          <w:color w:val="auto"/>
          <w:sz w:val="28"/>
          <w:szCs w:val="36"/>
          <w:highlight w:val="none"/>
        </w:rPr>
      </w:pPr>
      <w:bookmarkStart w:id="1010" w:name="_Toc22349"/>
      <w:bookmarkStart w:id="1011" w:name="_Toc23787"/>
      <w:bookmarkStart w:id="1012" w:name="_Toc17140"/>
      <w:bookmarkStart w:id="1013" w:name="_Toc14291"/>
      <w:bookmarkStart w:id="1014" w:name="_Toc32069"/>
      <w:bookmarkStart w:id="1015" w:name="_Toc8593"/>
      <w:bookmarkStart w:id="1016" w:name="_Toc487"/>
      <w:r>
        <w:rPr>
          <w:rFonts w:hint="eastAsia" w:ascii="宋体" w:hAnsi="宋体" w:eastAsia="宋体" w:cs="宋体"/>
          <w:color w:val="auto"/>
          <w:sz w:val="28"/>
          <w:szCs w:val="36"/>
          <w:highlight w:val="none"/>
        </w:rPr>
        <w:t>九、业绩表格式</w:t>
      </w:r>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10"/>
      <w:bookmarkEnd w:id="1011"/>
      <w:bookmarkEnd w:id="1012"/>
      <w:bookmarkEnd w:id="1013"/>
      <w:bookmarkEnd w:id="1014"/>
      <w:bookmarkEnd w:id="1015"/>
      <w:bookmarkEnd w:id="1016"/>
    </w:p>
    <w:p w14:paraId="14C5CA75">
      <w:pPr>
        <w:jc w:val="center"/>
        <w:rPr>
          <w:rFonts w:hint="eastAsia" w:ascii="宋体" w:hAnsi="宋体" w:eastAsia="宋体" w:cs="宋体"/>
          <w:b/>
          <w:bCs/>
          <w:color w:val="auto"/>
          <w:sz w:val="28"/>
          <w:szCs w:val="32"/>
          <w:highlight w:val="none"/>
          <w:lang w:val="zh-CN"/>
        </w:rPr>
      </w:pPr>
      <w:r>
        <w:rPr>
          <w:rFonts w:hint="eastAsia" w:ascii="宋体" w:hAnsi="宋体" w:eastAsia="宋体" w:cs="宋体"/>
          <w:b/>
          <w:bCs/>
          <w:color w:val="auto"/>
          <w:sz w:val="28"/>
          <w:szCs w:val="32"/>
          <w:highlight w:val="none"/>
          <w:lang w:val="zh-CN"/>
        </w:rPr>
        <w:t>投标人2022年1月1日以来（业绩的时间以合同签订的日期为准）承接的投标品牌</w:t>
      </w:r>
      <w:r>
        <w:rPr>
          <w:rFonts w:hint="eastAsia" w:ascii="宋体" w:hAnsi="宋体" w:eastAsia="宋体" w:cs="宋体"/>
          <w:b/>
          <w:bCs/>
          <w:color w:val="auto"/>
          <w:kern w:val="2"/>
          <w:sz w:val="28"/>
          <w:szCs w:val="32"/>
          <w:highlight w:val="none"/>
          <w:lang w:val="zh-CN" w:eastAsia="zh-CN" w:bidi="ar-SA"/>
        </w:rPr>
        <w:t>球墨铸铁阀门</w:t>
      </w:r>
      <w:r>
        <w:rPr>
          <w:rFonts w:hint="eastAsia" w:ascii="宋体" w:hAnsi="宋体" w:eastAsia="宋体" w:cs="宋体"/>
          <w:b/>
          <w:bCs/>
          <w:color w:val="auto"/>
          <w:sz w:val="28"/>
          <w:szCs w:val="32"/>
          <w:highlight w:val="none"/>
          <w:lang w:val="zh-CN"/>
        </w:rPr>
        <w:t>在国内的销售业绩</w:t>
      </w:r>
    </w:p>
    <w:tbl>
      <w:tblPr>
        <w:tblStyle w:val="20"/>
        <w:tblW w:w="4998"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669"/>
        <w:gridCol w:w="1634"/>
        <w:gridCol w:w="1247"/>
        <w:gridCol w:w="1249"/>
        <w:gridCol w:w="1185"/>
        <w:gridCol w:w="1067"/>
        <w:gridCol w:w="1815"/>
        <w:gridCol w:w="1426"/>
      </w:tblGrid>
      <w:tr w14:paraId="5F6EA3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8" w:hRule="atLeast"/>
          <w:jc w:val="center"/>
        </w:trPr>
        <w:tc>
          <w:tcPr>
            <w:tcW w:w="325" w:type="pct"/>
            <w:tcBorders>
              <w:top w:val="single" w:color="auto" w:sz="4" w:space="0"/>
              <w:left w:val="single" w:color="auto" w:sz="4" w:space="0"/>
              <w:bottom w:val="single" w:color="auto" w:sz="4" w:space="0"/>
              <w:right w:val="single" w:color="auto" w:sz="4" w:space="0"/>
            </w:tcBorders>
            <w:vAlign w:val="center"/>
          </w:tcPr>
          <w:p w14:paraId="05E00D9F">
            <w:pPr>
              <w:bidi w:val="0"/>
              <w:jc w:val="center"/>
              <w:rPr>
                <w:rFonts w:hint="eastAsia" w:ascii="宋体" w:hAnsi="宋体" w:eastAsia="宋体" w:cs="宋体"/>
                <w:color w:val="auto"/>
                <w:highlight w:val="none"/>
              </w:rPr>
            </w:pPr>
            <w:r>
              <w:rPr>
                <w:rFonts w:hint="eastAsia" w:ascii="宋体" w:hAnsi="宋体" w:eastAsia="宋体" w:cs="宋体"/>
                <w:color w:val="auto"/>
                <w:highlight w:val="none"/>
                <w:lang w:val="zh-CN"/>
              </w:rPr>
              <w:t>序号</w:t>
            </w:r>
          </w:p>
        </w:tc>
        <w:tc>
          <w:tcPr>
            <w:tcW w:w="1634" w:type="dxa"/>
            <w:tcBorders>
              <w:top w:val="single" w:color="auto" w:sz="4" w:space="0"/>
              <w:left w:val="single" w:color="auto" w:sz="4" w:space="0"/>
              <w:bottom w:val="single" w:color="auto" w:sz="4" w:space="0"/>
              <w:right w:val="single" w:color="auto" w:sz="4" w:space="0"/>
            </w:tcBorders>
            <w:vAlign w:val="center"/>
          </w:tcPr>
          <w:p w14:paraId="399DC826">
            <w:pPr>
              <w:bidi w:val="0"/>
              <w:jc w:val="center"/>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项目</w:t>
            </w:r>
          </w:p>
          <w:p w14:paraId="1F4B6580">
            <w:pPr>
              <w:bidi w:val="0"/>
              <w:jc w:val="center"/>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名称</w:t>
            </w:r>
          </w:p>
        </w:tc>
        <w:tc>
          <w:tcPr>
            <w:tcW w:w="1247" w:type="dxa"/>
            <w:tcBorders>
              <w:top w:val="single" w:color="auto" w:sz="4" w:space="0"/>
              <w:left w:val="single" w:color="auto" w:sz="4" w:space="0"/>
              <w:bottom w:val="single" w:color="auto" w:sz="4" w:space="0"/>
              <w:right w:val="single" w:color="auto" w:sz="4" w:space="0"/>
            </w:tcBorders>
            <w:vAlign w:val="center"/>
          </w:tcPr>
          <w:p w14:paraId="352D7A74">
            <w:pPr>
              <w:bidi w:val="0"/>
              <w:jc w:val="center"/>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单项合同</w:t>
            </w:r>
          </w:p>
          <w:p w14:paraId="1BC7ECB8">
            <w:pPr>
              <w:bidi w:val="0"/>
              <w:jc w:val="center"/>
              <w:rPr>
                <w:rFonts w:hint="eastAsia" w:ascii="宋体" w:hAnsi="宋体" w:eastAsia="宋体" w:cs="宋体"/>
                <w:color w:val="auto"/>
                <w:highlight w:val="none"/>
              </w:rPr>
            </w:pPr>
            <w:r>
              <w:rPr>
                <w:rFonts w:hint="eastAsia" w:ascii="宋体" w:hAnsi="宋体" w:eastAsia="宋体" w:cs="宋体"/>
                <w:color w:val="auto"/>
                <w:highlight w:val="none"/>
                <w:lang w:val="zh-CN"/>
              </w:rPr>
              <w:t>金额（单位：万元）</w:t>
            </w:r>
          </w:p>
        </w:tc>
        <w:tc>
          <w:tcPr>
            <w:tcW w:w="1249" w:type="dxa"/>
            <w:tcBorders>
              <w:top w:val="single" w:color="auto" w:sz="4" w:space="0"/>
              <w:left w:val="single" w:color="auto" w:sz="4" w:space="0"/>
              <w:bottom w:val="single" w:color="auto" w:sz="4" w:space="0"/>
              <w:right w:val="single" w:color="auto" w:sz="4" w:space="0"/>
            </w:tcBorders>
            <w:vAlign w:val="center"/>
          </w:tcPr>
          <w:p w14:paraId="77C276AD">
            <w:pPr>
              <w:bidi w:val="0"/>
              <w:jc w:val="center"/>
              <w:rPr>
                <w:rFonts w:hint="eastAsia" w:ascii="宋体" w:hAnsi="宋体" w:eastAsia="宋体" w:cs="宋体"/>
                <w:color w:val="auto"/>
                <w:highlight w:val="none"/>
              </w:rPr>
            </w:pPr>
            <w:r>
              <w:rPr>
                <w:rFonts w:hint="eastAsia" w:ascii="宋体" w:hAnsi="宋体" w:eastAsia="宋体" w:cs="宋体"/>
                <w:color w:val="auto"/>
                <w:highlight w:val="none"/>
                <w:lang w:val="zh-CN"/>
              </w:rPr>
              <w:t>合同期限</w:t>
            </w:r>
          </w:p>
        </w:tc>
        <w:tc>
          <w:tcPr>
            <w:tcW w:w="1185" w:type="dxa"/>
            <w:tcBorders>
              <w:top w:val="single" w:color="auto" w:sz="4" w:space="0"/>
              <w:left w:val="single" w:color="auto" w:sz="4" w:space="0"/>
              <w:bottom w:val="single" w:color="auto" w:sz="4" w:space="0"/>
              <w:right w:val="single" w:color="auto" w:sz="4" w:space="0"/>
            </w:tcBorders>
            <w:vAlign w:val="center"/>
          </w:tcPr>
          <w:p w14:paraId="798E3497">
            <w:pPr>
              <w:bidi w:val="0"/>
              <w:jc w:val="center"/>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签约</w:t>
            </w:r>
          </w:p>
          <w:p w14:paraId="755FB4E6">
            <w:pPr>
              <w:bidi w:val="0"/>
              <w:jc w:val="center"/>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日期</w:t>
            </w:r>
          </w:p>
        </w:tc>
        <w:tc>
          <w:tcPr>
            <w:tcW w:w="1067" w:type="dxa"/>
            <w:tcBorders>
              <w:top w:val="single" w:color="auto" w:sz="4" w:space="0"/>
              <w:left w:val="single" w:color="auto" w:sz="4" w:space="0"/>
              <w:bottom w:val="single" w:color="auto" w:sz="4" w:space="0"/>
              <w:right w:val="single" w:color="auto" w:sz="4" w:space="0"/>
            </w:tcBorders>
            <w:vAlign w:val="center"/>
          </w:tcPr>
          <w:p w14:paraId="3960FEFD">
            <w:pPr>
              <w:bidi w:val="0"/>
              <w:jc w:val="center"/>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完成</w:t>
            </w:r>
          </w:p>
          <w:p w14:paraId="626FB404">
            <w:pPr>
              <w:bidi w:val="0"/>
              <w:jc w:val="center"/>
              <w:rPr>
                <w:rFonts w:hint="eastAsia" w:ascii="宋体" w:hAnsi="宋体" w:eastAsia="宋体" w:cs="宋体"/>
                <w:color w:val="auto"/>
                <w:highlight w:val="none"/>
              </w:rPr>
            </w:pPr>
            <w:r>
              <w:rPr>
                <w:rFonts w:hint="eastAsia" w:ascii="宋体" w:hAnsi="宋体" w:eastAsia="宋体" w:cs="宋体"/>
                <w:color w:val="auto"/>
                <w:highlight w:val="none"/>
                <w:lang w:val="zh-CN"/>
              </w:rPr>
              <w:t>情况</w:t>
            </w:r>
          </w:p>
        </w:tc>
        <w:tc>
          <w:tcPr>
            <w:tcW w:w="1815" w:type="dxa"/>
            <w:tcBorders>
              <w:top w:val="single" w:color="auto" w:sz="4" w:space="0"/>
              <w:left w:val="single" w:color="auto" w:sz="4" w:space="0"/>
              <w:bottom w:val="single" w:color="auto" w:sz="4" w:space="0"/>
              <w:right w:val="single" w:color="auto" w:sz="4" w:space="0"/>
            </w:tcBorders>
            <w:vAlign w:val="center"/>
          </w:tcPr>
          <w:p w14:paraId="6F86BD04">
            <w:pPr>
              <w:bidi w:val="0"/>
              <w:jc w:val="center"/>
              <w:rPr>
                <w:rFonts w:hint="eastAsia" w:ascii="宋体" w:hAnsi="宋体" w:eastAsia="宋体" w:cs="宋体"/>
                <w:color w:val="auto"/>
                <w:highlight w:val="none"/>
              </w:rPr>
            </w:pPr>
            <w:r>
              <w:rPr>
                <w:rFonts w:hint="eastAsia" w:ascii="宋体" w:hAnsi="宋体" w:eastAsia="宋体" w:cs="宋体"/>
                <w:color w:val="auto"/>
                <w:highlight w:val="none"/>
                <w:lang w:val="zh-CN"/>
              </w:rPr>
              <w:t>买方单位联系人及电话</w:t>
            </w:r>
          </w:p>
        </w:tc>
        <w:tc>
          <w:tcPr>
            <w:tcW w:w="1426" w:type="dxa"/>
            <w:tcBorders>
              <w:top w:val="single" w:color="auto" w:sz="4" w:space="0"/>
              <w:left w:val="single" w:color="auto" w:sz="4" w:space="0"/>
              <w:bottom w:val="single" w:color="auto" w:sz="4" w:space="0"/>
              <w:right w:val="single" w:color="auto" w:sz="4" w:space="0"/>
            </w:tcBorders>
            <w:vAlign w:val="center"/>
          </w:tcPr>
          <w:p w14:paraId="62EDA369">
            <w:pPr>
              <w:bidi w:val="0"/>
              <w:jc w:val="center"/>
              <w:rPr>
                <w:rFonts w:hint="eastAsia" w:ascii="宋体" w:hAnsi="宋体" w:eastAsia="宋体" w:cs="宋体"/>
                <w:color w:val="auto"/>
                <w:highlight w:val="none"/>
              </w:rPr>
            </w:pPr>
            <w:r>
              <w:rPr>
                <w:rFonts w:hint="eastAsia" w:ascii="宋体" w:hAnsi="宋体" w:eastAsia="宋体" w:cs="宋体"/>
                <w:color w:val="auto"/>
                <w:highlight w:val="none"/>
                <w:lang w:val="zh-CN"/>
              </w:rPr>
              <w:t>备注</w:t>
            </w:r>
          </w:p>
        </w:tc>
      </w:tr>
      <w:tr w14:paraId="237DAD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4" w:hRule="atLeast"/>
          <w:jc w:val="center"/>
        </w:trPr>
        <w:tc>
          <w:tcPr>
            <w:tcW w:w="325" w:type="pct"/>
            <w:tcBorders>
              <w:top w:val="single" w:color="auto" w:sz="4" w:space="0"/>
              <w:left w:val="single" w:color="auto" w:sz="4" w:space="0"/>
              <w:bottom w:val="single" w:color="auto" w:sz="4" w:space="0"/>
              <w:right w:val="single" w:color="auto" w:sz="4" w:space="0"/>
            </w:tcBorders>
            <w:vAlign w:val="center"/>
          </w:tcPr>
          <w:p w14:paraId="379749C0">
            <w:pPr>
              <w:jc w:val="center"/>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w:t>
            </w:r>
          </w:p>
        </w:tc>
        <w:tc>
          <w:tcPr>
            <w:tcW w:w="793" w:type="pct"/>
            <w:tcBorders>
              <w:top w:val="single" w:color="auto" w:sz="4" w:space="0"/>
              <w:left w:val="single" w:color="auto" w:sz="4" w:space="0"/>
              <w:bottom w:val="single" w:color="auto" w:sz="4" w:space="0"/>
              <w:right w:val="single" w:color="auto" w:sz="4" w:space="0"/>
            </w:tcBorders>
            <w:vAlign w:val="center"/>
          </w:tcPr>
          <w:p w14:paraId="4ECC9BBD">
            <w:pPr>
              <w:jc w:val="center"/>
              <w:rPr>
                <w:rFonts w:hint="eastAsia" w:ascii="宋体" w:hAnsi="宋体" w:eastAsia="宋体" w:cs="宋体"/>
                <w:color w:val="auto"/>
                <w:szCs w:val="21"/>
                <w:highlight w:val="none"/>
              </w:rPr>
            </w:pPr>
          </w:p>
        </w:tc>
        <w:tc>
          <w:tcPr>
            <w:tcW w:w="605" w:type="pct"/>
            <w:tcBorders>
              <w:top w:val="single" w:color="auto" w:sz="4" w:space="0"/>
              <w:left w:val="single" w:color="auto" w:sz="4" w:space="0"/>
              <w:bottom w:val="single" w:color="auto" w:sz="4" w:space="0"/>
              <w:right w:val="single" w:color="auto" w:sz="4" w:space="0"/>
            </w:tcBorders>
            <w:vAlign w:val="center"/>
          </w:tcPr>
          <w:p w14:paraId="3745A37A">
            <w:pPr>
              <w:jc w:val="center"/>
              <w:rPr>
                <w:rFonts w:hint="eastAsia" w:ascii="宋体" w:hAnsi="宋体" w:eastAsia="宋体" w:cs="宋体"/>
                <w:color w:val="auto"/>
                <w:szCs w:val="21"/>
                <w:highlight w:val="none"/>
              </w:rPr>
            </w:pPr>
          </w:p>
        </w:tc>
        <w:tc>
          <w:tcPr>
            <w:tcW w:w="606" w:type="pct"/>
            <w:tcBorders>
              <w:top w:val="single" w:color="auto" w:sz="4" w:space="0"/>
              <w:left w:val="single" w:color="auto" w:sz="4" w:space="0"/>
              <w:bottom w:val="single" w:color="auto" w:sz="4" w:space="0"/>
              <w:right w:val="single" w:color="auto" w:sz="4" w:space="0"/>
            </w:tcBorders>
            <w:vAlign w:val="center"/>
          </w:tcPr>
          <w:p w14:paraId="19CA1662">
            <w:pPr>
              <w:jc w:val="center"/>
              <w:rPr>
                <w:rFonts w:hint="eastAsia" w:ascii="宋体" w:hAnsi="宋体" w:eastAsia="宋体" w:cs="宋体"/>
                <w:color w:val="auto"/>
                <w:szCs w:val="21"/>
                <w:highlight w:val="none"/>
              </w:rPr>
            </w:pPr>
          </w:p>
        </w:tc>
        <w:tc>
          <w:tcPr>
            <w:tcW w:w="575" w:type="pct"/>
            <w:tcBorders>
              <w:top w:val="single" w:color="auto" w:sz="4" w:space="0"/>
              <w:left w:val="single" w:color="auto" w:sz="4" w:space="0"/>
              <w:bottom w:val="single" w:color="auto" w:sz="4" w:space="0"/>
              <w:right w:val="single" w:color="auto" w:sz="4" w:space="0"/>
            </w:tcBorders>
            <w:vAlign w:val="center"/>
          </w:tcPr>
          <w:p w14:paraId="2025790A">
            <w:pPr>
              <w:jc w:val="center"/>
              <w:rPr>
                <w:rFonts w:hint="eastAsia" w:ascii="宋体" w:hAnsi="宋体" w:eastAsia="宋体" w:cs="宋体"/>
                <w:color w:val="auto"/>
                <w:szCs w:val="21"/>
                <w:highlight w:val="none"/>
              </w:rPr>
            </w:pPr>
          </w:p>
        </w:tc>
        <w:tc>
          <w:tcPr>
            <w:tcW w:w="518" w:type="pct"/>
            <w:tcBorders>
              <w:top w:val="single" w:color="auto" w:sz="4" w:space="0"/>
              <w:left w:val="single" w:color="auto" w:sz="4" w:space="0"/>
              <w:bottom w:val="single" w:color="auto" w:sz="4" w:space="0"/>
              <w:right w:val="single" w:color="auto" w:sz="4" w:space="0"/>
            </w:tcBorders>
            <w:vAlign w:val="center"/>
          </w:tcPr>
          <w:p w14:paraId="3A1E7CA1">
            <w:pPr>
              <w:jc w:val="center"/>
              <w:rPr>
                <w:rFonts w:hint="eastAsia" w:ascii="宋体" w:hAnsi="宋体" w:eastAsia="宋体" w:cs="宋体"/>
                <w:color w:val="auto"/>
                <w:szCs w:val="21"/>
                <w:highlight w:val="none"/>
              </w:rPr>
            </w:pPr>
          </w:p>
        </w:tc>
        <w:tc>
          <w:tcPr>
            <w:tcW w:w="881" w:type="pct"/>
            <w:tcBorders>
              <w:top w:val="single" w:color="auto" w:sz="4" w:space="0"/>
              <w:left w:val="single" w:color="auto" w:sz="4" w:space="0"/>
              <w:bottom w:val="single" w:color="auto" w:sz="4" w:space="0"/>
              <w:right w:val="single" w:color="auto" w:sz="4" w:space="0"/>
            </w:tcBorders>
            <w:vAlign w:val="center"/>
          </w:tcPr>
          <w:p w14:paraId="61CDB6FD">
            <w:pPr>
              <w:jc w:val="center"/>
              <w:rPr>
                <w:rFonts w:hint="eastAsia" w:ascii="宋体" w:hAnsi="宋体" w:eastAsia="宋体" w:cs="宋体"/>
                <w:color w:val="auto"/>
                <w:szCs w:val="21"/>
                <w:highlight w:val="none"/>
              </w:rPr>
            </w:pPr>
          </w:p>
        </w:tc>
        <w:tc>
          <w:tcPr>
            <w:tcW w:w="692" w:type="pct"/>
            <w:tcBorders>
              <w:top w:val="single" w:color="auto" w:sz="4" w:space="0"/>
              <w:left w:val="single" w:color="auto" w:sz="4" w:space="0"/>
              <w:bottom w:val="single" w:color="auto" w:sz="4" w:space="0"/>
              <w:right w:val="single" w:color="auto" w:sz="4" w:space="0"/>
            </w:tcBorders>
            <w:vAlign w:val="center"/>
          </w:tcPr>
          <w:p w14:paraId="5C6185E0">
            <w:pPr>
              <w:jc w:val="center"/>
              <w:rPr>
                <w:rFonts w:hint="eastAsia" w:ascii="宋体" w:hAnsi="宋体" w:eastAsia="宋体" w:cs="宋体"/>
                <w:color w:val="auto"/>
                <w:szCs w:val="21"/>
                <w:highlight w:val="none"/>
              </w:rPr>
            </w:pPr>
          </w:p>
        </w:tc>
      </w:tr>
      <w:tr w14:paraId="5148474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8" w:hRule="atLeast"/>
          <w:jc w:val="center"/>
        </w:trPr>
        <w:tc>
          <w:tcPr>
            <w:tcW w:w="325" w:type="pct"/>
            <w:tcBorders>
              <w:top w:val="single" w:color="auto" w:sz="4" w:space="0"/>
              <w:left w:val="single" w:color="auto" w:sz="4" w:space="0"/>
              <w:bottom w:val="single" w:color="auto" w:sz="4" w:space="0"/>
              <w:right w:val="single" w:color="auto" w:sz="4" w:space="0"/>
            </w:tcBorders>
            <w:vAlign w:val="center"/>
          </w:tcPr>
          <w:p w14:paraId="4E644A24">
            <w:pPr>
              <w:jc w:val="center"/>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p>
        </w:tc>
        <w:tc>
          <w:tcPr>
            <w:tcW w:w="793" w:type="pct"/>
            <w:tcBorders>
              <w:top w:val="single" w:color="auto" w:sz="4" w:space="0"/>
              <w:left w:val="single" w:color="auto" w:sz="4" w:space="0"/>
              <w:bottom w:val="single" w:color="auto" w:sz="4" w:space="0"/>
              <w:right w:val="single" w:color="auto" w:sz="4" w:space="0"/>
            </w:tcBorders>
            <w:vAlign w:val="center"/>
          </w:tcPr>
          <w:p w14:paraId="29A23A5B">
            <w:pPr>
              <w:jc w:val="center"/>
              <w:rPr>
                <w:rFonts w:hint="eastAsia" w:ascii="宋体" w:hAnsi="宋体" w:eastAsia="宋体" w:cs="宋体"/>
                <w:color w:val="auto"/>
                <w:szCs w:val="21"/>
                <w:highlight w:val="none"/>
              </w:rPr>
            </w:pPr>
          </w:p>
        </w:tc>
        <w:tc>
          <w:tcPr>
            <w:tcW w:w="605" w:type="pct"/>
            <w:tcBorders>
              <w:top w:val="single" w:color="auto" w:sz="4" w:space="0"/>
              <w:left w:val="single" w:color="auto" w:sz="4" w:space="0"/>
              <w:bottom w:val="single" w:color="auto" w:sz="4" w:space="0"/>
              <w:right w:val="single" w:color="auto" w:sz="4" w:space="0"/>
            </w:tcBorders>
            <w:vAlign w:val="center"/>
          </w:tcPr>
          <w:p w14:paraId="2366B9B4">
            <w:pPr>
              <w:jc w:val="center"/>
              <w:rPr>
                <w:rFonts w:hint="eastAsia" w:ascii="宋体" w:hAnsi="宋体" w:eastAsia="宋体" w:cs="宋体"/>
                <w:color w:val="auto"/>
                <w:szCs w:val="21"/>
                <w:highlight w:val="none"/>
              </w:rPr>
            </w:pPr>
          </w:p>
        </w:tc>
        <w:tc>
          <w:tcPr>
            <w:tcW w:w="606" w:type="pct"/>
            <w:tcBorders>
              <w:top w:val="single" w:color="auto" w:sz="4" w:space="0"/>
              <w:left w:val="single" w:color="auto" w:sz="4" w:space="0"/>
              <w:bottom w:val="single" w:color="auto" w:sz="4" w:space="0"/>
              <w:right w:val="single" w:color="auto" w:sz="4" w:space="0"/>
            </w:tcBorders>
            <w:vAlign w:val="center"/>
          </w:tcPr>
          <w:p w14:paraId="30AF32D3">
            <w:pPr>
              <w:jc w:val="center"/>
              <w:rPr>
                <w:rFonts w:hint="eastAsia" w:ascii="宋体" w:hAnsi="宋体" w:eastAsia="宋体" w:cs="宋体"/>
                <w:color w:val="auto"/>
                <w:szCs w:val="21"/>
                <w:highlight w:val="none"/>
              </w:rPr>
            </w:pPr>
          </w:p>
        </w:tc>
        <w:tc>
          <w:tcPr>
            <w:tcW w:w="575" w:type="pct"/>
            <w:tcBorders>
              <w:top w:val="single" w:color="auto" w:sz="4" w:space="0"/>
              <w:left w:val="single" w:color="auto" w:sz="4" w:space="0"/>
              <w:bottom w:val="single" w:color="auto" w:sz="4" w:space="0"/>
              <w:right w:val="single" w:color="auto" w:sz="4" w:space="0"/>
            </w:tcBorders>
            <w:vAlign w:val="center"/>
          </w:tcPr>
          <w:p w14:paraId="550A139A">
            <w:pPr>
              <w:jc w:val="center"/>
              <w:rPr>
                <w:rFonts w:hint="eastAsia" w:ascii="宋体" w:hAnsi="宋体" w:eastAsia="宋体" w:cs="宋体"/>
                <w:color w:val="auto"/>
                <w:szCs w:val="21"/>
                <w:highlight w:val="none"/>
              </w:rPr>
            </w:pPr>
          </w:p>
        </w:tc>
        <w:tc>
          <w:tcPr>
            <w:tcW w:w="518" w:type="pct"/>
            <w:tcBorders>
              <w:top w:val="single" w:color="auto" w:sz="4" w:space="0"/>
              <w:left w:val="single" w:color="auto" w:sz="4" w:space="0"/>
              <w:bottom w:val="single" w:color="auto" w:sz="4" w:space="0"/>
              <w:right w:val="single" w:color="auto" w:sz="4" w:space="0"/>
            </w:tcBorders>
            <w:vAlign w:val="center"/>
          </w:tcPr>
          <w:p w14:paraId="4A07CABA">
            <w:pPr>
              <w:jc w:val="center"/>
              <w:rPr>
                <w:rFonts w:hint="eastAsia" w:ascii="宋体" w:hAnsi="宋体" w:eastAsia="宋体" w:cs="宋体"/>
                <w:color w:val="auto"/>
                <w:szCs w:val="21"/>
                <w:highlight w:val="none"/>
              </w:rPr>
            </w:pPr>
          </w:p>
        </w:tc>
        <w:tc>
          <w:tcPr>
            <w:tcW w:w="881" w:type="pct"/>
            <w:tcBorders>
              <w:top w:val="single" w:color="auto" w:sz="4" w:space="0"/>
              <w:left w:val="single" w:color="auto" w:sz="4" w:space="0"/>
              <w:bottom w:val="single" w:color="auto" w:sz="4" w:space="0"/>
              <w:right w:val="single" w:color="auto" w:sz="4" w:space="0"/>
            </w:tcBorders>
            <w:vAlign w:val="center"/>
          </w:tcPr>
          <w:p w14:paraId="3DD18B5B">
            <w:pPr>
              <w:jc w:val="center"/>
              <w:rPr>
                <w:rFonts w:hint="eastAsia" w:ascii="宋体" w:hAnsi="宋体" w:eastAsia="宋体" w:cs="宋体"/>
                <w:color w:val="auto"/>
                <w:szCs w:val="21"/>
                <w:highlight w:val="none"/>
              </w:rPr>
            </w:pPr>
          </w:p>
        </w:tc>
        <w:tc>
          <w:tcPr>
            <w:tcW w:w="692" w:type="pct"/>
            <w:tcBorders>
              <w:top w:val="single" w:color="auto" w:sz="4" w:space="0"/>
              <w:left w:val="single" w:color="auto" w:sz="4" w:space="0"/>
              <w:bottom w:val="single" w:color="auto" w:sz="4" w:space="0"/>
              <w:right w:val="single" w:color="auto" w:sz="4" w:space="0"/>
            </w:tcBorders>
            <w:vAlign w:val="center"/>
          </w:tcPr>
          <w:p w14:paraId="250B90D8">
            <w:pPr>
              <w:jc w:val="center"/>
              <w:rPr>
                <w:rFonts w:hint="eastAsia" w:ascii="宋体" w:hAnsi="宋体" w:eastAsia="宋体" w:cs="宋体"/>
                <w:color w:val="auto"/>
                <w:szCs w:val="21"/>
                <w:highlight w:val="none"/>
              </w:rPr>
            </w:pPr>
          </w:p>
        </w:tc>
      </w:tr>
      <w:tr w14:paraId="1D5A7E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2" w:hRule="atLeast"/>
          <w:jc w:val="center"/>
        </w:trPr>
        <w:tc>
          <w:tcPr>
            <w:tcW w:w="325" w:type="pct"/>
            <w:tcBorders>
              <w:top w:val="single" w:color="auto" w:sz="4" w:space="0"/>
              <w:left w:val="single" w:color="auto" w:sz="4" w:space="0"/>
              <w:bottom w:val="single" w:color="auto" w:sz="4" w:space="0"/>
              <w:right w:val="single" w:color="auto" w:sz="4" w:space="0"/>
            </w:tcBorders>
            <w:vAlign w:val="center"/>
          </w:tcPr>
          <w:p w14:paraId="2E9F1451">
            <w:pPr>
              <w:jc w:val="center"/>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w:t>
            </w:r>
          </w:p>
        </w:tc>
        <w:tc>
          <w:tcPr>
            <w:tcW w:w="793" w:type="pct"/>
            <w:tcBorders>
              <w:top w:val="single" w:color="auto" w:sz="4" w:space="0"/>
              <w:left w:val="single" w:color="auto" w:sz="4" w:space="0"/>
              <w:bottom w:val="single" w:color="auto" w:sz="4" w:space="0"/>
              <w:right w:val="single" w:color="auto" w:sz="4" w:space="0"/>
            </w:tcBorders>
            <w:vAlign w:val="center"/>
          </w:tcPr>
          <w:p w14:paraId="7B6E14FE">
            <w:pPr>
              <w:jc w:val="center"/>
              <w:rPr>
                <w:rFonts w:hint="eastAsia" w:ascii="宋体" w:hAnsi="宋体" w:eastAsia="宋体" w:cs="宋体"/>
                <w:color w:val="auto"/>
                <w:szCs w:val="21"/>
                <w:highlight w:val="none"/>
              </w:rPr>
            </w:pPr>
          </w:p>
        </w:tc>
        <w:tc>
          <w:tcPr>
            <w:tcW w:w="605" w:type="pct"/>
            <w:tcBorders>
              <w:top w:val="single" w:color="auto" w:sz="4" w:space="0"/>
              <w:left w:val="single" w:color="auto" w:sz="4" w:space="0"/>
              <w:bottom w:val="single" w:color="auto" w:sz="4" w:space="0"/>
              <w:right w:val="single" w:color="auto" w:sz="4" w:space="0"/>
            </w:tcBorders>
            <w:vAlign w:val="center"/>
          </w:tcPr>
          <w:p w14:paraId="15DC12C7">
            <w:pPr>
              <w:jc w:val="center"/>
              <w:rPr>
                <w:rFonts w:hint="eastAsia" w:ascii="宋体" w:hAnsi="宋体" w:eastAsia="宋体" w:cs="宋体"/>
                <w:color w:val="auto"/>
                <w:szCs w:val="21"/>
                <w:highlight w:val="none"/>
              </w:rPr>
            </w:pPr>
          </w:p>
        </w:tc>
        <w:tc>
          <w:tcPr>
            <w:tcW w:w="606" w:type="pct"/>
            <w:tcBorders>
              <w:top w:val="single" w:color="auto" w:sz="4" w:space="0"/>
              <w:left w:val="single" w:color="auto" w:sz="4" w:space="0"/>
              <w:bottom w:val="single" w:color="auto" w:sz="4" w:space="0"/>
              <w:right w:val="single" w:color="auto" w:sz="4" w:space="0"/>
            </w:tcBorders>
            <w:vAlign w:val="center"/>
          </w:tcPr>
          <w:p w14:paraId="20525CF9">
            <w:pPr>
              <w:jc w:val="center"/>
              <w:rPr>
                <w:rFonts w:hint="eastAsia" w:ascii="宋体" w:hAnsi="宋体" w:eastAsia="宋体" w:cs="宋体"/>
                <w:color w:val="auto"/>
                <w:szCs w:val="21"/>
                <w:highlight w:val="none"/>
              </w:rPr>
            </w:pPr>
          </w:p>
        </w:tc>
        <w:tc>
          <w:tcPr>
            <w:tcW w:w="575" w:type="pct"/>
            <w:tcBorders>
              <w:top w:val="single" w:color="auto" w:sz="4" w:space="0"/>
              <w:left w:val="single" w:color="auto" w:sz="4" w:space="0"/>
              <w:bottom w:val="single" w:color="auto" w:sz="4" w:space="0"/>
              <w:right w:val="single" w:color="auto" w:sz="4" w:space="0"/>
            </w:tcBorders>
            <w:vAlign w:val="center"/>
          </w:tcPr>
          <w:p w14:paraId="12433DCB">
            <w:pPr>
              <w:jc w:val="center"/>
              <w:rPr>
                <w:rFonts w:hint="eastAsia" w:ascii="宋体" w:hAnsi="宋体" w:eastAsia="宋体" w:cs="宋体"/>
                <w:color w:val="auto"/>
                <w:szCs w:val="21"/>
                <w:highlight w:val="none"/>
              </w:rPr>
            </w:pPr>
          </w:p>
        </w:tc>
        <w:tc>
          <w:tcPr>
            <w:tcW w:w="518" w:type="pct"/>
            <w:tcBorders>
              <w:top w:val="single" w:color="auto" w:sz="4" w:space="0"/>
              <w:left w:val="single" w:color="auto" w:sz="4" w:space="0"/>
              <w:bottom w:val="single" w:color="auto" w:sz="4" w:space="0"/>
              <w:right w:val="single" w:color="auto" w:sz="4" w:space="0"/>
            </w:tcBorders>
            <w:vAlign w:val="center"/>
          </w:tcPr>
          <w:p w14:paraId="3221AE1E">
            <w:pPr>
              <w:jc w:val="center"/>
              <w:rPr>
                <w:rFonts w:hint="eastAsia" w:ascii="宋体" w:hAnsi="宋体" w:eastAsia="宋体" w:cs="宋体"/>
                <w:color w:val="auto"/>
                <w:szCs w:val="21"/>
                <w:highlight w:val="none"/>
              </w:rPr>
            </w:pPr>
          </w:p>
        </w:tc>
        <w:tc>
          <w:tcPr>
            <w:tcW w:w="881" w:type="pct"/>
            <w:tcBorders>
              <w:top w:val="single" w:color="auto" w:sz="4" w:space="0"/>
              <w:left w:val="single" w:color="auto" w:sz="4" w:space="0"/>
              <w:bottom w:val="single" w:color="auto" w:sz="4" w:space="0"/>
              <w:right w:val="single" w:color="auto" w:sz="4" w:space="0"/>
            </w:tcBorders>
            <w:vAlign w:val="center"/>
          </w:tcPr>
          <w:p w14:paraId="6DBE6950">
            <w:pPr>
              <w:jc w:val="center"/>
              <w:rPr>
                <w:rFonts w:hint="eastAsia" w:ascii="宋体" w:hAnsi="宋体" w:eastAsia="宋体" w:cs="宋体"/>
                <w:color w:val="auto"/>
                <w:szCs w:val="21"/>
                <w:highlight w:val="none"/>
              </w:rPr>
            </w:pPr>
          </w:p>
        </w:tc>
        <w:tc>
          <w:tcPr>
            <w:tcW w:w="692" w:type="pct"/>
            <w:tcBorders>
              <w:top w:val="single" w:color="auto" w:sz="4" w:space="0"/>
              <w:left w:val="single" w:color="auto" w:sz="4" w:space="0"/>
              <w:bottom w:val="single" w:color="auto" w:sz="4" w:space="0"/>
              <w:right w:val="single" w:color="auto" w:sz="4" w:space="0"/>
            </w:tcBorders>
            <w:vAlign w:val="center"/>
          </w:tcPr>
          <w:p w14:paraId="0D617537">
            <w:pPr>
              <w:jc w:val="center"/>
              <w:rPr>
                <w:rFonts w:hint="eastAsia" w:ascii="宋体" w:hAnsi="宋体" w:eastAsia="宋体" w:cs="宋体"/>
                <w:color w:val="auto"/>
                <w:szCs w:val="21"/>
                <w:highlight w:val="none"/>
              </w:rPr>
            </w:pPr>
          </w:p>
        </w:tc>
      </w:tr>
      <w:tr w14:paraId="3BFFB0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3" w:hRule="atLeast"/>
          <w:jc w:val="center"/>
        </w:trPr>
        <w:tc>
          <w:tcPr>
            <w:tcW w:w="325" w:type="pct"/>
            <w:tcBorders>
              <w:top w:val="single" w:color="auto" w:sz="4" w:space="0"/>
              <w:left w:val="single" w:color="auto" w:sz="4" w:space="0"/>
              <w:bottom w:val="single" w:color="auto" w:sz="4" w:space="0"/>
              <w:right w:val="single" w:color="auto" w:sz="4" w:space="0"/>
            </w:tcBorders>
            <w:vAlign w:val="center"/>
          </w:tcPr>
          <w:p w14:paraId="342E412E">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793" w:type="pct"/>
            <w:tcBorders>
              <w:top w:val="single" w:color="auto" w:sz="4" w:space="0"/>
              <w:left w:val="single" w:color="auto" w:sz="4" w:space="0"/>
              <w:bottom w:val="single" w:color="auto" w:sz="4" w:space="0"/>
              <w:right w:val="single" w:color="auto" w:sz="4" w:space="0"/>
            </w:tcBorders>
            <w:vAlign w:val="center"/>
          </w:tcPr>
          <w:p w14:paraId="0D72263C">
            <w:pPr>
              <w:jc w:val="center"/>
              <w:rPr>
                <w:rFonts w:hint="eastAsia" w:ascii="宋体" w:hAnsi="宋体" w:eastAsia="宋体" w:cs="宋体"/>
                <w:color w:val="auto"/>
                <w:szCs w:val="21"/>
                <w:highlight w:val="none"/>
              </w:rPr>
            </w:pPr>
          </w:p>
        </w:tc>
        <w:tc>
          <w:tcPr>
            <w:tcW w:w="605" w:type="pct"/>
            <w:tcBorders>
              <w:top w:val="single" w:color="auto" w:sz="4" w:space="0"/>
              <w:left w:val="single" w:color="auto" w:sz="4" w:space="0"/>
              <w:bottom w:val="single" w:color="auto" w:sz="4" w:space="0"/>
              <w:right w:val="single" w:color="auto" w:sz="4" w:space="0"/>
            </w:tcBorders>
            <w:vAlign w:val="center"/>
          </w:tcPr>
          <w:p w14:paraId="24BF9656">
            <w:pPr>
              <w:jc w:val="center"/>
              <w:rPr>
                <w:rFonts w:hint="eastAsia" w:ascii="宋体" w:hAnsi="宋体" w:eastAsia="宋体" w:cs="宋体"/>
                <w:color w:val="auto"/>
                <w:szCs w:val="21"/>
                <w:highlight w:val="none"/>
              </w:rPr>
            </w:pPr>
          </w:p>
        </w:tc>
        <w:tc>
          <w:tcPr>
            <w:tcW w:w="606" w:type="pct"/>
            <w:tcBorders>
              <w:top w:val="single" w:color="auto" w:sz="4" w:space="0"/>
              <w:left w:val="single" w:color="auto" w:sz="4" w:space="0"/>
              <w:bottom w:val="single" w:color="auto" w:sz="4" w:space="0"/>
              <w:right w:val="single" w:color="auto" w:sz="4" w:space="0"/>
            </w:tcBorders>
            <w:vAlign w:val="center"/>
          </w:tcPr>
          <w:p w14:paraId="67132887">
            <w:pPr>
              <w:jc w:val="center"/>
              <w:rPr>
                <w:rFonts w:hint="eastAsia" w:ascii="宋体" w:hAnsi="宋体" w:eastAsia="宋体" w:cs="宋体"/>
                <w:color w:val="auto"/>
                <w:szCs w:val="21"/>
                <w:highlight w:val="none"/>
              </w:rPr>
            </w:pPr>
          </w:p>
        </w:tc>
        <w:tc>
          <w:tcPr>
            <w:tcW w:w="575" w:type="pct"/>
            <w:tcBorders>
              <w:top w:val="single" w:color="auto" w:sz="4" w:space="0"/>
              <w:left w:val="single" w:color="auto" w:sz="4" w:space="0"/>
              <w:bottom w:val="single" w:color="auto" w:sz="4" w:space="0"/>
              <w:right w:val="single" w:color="auto" w:sz="4" w:space="0"/>
            </w:tcBorders>
            <w:vAlign w:val="center"/>
          </w:tcPr>
          <w:p w14:paraId="7606D0A4">
            <w:pPr>
              <w:jc w:val="center"/>
              <w:rPr>
                <w:rFonts w:hint="eastAsia" w:ascii="宋体" w:hAnsi="宋体" w:eastAsia="宋体" w:cs="宋体"/>
                <w:color w:val="auto"/>
                <w:szCs w:val="21"/>
                <w:highlight w:val="none"/>
              </w:rPr>
            </w:pPr>
          </w:p>
        </w:tc>
        <w:tc>
          <w:tcPr>
            <w:tcW w:w="518" w:type="pct"/>
            <w:tcBorders>
              <w:top w:val="single" w:color="auto" w:sz="4" w:space="0"/>
              <w:left w:val="single" w:color="auto" w:sz="4" w:space="0"/>
              <w:bottom w:val="single" w:color="auto" w:sz="4" w:space="0"/>
              <w:right w:val="single" w:color="auto" w:sz="4" w:space="0"/>
            </w:tcBorders>
            <w:vAlign w:val="center"/>
          </w:tcPr>
          <w:p w14:paraId="4179B4F1">
            <w:pPr>
              <w:jc w:val="center"/>
              <w:rPr>
                <w:rFonts w:hint="eastAsia" w:ascii="宋体" w:hAnsi="宋体" w:eastAsia="宋体" w:cs="宋体"/>
                <w:color w:val="auto"/>
                <w:szCs w:val="21"/>
                <w:highlight w:val="none"/>
              </w:rPr>
            </w:pPr>
          </w:p>
        </w:tc>
        <w:tc>
          <w:tcPr>
            <w:tcW w:w="881" w:type="pct"/>
            <w:tcBorders>
              <w:top w:val="single" w:color="auto" w:sz="4" w:space="0"/>
              <w:left w:val="single" w:color="auto" w:sz="4" w:space="0"/>
              <w:bottom w:val="single" w:color="auto" w:sz="4" w:space="0"/>
              <w:right w:val="single" w:color="auto" w:sz="4" w:space="0"/>
            </w:tcBorders>
            <w:vAlign w:val="center"/>
          </w:tcPr>
          <w:p w14:paraId="3C2C139C">
            <w:pPr>
              <w:jc w:val="center"/>
              <w:rPr>
                <w:rFonts w:hint="eastAsia" w:ascii="宋体" w:hAnsi="宋体" w:eastAsia="宋体" w:cs="宋体"/>
                <w:color w:val="auto"/>
                <w:szCs w:val="21"/>
                <w:highlight w:val="none"/>
              </w:rPr>
            </w:pPr>
          </w:p>
        </w:tc>
        <w:tc>
          <w:tcPr>
            <w:tcW w:w="692" w:type="pct"/>
            <w:tcBorders>
              <w:top w:val="single" w:color="auto" w:sz="4" w:space="0"/>
              <w:left w:val="single" w:color="auto" w:sz="4" w:space="0"/>
              <w:bottom w:val="single" w:color="auto" w:sz="4" w:space="0"/>
              <w:right w:val="single" w:color="auto" w:sz="4" w:space="0"/>
            </w:tcBorders>
            <w:vAlign w:val="center"/>
          </w:tcPr>
          <w:p w14:paraId="37C6467C">
            <w:pPr>
              <w:jc w:val="center"/>
              <w:rPr>
                <w:rFonts w:hint="eastAsia" w:ascii="宋体" w:hAnsi="宋体" w:eastAsia="宋体" w:cs="宋体"/>
                <w:color w:val="auto"/>
                <w:szCs w:val="21"/>
                <w:highlight w:val="none"/>
              </w:rPr>
            </w:pPr>
          </w:p>
        </w:tc>
      </w:tr>
    </w:tbl>
    <w:p w14:paraId="77E8A761">
      <w:pPr>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 xml:space="preserve">备注： </w:t>
      </w:r>
    </w:p>
    <w:p w14:paraId="34C36113">
      <w:pPr>
        <w:ind w:left="525" w:hanging="525" w:hangingChars="25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（1）业绩按单项合同采购金额从高到低的方式排列；</w:t>
      </w:r>
      <w:r>
        <w:rPr>
          <w:rFonts w:hint="eastAsia" w:ascii="宋体" w:hAnsi="宋体" w:eastAsia="宋体" w:cs="宋体"/>
          <w:b/>
          <w:bCs/>
          <w:color w:val="auto"/>
          <w:highlight w:val="none"/>
          <w:lang w:val="zh-CN"/>
        </w:rPr>
        <w:t>同一个单项合同的业绩可以同时在资格业绩和评分业绩重复放置；</w:t>
      </w:r>
    </w:p>
    <w:p w14:paraId="52566D12">
      <w:pPr>
        <w:ind w:left="525" w:hanging="525" w:hangingChars="25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（2）业绩须同时提供：投标品牌</w:t>
      </w:r>
      <w:r>
        <w:rPr>
          <w:rFonts w:hint="eastAsia" w:ascii="宋体" w:hAnsi="宋体" w:eastAsia="宋体" w:cs="宋体"/>
          <w:color w:val="auto"/>
          <w:kern w:val="2"/>
          <w:sz w:val="21"/>
          <w:szCs w:val="22"/>
          <w:highlight w:val="none"/>
          <w:lang w:val="zh-CN" w:eastAsia="zh-CN" w:bidi="ar-SA"/>
        </w:rPr>
        <w:t>球墨铸铁阀门</w:t>
      </w:r>
      <w:r>
        <w:rPr>
          <w:rFonts w:hint="eastAsia" w:ascii="宋体" w:hAnsi="宋体" w:eastAsia="宋体" w:cs="宋体"/>
          <w:color w:val="auto"/>
          <w:highlight w:val="none"/>
          <w:lang w:val="zh-CN"/>
        </w:rPr>
        <w:t>销售合同复印件以及已供货产品任意一张发票复印件（发票开具日期须在本项目招标公告发布之日前），否则不得分；</w:t>
      </w:r>
    </w:p>
    <w:p w14:paraId="112F3CB9">
      <w:pPr>
        <w:ind w:left="525" w:hanging="525" w:hangingChars="25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（3）若合同无法反映评分条件（合同签订日期为2022年1月1日或以后、合同标的必须包含投标品牌</w:t>
      </w:r>
      <w:r>
        <w:rPr>
          <w:rFonts w:hint="eastAsia" w:ascii="宋体" w:hAnsi="宋体" w:eastAsia="宋体" w:cs="宋体"/>
          <w:color w:val="auto"/>
          <w:kern w:val="2"/>
          <w:sz w:val="21"/>
          <w:szCs w:val="22"/>
          <w:highlight w:val="none"/>
          <w:lang w:val="zh-CN" w:eastAsia="zh-CN" w:bidi="ar-SA"/>
        </w:rPr>
        <w:t>球墨铸铁阀门</w:t>
      </w:r>
      <w:r>
        <w:rPr>
          <w:rFonts w:hint="eastAsia" w:ascii="宋体" w:hAnsi="宋体" w:eastAsia="宋体" w:cs="宋体"/>
          <w:color w:val="auto"/>
          <w:highlight w:val="none"/>
          <w:lang w:val="zh-CN"/>
        </w:rPr>
        <w:t>、合同金额）的，还需提供产品购买方出具的书面补充说明文件复印件作为辅助证明（需显示购买方公章），否则不得分；</w:t>
      </w:r>
    </w:p>
    <w:p w14:paraId="108682AD">
      <w:pPr>
        <w:ind w:left="525" w:hanging="525" w:hangingChars="25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（4）若业绩为框架式协议或资格入围无明确金额的合同，必须同时提供合同期限内已供货发票金额统计表和发票复印件；</w:t>
      </w:r>
    </w:p>
    <w:p w14:paraId="0BBE0591">
      <w:pPr>
        <w:ind w:left="525" w:hanging="525" w:hangingChars="25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（5）未按上述要求在此格式下提供证明材料的业绩，或在此格式下所附材料无法证明填报项目符合本项评分要求的业绩，在评标时将不予考虑</w:t>
      </w:r>
      <w:r>
        <w:rPr>
          <w:rFonts w:hint="eastAsia" w:ascii="宋体" w:hAnsi="宋体" w:eastAsia="宋体" w:cs="宋体"/>
          <w:b/>
          <w:bCs/>
          <w:color w:val="auto"/>
          <w:highlight w:val="none"/>
          <w:lang w:val="zh-CN"/>
        </w:rPr>
        <w:t>。</w:t>
      </w:r>
    </w:p>
    <w:p w14:paraId="0414416C">
      <w:pPr>
        <w:ind w:firstLine="5040" w:firstLineChars="2400"/>
        <w:jc w:val="left"/>
        <w:rPr>
          <w:rFonts w:hint="eastAsia" w:ascii="宋体" w:hAnsi="宋体" w:eastAsia="宋体" w:cs="宋体"/>
          <w:color w:val="auto"/>
          <w:szCs w:val="24"/>
          <w:highlight w:val="none"/>
          <w:lang w:val="zh-CN"/>
        </w:rPr>
      </w:pPr>
    </w:p>
    <w:p w14:paraId="2E2B570E">
      <w:pPr>
        <w:ind w:firstLine="5040" w:firstLineChars="2400"/>
        <w:jc w:val="left"/>
        <w:rPr>
          <w:rFonts w:hint="eastAsia" w:ascii="宋体" w:hAnsi="宋体" w:eastAsia="宋体" w:cs="宋体"/>
          <w:color w:val="auto"/>
          <w:kern w:val="0"/>
          <w:szCs w:val="21"/>
          <w:highlight w:val="none"/>
        </w:rPr>
      </w:pPr>
      <w:r>
        <w:rPr>
          <w:rFonts w:hint="eastAsia" w:ascii="宋体" w:hAnsi="宋体" w:eastAsia="宋体" w:cs="宋体"/>
          <w:color w:val="auto"/>
          <w:szCs w:val="24"/>
          <w:highlight w:val="none"/>
          <w:lang w:val="zh-CN"/>
        </w:rPr>
        <w:t>投标人：（加盖投标人法人公章）</w:t>
      </w:r>
    </w:p>
    <w:p w14:paraId="7F1F6045">
      <w:pPr>
        <w:ind w:firstLine="5040" w:firstLineChars="2400"/>
        <w:jc w:val="left"/>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日期：   年   月   日</w:t>
      </w:r>
    </w:p>
    <w:p w14:paraId="659D116F">
      <w:pPr>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br w:type="page"/>
      </w:r>
    </w:p>
    <w:p w14:paraId="74400824">
      <w:pPr>
        <w:pageBreakBefore/>
        <w:widowControl/>
        <w:spacing w:line="360" w:lineRule="auto"/>
        <w:jc w:val="center"/>
        <w:rPr>
          <w:rFonts w:hint="eastAsia" w:ascii="宋体" w:hAnsi="宋体" w:eastAsia="宋体" w:cs="宋体"/>
          <w:b/>
          <w:color w:val="auto"/>
          <w:sz w:val="32"/>
          <w:szCs w:val="32"/>
          <w:highlight w:val="none"/>
        </w:rPr>
      </w:pPr>
      <w:r>
        <w:rPr>
          <w:rFonts w:hint="eastAsia" w:ascii="宋体" w:hAnsi="宋体" w:eastAsia="宋体" w:cs="宋体"/>
          <w:b/>
          <w:bCs/>
          <w:color w:val="auto"/>
          <w:sz w:val="32"/>
          <w:szCs w:val="32"/>
          <w:highlight w:val="none"/>
        </w:rPr>
        <w:t>附表：已供货产品发票金额统计表</w:t>
      </w:r>
    </w:p>
    <w:tbl>
      <w:tblPr>
        <w:tblStyle w:val="20"/>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3383"/>
        <w:gridCol w:w="1674"/>
        <w:gridCol w:w="1345"/>
        <w:gridCol w:w="1643"/>
        <w:gridCol w:w="1310"/>
        <w:gridCol w:w="14"/>
      </w:tblGrid>
      <w:tr w14:paraId="64085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2" w:type="pct"/>
            <w:gridSpan w:val="2"/>
            <w:tcBorders>
              <w:top w:val="single" w:color="auto" w:sz="4" w:space="0"/>
              <w:left w:val="single" w:color="auto" w:sz="4" w:space="0"/>
              <w:bottom w:val="single" w:color="auto" w:sz="4" w:space="0"/>
              <w:right w:val="single" w:color="auto" w:sz="4" w:space="0"/>
            </w:tcBorders>
            <w:vAlign w:val="center"/>
          </w:tcPr>
          <w:p w14:paraId="6B948ED0">
            <w:pPr>
              <w:snapToGrid w:val="0"/>
              <w:spacing w:line="360" w:lineRule="auto"/>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p>
        </w:tc>
        <w:tc>
          <w:tcPr>
            <w:tcW w:w="2907" w:type="pct"/>
            <w:gridSpan w:val="5"/>
            <w:tcBorders>
              <w:top w:val="single" w:color="auto" w:sz="4" w:space="0"/>
              <w:left w:val="single" w:color="auto" w:sz="4" w:space="0"/>
              <w:bottom w:val="single" w:color="auto" w:sz="4" w:space="0"/>
              <w:right w:val="single" w:color="auto" w:sz="4" w:space="0"/>
            </w:tcBorders>
            <w:vAlign w:val="center"/>
          </w:tcPr>
          <w:p w14:paraId="6A55AB5B">
            <w:pPr>
              <w:snapToGrid w:val="0"/>
              <w:spacing w:line="360" w:lineRule="auto"/>
              <w:ind w:left="0" w:leftChars="0"/>
              <w:jc w:val="center"/>
              <w:rPr>
                <w:rFonts w:hint="eastAsia" w:ascii="宋体" w:hAnsi="宋体" w:eastAsia="宋体" w:cs="宋体"/>
                <w:color w:val="auto"/>
                <w:sz w:val="21"/>
                <w:szCs w:val="21"/>
                <w:highlight w:val="none"/>
              </w:rPr>
            </w:pPr>
          </w:p>
        </w:tc>
      </w:tr>
      <w:tr w14:paraId="68088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2" w:type="pct"/>
            <w:gridSpan w:val="2"/>
            <w:tcBorders>
              <w:top w:val="single" w:color="auto" w:sz="4" w:space="0"/>
              <w:left w:val="single" w:color="auto" w:sz="4" w:space="0"/>
              <w:bottom w:val="single" w:color="auto" w:sz="4" w:space="0"/>
              <w:right w:val="single" w:color="auto" w:sz="4" w:space="0"/>
            </w:tcBorders>
            <w:vAlign w:val="center"/>
          </w:tcPr>
          <w:p w14:paraId="19B98297">
            <w:pPr>
              <w:snapToGrid w:val="0"/>
              <w:spacing w:line="360" w:lineRule="auto"/>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合同约定的供货期</w:t>
            </w:r>
          </w:p>
        </w:tc>
        <w:tc>
          <w:tcPr>
            <w:tcW w:w="2907" w:type="pct"/>
            <w:gridSpan w:val="5"/>
            <w:tcBorders>
              <w:top w:val="single" w:color="auto" w:sz="4" w:space="0"/>
              <w:left w:val="single" w:color="auto" w:sz="4" w:space="0"/>
              <w:bottom w:val="single" w:color="auto" w:sz="4" w:space="0"/>
              <w:right w:val="single" w:color="auto" w:sz="4" w:space="0"/>
            </w:tcBorders>
            <w:vAlign w:val="center"/>
          </w:tcPr>
          <w:p w14:paraId="418BFD63">
            <w:pPr>
              <w:snapToGrid w:val="0"/>
              <w:spacing w:line="360" w:lineRule="auto"/>
              <w:ind w:left="0" w:leftChars="0"/>
              <w:jc w:val="center"/>
              <w:rPr>
                <w:rFonts w:hint="eastAsia" w:ascii="宋体" w:hAnsi="宋体" w:eastAsia="宋体" w:cs="宋体"/>
                <w:color w:val="auto"/>
                <w:sz w:val="21"/>
                <w:szCs w:val="21"/>
                <w:highlight w:val="none"/>
              </w:rPr>
            </w:pPr>
          </w:p>
        </w:tc>
      </w:tr>
      <w:tr w14:paraId="52C55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2" w:type="pct"/>
            <w:gridSpan w:val="2"/>
            <w:tcBorders>
              <w:top w:val="single" w:color="auto" w:sz="4" w:space="0"/>
              <w:left w:val="single" w:color="auto" w:sz="4" w:space="0"/>
              <w:bottom w:val="single" w:color="auto" w:sz="4" w:space="0"/>
              <w:right w:val="single" w:color="auto" w:sz="4" w:space="0"/>
            </w:tcBorders>
            <w:vAlign w:val="center"/>
          </w:tcPr>
          <w:p w14:paraId="5BCD926D">
            <w:pPr>
              <w:snapToGrid w:val="0"/>
              <w:spacing w:line="360" w:lineRule="auto"/>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发票抬头（合同买方）</w:t>
            </w:r>
          </w:p>
        </w:tc>
        <w:tc>
          <w:tcPr>
            <w:tcW w:w="2907" w:type="pct"/>
            <w:gridSpan w:val="5"/>
            <w:tcBorders>
              <w:top w:val="single" w:color="auto" w:sz="4" w:space="0"/>
              <w:left w:val="single" w:color="auto" w:sz="4" w:space="0"/>
              <w:bottom w:val="single" w:color="auto" w:sz="4" w:space="0"/>
              <w:right w:val="single" w:color="auto" w:sz="4" w:space="0"/>
            </w:tcBorders>
            <w:vAlign w:val="center"/>
          </w:tcPr>
          <w:p w14:paraId="516BF25B">
            <w:pPr>
              <w:snapToGrid w:val="0"/>
              <w:spacing w:line="360" w:lineRule="auto"/>
              <w:ind w:left="0" w:leftChars="0"/>
              <w:jc w:val="center"/>
              <w:rPr>
                <w:rFonts w:hint="eastAsia" w:ascii="宋体" w:hAnsi="宋体" w:eastAsia="宋体" w:cs="宋体"/>
                <w:color w:val="auto"/>
                <w:sz w:val="21"/>
                <w:szCs w:val="21"/>
                <w:highlight w:val="none"/>
              </w:rPr>
            </w:pPr>
          </w:p>
        </w:tc>
      </w:tr>
      <w:tr w14:paraId="55FCA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5" w:type="pct"/>
          <w:jc w:val="center"/>
        </w:trPr>
        <w:tc>
          <w:tcPr>
            <w:tcW w:w="449" w:type="pct"/>
            <w:tcBorders>
              <w:top w:val="single" w:color="auto" w:sz="4" w:space="0"/>
              <w:left w:val="single" w:color="auto" w:sz="4" w:space="0"/>
              <w:bottom w:val="single" w:color="auto" w:sz="4" w:space="0"/>
              <w:right w:val="single" w:color="auto" w:sz="4" w:space="0"/>
            </w:tcBorders>
            <w:vAlign w:val="center"/>
          </w:tcPr>
          <w:p w14:paraId="16D611FA">
            <w:pPr>
              <w:snapToGrid w:val="0"/>
              <w:spacing w:line="360" w:lineRule="auto"/>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642" w:type="pct"/>
            <w:tcBorders>
              <w:top w:val="single" w:color="auto" w:sz="4" w:space="0"/>
              <w:left w:val="single" w:color="auto" w:sz="4" w:space="0"/>
              <w:bottom w:val="single" w:color="auto" w:sz="4" w:space="0"/>
              <w:right w:val="single" w:color="auto" w:sz="4" w:space="0"/>
            </w:tcBorders>
            <w:vAlign w:val="center"/>
          </w:tcPr>
          <w:p w14:paraId="2DC7E014">
            <w:pPr>
              <w:snapToGrid w:val="0"/>
              <w:spacing w:line="360" w:lineRule="auto"/>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发票名目</w:t>
            </w:r>
          </w:p>
        </w:tc>
        <w:tc>
          <w:tcPr>
            <w:tcW w:w="813" w:type="pct"/>
            <w:tcBorders>
              <w:top w:val="single" w:color="auto" w:sz="4" w:space="0"/>
              <w:left w:val="single" w:color="auto" w:sz="4" w:space="0"/>
              <w:bottom w:val="single" w:color="auto" w:sz="4" w:space="0"/>
              <w:right w:val="single" w:color="auto" w:sz="4" w:space="0"/>
            </w:tcBorders>
            <w:vAlign w:val="center"/>
          </w:tcPr>
          <w:p w14:paraId="72E7E227">
            <w:pPr>
              <w:snapToGrid w:val="0"/>
              <w:spacing w:line="360" w:lineRule="auto"/>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发票金额（单位：万元）</w:t>
            </w:r>
          </w:p>
        </w:tc>
        <w:tc>
          <w:tcPr>
            <w:tcW w:w="653" w:type="pct"/>
            <w:tcBorders>
              <w:top w:val="single" w:color="auto" w:sz="4" w:space="0"/>
              <w:left w:val="single" w:color="auto" w:sz="4" w:space="0"/>
              <w:bottom w:val="single" w:color="auto" w:sz="4" w:space="0"/>
              <w:right w:val="single" w:color="auto" w:sz="4" w:space="0"/>
            </w:tcBorders>
            <w:vAlign w:val="center"/>
          </w:tcPr>
          <w:p w14:paraId="31AC562C">
            <w:pPr>
              <w:snapToGrid w:val="0"/>
              <w:spacing w:line="360" w:lineRule="auto"/>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发票号码</w:t>
            </w:r>
          </w:p>
        </w:tc>
        <w:tc>
          <w:tcPr>
            <w:tcW w:w="798" w:type="pct"/>
            <w:tcBorders>
              <w:top w:val="single" w:color="auto" w:sz="4" w:space="0"/>
              <w:left w:val="single" w:color="auto" w:sz="4" w:space="0"/>
              <w:bottom w:val="single" w:color="auto" w:sz="4" w:space="0"/>
              <w:right w:val="single" w:color="auto" w:sz="4" w:space="0"/>
            </w:tcBorders>
            <w:vAlign w:val="center"/>
          </w:tcPr>
          <w:p w14:paraId="6EDF5B94">
            <w:pPr>
              <w:snapToGrid w:val="0"/>
              <w:spacing w:line="360" w:lineRule="auto"/>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发票所属时期</w:t>
            </w:r>
          </w:p>
        </w:tc>
        <w:tc>
          <w:tcPr>
            <w:tcW w:w="636" w:type="pct"/>
            <w:tcBorders>
              <w:top w:val="single" w:color="auto" w:sz="4" w:space="0"/>
              <w:left w:val="single" w:color="auto" w:sz="4" w:space="0"/>
              <w:bottom w:val="single" w:color="auto" w:sz="4" w:space="0"/>
              <w:right w:val="single" w:color="auto" w:sz="4" w:space="0"/>
            </w:tcBorders>
            <w:vAlign w:val="center"/>
          </w:tcPr>
          <w:p w14:paraId="1B844107">
            <w:pPr>
              <w:snapToGrid w:val="0"/>
              <w:spacing w:line="360" w:lineRule="auto"/>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r>
      <w:tr w14:paraId="137E7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pct"/>
          <w:jc w:val="center"/>
        </w:trPr>
        <w:tc>
          <w:tcPr>
            <w:tcW w:w="449" w:type="pct"/>
            <w:tcBorders>
              <w:top w:val="single" w:color="auto" w:sz="4" w:space="0"/>
              <w:left w:val="single" w:color="auto" w:sz="4" w:space="0"/>
              <w:bottom w:val="single" w:color="auto" w:sz="4" w:space="0"/>
              <w:right w:val="single" w:color="auto" w:sz="4" w:space="0"/>
            </w:tcBorders>
            <w:vAlign w:val="center"/>
          </w:tcPr>
          <w:p w14:paraId="0C6C2D2B">
            <w:pPr>
              <w:snapToGrid w:val="0"/>
              <w:spacing w:line="360" w:lineRule="auto"/>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642" w:type="pct"/>
            <w:tcBorders>
              <w:top w:val="single" w:color="auto" w:sz="4" w:space="0"/>
              <w:left w:val="single" w:color="auto" w:sz="4" w:space="0"/>
              <w:bottom w:val="single" w:color="auto" w:sz="4" w:space="0"/>
              <w:right w:val="single" w:color="auto" w:sz="4" w:space="0"/>
            </w:tcBorders>
            <w:vAlign w:val="center"/>
          </w:tcPr>
          <w:p w14:paraId="6C60C099">
            <w:pPr>
              <w:snapToGrid w:val="0"/>
              <w:spacing w:line="360" w:lineRule="auto"/>
              <w:ind w:left="0" w:leftChars="0"/>
              <w:jc w:val="center"/>
              <w:rPr>
                <w:rFonts w:hint="eastAsia" w:ascii="宋体" w:hAnsi="宋体" w:eastAsia="宋体" w:cs="宋体"/>
                <w:color w:val="auto"/>
                <w:sz w:val="21"/>
                <w:szCs w:val="21"/>
                <w:highlight w:val="none"/>
              </w:rPr>
            </w:pPr>
          </w:p>
        </w:tc>
        <w:tc>
          <w:tcPr>
            <w:tcW w:w="813" w:type="pct"/>
            <w:tcBorders>
              <w:top w:val="single" w:color="auto" w:sz="4" w:space="0"/>
              <w:left w:val="single" w:color="auto" w:sz="4" w:space="0"/>
              <w:bottom w:val="single" w:color="auto" w:sz="4" w:space="0"/>
              <w:right w:val="single" w:color="auto" w:sz="4" w:space="0"/>
            </w:tcBorders>
            <w:vAlign w:val="center"/>
          </w:tcPr>
          <w:p w14:paraId="1055E35E">
            <w:pPr>
              <w:snapToGrid w:val="0"/>
              <w:spacing w:line="360" w:lineRule="auto"/>
              <w:ind w:left="0" w:leftChars="0"/>
              <w:jc w:val="center"/>
              <w:rPr>
                <w:rFonts w:hint="eastAsia" w:ascii="宋体" w:hAnsi="宋体" w:eastAsia="宋体" w:cs="宋体"/>
                <w:color w:val="auto"/>
                <w:sz w:val="21"/>
                <w:szCs w:val="21"/>
                <w:highlight w:val="none"/>
              </w:rPr>
            </w:pPr>
          </w:p>
        </w:tc>
        <w:tc>
          <w:tcPr>
            <w:tcW w:w="653" w:type="pct"/>
            <w:tcBorders>
              <w:top w:val="single" w:color="auto" w:sz="4" w:space="0"/>
              <w:left w:val="single" w:color="auto" w:sz="4" w:space="0"/>
              <w:bottom w:val="single" w:color="auto" w:sz="4" w:space="0"/>
              <w:right w:val="single" w:color="auto" w:sz="4" w:space="0"/>
            </w:tcBorders>
            <w:vAlign w:val="center"/>
          </w:tcPr>
          <w:p w14:paraId="610298E2">
            <w:pPr>
              <w:snapToGrid w:val="0"/>
              <w:spacing w:line="360" w:lineRule="auto"/>
              <w:ind w:left="0" w:leftChars="0"/>
              <w:jc w:val="center"/>
              <w:rPr>
                <w:rFonts w:hint="eastAsia" w:ascii="宋体" w:hAnsi="宋体" w:eastAsia="宋体" w:cs="宋体"/>
                <w:color w:val="auto"/>
                <w:sz w:val="21"/>
                <w:szCs w:val="21"/>
                <w:highlight w:val="none"/>
              </w:rPr>
            </w:pPr>
          </w:p>
        </w:tc>
        <w:tc>
          <w:tcPr>
            <w:tcW w:w="798" w:type="pct"/>
            <w:tcBorders>
              <w:top w:val="single" w:color="auto" w:sz="4" w:space="0"/>
              <w:left w:val="single" w:color="auto" w:sz="4" w:space="0"/>
              <w:bottom w:val="single" w:color="auto" w:sz="4" w:space="0"/>
              <w:right w:val="single" w:color="auto" w:sz="4" w:space="0"/>
            </w:tcBorders>
            <w:vAlign w:val="center"/>
          </w:tcPr>
          <w:p w14:paraId="55E265BA">
            <w:pPr>
              <w:snapToGrid w:val="0"/>
              <w:spacing w:line="360" w:lineRule="auto"/>
              <w:ind w:left="0" w:leftChars="0"/>
              <w:jc w:val="center"/>
              <w:rPr>
                <w:rFonts w:hint="eastAsia" w:ascii="宋体" w:hAnsi="宋体" w:eastAsia="宋体" w:cs="宋体"/>
                <w:color w:val="auto"/>
                <w:sz w:val="21"/>
                <w:szCs w:val="21"/>
                <w:highlight w:val="none"/>
              </w:rPr>
            </w:pPr>
          </w:p>
        </w:tc>
        <w:tc>
          <w:tcPr>
            <w:tcW w:w="636" w:type="pct"/>
            <w:tcBorders>
              <w:top w:val="single" w:color="auto" w:sz="4" w:space="0"/>
              <w:left w:val="single" w:color="auto" w:sz="4" w:space="0"/>
              <w:bottom w:val="single" w:color="auto" w:sz="4" w:space="0"/>
              <w:right w:val="single" w:color="auto" w:sz="4" w:space="0"/>
            </w:tcBorders>
            <w:vAlign w:val="center"/>
          </w:tcPr>
          <w:p w14:paraId="7F1EB540">
            <w:pPr>
              <w:snapToGrid w:val="0"/>
              <w:spacing w:line="360" w:lineRule="auto"/>
              <w:ind w:left="0" w:leftChars="0"/>
              <w:jc w:val="center"/>
              <w:rPr>
                <w:rFonts w:hint="eastAsia" w:ascii="宋体" w:hAnsi="宋体" w:eastAsia="宋体" w:cs="宋体"/>
                <w:color w:val="auto"/>
                <w:sz w:val="21"/>
                <w:szCs w:val="21"/>
                <w:highlight w:val="none"/>
              </w:rPr>
            </w:pPr>
          </w:p>
        </w:tc>
      </w:tr>
      <w:tr w14:paraId="6CD15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pct"/>
          <w:jc w:val="center"/>
        </w:trPr>
        <w:tc>
          <w:tcPr>
            <w:tcW w:w="449" w:type="pct"/>
            <w:tcBorders>
              <w:top w:val="single" w:color="auto" w:sz="4" w:space="0"/>
              <w:left w:val="single" w:color="auto" w:sz="4" w:space="0"/>
              <w:bottom w:val="single" w:color="auto" w:sz="4" w:space="0"/>
              <w:right w:val="single" w:color="auto" w:sz="4" w:space="0"/>
            </w:tcBorders>
            <w:vAlign w:val="center"/>
          </w:tcPr>
          <w:p w14:paraId="3DDCA576">
            <w:pPr>
              <w:snapToGrid w:val="0"/>
              <w:spacing w:line="360" w:lineRule="auto"/>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642" w:type="pct"/>
            <w:tcBorders>
              <w:top w:val="single" w:color="auto" w:sz="4" w:space="0"/>
              <w:left w:val="single" w:color="auto" w:sz="4" w:space="0"/>
              <w:bottom w:val="single" w:color="auto" w:sz="4" w:space="0"/>
              <w:right w:val="single" w:color="auto" w:sz="4" w:space="0"/>
            </w:tcBorders>
            <w:vAlign w:val="center"/>
          </w:tcPr>
          <w:p w14:paraId="65CC862F">
            <w:pPr>
              <w:snapToGrid w:val="0"/>
              <w:spacing w:line="360" w:lineRule="auto"/>
              <w:ind w:left="0" w:leftChars="0"/>
              <w:jc w:val="center"/>
              <w:rPr>
                <w:rFonts w:hint="eastAsia" w:ascii="宋体" w:hAnsi="宋体" w:eastAsia="宋体" w:cs="宋体"/>
                <w:color w:val="auto"/>
                <w:sz w:val="21"/>
                <w:szCs w:val="21"/>
                <w:highlight w:val="none"/>
              </w:rPr>
            </w:pPr>
          </w:p>
        </w:tc>
        <w:tc>
          <w:tcPr>
            <w:tcW w:w="813" w:type="pct"/>
            <w:tcBorders>
              <w:top w:val="single" w:color="auto" w:sz="4" w:space="0"/>
              <w:left w:val="single" w:color="auto" w:sz="4" w:space="0"/>
              <w:bottom w:val="single" w:color="auto" w:sz="4" w:space="0"/>
              <w:right w:val="single" w:color="auto" w:sz="4" w:space="0"/>
            </w:tcBorders>
            <w:vAlign w:val="center"/>
          </w:tcPr>
          <w:p w14:paraId="02545112">
            <w:pPr>
              <w:snapToGrid w:val="0"/>
              <w:spacing w:line="360" w:lineRule="auto"/>
              <w:ind w:left="0" w:leftChars="0"/>
              <w:jc w:val="center"/>
              <w:rPr>
                <w:rFonts w:hint="eastAsia" w:ascii="宋体" w:hAnsi="宋体" w:eastAsia="宋体" w:cs="宋体"/>
                <w:color w:val="auto"/>
                <w:sz w:val="21"/>
                <w:szCs w:val="21"/>
                <w:highlight w:val="none"/>
              </w:rPr>
            </w:pPr>
          </w:p>
        </w:tc>
        <w:tc>
          <w:tcPr>
            <w:tcW w:w="653" w:type="pct"/>
            <w:tcBorders>
              <w:top w:val="single" w:color="auto" w:sz="4" w:space="0"/>
              <w:left w:val="single" w:color="auto" w:sz="4" w:space="0"/>
              <w:bottom w:val="single" w:color="auto" w:sz="4" w:space="0"/>
              <w:right w:val="single" w:color="auto" w:sz="4" w:space="0"/>
            </w:tcBorders>
            <w:vAlign w:val="center"/>
          </w:tcPr>
          <w:p w14:paraId="515EFE49">
            <w:pPr>
              <w:snapToGrid w:val="0"/>
              <w:spacing w:line="360" w:lineRule="auto"/>
              <w:ind w:left="0" w:leftChars="0"/>
              <w:jc w:val="center"/>
              <w:rPr>
                <w:rFonts w:hint="eastAsia" w:ascii="宋体" w:hAnsi="宋体" w:eastAsia="宋体" w:cs="宋体"/>
                <w:color w:val="auto"/>
                <w:sz w:val="21"/>
                <w:szCs w:val="21"/>
                <w:highlight w:val="none"/>
              </w:rPr>
            </w:pPr>
          </w:p>
        </w:tc>
        <w:tc>
          <w:tcPr>
            <w:tcW w:w="798" w:type="pct"/>
            <w:tcBorders>
              <w:top w:val="single" w:color="auto" w:sz="4" w:space="0"/>
              <w:left w:val="single" w:color="auto" w:sz="4" w:space="0"/>
              <w:bottom w:val="single" w:color="auto" w:sz="4" w:space="0"/>
              <w:right w:val="single" w:color="auto" w:sz="4" w:space="0"/>
            </w:tcBorders>
            <w:vAlign w:val="center"/>
          </w:tcPr>
          <w:p w14:paraId="0D650602">
            <w:pPr>
              <w:snapToGrid w:val="0"/>
              <w:spacing w:line="360" w:lineRule="auto"/>
              <w:ind w:left="0" w:leftChars="0"/>
              <w:jc w:val="center"/>
              <w:rPr>
                <w:rFonts w:hint="eastAsia" w:ascii="宋体" w:hAnsi="宋体" w:eastAsia="宋体" w:cs="宋体"/>
                <w:color w:val="auto"/>
                <w:sz w:val="21"/>
                <w:szCs w:val="21"/>
                <w:highlight w:val="none"/>
              </w:rPr>
            </w:pPr>
          </w:p>
        </w:tc>
        <w:tc>
          <w:tcPr>
            <w:tcW w:w="636" w:type="pct"/>
            <w:tcBorders>
              <w:top w:val="single" w:color="auto" w:sz="4" w:space="0"/>
              <w:left w:val="single" w:color="auto" w:sz="4" w:space="0"/>
              <w:bottom w:val="single" w:color="auto" w:sz="4" w:space="0"/>
              <w:right w:val="single" w:color="auto" w:sz="4" w:space="0"/>
            </w:tcBorders>
            <w:vAlign w:val="center"/>
          </w:tcPr>
          <w:p w14:paraId="6A0E37DE">
            <w:pPr>
              <w:snapToGrid w:val="0"/>
              <w:spacing w:line="360" w:lineRule="auto"/>
              <w:ind w:left="0" w:leftChars="0"/>
              <w:jc w:val="center"/>
              <w:rPr>
                <w:rFonts w:hint="eastAsia" w:ascii="宋体" w:hAnsi="宋体" w:eastAsia="宋体" w:cs="宋体"/>
                <w:color w:val="auto"/>
                <w:sz w:val="21"/>
                <w:szCs w:val="21"/>
                <w:highlight w:val="none"/>
              </w:rPr>
            </w:pPr>
          </w:p>
        </w:tc>
      </w:tr>
      <w:tr w14:paraId="7CA3C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pct"/>
          <w:jc w:val="center"/>
        </w:trPr>
        <w:tc>
          <w:tcPr>
            <w:tcW w:w="449" w:type="pct"/>
            <w:tcBorders>
              <w:top w:val="single" w:color="auto" w:sz="4" w:space="0"/>
              <w:left w:val="single" w:color="auto" w:sz="4" w:space="0"/>
              <w:bottom w:val="single" w:color="auto" w:sz="4" w:space="0"/>
              <w:right w:val="single" w:color="auto" w:sz="4" w:space="0"/>
            </w:tcBorders>
            <w:vAlign w:val="center"/>
          </w:tcPr>
          <w:p w14:paraId="61310086">
            <w:pPr>
              <w:snapToGrid w:val="0"/>
              <w:spacing w:line="360" w:lineRule="auto"/>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642" w:type="pct"/>
            <w:tcBorders>
              <w:top w:val="single" w:color="auto" w:sz="4" w:space="0"/>
              <w:left w:val="single" w:color="auto" w:sz="4" w:space="0"/>
              <w:bottom w:val="single" w:color="auto" w:sz="4" w:space="0"/>
              <w:right w:val="single" w:color="auto" w:sz="4" w:space="0"/>
            </w:tcBorders>
            <w:vAlign w:val="center"/>
          </w:tcPr>
          <w:p w14:paraId="5E4F5BCA">
            <w:pPr>
              <w:snapToGrid w:val="0"/>
              <w:spacing w:line="360" w:lineRule="auto"/>
              <w:ind w:left="0" w:leftChars="0"/>
              <w:jc w:val="center"/>
              <w:rPr>
                <w:rFonts w:hint="eastAsia" w:ascii="宋体" w:hAnsi="宋体" w:eastAsia="宋体" w:cs="宋体"/>
                <w:color w:val="auto"/>
                <w:sz w:val="21"/>
                <w:szCs w:val="21"/>
                <w:highlight w:val="none"/>
              </w:rPr>
            </w:pPr>
          </w:p>
        </w:tc>
        <w:tc>
          <w:tcPr>
            <w:tcW w:w="813" w:type="pct"/>
            <w:tcBorders>
              <w:top w:val="single" w:color="auto" w:sz="4" w:space="0"/>
              <w:left w:val="single" w:color="auto" w:sz="4" w:space="0"/>
              <w:bottom w:val="single" w:color="auto" w:sz="4" w:space="0"/>
              <w:right w:val="single" w:color="auto" w:sz="4" w:space="0"/>
            </w:tcBorders>
            <w:vAlign w:val="center"/>
          </w:tcPr>
          <w:p w14:paraId="3E21F667">
            <w:pPr>
              <w:snapToGrid w:val="0"/>
              <w:spacing w:line="360" w:lineRule="auto"/>
              <w:ind w:left="0" w:leftChars="0"/>
              <w:jc w:val="center"/>
              <w:rPr>
                <w:rFonts w:hint="eastAsia" w:ascii="宋体" w:hAnsi="宋体" w:eastAsia="宋体" w:cs="宋体"/>
                <w:color w:val="auto"/>
                <w:sz w:val="21"/>
                <w:szCs w:val="21"/>
                <w:highlight w:val="none"/>
              </w:rPr>
            </w:pPr>
          </w:p>
        </w:tc>
        <w:tc>
          <w:tcPr>
            <w:tcW w:w="653" w:type="pct"/>
            <w:tcBorders>
              <w:top w:val="single" w:color="auto" w:sz="4" w:space="0"/>
              <w:left w:val="single" w:color="auto" w:sz="4" w:space="0"/>
              <w:bottom w:val="single" w:color="auto" w:sz="4" w:space="0"/>
              <w:right w:val="single" w:color="auto" w:sz="4" w:space="0"/>
            </w:tcBorders>
            <w:vAlign w:val="center"/>
          </w:tcPr>
          <w:p w14:paraId="1E80EEAD">
            <w:pPr>
              <w:snapToGrid w:val="0"/>
              <w:spacing w:line="360" w:lineRule="auto"/>
              <w:ind w:left="0" w:leftChars="0"/>
              <w:jc w:val="center"/>
              <w:rPr>
                <w:rFonts w:hint="eastAsia" w:ascii="宋体" w:hAnsi="宋体" w:eastAsia="宋体" w:cs="宋体"/>
                <w:color w:val="auto"/>
                <w:sz w:val="21"/>
                <w:szCs w:val="21"/>
                <w:highlight w:val="none"/>
              </w:rPr>
            </w:pPr>
          </w:p>
        </w:tc>
        <w:tc>
          <w:tcPr>
            <w:tcW w:w="798" w:type="pct"/>
            <w:tcBorders>
              <w:top w:val="single" w:color="auto" w:sz="4" w:space="0"/>
              <w:left w:val="single" w:color="auto" w:sz="4" w:space="0"/>
              <w:bottom w:val="single" w:color="auto" w:sz="4" w:space="0"/>
              <w:right w:val="single" w:color="auto" w:sz="4" w:space="0"/>
            </w:tcBorders>
            <w:vAlign w:val="center"/>
          </w:tcPr>
          <w:p w14:paraId="792B7E34">
            <w:pPr>
              <w:snapToGrid w:val="0"/>
              <w:spacing w:line="360" w:lineRule="auto"/>
              <w:ind w:left="0" w:leftChars="0"/>
              <w:jc w:val="center"/>
              <w:rPr>
                <w:rFonts w:hint="eastAsia" w:ascii="宋体" w:hAnsi="宋体" w:eastAsia="宋体" w:cs="宋体"/>
                <w:color w:val="auto"/>
                <w:sz w:val="21"/>
                <w:szCs w:val="21"/>
                <w:highlight w:val="none"/>
              </w:rPr>
            </w:pPr>
          </w:p>
        </w:tc>
        <w:tc>
          <w:tcPr>
            <w:tcW w:w="636" w:type="pct"/>
            <w:tcBorders>
              <w:top w:val="single" w:color="auto" w:sz="4" w:space="0"/>
              <w:left w:val="single" w:color="auto" w:sz="4" w:space="0"/>
              <w:bottom w:val="single" w:color="auto" w:sz="4" w:space="0"/>
              <w:right w:val="single" w:color="auto" w:sz="4" w:space="0"/>
            </w:tcBorders>
            <w:vAlign w:val="center"/>
          </w:tcPr>
          <w:p w14:paraId="465BA929">
            <w:pPr>
              <w:snapToGrid w:val="0"/>
              <w:spacing w:line="360" w:lineRule="auto"/>
              <w:ind w:left="0" w:leftChars="0"/>
              <w:jc w:val="center"/>
              <w:rPr>
                <w:rFonts w:hint="eastAsia" w:ascii="宋体" w:hAnsi="宋体" w:eastAsia="宋体" w:cs="宋体"/>
                <w:color w:val="auto"/>
                <w:sz w:val="21"/>
                <w:szCs w:val="21"/>
                <w:highlight w:val="none"/>
              </w:rPr>
            </w:pPr>
          </w:p>
        </w:tc>
      </w:tr>
      <w:tr w14:paraId="428BD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pct"/>
          <w:jc w:val="center"/>
        </w:trPr>
        <w:tc>
          <w:tcPr>
            <w:tcW w:w="449" w:type="pct"/>
            <w:tcBorders>
              <w:top w:val="single" w:color="auto" w:sz="4" w:space="0"/>
              <w:left w:val="single" w:color="auto" w:sz="4" w:space="0"/>
              <w:bottom w:val="single" w:color="auto" w:sz="4" w:space="0"/>
              <w:right w:val="single" w:color="auto" w:sz="4" w:space="0"/>
            </w:tcBorders>
            <w:vAlign w:val="center"/>
          </w:tcPr>
          <w:p w14:paraId="0557CB79">
            <w:pPr>
              <w:snapToGrid w:val="0"/>
              <w:spacing w:line="360" w:lineRule="auto"/>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642" w:type="pct"/>
            <w:tcBorders>
              <w:top w:val="single" w:color="auto" w:sz="4" w:space="0"/>
              <w:left w:val="single" w:color="auto" w:sz="4" w:space="0"/>
              <w:bottom w:val="single" w:color="auto" w:sz="4" w:space="0"/>
              <w:right w:val="single" w:color="auto" w:sz="4" w:space="0"/>
            </w:tcBorders>
            <w:vAlign w:val="center"/>
          </w:tcPr>
          <w:p w14:paraId="2D233F34">
            <w:pPr>
              <w:snapToGrid w:val="0"/>
              <w:spacing w:line="360" w:lineRule="auto"/>
              <w:ind w:left="0" w:leftChars="0"/>
              <w:jc w:val="center"/>
              <w:rPr>
                <w:rFonts w:hint="eastAsia" w:ascii="宋体" w:hAnsi="宋体" w:eastAsia="宋体" w:cs="宋体"/>
                <w:color w:val="auto"/>
                <w:sz w:val="21"/>
                <w:szCs w:val="21"/>
                <w:highlight w:val="none"/>
              </w:rPr>
            </w:pPr>
          </w:p>
        </w:tc>
        <w:tc>
          <w:tcPr>
            <w:tcW w:w="813" w:type="pct"/>
            <w:tcBorders>
              <w:top w:val="single" w:color="auto" w:sz="4" w:space="0"/>
              <w:left w:val="single" w:color="auto" w:sz="4" w:space="0"/>
              <w:bottom w:val="single" w:color="auto" w:sz="4" w:space="0"/>
              <w:right w:val="single" w:color="auto" w:sz="4" w:space="0"/>
            </w:tcBorders>
            <w:vAlign w:val="center"/>
          </w:tcPr>
          <w:p w14:paraId="32EEB95F">
            <w:pPr>
              <w:snapToGrid w:val="0"/>
              <w:spacing w:line="360" w:lineRule="auto"/>
              <w:ind w:left="0" w:leftChars="0"/>
              <w:jc w:val="center"/>
              <w:rPr>
                <w:rFonts w:hint="eastAsia" w:ascii="宋体" w:hAnsi="宋体" w:eastAsia="宋体" w:cs="宋体"/>
                <w:color w:val="auto"/>
                <w:sz w:val="21"/>
                <w:szCs w:val="21"/>
                <w:highlight w:val="none"/>
              </w:rPr>
            </w:pPr>
          </w:p>
        </w:tc>
        <w:tc>
          <w:tcPr>
            <w:tcW w:w="653" w:type="pct"/>
            <w:tcBorders>
              <w:top w:val="single" w:color="auto" w:sz="4" w:space="0"/>
              <w:left w:val="single" w:color="auto" w:sz="4" w:space="0"/>
              <w:bottom w:val="single" w:color="auto" w:sz="4" w:space="0"/>
              <w:right w:val="single" w:color="auto" w:sz="4" w:space="0"/>
            </w:tcBorders>
            <w:vAlign w:val="center"/>
          </w:tcPr>
          <w:p w14:paraId="422C589C">
            <w:pPr>
              <w:snapToGrid w:val="0"/>
              <w:spacing w:line="360" w:lineRule="auto"/>
              <w:ind w:left="0" w:leftChars="0"/>
              <w:jc w:val="center"/>
              <w:rPr>
                <w:rFonts w:hint="eastAsia" w:ascii="宋体" w:hAnsi="宋体" w:eastAsia="宋体" w:cs="宋体"/>
                <w:color w:val="auto"/>
                <w:sz w:val="21"/>
                <w:szCs w:val="21"/>
                <w:highlight w:val="none"/>
              </w:rPr>
            </w:pPr>
          </w:p>
        </w:tc>
        <w:tc>
          <w:tcPr>
            <w:tcW w:w="798" w:type="pct"/>
            <w:tcBorders>
              <w:top w:val="single" w:color="auto" w:sz="4" w:space="0"/>
              <w:left w:val="single" w:color="auto" w:sz="4" w:space="0"/>
              <w:bottom w:val="single" w:color="auto" w:sz="4" w:space="0"/>
              <w:right w:val="single" w:color="auto" w:sz="4" w:space="0"/>
            </w:tcBorders>
            <w:vAlign w:val="center"/>
          </w:tcPr>
          <w:p w14:paraId="45448C14">
            <w:pPr>
              <w:snapToGrid w:val="0"/>
              <w:spacing w:line="360" w:lineRule="auto"/>
              <w:ind w:left="0" w:leftChars="0"/>
              <w:jc w:val="center"/>
              <w:rPr>
                <w:rFonts w:hint="eastAsia" w:ascii="宋体" w:hAnsi="宋体" w:eastAsia="宋体" w:cs="宋体"/>
                <w:color w:val="auto"/>
                <w:sz w:val="21"/>
                <w:szCs w:val="21"/>
                <w:highlight w:val="none"/>
              </w:rPr>
            </w:pPr>
          </w:p>
        </w:tc>
        <w:tc>
          <w:tcPr>
            <w:tcW w:w="636" w:type="pct"/>
            <w:tcBorders>
              <w:top w:val="single" w:color="auto" w:sz="4" w:space="0"/>
              <w:left w:val="single" w:color="auto" w:sz="4" w:space="0"/>
              <w:bottom w:val="single" w:color="auto" w:sz="4" w:space="0"/>
              <w:right w:val="single" w:color="auto" w:sz="4" w:space="0"/>
            </w:tcBorders>
            <w:vAlign w:val="center"/>
          </w:tcPr>
          <w:p w14:paraId="2E223E46">
            <w:pPr>
              <w:snapToGrid w:val="0"/>
              <w:spacing w:line="360" w:lineRule="auto"/>
              <w:ind w:left="0" w:leftChars="0"/>
              <w:jc w:val="center"/>
              <w:rPr>
                <w:rFonts w:hint="eastAsia" w:ascii="宋体" w:hAnsi="宋体" w:eastAsia="宋体" w:cs="宋体"/>
                <w:color w:val="auto"/>
                <w:sz w:val="21"/>
                <w:szCs w:val="21"/>
                <w:highlight w:val="none"/>
              </w:rPr>
            </w:pPr>
          </w:p>
        </w:tc>
      </w:tr>
      <w:tr w14:paraId="45039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pct"/>
          <w:jc w:val="center"/>
        </w:trPr>
        <w:tc>
          <w:tcPr>
            <w:tcW w:w="2092" w:type="pct"/>
            <w:gridSpan w:val="2"/>
            <w:tcBorders>
              <w:top w:val="single" w:color="auto" w:sz="4" w:space="0"/>
              <w:left w:val="single" w:color="auto" w:sz="4" w:space="0"/>
              <w:bottom w:val="single" w:color="auto" w:sz="4" w:space="0"/>
              <w:right w:val="single" w:color="auto" w:sz="4" w:space="0"/>
            </w:tcBorders>
            <w:vAlign w:val="center"/>
          </w:tcPr>
          <w:p w14:paraId="565BF5F3">
            <w:pPr>
              <w:snapToGrid w:val="0"/>
              <w:spacing w:line="360" w:lineRule="auto"/>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发票金额合计（单位：万元）</w:t>
            </w:r>
          </w:p>
        </w:tc>
        <w:tc>
          <w:tcPr>
            <w:tcW w:w="813" w:type="pct"/>
            <w:tcBorders>
              <w:top w:val="single" w:color="auto" w:sz="4" w:space="0"/>
              <w:left w:val="single" w:color="auto" w:sz="4" w:space="0"/>
              <w:bottom w:val="single" w:color="auto" w:sz="4" w:space="0"/>
              <w:right w:val="single" w:color="auto" w:sz="4" w:space="0"/>
            </w:tcBorders>
            <w:vAlign w:val="center"/>
          </w:tcPr>
          <w:p w14:paraId="0C0886ED">
            <w:pPr>
              <w:snapToGrid w:val="0"/>
              <w:spacing w:line="360" w:lineRule="auto"/>
              <w:ind w:left="0" w:leftChars="0"/>
              <w:jc w:val="center"/>
              <w:rPr>
                <w:rFonts w:hint="eastAsia" w:ascii="宋体" w:hAnsi="宋体" w:eastAsia="宋体" w:cs="宋体"/>
                <w:color w:val="auto"/>
                <w:sz w:val="21"/>
                <w:szCs w:val="21"/>
                <w:highlight w:val="none"/>
              </w:rPr>
            </w:pPr>
          </w:p>
        </w:tc>
        <w:tc>
          <w:tcPr>
            <w:tcW w:w="653" w:type="pct"/>
            <w:tcBorders>
              <w:top w:val="single" w:color="auto" w:sz="4" w:space="0"/>
              <w:left w:val="single" w:color="auto" w:sz="4" w:space="0"/>
              <w:bottom w:val="single" w:color="auto" w:sz="4" w:space="0"/>
              <w:right w:val="single" w:color="auto" w:sz="4" w:space="0"/>
            </w:tcBorders>
            <w:vAlign w:val="center"/>
          </w:tcPr>
          <w:p w14:paraId="488F489C">
            <w:pPr>
              <w:snapToGrid w:val="0"/>
              <w:spacing w:line="360" w:lineRule="auto"/>
              <w:ind w:left="0" w:leftChars="0"/>
              <w:jc w:val="center"/>
              <w:rPr>
                <w:rFonts w:hint="eastAsia" w:ascii="宋体" w:hAnsi="宋体" w:eastAsia="宋体" w:cs="宋体"/>
                <w:color w:val="auto"/>
                <w:sz w:val="21"/>
                <w:szCs w:val="21"/>
                <w:highlight w:val="none"/>
              </w:rPr>
            </w:pPr>
          </w:p>
        </w:tc>
        <w:tc>
          <w:tcPr>
            <w:tcW w:w="798" w:type="pct"/>
            <w:tcBorders>
              <w:top w:val="single" w:color="auto" w:sz="4" w:space="0"/>
              <w:left w:val="single" w:color="auto" w:sz="4" w:space="0"/>
              <w:bottom w:val="single" w:color="auto" w:sz="4" w:space="0"/>
              <w:right w:val="single" w:color="auto" w:sz="4" w:space="0"/>
            </w:tcBorders>
            <w:vAlign w:val="center"/>
          </w:tcPr>
          <w:p w14:paraId="6426A473">
            <w:pPr>
              <w:snapToGrid w:val="0"/>
              <w:spacing w:line="360" w:lineRule="auto"/>
              <w:ind w:left="0" w:leftChars="0"/>
              <w:jc w:val="center"/>
              <w:rPr>
                <w:rFonts w:hint="eastAsia" w:ascii="宋体" w:hAnsi="宋体" w:eastAsia="宋体" w:cs="宋体"/>
                <w:color w:val="auto"/>
                <w:sz w:val="21"/>
                <w:szCs w:val="21"/>
                <w:highlight w:val="none"/>
              </w:rPr>
            </w:pPr>
          </w:p>
        </w:tc>
        <w:tc>
          <w:tcPr>
            <w:tcW w:w="636" w:type="pct"/>
            <w:tcBorders>
              <w:top w:val="single" w:color="auto" w:sz="4" w:space="0"/>
              <w:left w:val="single" w:color="auto" w:sz="4" w:space="0"/>
              <w:bottom w:val="single" w:color="auto" w:sz="4" w:space="0"/>
              <w:right w:val="single" w:color="auto" w:sz="4" w:space="0"/>
            </w:tcBorders>
            <w:vAlign w:val="center"/>
          </w:tcPr>
          <w:p w14:paraId="2A20B92C">
            <w:pPr>
              <w:snapToGrid w:val="0"/>
              <w:spacing w:line="360" w:lineRule="auto"/>
              <w:ind w:left="0" w:leftChars="0"/>
              <w:jc w:val="center"/>
              <w:rPr>
                <w:rFonts w:hint="eastAsia" w:ascii="宋体" w:hAnsi="宋体" w:eastAsia="宋体" w:cs="宋体"/>
                <w:color w:val="auto"/>
                <w:sz w:val="21"/>
                <w:szCs w:val="21"/>
                <w:highlight w:val="none"/>
              </w:rPr>
            </w:pPr>
          </w:p>
        </w:tc>
      </w:tr>
    </w:tbl>
    <w:p w14:paraId="3C3BD59C">
      <w:pPr>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备注：</w:t>
      </w:r>
    </w:p>
    <w:p w14:paraId="03BEC5E5">
      <w:pPr>
        <w:ind w:left="525" w:hanging="525" w:hangingChars="25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（1）投标人提供框架式协议或资格入围无明确金额的合同时，须同时提供本统计表及供货发票复印件，本统计表及供货发票复印件应后附于合同复印件；</w:t>
      </w:r>
    </w:p>
    <w:p w14:paraId="6EEC1623">
      <w:pPr>
        <w:ind w:left="525" w:hanging="525" w:hangingChars="25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（2）发票抬头应为合同买方，收款人应为投标人，且发票名目、所属时期应与合同约定内容一致，否则不计分；</w:t>
      </w:r>
    </w:p>
    <w:p w14:paraId="2D6CE9DB">
      <w:pPr>
        <w:ind w:left="525" w:hanging="525" w:hangingChars="25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（3）发票合计金额视为投标人所提供该项供货业绩的供货金额，并按此金额进行评审。</w:t>
      </w:r>
    </w:p>
    <w:p w14:paraId="3406FDF6">
      <w:pPr>
        <w:rPr>
          <w:rFonts w:hint="eastAsia" w:ascii="宋体" w:hAnsi="宋体" w:eastAsia="宋体" w:cs="宋体"/>
          <w:color w:val="auto"/>
          <w:highlight w:val="none"/>
          <w:lang w:val="zh-CN"/>
        </w:rPr>
      </w:pPr>
      <w:bookmarkStart w:id="1017" w:name="_Toc102860083"/>
      <w:bookmarkStart w:id="1018" w:name="_Toc94107220"/>
      <w:bookmarkStart w:id="1019" w:name="_Toc533708132"/>
      <w:bookmarkStart w:id="1020" w:name="_Toc102860427"/>
      <w:bookmarkStart w:id="1021" w:name="_Toc140596938"/>
      <w:bookmarkStart w:id="1022" w:name="_Toc11745"/>
      <w:bookmarkStart w:id="1023" w:name="_Toc104991885"/>
      <w:bookmarkStart w:id="1024" w:name="_Toc486167719"/>
      <w:bookmarkStart w:id="1025" w:name="_Toc1977737"/>
      <w:bookmarkStart w:id="1026" w:name="_Toc169169447"/>
      <w:bookmarkStart w:id="1027" w:name="_Toc13822"/>
      <w:bookmarkStart w:id="1028" w:name="_Toc18175_WPSOffice_Level2"/>
      <w:bookmarkStart w:id="1029" w:name="_Toc142508378"/>
    </w:p>
    <w:p w14:paraId="66DE0C3C">
      <w:pPr>
        <w:rPr>
          <w:rFonts w:hint="eastAsia" w:ascii="宋体" w:hAnsi="宋体" w:eastAsia="宋体" w:cs="宋体"/>
          <w:color w:val="auto"/>
          <w:sz w:val="28"/>
          <w:szCs w:val="36"/>
          <w:highlight w:val="none"/>
          <w:lang w:val="zh-CN"/>
        </w:rPr>
      </w:pPr>
      <w:bookmarkStart w:id="1030" w:name="_Toc31553"/>
      <w:bookmarkStart w:id="1031" w:name="_Toc7278"/>
      <w:r>
        <w:rPr>
          <w:rFonts w:hint="eastAsia" w:ascii="宋体" w:hAnsi="宋体" w:eastAsia="宋体" w:cs="宋体"/>
          <w:color w:val="auto"/>
          <w:sz w:val="28"/>
          <w:szCs w:val="36"/>
          <w:highlight w:val="none"/>
          <w:lang w:val="zh-CN"/>
        </w:rPr>
        <w:br w:type="page"/>
      </w:r>
    </w:p>
    <w:p w14:paraId="4B599F82">
      <w:pPr>
        <w:pStyle w:val="3"/>
        <w:rPr>
          <w:rFonts w:hint="eastAsia" w:ascii="宋体" w:hAnsi="宋体" w:eastAsia="宋体" w:cs="宋体"/>
          <w:color w:val="auto"/>
          <w:sz w:val="28"/>
          <w:szCs w:val="36"/>
          <w:highlight w:val="none"/>
          <w:lang w:val="zh-CN"/>
        </w:rPr>
      </w:pPr>
      <w:bookmarkStart w:id="1032" w:name="_Toc3737"/>
      <w:bookmarkStart w:id="1033" w:name="_Toc32380"/>
      <w:bookmarkStart w:id="1034" w:name="_Toc10297"/>
      <w:bookmarkStart w:id="1035" w:name="_Toc18984"/>
      <w:bookmarkStart w:id="1036" w:name="_Toc20957"/>
      <w:r>
        <w:rPr>
          <w:rFonts w:hint="eastAsia" w:ascii="宋体" w:hAnsi="宋体" w:eastAsia="宋体" w:cs="宋体"/>
          <w:color w:val="auto"/>
          <w:sz w:val="28"/>
          <w:szCs w:val="36"/>
          <w:highlight w:val="none"/>
          <w:lang w:val="zh-CN"/>
        </w:rPr>
        <w:t>十、中标服务费承诺书</w:t>
      </w:r>
    </w:p>
    <w:p w14:paraId="72BFC89D">
      <w:pPr>
        <w:spacing w:line="360" w:lineRule="auto"/>
        <w:jc w:val="center"/>
        <w:outlineLvl w:val="9"/>
        <w:rPr>
          <w:rFonts w:hint="eastAsia" w:ascii="宋体" w:hAnsi="宋体" w:eastAsia="宋体" w:cs="宋体"/>
          <w:b/>
          <w:bCs/>
          <w:color w:val="auto"/>
          <w:kern w:val="2"/>
          <w:sz w:val="30"/>
          <w:szCs w:val="30"/>
          <w:highlight w:val="none"/>
          <w:lang w:val="zh-CN"/>
        </w:rPr>
      </w:pPr>
      <w:r>
        <w:rPr>
          <w:rFonts w:hint="eastAsia" w:ascii="宋体" w:hAnsi="宋体" w:eastAsia="宋体" w:cs="宋体"/>
          <w:b/>
          <w:bCs/>
          <w:color w:val="auto"/>
          <w:kern w:val="2"/>
          <w:sz w:val="30"/>
          <w:szCs w:val="30"/>
          <w:highlight w:val="none"/>
          <w:lang w:val="zh-CN"/>
        </w:rPr>
        <w:t>中标服务费承诺书</w:t>
      </w:r>
    </w:p>
    <w:p w14:paraId="65746C64">
      <w:pPr>
        <w:spacing w:line="360" w:lineRule="auto"/>
        <w:jc w:val="both"/>
        <w:outlineLvl w:val="9"/>
        <w:rPr>
          <w:rFonts w:hint="eastAsia" w:ascii="宋体" w:hAnsi="宋体" w:eastAsia="宋体" w:cs="宋体"/>
          <w:b/>
          <w:bCs/>
          <w:color w:val="auto"/>
          <w:kern w:val="2"/>
          <w:highlight w:val="none"/>
          <w:lang w:val="zh-CN"/>
        </w:rPr>
      </w:pPr>
    </w:p>
    <w:p w14:paraId="76484A54">
      <w:pPr>
        <w:spacing w:line="360" w:lineRule="auto"/>
        <w:jc w:val="both"/>
        <w:outlineLvl w:val="9"/>
        <w:rPr>
          <w:rFonts w:hint="eastAsia" w:ascii="宋体" w:hAnsi="宋体" w:eastAsia="宋体" w:cs="宋体"/>
          <w:b/>
          <w:bCs/>
          <w:color w:val="auto"/>
          <w:kern w:val="2"/>
          <w:sz w:val="21"/>
          <w:szCs w:val="21"/>
          <w:highlight w:val="none"/>
          <w:lang w:val="zh-CN"/>
        </w:rPr>
      </w:pPr>
      <w:r>
        <w:rPr>
          <w:rFonts w:hint="eastAsia" w:ascii="宋体" w:hAnsi="宋体" w:eastAsia="宋体" w:cs="宋体"/>
          <w:b/>
          <w:bCs/>
          <w:color w:val="auto"/>
          <w:kern w:val="2"/>
          <w:sz w:val="21"/>
          <w:szCs w:val="21"/>
          <w:highlight w:val="none"/>
          <w:lang w:val="zh-CN"/>
        </w:rPr>
        <w:t>致：广东有德招标采购有限公司</w:t>
      </w:r>
    </w:p>
    <w:p w14:paraId="6D1BB849">
      <w:pPr>
        <w:spacing w:line="360" w:lineRule="auto"/>
        <w:ind w:right="893"/>
        <w:jc w:val="both"/>
        <w:outlineLvl w:val="9"/>
        <w:rPr>
          <w:rFonts w:hint="eastAsia" w:ascii="宋体" w:hAnsi="宋体" w:eastAsia="宋体" w:cs="宋体"/>
          <w:color w:val="auto"/>
          <w:kern w:val="2"/>
          <w:sz w:val="21"/>
          <w:szCs w:val="21"/>
          <w:highlight w:val="none"/>
          <w:lang w:val="zh-CN"/>
        </w:rPr>
      </w:pPr>
    </w:p>
    <w:p w14:paraId="07DB85D5">
      <w:pPr>
        <w:tabs>
          <w:tab w:val="left" w:pos="-142"/>
        </w:tabs>
        <w:spacing w:line="360" w:lineRule="auto"/>
        <w:ind w:left="-31" w:leftChars="-15" w:right="18" w:firstLine="457" w:firstLineChars="218"/>
        <w:jc w:val="both"/>
        <w:outlineLvl w:val="9"/>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在贵司代理的</w:t>
      </w:r>
      <w:r>
        <w:rPr>
          <w:rFonts w:hint="eastAsia" w:cs="宋体"/>
          <w:b w:val="0"/>
          <w:bCs w:val="0"/>
          <w:color w:val="auto"/>
          <w:kern w:val="2"/>
          <w:sz w:val="21"/>
          <w:szCs w:val="22"/>
          <w:highlight w:val="none"/>
          <w:lang w:val="zh-CN"/>
        </w:rPr>
        <w:t>东莞市碧水信息科技有限公司2025年度球墨铸铁阀门采购项目（第三次招标）</w:t>
      </w:r>
      <w:r>
        <w:rPr>
          <w:rFonts w:hint="eastAsia" w:ascii="宋体" w:hAnsi="宋体" w:eastAsia="宋体" w:cs="宋体"/>
          <w:color w:val="auto"/>
          <w:kern w:val="2"/>
          <w:sz w:val="21"/>
          <w:szCs w:val="21"/>
          <w:highlight w:val="none"/>
          <w:lang w:val="zh-CN"/>
        </w:rPr>
        <w:t>（招标编号：</w:t>
      </w:r>
      <w:r>
        <w:rPr>
          <w:rFonts w:hint="eastAsia" w:cs="宋体"/>
          <w:color w:val="auto"/>
          <w:szCs w:val="21"/>
          <w:highlight w:val="none"/>
          <w:lang w:val="en-US" w:eastAsia="zh-CN"/>
        </w:rPr>
        <w:t>YDZB25DGQY0149-2</w:t>
      </w:r>
      <w:r>
        <w:rPr>
          <w:rFonts w:hint="eastAsia" w:ascii="宋体" w:hAnsi="宋体" w:eastAsia="宋体" w:cs="宋体"/>
          <w:color w:val="auto"/>
          <w:kern w:val="2"/>
          <w:sz w:val="21"/>
          <w:szCs w:val="21"/>
          <w:highlight w:val="none"/>
          <w:lang w:val="zh-CN"/>
        </w:rPr>
        <w:t>）</w:t>
      </w:r>
      <w:r>
        <w:rPr>
          <w:rFonts w:hint="eastAsia" w:ascii="宋体" w:hAnsi="宋体" w:eastAsia="宋体" w:cs="宋体"/>
          <w:color w:val="auto"/>
          <w:kern w:val="2"/>
          <w:sz w:val="21"/>
          <w:highlight w:val="none"/>
          <w:lang w:val="zh-CN"/>
        </w:rPr>
        <w:t>招标中，我司如获中标，保证在领取中标通知书原件之</w:t>
      </w:r>
      <w:r>
        <w:rPr>
          <w:rFonts w:hint="eastAsia" w:ascii="宋体" w:hAnsi="宋体" w:eastAsia="宋体" w:cs="宋体"/>
          <w:color w:val="auto"/>
          <w:kern w:val="2"/>
          <w:sz w:val="21"/>
          <w:highlight w:val="none"/>
        </w:rPr>
        <w:t>前</w:t>
      </w:r>
      <w:r>
        <w:rPr>
          <w:rFonts w:hint="eastAsia" w:ascii="宋体" w:hAnsi="宋体" w:eastAsia="宋体" w:cs="宋体"/>
          <w:color w:val="auto"/>
          <w:kern w:val="2"/>
          <w:sz w:val="21"/>
          <w:highlight w:val="none"/>
          <w:lang w:val="zh-CN"/>
        </w:rPr>
        <w:t>按招标文件的规定向贵</w:t>
      </w:r>
      <w:r>
        <w:rPr>
          <w:rFonts w:hint="eastAsia" w:ascii="宋体" w:hAnsi="宋体" w:eastAsia="宋体" w:cs="宋体"/>
          <w:color w:val="auto"/>
          <w:kern w:val="2"/>
          <w:sz w:val="21"/>
          <w:szCs w:val="21"/>
          <w:highlight w:val="none"/>
          <w:lang w:val="zh-CN"/>
        </w:rPr>
        <w:t>司即广东有德招标采购有限公司指定的银行账号，一次性交纳中标服务费</w:t>
      </w:r>
      <w:r>
        <w:rPr>
          <w:rFonts w:hint="eastAsia" w:ascii="宋体" w:hAnsi="宋体" w:eastAsia="宋体" w:cs="宋体"/>
          <w:color w:val="auto"/>
          <w:kern w:val="2"/>
          <w:sz w:val="21"/>
          <w:highlight w:val="none"/>
          <w:lang w:val="zh-CN"/>
        </w:rPr>
        <w:t>。</w:t>
      </w:r>
    </w:p>
    <w:p w14:paraId="65736625">
      <w:pPr>
        <w:spacing w:line="360" w:lineRule="auto"/>
        <w:ind w:right="893"/>
        <w:jc w:val="both"/>
        <w:outlineLvl w:val="9"/>
        <w:rPr>
          <w:rFonts w:hint="eastAsia" w:ascii="宋体" w:hAnsi="宋体" w:eastAsia="宋体" w:cs="宋体"/>
          <w:color w:val="auto"/>
          <w:kern w:val="2"/>
          <w:sz w:val="21"/>
          <w:szCs w:val="21"/>
          <w:highlight w:val="none"/>
          <w:lang w:val="zh-CN"/>
        </w:rPr>
      </w:pPr>
    </w:p>
    <w:p w14:paraId="07D57B0F">
      <w:pPr>
        <w:spacing w:line="360" w:lineRule="auto"/>
        <w:ind w:right="893" w:firstLine="480"/>
        <w:jc w:val="both"/>
        <w:outlineLvl w:val="9"/>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特此承诺。</w:t>
      </w:r>
    </w:p>
    <w:p w14:paraId="44499F98">
      <w:pPr>
        <w:spacing w:line="360" w:lineRule="auto"/>
        <w:ind w:right="893"/>
        <w:jc w:val="both"/>
        <w:outlineLvl w:val="9"/>
        <w:rPr>
          <w:rFonts w:hint="eastAsia" w:ascii="宋体" w:hAnsi="宋体" w:eastAsia="宋体" w:cs="宋体"/>
          <w:color w:val="auto"/>
          <w:kern w:val="2"/>
          <w:sz w:val="21"/>
          <w:highlight w:val="none"/>
          <w:lang w:val="zh-CN"/>
        </w:rPr>
      </w:pPr>
    </w:p>
    <w:p w14:paraId="5B5A9F03">
      <w:pPr>
        <w:spacing w:line="360" w:lineRule="auto"/>
        <w:ind w:right="893"/>
        <w:jc w:val="both"/>
        <w:outlineLvl w:val="9"/>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地址：</w:t>
      </w:r>
      <w:r>
        <w:rPr>
          <w:rFonts w:hint="eastAsia" w:ascii="宋体" w:hAnsi="宋体" w:eastAsia="宋体" w:cs="宋体"/>
          <w:color w:val="auto"/>
          <w:kern w:val="2"/>
          <w:sz w:val="21"/>
          <w:highlight w:val="none"/>
          <w:u w:val="single"/>
          <w:lang w:val="zh-CN"/>
        </w:rPr>
        <w:t xml:space="preserve">                       </w:t>
      </w:r>
    </w:p>
    <w:p w14:paraId="4911EEA2">
      <w:pPr>
        <w:spacing w:line="360" w:lineRule="auto"/>
        <w:ind w:right="893"/>
        <w:jc w:val="both"/>
        <w:outlineLvl w:val="9"/>
        <w:rPr>
          <w:rFonts w:hint="eastAsia" w:ascii="宋体" w:hAnsi="宋体" w:eastAsia="宋体" w:cs="宋体"/>
          <w:color w:val="auto"/>
          <w:kern w:val="2"/>
          <w:sz w:val="21"/>
          <w:highlight w:val="none"/>
          <w:u w:val="single"/>
          <w:lang w:val="zh-CN"/>
        </w:rPr>
      </w:pPr>
      <w:r>
        <w:rPr>
          <w:rFonts w:hint="eastAsia" w:ascii="宋体" w:hAnsi="宋体" w:eastAsia="宋体" w:cs="宋体"/>
          <w:color w:val="auto"/>
          <w:kern w:val="2"/>
          <w:sz w:val="21"/>
          <w:highlight w:val="none"/>
          <w:lang w:val="zh-CN"/>
        </w:rPr>
        <w:t xml:space="preserve">电话： </w:t>
      </w:r>
      <w:r>
        <w:rPr>
          <w:rFonts w:hint="eastAsia" w:ascii="宋体" w:hAnsi="宋体" w:eastAsia="宋体" w:cs="宋体"/>
          <w:color w:val="auto"/>
          <w:kern w:val="2"/>
          <w:sz w:val="21"/>
          <w:highlight w:val="none"/>
          <w:u w:val="single"/>
          <w:lang w:val="zh-CN"/>
        </w:rPr>
        <w:t xml:space="preserve">                      </w:t>
      </w:r>
      <w:r>
        <w:rPr>
          <w:rFonts w:hint="eastAsia" w:ascii="宋体" w:hAnsi="宋体" w:eastAsia="宋体" w:cs="宋体"/>
          <w:color w:val="auto"/>
          <w:kern w:val="2"/>
          <w:sz w:val="21"/>
          <w:highlight w:val="none"/>
          <w:lang w:val="zh-CN"/>
        </w:rPr>
        <w:t xml:space="preserve">       传真： </w:t>
      </w:r>
      <w:r>
        <w:rPr>
          <w:rFonts w:hint="eastAsia" w:ascii="宋体" w:hAnsi="宋体" w:eastAsia="宋体" w:cs="宋体"/>
          <w:color w:val="auto"/>
          <w:kern w:val="2"/>
          <w:sz w:val="21"/>
          <w:highlight w:val="none"/>
          <w:u w:val="single"/>
          <w:lang w:val="zh-CN"/>
        </w:rPr>
        <w:t xml:space="preserve">                  </w:t>
      </w:r>
    </w:p>
    <w:p w14:paraId="2878B867">
      <w:pPr>
        <w:spacing w:line="360" w:lineRule="auto"/>
        <w:ind w:right="893"/>
        <w:jc w:val="both"/>
        <w:outlineLvl w:val="9"/>
        <w:rPr>
          <w:rFonts w:hint="eastAsia" w:ascii="宋体" w:hAnsi="宋体" w:eastAsia="宋体" w:cs="宋体"/>
          <w:color w:val="auto"/>
          <w:kern w:val="2"/>
          <w:sz w:val="21"/>
          <w:highlight w:val="none"/>
          <w:u w:val="single"/>
          <w:lang w:val="zh-CN"/>
        </w:rPr>
      </w:pPr>
      <w:r>
        <w:rPr>
          <w:rFonts w:hint="eastAsia" w:ascii="宋体" w:hAnsi="宋体" w:eastAsia="宋体" w:cs="宋体"/>
          <w:color w:val="auto"/>
          <w:kern w:val="2"/>
          <w:sz w:val="21"/>
          <w:highlight w:val="none"/>
          <w:lang w:val="zh-CN"/>
        </w:rPr>
        <w:t xml:space="preserve">邮箱： </w:t>
      </w:r>
      <w:r>
        <w:rPr>
          <w:rFonts w:hint="eastAsia" w:ascii="宋体" w:hAnsi="宋体" w:eastAsia="宋体" w:cs="宋体"/>
          <w:color w:val="auto"/>
          <w:kern w:val="2"/>
          <w:sz w:val="21"/>
          <w:highlight w:val="none"/>
          <w:u w:val="single"/>
          <w:lang w:val="zh-CN"/>
        </w:rPr>
        <w:t xml:space="preserve">                      </w:t>
      </w:r>
      <w:r>
        <w:rPr>
          <w:rFonts w:hint="eastAsia" w:ascii="宋体" w:hAnsi="宋体" w:eastAsia="宋体" w:cs="宋体"/>
          <w:color w:val="auto"/>
          <w:kern w:val="2"/>
          <w:sz w:val="21"/>
          <w:highlight w:val="none"/>
          <w:lang w:val="zh-CN"/>
        </w:rPr>
        <w:t xml:space="preserve">       邮编： </w:t>
      </w:r>
      <w:r>
        <w:rPr>
          <w:rFonts w:hint="eastAsia" w:ascii="宋体" w:hAnsi="宋体" w:eastAsia="宋体" w:cs="宋体"/>
          <w:color w:val="auto"/>
          <w:kern w:val="2"/>
          <w:sz w:val="21"/>
          <w:highlight w:val="none"/>
          <w:u w:val="single"/>
          <w:lang w:val="zh-CN"/>
        </w:rPr>
        <w:t xml:space="preserve">                  </w:t>
      </w:r>
    </w:p>
    <w:p w14:paraId="4C3FF985">
      <w:pPr>
        <w:spacing w:line="360" w:lineRule="auto"/>
        <w:ind w:right="893"/>
        <w:jc w:val="both"/>
        <w:outlineLvl w:val="9"/>
        <w:rPr>
          <w:rFonts w:hint="eastAsia" w:ascii="宋体" w:hAnsi="宋体" w:eastAsia="宋体" w:cs="宋体"/>
          <w:color w:val="auto"/>
          <w:kern w:val="2"/>
          <w:sz w:val="21"/>
          <w:highlight w:val="none"/>
          <w:lang w:val="zh-CN"/>
        </w:rPr>
      </w:pPr>
    </w:p>
    <w:p w14:paraId="61AB271F">
      <w:pPr>
        <w:spacing w:line="360" w:lineRule="auto"/>
        <w:ind w:firstLine="5040" w:firstLineChars="2400"/>
        <w:outlineLvl w:val="9"/>
        <w:rPr>
          <w:rFonts w:hint="eastAsia" w:ascii="宋体" w:hAnsi="宋体" w:eastAsia="宋体" w:cs="宋体"/>
          <w:color w:val="auto"/>
          <w:sz w:val="21"/>
          <w:szCs w:val="21"/>
          <w:highlight w:val="none"/>
        </w:rPr>
      </w:pPr>
      <w:r>
        <w:rPr>
          <w:rFonts w:hint="eastAsia" w:ascii="宋体" w:hAnsi="宋体" w:eastAsia="宋体" w:cs="宋体"/>
          <w:color w:val="auto"/>
          <w:kern w:val="2"/>
          <w:sz w:val="21"/>
          <w:highlight w:val="none"/>
          <w:lang w:val="zh-CN"/>
        </w:rPr>
        <w:t>投标人：（加盖投标人法人公章）</w:t>
      </w:r>
    </w:p>
    <w:p w14:paraId="46BFE95F">
      <w:pPr>
        <w:spacing w:line="360" w:lineRule="auto"/>
        <w:ind w:firstLine="5040" w:firstLineChars="2400"/>
        <w:outlineLvl w:val="9"/>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日期：   年   月   日</w:t>
      </w:r>
    </w:p>
    <w:p w14:paraId="65868A3E">
      <w:pPr>
        <w:rPr>
          <w:rFonts w:hint="eastAsia" w:ascii="宋体" w:hAnsi="宋体" w:eastAsia="宋体" w:cs="宋体"/>
          <w:color w:val="auto"/>
          <w:highlight w:val="none"/>
          <w:lang w:val="zh-CN"/>
        </w:rPr>
      </w:pPr>
    </w:p>
    <w:p w14:paraId="694CD5C7">
      <w:pPr>
        <w:rPr>
          <w:rFonts w:hint="eastAsia" w:ascii="宋体" w:hAnsi="宋体" w:eastAsia="宋体" w:cs="宋体"/>
          <w:color w:val="auto"/>
          <w:sz w:val="28"/>
          <w:szCs w:val="36"/>
          <w:highlight w:val="none"/>
          <w:lang w:val="zh-CN"/>
        </w:rPr>
      </w:pPr>
      <w:r>
        <w:rPr>
          <w:rFonts w:hint="eastAsia" w:ascii="宋体" w:hAnsi="宋体" w:eastAsia="宋体" w:cs="宋体"/>
          <w:color w:val="auto"/>
          <w:sz w:val="28"/>
          <w:szCs w:val="36"/>
          <w:highlight w:val="none"/>
          <w:lang w:val="zh-CN"/>
        </w:rPr>
        <w:br w:type="page"/>
      </w:r>
    </w:p>
    <w:p w14:paraId="52E7F5E8">
      <w:pPr>
        <w:pStyle w:val="3"/>
        <w:rPr>
          <w:rFonts w:hint="eastAsia" w:ascii="宋体" w:hAnsi="宋体" w:eastAsia="宋体" w:cs="宋体"/>
          <w:color w:val="auto"/>
          <w:sz w:val="28"/>
          <w:szCs w:val="36"/>
          <w:highlight w:val="none"/>
        </w:rPr>
      </w:pPr>
      <w:r>
        <w:rPr>
          <w:rFonts w:hint="eastAsia" w:ascii="宋体" w:hAnsi="宋体" w:eastAsia="宋体" w:cs="宋体"/>
          <w:color w:val="auto"/>
          <w:sz w:val="28"/>
          <w:szCs w:val="36"/>
          <w:highlight w:val="none"/>
          <w:lang w:val="en-US" w:eastAsia="zh-CN"/>
        </w:rPr>
        <w:t>十一、</w:t>
      </w:r>
      <w:r>
        <w:rPr>
          <w:rFonts w:hint="eastAsia" w:ascii="宋体" w:hAnsi="宋体" w:eastAsia="宋体" w:cs="宋体"/>
          <w:color w:val="auto"/>
          <w:sz w:val="28"/>
          <w:szCs w:val="36"/>
          <w:highlight w:val="none"/>
          <w:lang w:val="zh-CN"/>
        </w:rPr>
        <w:t>投标保证金汇入情况说明</w:t>
      </w:r>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p>
    <w:p w14:paraId="7BDBD4DB">
      <w:pPr>
        <w:jc w:val="center"/>
        <w:rPr>
          <w:rFonts w:hint="eastAsia" w:ascii="宋体" w:hAnsi="宋体" w:eastAsia="宋体" w:cs="宋体"/>
          <w:color w:val="auto"/>
          <w:highlight w:val="none"/>
        </w:rPr>
      </w:pPr>
      <w:bookmarkStart w:id="1037" w:name="_Toc31832_WPSOffice_Level3"/>
      <w:r>
        <w:rPr>
          <w:rFonts w:hint="eastAsia" w:ascii="宋体" w:hAnsi="宋体" w:eastAsia="宋体" w:cs="宋体"/>
          <w:b/>
          <w:bCs/>
          <w:color w:val="auto"/>
          <w:sz w:val="28"/>
          <w:szCs w:val="32"/>
          <w:highlight w:val="none"/>
        </w:rPr>
        <w:t>投标保证金汇入情况说明</w:t>
      </w:r>
      <w:bookmarkEnd w:id="1037"/>
    </w:p>
    <w:p w14:paraId="00716CE1">
      <w:pP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zh-CN"/>
        </w:rPr>
        <w:t>致：</w:t>
      </w:r>
      <w:r>
        <w:rPr>
          <w:rFonts w:hint="eastAsia" w:ascii="宋体" w:hAnsi="宋体" w:eastAsia="宋体" w:cs="宋体"/>
          <w:color w:val="auto"/>
          <w:kern w:val="0"/>
          <w:szCs w:val="21"/>
          <w:highlight w:val="none"/>
          <w:u w:val="single"/>
          <w:lang w:eastAsia="zh-CN"/>
        </w:rPr>
        <w:t>东莞市碧水信息科技有限公司</w:t>
      </w:r>
    </w:p>
    <w:p w14:paraId="194E1867">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本单位已按</w:t>
      </w:r>
      <w:r>
        <w:rPr>
          <w:rFonts w:hint="eastAsia" w:cs="宋体"/>
          <w:color w:val="auto"/>
          <w:kern w:val="2"/>
          <w:sz w:val="21"/>
          <w:szCs w:val="21"/>
          <w:highlight w:val="none"/>
          <w:u w:val="single"/>
          <w:lang w:val="zh-CN" w:eastAsia="zh-CN" w:bidi="ar-SA"/>
        </w:rPr>
        <w:t>东莞市碧水信息科技有限公司2025年度球墨铸铁阀门采购项目（第三次招标）</w:t>
      </w:r>
      <w:r>
        <w:rPr>
          <w:rFonts w:hint="eastAsia" w:ascii="宋体" w:hAnsi="宋体" w:eastAsia="宋体" w:cs="宋体"/>
          <w:color w:val="auto"/>
          <w:szCs w:val="21"/>
          <w:highlight w:val="none"/>
        </w:rPr>
        <w:t>（招标编号：</w:t>
      </w:r>
      <w:r>
        <w:rPr>
          <w:rFonts w:hint="eastAsia" w:cs="宋体"/>
          <w:color w:val="auto"/>
          <w:szCs w:val="21"/>
          <w:highlight w:val="none"/>
          <w:u w:val="single"/>
          <w:lang w:val="en-US" w:eastAsia="zh-CN"/>
        </w:rPr>
        <w:t>YDZB25DGQY0149-2</w:t>
      </w:r>
      <w:r>
        <w:rPr>
          <w:rFonts w:hint="eastAsia" w:ascii="宋体" w:hAnsi="宋体" w:eastAsia="宋体" w:cs="宋体"/>
          <w:color w:val="auto"/>
          <w:szCs w:val="21"/>
          <w:highlight w:val="none"/>
        </w:rPr>
        <w:t>）的招标文件要求，于</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日前以</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（付款形式）方式汇入指定账户（账户名称：</w:t>
      </w:r>
      <w:r>
        <w:rPr>
          <w:rFonts w:hint="eastAsia" w:ascii="宋体" w:hAnsi="宋体" w:eastAsia="宋体" w:cs="宋体"/>
          <w:b/>
          <w:color w:val="auto"/>
          <w:szCs w:val="21"/>
          <w:highlight w:val="none"/>
          <w:u w:val="single"/>
        </w:rPr>
        <w:t xml:space="preserve">                    </w:t>
      </w:r>
      <w:r>
        <w:rPr>
          <w:rFonts w:hint="eastAsia" w:ascii="宋体" w:hAnsi="宋体" w:eastAsia="宋体" w:cs="宋体"/>
          <w:color w:val="auto"/>
          <w:szCs w:val="21"/>
          <w:highlight w:val="none"/>
        </w:rPr>
        <w:t>，账号：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开户银行：</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rPr>
        <w:t>）。</w:t>
      </w:r>
    </w:p>
    <w:p w14:paraId="2D0B100B">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本单位投标保证金的汇款情况：（详见附件－投标保证金进账单）</w:t>
      </w:r>
    </w:p>
    <w:p w14:paraId="4333CF9D">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汇出时间：</w:t>
      </w:r>
      <w:r>
        <w:rPr>
          <w:rFonts w:hint="eastAsia" w:ascii="宋体" w:hAnsi="宋体" w:eastAsia="宋体" w:cs="宋体"/>
          <w:color w:val="auto"/>
          <w:szCs w:val="21"/>
          <w:highlight w:val="none"/>
          <w:u w:val="single"/>
        </w:rPr>
        <w:t xml:space="preserve">    年   月    日</w:t>
      </w:r>
    </w:p>
    <w:p w14:paraId="1B757F5C">
      <w:pPr>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汇款金额：</w:t>
      </w:r>
      <w:r>
        <w:rPr>
          <w:rFonts w:hint="eastAsia" w:ascii="宋体" w:hAnsi="宋体" w:eastAsia="宋体" w:cs="宋体"/>
          <w:color w:val="auto"/>
          <w:szCs w:val="21"/>
          <w:highlight w:val="none"/>
          <w:u w:val="single"/>
        </w:rPr>
        <w:t>（大写）人民币      元（小写：¥      元）</w:t>
      </w:r>
    </w:p>
    <w:p w14:paraId="1F868EB8">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汇款账户名称：</w:t>
      </w:r>
      <w:r>
        <w:rPr>
          <w:rFonts w:hint="eastAsia" w:ascii="宋体" w:hAnsi="宋体" w:eastAsia="宋体" w:cs="宋体"/>
          <w:color w:val="auto"/>
          <w:szCs w:val="21"/>
          <w:highlight w:val="none"/>
          <w:u w:val="single"/>
        </w:rPr>
        <w:t>（必须是投标时使用的账户名）</w:t>
      </w:r>
    </w:p>
    <w:p w14:paraId="43B960FC">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账号：</w:t>
      </w:r>
      <w:r>
        <w:rPr>
          <w:rFonts w:hint="eastAsia" w:ascii="宋体" w:hAnsi="宋体" w:eastAsia="宋体" w:cs="宋体"/>
          <w:color w:val="auto"/>
          <w:szCs w:val="21"/>
          <w:highlight w:val="none"/>
          <w:u w:val="single"/>
        </w:rPr>
        <w:t>（必须是投标时使用的账号）</w:t>
      </w:r>
    </w:p>
    <w:p w14:paraId="1D166B85">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开户银行：</w:t>
      </w:r>
      <w:r>
        <w:rPr>
          <w:rFonts w:hint="eastAsia" w:ascii="宋体" w:hAnsi="宋体" w:eastAsia="宋体" w:cs="宋体"/>
          <w:color w:val="auto"/>
          <w:szCs w:val="21"/>
          <w:highlight w:val="none"/>
          <w:u w:val="single"/>
        </w:rPr>
        <w:t xml:space="preserve">        省         市         </w:t>
      </w:r>
    </w:p>
    <w:p w14:paraId="19C36103">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本单位谨承诺上述资料是正确、真实的，如因上述证明与事实不符导致的一切损失，本单位保证承担赔偿等一切法律责任。</w:t>
      </w:r>
    </w:p>
    <w:p w14:paraId="5B2055B6">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投标保证金退回时，请按上述资料退回。</w:t>
      </w:r>
    </w:p>
    <w:p w14:paraId="47FCF293">
      <w:pPr>
        <w:ind w:right="844" w:rightChars="402" w:firstLine="424" w:firstLineChars="202"/>
        <w:jc w:val="right"/>
        <w:rPr>
          <w:rFonts w:hint="eastAsia" w:ascii="宋体" w:hAnsi="宋体" w:eastAsia="宋体" w:cs="宋体"/>
          <w:color w:val="auto"/>
          <w:szCs w:val="24"/>
          <w:highlight w:val="none"/>
        </w:rPr>
      </w:pPr>
      <w:r>
        <w:rPr>
          <w:rFonts w:hint="eastAsia" w:ascii="宋体" w:hAnsi="宋体" w:eastAsia="宋体" w:cs="宋体"/>
          <w:color w:val="auto"/>
          <w:szCs w:val="24"/>
          <w:highlight w:val="none"/>
        </w:rPr>
        <w:t>（</w:t>
      </w:r>
      <w:r>
        <w:rPr>
          <w:rFonts w:hint="eastAsia" w:ascii="宋体" w:hAnsi="宋体" w:eastAsia="宋体" w:cs="宋体"/>
          <w:bCs/>
          <w:color w:val="auto"/>
          <w:szCs w:val="24"/>
          <w:highlight w:val="none"/>
        </w:rPr>
        <w:t>投标人法人公章</w:t>
      </w:r>
      <w:r>
        <w:rPr>
          <w:rFonts w:hint="eastAsia" w:ascii="宋体" w:hAnsi="宋体" w:eastAsia="宋体" w:cs="宋体"/>
          <w:color w:val="auto"/>
          <w:szCs w:val="24"/>
          <w:highlight w:val="none"/>
        </w:rPr>
        <w:t>）</w:t>
      </w:r>
    </w:p>
    <w:p w14:paraId="1ED7ED6C">
      <w:pPr>
        <w:ind w:right="628" w:rightChars="299" w:firstLine="7774" w:firstLineChars="3702"/>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年   月   日</w:t>
      </w:r>
    </w:p>
    <w:p w14:paraId="656CCD61">
      <w:pPr>
        <w:ind w:left="420" w:leftChars="200"/>
        <w:rPr>
          <w:rFonts w:hint="eastAsia" w:ascii="宋体" w:hAnsi="宋体" w:eastAsia="宋体" w:cs="宋体"/>
          <w:color w:val="auto"/>
          <w:highlight w:val="none"/>
        </w:rPr>
      </w:pPr>
      <w:r>
        <w:rPr>
          <w:rFonts w:hint="eastAsia" w:ascii="宋体" w:hAnsi="宋体" w:eastAsia="宋体" w:cs="宋体"/>
          <w:color w:val="auto"/>
          <w:highlight w:val="none"/>
        </w:rPr>
        <w:t>单位名称：</w:t>
      </w:r>
    </w:p>
    <w:p w14:paraId="51AA9D0D">
      <w:pPr>
        <w:ind w:left="420" w:leftChars="200"/>
        <w:rPr>
          <w:rFonts w:hint="eastAsia" w:ascii="宋体" w:hAnsi="宋体" w:eastAsia="宋体" w:cs="宋体"/>
          <w:color w:val="auto"/>
          <w:highlight w:val="none"/>
        </w:rPr>
      </w:pPr>
      <w:r>
        <w:rPr>
          <w:rFonts w:hint="eastAsia" w:ascii="宋体" w:hAnsi="宋体" w:eastAsia="宋体" w:cs="宋体"/>
          <w:color w:val="auto"/>
          <w:highlight w:val="none"/>
        </w:rPr>
        <w:t>单位地址：</w:t>
      </w:r>
    </w:p>
    <w:p w14:paraId="3A9728CE">
      <w:pPr>
        <w:ind w:left="420" w:leftChars="200"/>
        <w:rPr>
          <w:rFonts w:hint="eastAsia" w:ascii="宋体" w:hAnsi="宋体" w:eastAsia="宋体" w:cs="宋体"/>
          <w:color w:val="auto"/>
          <w:highlight w:val="none"/>
        </w:rPr>
      </w:pPr>
      <w:r>
        <w:rPr>
          <w:rFonts w:hint="eastAsia" w:ascii="宋体" w:hAnsi="宋体" w:eastAsia="宋体" w:cs="宋体"/>
          <w:color w:val="auto"/>
          <w:highlight w:val="none"/>
        </w:rPr>
        <w:t>联系人：</w:t>
      </w:r>
    </w:p>
    <w:p w14:paraId="15F1C986">
      <w:pPr>
        <w:ind w:left="420" w:leftChars="200"/>
        <w:rPr>
          <w:rFonts w:hint="eastAsia" w:ascii="宋体" w:hAnsi="宋体" w:eastAsia="宋体" w:cs="宋体"/>
          <w:color w:val="auto"/>
          <w:highlight w:val="none"/>
        </w:rPr>
      </w:pPr>
      <w:r>
        <w:rPr>
          <w:rFonts w:hint="eastAsia" w:ascii="宋体" w:hAnsi="宋体" w:eastAsia="宋体" w:cs="宋体"/>
          <w:color w:val="auto"/>
          <w:highlight w:val="none"/>
        </w:rPr>
        <w:t>单位电话：</w:t>
      </w:r>
    </w:p>
    <w:p w14:paraId="5FF44C0E">
      <w:pPr>
        <w:ind w:left="420" w:leftChars="200"/>
        <w:rPr>
          <w:rFonts w:hint="eastAsia" w:ascii="宋体" w:hAnsi="宋体" w:eastAsia="宋体" w:cs="宋体"/>
          <w:color w:val="auto"/>
          <w:highlight w:val="none"/>
        </w:rPr>
      </w:pPr>
      <w:r>
        <w:rPr>
          <w:rFonts w:hint="eastAsia" w:ascii="宋体" w:hAnsi="宋体" w:eastAsia="宋体" w:cs="宋体"/>
          <w:color w:val="auto"/>
          <w:highlight w:val="none"/>
        </w:rPr>
        <w:t>联系人手机：</w:t>
      </w:r>
      <w:bookmarkStart w:id="1038" w:name="_Toc26208_WPSOffice_Level3"/>
    </w:p>
    <w:p w14:paraId="619E1C86">
      <w:pPr>
        <w:ind w:left="420" w:leftChars="200"/>
        <w:rPr>
          <w:rFonts w:hint="eastAsia" w:ascii="宋体" w:hAnsi="宋体" w:eastAsia="宋体" w:cs="宋体"/>
          <w:color w:val="auto"/>
          <w:highlight w:val="none"/>
        </w:rPr>
      </w:pPr>
    </w:p>
    <w:p w14:paraId="46828FA8">
      <w:pPr>
        <w:ind w:left="420" w:leftChars="200"/>
        <w:rPr>
          <w:rFonts w:hint="eastAsia" w:ascii="宋体" w:hAnsi="宋体" w:eastAsia="宋体" w:cs="宋体"/>
          <w:b/>
          <w:bCs/>
          <w:color w:val="auto"/>
          <w:highlight w:val="none"/>
        </w:rPr>
      </w:pPr>
      <w:r>
        <w:rPr>
          <w:rFonts w:hint="eastAsia" w:ascii="宋体" w:hAnsi="宋体" w:eastAsia="宋体" w:cs="宋体"/>
          <w:b/>
          <w:bCs/>
          <w:color w:val="auto"/>
          <w:highlight w:val="none"/>
        </w:rPr>
        <w:t>附：1.我方投标保证金汇款凭证（复印件）</w:t>
      </w:r>
      <w:bookmarkEnd w:id="1038"/>
    </w:p>
    <w:p w14:paraId="4D9E1B77">
      <w:pPr>
        <w:ind w:left="420" w:leftChars="200" w:firstLine="422" w:firstLineChars="200"/>
        <w:rPr>
          <w:rFonts w:hint="eastAsia" w:ascii="宋体" w:hAnsi="宋体" w:eastAsia="宋体" w:cs="宋体"/>
          <w:b/>
          <w:bCs/>
          <w:color w:val="auto"/>
          <w:highlight w:val="none"/>
        </w:rPr>
      </w:pPr>
      <w:bookmarkStart w:id="1039" w:name="_Toc12992_WPSOffice_Level3"/>
      <w:r>
        <w:rPr>
          <w:rFonts w:hint="eastAsia" w:ascii="宋体" w:hAnsi="宋体" w:eastAsia="宋体" w:cs="宋体"/>
          <w:b/>
          <w:bCs/>
          <w:color w:val="auto"/>
          <w:highlight w:val="none"/>
        </w:rPr>
        <w:t>2.我方基本账户开户许可证（复印件）</w:t>
      </w:r>
      <w:bookmarkEnd w:id="1039"/>
    </w:p>
    <w:p w14:paraId="33C7FF46">
      <w:pPr>
        <w:ind w:firstLine="422" w:firstLineChars="200"/>
        <w:rPr>
          <w:rFonts w:hint="eastAsia" w:ascii="宋体" w:hAnsi="宋体" w:eastAsia="宋体" w:cs="宋体"/>
          <w:b/>
          <w:bCs/>
          <w:color w:val="auto"/>
          <w:highlight w:val="none"/>
          <w:lang w:val="zh-CN"/>
        </w:rPr>
      </w:pPr>
      <w:r>
        <w:rPr>
          <w:rFonts w:hint="eastAsia" w:ascii="宋体" w:hAnsi="宋体" w:eastAsia="宋体" w:cs="宋体"/>
          <w:b/>
          <w:bCs/>
          <w:color w:val="auto"/>
          <w:highlight w:val="none"/>
          <w:lang w:val="zh-CN"/>
        </w:rPr>
        <w:t>注：本情况说明手写无效。</w:t>
      </w:r>
    </w:p>
    <w:p w14:paraId="267C6B74">
      <w:pPr>
        <w:ind w:firstLine="5145" w:firstLineChars="2450"/>
        <w:rPr>
          <w:rFonts w:hint="eastAsia" w:ascii="宋体" w:hAnsi="宋体" w:eastAsia="宋体" w:cs="宋体"/>
          <w:color w:val="auto"/>
          <w:szCs w:val="24"/>
          <w:highlight w:val="none"/>
          <w:lang w:val="zh-CN"/>
        </w:rPr>
      </w:pPr>
    </w:p>
    <w:p w14:paraId="363ED7FD">
      <w:pPr>
        <w:ind w:firstLine="424" w:firstLineChars="202"/>
        <w:rPr>
          <w:rFonts w:hint="eastAsia" w:ascii="宋体" w:hAnsi="宋体" w:eastAsia="宋体" w:cs="宋体"/>
          <w:color w:val="auto"/>
          <w:szCs w:val="24"/>
          <w:highlight w:val="none"/>
        </w:rPr>
      </w:pPr>
    </w:p>
    <w:p w14:paraId="22D87F94">
      <w:pPr>
        <w:jc w:val="left"/>
        <w:rPr>
          <w:rFonts w:hint="eastAsia" w:ascii="宋体" w:hAnsi="宋体" w:eastAsia="宋体" w:cs="宋体"/>
          <w:color w:val="auto"/>
          <w:szCs w:val="24"/>
          <w:highlight w:val="none"/>
          <w:lang w:val="zh-CN"/>
        </w:rPr>
      </w:pPr>
    </w:p>
    <w:p w14:paraId="2C2864AF">
      <w:pPr>
        <w:jc w:val="left"/>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br w:type="page"/>
      </w:r>
    </w:p>
    <w:bookmarkEnd w:id="1008"/>
    <w:bookmarkEnd w:id="1009"/>
    <w:p w14:paraId="1CF45DDA">
      <w:pPr>
        <w:pStyle w:val="3"/>
        <w:rPr>
          <w:rFonts w:hint="eastAsia" w:ascii="宋体" w:hAnsi="宋体" w:eastAsia="宋体" w:cs="宋体"/>
          <w:color w:val="auto"/>
          <w:sz w:val="28"/>
          <w:szCs w:val="36"/>
          <w:highlight w:val="none"/>
          <w:lang w:val="zh-CN"/>
        </w:rPr>
      </w:pPr>
      <w:bookmarkStart w:id="1040" w:name="_Toc94107221"/>
      <w:bookmarkStart w:id="1041" w:name="_Toc2167"/>
      <w:bookmarkStart w:id="1042" w:name="_Toc18032"/>
      <w:bookmarkStart w:id="1043" w:name="_Toc1977738"/>
      <w:bookmarkStart w:id="1044" w:name="_Toc140596939"/>
      <w:bookmarkStart w:id="1045" w:name="_Toc8384"/>
      <w:bookmarkStart w:id="1046" w:name="_Toc7072"/>
      <w:bookmarkStart w:id="1047" w:name="_Toc102860084"/>
      <w:bookmarkStart w:id="1048" w:name="_Toc142508379"/>
      <w:bookmarkStart w:id="1049" w:name="_Toc11140"/>
      <w:bookmarkStart w:id="1050" w:name="_Toc176627935"/>
      <w:bookmarkStart w:id="1051" w:name="_Toc104991886"/>
      <w:bookmarkStart w:id="1052" w:name="_Toc534"/>
      <w:bookmarkStart w:id="1053" w:name="_Toc31498"/>
      <w:bookmarkStart w:id="1054" w:name="_Toc21263"/>
      <w:bookmarkStart w:id="1055" w:name="_Toc22151"/>
      <w:bookmarkStart w:id="1056" w:name="_Toc30893"/>
      <w:bookmarkStart w:id="1057" w:name="_Toc14728"/>
      <w:bookmarkStart w:id="1058" w:name="_Toc4997"/>
      <w:bookmarkStart w:id="1059" w:name="_Toc102860428"/>
      <w:bookmarkStart w:id="1060" w:name="_Toc4608"/>
      <w:bookmarkStart w:id="1061" w:name="_Toc19932"/>
      <w:bookmarkStart w:id="1062" w:name="_Toc4583"/>
      <w:bookmarkStart w:id="1063" w:name="_Toc178076617"/>
      <w:bookmarkStart w:id="1064" w:name="_Toc5424"/>
      <w:bookmarkStart w:id="1065" w:name="_Toc16292"/>
      <w:bookmarkStart w:id="1066" w:name="_Toc486167721"/>
      <w:bookmarkStart w:id="1067" w:name="_Toc533708134"/>
      <w:r>
        <w:rPr>
          <w:rFonts w:hint="eastAsia" w:ascii="宋体" w:hAnsi="宋体" w:eastAsia="宋体" w:cs="宋体"/>
          <w:color w:val="auto"/>
          <w:sz w:val="28"/>
          <w:szCs w:val="36"/>
          <w:highlight w:val="none"/>
          <w:lang w:val="en-US" w:eastAsia="zh-CN"/>
        </w:rPr>
        <w:t>十二</w:t>
      </w:r>
      <w:r>
        <w:rPr>
          <w:rFonts w:hint="eastAsia" w:ascii="宋体" w:hAnsi="宋体" w:eastAsia="宋体" w:cs="宋体"/>
          <w:color w:val="auto"/>
          <w:sz w:val="28"/>
          <w:szCs w:val="36"/>
          <w:highlight w:val="none"/>
          <w:lang w:val="zh-CN"/>
        </w:rPr>
        <w:t>、投标人资格证明文件以外的其他资质证书、知识产权证书及获得的相关获奖、认证证书、社会评价资料证明文件复印件等投标人认为有需要证明其具备为本次招标项目提供货物</w:t>
      </w:r>
      <w:r>
        <w:rPr>
          <w:rFonts w:hint="eastAsia" w:ascii="宋体" w:hAnsi="宋体" w:eastAsia="宋体" w:cs="宋体"/>
          <w:color w:val="auto"/>
          <w:sz w:val="28"/>
          <w:szCs w:val="36"/>
          <w:highlight w:val="none"/>
        </w:rPr>
        <w:t>及有关</w:t>
      </w:r>
      <w:r>
        <w:rPr>
          <w:rFonts w:hint="eastAsia" w:ascii="宋体" w:hAnsi="宋体" w:eastAsia="宋体" w:cs="宋体"/>
          <w:color w:val="auto"/>
          <w:sz w:val="28"/>
          <w:szCs w:val="36"/>
          <w:highlight w:val="none"/>
          <w:lang w:val="zh-CN"/>
        </w:rPr>
        <w:t>服务能力的有关其它商务文件（</w:t>
      </w:r>
      <w:r>
        <w:rPr>
          <w:rFonts w:hint="eastAsia" w:ascii="宋体" w:hAnsi="宋体" w:eastAsia="宋体" w:cs="宋体"/>
          <w:color w:val="auto"/>
          <w:sz w:val="28"/>
          <w:szCs w:val="36"/>
          <w:highlight w:val="none"/>
          <w:lang w:val="en-US" w:eastAsia="zh-CN"/>
        </w:rPr>
        <w:t>不作</w:t>
      </w:r>
      <w:r>
        <w:rPr>
          <w:rFonts w:hint="eastAsia" w:ascii="宋体" w:hAnsi="宋体" w:eastAsia="宋体" w:cs="宋体"/>
          <w:color w:val="auto"/>
          <w:sz w:val="28"/>
          <w:szCs w:val="36"/>
          <w:highlight w:val="none"/>
          <w:lang w:val="zh-CN"/>
        </w:rPr>
        <w:t>强制要求）</w:t>
      </w:r>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Start w:id="1068" w:name="_Toc16307"/>
      <w:bookmarkStart w:id="1069" w:name="_Toc140596940"/>
      <w:bookmarkStart w:id="1070" w:name="_Toc142508380"/>
      <w:bookmarkStart w:id="1071" w:name="_Toc2706"/>
      <w:bookmarkStart w:id="1072" w:name="_Toc14341"/>
      <w:bookmarkStart w:id="1073" w:name="_Toc2619"/>
      <w:bookmarkStart w:id="1074" w:name="_Toc561"/>
      <w:bookmarkStart w:id="1075" w:name="_Toc3192"/>
      <w:bookmarkStart w:id="1076" w:name="_Toc94107222"/>
      <w:bookmarkStart w:id="1077" w:name="_Toc104991887"/>
      <w:bookmarkStart w:id="1078" w:name="_Toc11934"/>
      <w:bookmarkStart w:id="1079" w:name="_Toc178076618"/>
      <w:bookmarkStart w:id="1080" w:name="_Toc1977739"/>
      <w:bookmarkStart w:id="1081" w:name="_Toc22079"/>
      <w:bookmarkStart w:id="1082" w:name="_Toc176627936"/>
      <w:bookmarkStart w:id="1083" w:name="_Toc102860085"/>
      <w:bookmarkStart w:id="1084" w:name="_Toc8193"/>
      <w:bookmarkStart w:id="1085" w:name="_Toc15051"/>
      <w:bookmarkStart w:id="1086" w:name="_Toc102860429"/>
    </w:p>
    <w:p w14:paraId="22B12FEB">
      <w:pPr>
        <w:rPr>
          <w:rFonts w:hint="eastAsia" w:ascii="宋体" w:hAnsi="宋体" w:eastAsia="宋体" w:cs="宋体"/>
          <w:color w:val="auto"/>
          <w:highlight w:val="none"/>
        </w:rPr>
      </w:pPr>
    </w:p>
    <w:p w14:paraId="13D3A29B">
      <w:pPr>
        <w:rPr>
          <w:rFonts w:hint="eastAsia" w:ascii="宋体" w:hAnsi="宋体" w:eastAsia="宋体" w:cs="宋体"/>
          <w:color w:val="auto"/>
          <w:sz w:val="28"/>
          <w:szCs w:val="36"/>
          <w:highlight w:val="none"/>
        </w:rPr>
      </w:pPr>
      <w:r>
        <w:rPr>
          <w:rFonts w:hint="eastAsia" w:ascii="宋体" w:hAnsi="宋体" w:eastAsia="宋体" w:cs="宋体"/>
          <w:color w:val="auto"/>
          <w:sz w:val="28"/>
          <w:szCs w:val="36"/>
          <w:highlight w:val="none"/>
        </w:rPr>
        <w:br w:type="page"/>
      </w:r>
    </w:p>
    <w:p w14:paraId="50FEE560">
      <w:pPr>
        <w:pStyle w:val="3"/>
        <w:rPr>
          <w:rFonts w:hint="eastAsia" w:ascii="宋体" w:hAnsi="宋体" w:eastAsia="宋体" w:cs="宋体"/>
          <w:b/>
          <w:color w:val="auto"/>
          <w:kern w:val="0"/>
          <w:sz w:val="32"/>
          <w:szCs w:val="32"/>
          <w:highlight w:val="none"/>
        </w:rPr>
      </w:pPr>
      <w:bookmarkStart w:id="1087" w:name="_Toc10137"/>
      <w:bookmarkStart w:id="1088" w:name="_Toc2276"/>
      <w:bookmarkStart w:id="1089" w:name="_Toc9447"/>
      <w:bookmarkStart w:id="1090" w:name="_Toc32518"/>
      <w:bookmarkStart w:id="1091" w:name="_Toc27158"/>
      <w:bookmarkStart w:id="1092" w:name="_Toc19943"/>
      <w:bookmarkStart w:id="1093" w:name="_Toc25168"/>
      <w:bookmarkStart w:id="1094" w:name="_Toc8115"/>
      <w:bookmarkStart w:id="1095" w:name="_Toc2503"/>
      <w:bookmarkStart w:id="1096" w:name="_Toc29418"/>
      <w:bookmarkStart w:id="1097" w:name="_Toc26447"/>
      <w:r>
        <w:rPr>
          <w:rFonts w:hint="eastAsia" w:ascii="宋体" w:hAnsi="宋体" w:eastAsia="宋体" w:cs="宋体"/>
          <w:b/>
          <w:color w:val="auto"/>
          <w:kern w:val="0"/>
          <w:sz w:val="32"/>
          <w:szCs w:val="32"/>
          <w:highlight w:val="none"/>
          <w:lang w:val="en-US" w:eastAsia="zh-CN"/>
        </w:rPr>
        <w:t>十三</w:t>
      </w:r>
      <w:r>
        <w:rPr>
          <w:rFonts w:hint="eastAsia" w:ascii="宋体" w:hAnsi="宋体" w:eastAsia="宋体" w:cs="宋体"/>
          <w:b/>
          <w:color w:val="auto"/>
          <w:kern w:val="0"/>
          <w:sz w:val="32"/>
          <w:szCs w:val="32"/>
          <w:highlight w:val="none"/>
        </w:rPr>
        <w:t>、技术响应文件格式</w:t>
      </w:r>
      <w:bookmarkEnd w:id="1087"/>
      <w:bookmarkEnd w:id="1088"/>
      <w:bookmarkEnd w:id="1089"/>
      <w:bookmarkEnd w:id="1090"/>
    </w:p>
    <w:p w14:paraId="7C0916CD">
      <w:pPr>
        <w:tabs>
          <w:tab w:val="left" w:pos="8640"/>
        </w:tabs>
        <w:autoSpaceDE/>
        <w:autoSpaceDN/>
        <w:adjustRightInd/>
        <w:snapToGrid/>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投标人应按照招标文件投标人须知关于投标文件组成部分的要求编制技术文件，主要包括但不限于以下内容：</w:t>
      </w:r>
    </w:p>
    <w:p w14:paraId="09CE3FE6">
      <w:pPr>
        <w:autoSpaceDE/>
        <w:autoSpaceDN/>
        <w:adjustRightInd/>
        <w:snapToGrid/>
        <w:spacing w:line="360" w:lineRule="auto"/>
        <w:ind w:left="443" w:leftChars="77" w:hanging="281" w:hangingChars="134"/>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1、用户需求响应程度（即</w:t>
      </w:r>
      <w:r>
        <w:rPr>
          <w:rFonts w:hint="eastAsia" w:ascii="宋体" w:hAnsi="宋体" w:eastAsia="宋体" w:cs="宋体"/>
          <w:color w:val="auto"/>
          <w:kern w:val="0"/>
          <w:szCs w:val="21"/>
          <w:highlight w:val="none"/>
          <w:lang w:val="en-US" w:eastAsia="zh-CN"/>
        </w:rPr>
        <w:t>13</w:t>
      </w:r>
      <w:r>
        <w:rPr>
          <w:rFonts w:hint="eastAsia" w:ascii="宋体" w:hAnsi="宋体" w:eastAsia="宋体" w:cs="宋体"/>
          <w:color w:val="auto"/>
          <w:kern w:val="0"/>
          <w:szCs w:val="21"/>
          <w:highlight w:val="none"/>
        </w:rPr>
        <w:t>.1用户需求偏离表格式）；</w:t>
      </w:r>
    </w:p>
    <w:p w14:paraId="20054DA0">
      <w:pPr>
        <w:autoSpaceDE/>
        <w:autoSpaceDN/>
        <w:adjustRightInd/>
        <w:snapToGrid/>
        <w:spacing w:line="360" w:lineRule="auto"/>
        <w:ind w:left="443" w:leftChars="77" w:hanging="281" w:hangingChars="134"/>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供货货物清单表；</w:t>
      </w:r>
    </w:p>
    <w:p w14:paraId="56748E69">
      <w:pPr>
        <w:autoSpaceDE/>
        <w:autoSpaceDN/>
        <w:adjustRightInd/>
        <w:snapToGrid/>
        <w:spacing w:line="360" w:lineRule="auto"/>
        <w:ind w:left="443" w:leftChars="77" w:hanging="281" w:hangingChars="134"/>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3、所投货物性能质量；</w:t>
      </w:r>
    </w:p>
    <w:p w14:paraId="62D4F6B1">
      <w:pPr>
        <w:autoSpaceDE/>
        <w:autoSpaceDN/>
        <w:adjustRightInd/>
        <w:snapToGrid/>
        <w:spacing w:line="360" w:lineRule="auto"/>
        <w:ind w:left="443" w:leftChars="77" w:hanging="281" w:hangingChars="134"/>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4、货物质量保障能力；</w:t>
      </w:r>
    </w:p>
    <w:p w14:paraId="598F2895">
      <w:pPr>
        <w:autoSpaceDE/>
        <w:autoSpaceDN/>
        <w:adjustRightInd/>
        <w:snapToGrid/>
        <w:spacing w:line="360" w:lineRule="auto"/>
        <w:ind w:left="443" w:leftChars="77" w:hanging="281" w:hangingChars="134"/>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highlight w:val="none"/>
        </w:rPr>
        <w:t>阀门结构及性能</w:t>
      </w:r>
      <w:r>
        <w:rPr>
          <w:rFonts w:hint="eastAsia" w:ascii="宋体" w:hAnsi="宋体" w:eastAsia="宋体" w:cs="宋体"/>
          <w:color w:val="auto"/>
          <w:highlight w:val="none"/>
          <w:lang w:eastAsia="zh-CN"/>
        </w:rPr>
        <w:t>；</w:t>
      </w:r>
    </w:p>
    <w:p w14:paraId="2048FD19">
      <w:pPr>
        <w:autoSpaceDE/>
        <w:autoSpaceDN/>
        <w:adjustRightInd/>
        <w:snapToGrid/>
        <w:spacing w:line="360" w:lineRule="auto"/>
        <w:ind w:left="443" w:leftChars="77" w:hanging="281" w:hangingChars="134"/>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highlight w:val="none"/>
          <w:lang w:eastAsia="zh-CN"/>
        </w:rPr>
        <w:t>质量检测能力；</w:t>
      </w:r>
    </w:p>
    <w:p w14:paraId="6383A11F">
      <w:pPr>
        <w:autoSpaceDE/>
        <w:autoSpaceDN/>
        <w:adjustRightInd/>
        <w:snapToGrid/>
        <w:spacing w:line="360" w:lineRule="auto"/>
        <w:ind w:left="443" w:leftChars="77" w:hanging="281" w:hangingChars="134"/>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lang w:eastAsia="zh-CN"/>
        </w:rPr>
        <w:t>售后服务响应、紧急供货时间承诺</w:t>
      </w:r>
      <w:r>
        <w:rPr>
          <w:rFonts w:hint="eastAsia" w:ascii="宋体" w:hAnsi="宋体" w:eastAsia="宋体" w:cs="宋体"/>
          <w:color w:val="auto"/>
          <w:kern w:val="0"/>
          <w:szCs w:val="21"/>
          <w:highlight w:val="none"/>
        </w:rPr>
        <w:t>；</w:t>
      </w:r>
    </w:p>
    <w:p w14:paraId="1F3608A1">
      <w:pPr>
        <w:autoSpaceDE/>
        <w:autoSpaceDN/>
        <w:adjustRightInd/>
        <w:snapToGrid/>
        <w:spacing w:line="360" w:lineRule="auto"/>
        <w:ind w:left="443" w:leftChars="77" w:hanging="281" w:hangingChars="134"/>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投标人认为有必要提供的</w:t>
      </w:r>
      <w:r>
        <w:rPr>
          <w:rFonts w:hint="eastAsia" w:ascii="宋体" w:hAnsi="宋体" w:eastAsia="宋体" w:cs="宋体"/>
          <w:color w:val="auto"/>
          <w:kern w:val="0"/>
          <w:szCs w:val="21"/>
          <w:highlight w:val="none"/>
          <w:lang w:val="en-US"/>
        </w:rPr>
        <w:t>其它</w:t>
      </w:r>
      <w:r>
        <w:rPr>
          <w:rFonts w:hint="eastAsia" w:ascii="宋体" w:hAnsi="宋体" w:eastAsia="宋体" w:cs="宋体"/>
          <w:color w:val="auto"/>
          <w:kern w:val="0"/>
          <w:szCs w:val="21"/>
          <w:highlight w:val="none"/>
        </w:rPr>
        <w:t>材料（不</w:t>
      </w:r>
      <w:r>
        <w:rPr>
          <w:rFonts w:hint="eastAsia" w:ascii="宋体" w:hAnsi="宋体" w:eastAsia="宋体" w:cs="宋体"/>
          <w:color w:val="auto"/>
          <w:kern w:val="0"/>
          <w:szCs w:val="21"/>
          <w:highlight w:val="none"/>
          <w:lang w:val="en-US" w:eastAsia="zh-CN"/>
        </w:rPr>
        <w:t>作</w:t>
      </w:r>
      <w:r>
        <w:rPr>
          <w:rFonts w:hint="eastAsia" w:ascii="宋体" w:hAnsi="宋体" w:eastAsia="宋体" w:cs="宋体"/>
          <w:color w:val="auto"/>
          <w:kern w:val="0"/>
          <w:szCs w:val="21"/>
          <w:highlight w:val="none"/>
        </w:rPr>
        <w:t>强制要求）。</w:t>
      </w:r>
    </w:p>
    <w:p w14:paraId="5FDD09AF">
      <w:pPr>
        <w:autoSpaceDE/>
        <w:autoSpaceDN/>
        <w:adjustRightInd/>
        <w:snapToGrid/>
        <w:spacing w:line="240" w:lineRule="auto"/>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br w:type="page"/>
      </w:r>
    </w:p>
    <w:p w14:paraId="5D19906D">
      <w:pPr>
        <w:widowControl w:val="0"/>
        <w:spacing w:line="360" w:lineRule="auto"/>
        <w:ind w:left="567" w:leftChars="270"/>
        <w:jc w:val="center"/>
        <w:rPr>
          <w:rFonts w:hint="eastAsia" w:ascii="宋体" w:hAnsi="宋体" w:eastAsia="宋体" w:cs="宋体"/>
          <w:color w:val="auto"/>
          <w:kern w:val="2"/>
          <w:sz w:val="84"/>
          <w:szCs w:val="20"/>
          <w:highlight w:val="none"/>
          <w:lang w:val="en-US" w:eastAsia="zh-CN" w:bidi="ar-SA"/>
        </w:rPr>
      </w:pPr>
    </w:p>
    <w:p w14:paraId="47A43CEC">
      <w:pPr>
        <w:widowControl w:val="0"/>
        <w:spacing w:line="360" w:lineRule="auto"/>
        <w:ind w:left="567" w:leftChars="270"/>
        <w:jc w:val="center"/>
        <w:rPr>
          <w:rFonts w:hint="eastAsia" w:ascii="宋体" w:hAnsi="宋体" w:eastAsia="宋体" w:cs="宋体"/>
          <w:color w:val="auto"/>
          <w:kern w:val="2"/>
          <w:sz w:val="84"/>
          <w:szCs w:val="20"/>
          <w:highlight w:val="none"/>
          <w:lang w:val="en-US" w:eastAsia="zh-CN" w:bidi="ar-SA"/>
        </w:rPr>
      </w:pPr>
    </w:p>
    <w:p w14:paraId="585A965E">
      <w:pPr>
        <w:widowControl w:val="0"/>
        <w:spacing w:line="360" w:lineRule="auto"/>
        <w:ind w:left="567" w:leftChars="270"/>
        <w:jc w:val="center"/>
        <w:rPr>
          <w:rFonts w:hint="eastAsia" w:ascii="宋体" w:hAnsi="宋体" w:eastAsia="宋体" w:cs="宋体"/>
          <w:color w:val="auto"/>
          <w:kern w:val="2"/>
          <w:sz w:val="84"/>
          <w:szCs w:val="20"/>
          <w:highlight w:val="none"/>
          <w:lang w:val="en-US" w:eastAsia="zh-CN" w:bidi="ar-SA"/>
        </w:rPr>
      </w:pPr>
      <w:r>
        <w:rPr>
          <w:rFonts w:hint="eastAsia" w:ascii="宋体" w:hAnsi="宋体" w:eastAsia="宋体" w:cs="宋体"/>
          <w:color w:val="auto"/>
          <w:kern w:val="2"/>
          <w:sz w:val="84"/>
          <w:szCs w:val="20"/>
          <w:highlight w:val="none"/>
          <w:lang w:val="en-US" w:eastAsia="zh-CN" w:bidi="ar-SA"/>
        </w:rPr>
        <w:t>投 标 文 件</w:t>
      </w:r>
    </w:p>
    <w:p w14:paraId="10284EE7">
      <w:pPr>
        <w:widowControl w:val="0"/>
        <w:spacing w:line="360" w:lineRule="auto"/>
        <w:ind w:left="567" w:leftChars="270"/>
        <w:jc w:val="both"/>
        <w:rPr>
          <w:rFonts w:hint="eastAsia" w:ascii="宋体" w:hAnsi="宋体" w:eastAsia="宋体" w:cs="宋体"/>
          <w:color w:val="auto"/>
          <w:kern w:val="2"/>
          <w:sz w:val="21"/>
          <w:szCs w:val="20"/>
          <w:highlight w:val="none"/>
          <w:lang w:val="en-US" w:eastAsia="zh-CN" w:bidi="ar-SA"/>
        </w:rPr>
      </w:pPr>
    </w:p>
    <w:p w14:paraId="26208E1E">
      <w:pPr>
        <w:widowControl w:val="0"/>
        <w:spacing w:line="360" w:lineRule="auto"/>
        <w:ind w:left="567" w:leftChars="270"/>
        <w:jc w:val="both"/>
        <w:rPr>
          <w:rFonts w:hint="eastAsia" w:ascii="宋体" w:hAnsi="宋体" w:eastAsia="宋体" w:cs="宋体"/>
          <w:color w:val="auto"/>
          <w:kern w:val="2"/>
          <w:sz w:val="21"/>
          <w:szCs w:val="20"/>
          <w:highlight w:val="none"/>
          <w:lang w:val="en-US" w:eastAsia="zh-CN" w:bidi="ar-SA"/>
        </w:rPr>
      </w:pPr>
    </w:p>
    <w:p w14:paraId="4EB27C5B">
      <w:pPr>
        <w:widowControl w:val="0"/>
        <w:spacing w:line="360" w:lineRule="auto"/>
        <w:ind w:left="567" w:leftChars="270"/>
        <w:jc w:val="both"/>
        <w:rPr>
          <w:rFonts w:hint="eastAsia" w:ascii="宋体" w:hAnsi="宋体" w:eastAsia="宋体" w:cs="宋体"/>
          <w:color w:val="auto"/>
          <w:kern w:val="2"/>
          <w:sz w:val="21"/>
          <w:szCs w:val="20"/>
          <w:highlight w:val="none"/>
          <w:lang w:val="en-US" w:eastAsia="zh-CN" w:bidi="ar-SA"/>
        </w:rPr>
      </w:pPr>
    </w:p>
    <w:p w14:paraId="2F2039FE">
      <w:pPr>
        <w:widowControl w:val="0"/>
        <w:spacing w:line="360" w:lineRule="auto"/>
        <w:ind w:left="567" w:leftChars="270"/>
        <w:jc w:val="both"/>
        <w:rPr>
          <w:rFonts w:hint="eastAsia" w:ascii="宋体" w:hAnsi="宋体" w:eastAsia="宋体" w:cs="宋体"/>
          <w:color w:val="auto"/>
          <w:kern w:val="2"/>
          <w:sz w:val="21"/>
          <w:szCs w:val="20"/>
          <w:highlight w:val="none"/>
          <w:lang w:val="en-US" w:eastAsia="zh-CN" w:bidi="ar-SA"/>
        </w:rPr>
      </w:pPr>
    </w:p>
    <w:p w14:paraId="2D584B28">
      <w:pPr>
        <w:widowControl w:val="0"/>
        <w:spacing w:line="360" w:lineRule="auto"/>
        <w:ind w:left="567" w:leftChars="270"/>
        <w:jc w:val="both"/>
        <w:rPr>
          <w:rFonts w:hint="eastAsia" w:ascii="宋体" w:hAnsi="宋体" w:eastAsia="宋体" w:cs="宋体"/>
          <w:color w:val="auto"/>
          <w:kern w:val="2"/>
          <w:sz w:val="21"/>
          <w:szCs w:val="20"/>
          <w:highlight w:val="none"/>
          <w:lang w:val="en-US" w:eastAsia="zh-CN" w:bidi="ar-SA"/>
        </w:rPr>
      </w:pPr>
    </w:p>
    <w:p w14:paraId="36521EA3">
      <w:pPr>
        <w:widowControl w:val="0"/>
        <w:spacing w:line="360" w:lineRule="auto"/>
        <w:ind w:left="567" w:leftChars="270"/>
        <w:jc w:val="both"/>
        <w:rPr>
          <w:rFonts w:hint="eastAsia" w:ascii="宋体" w:hAnsi="宋体" w:eastAsia="宋体" w:cs="宋体"/>
          <w:color w:val="auto"/>
          <w:kern w:val="2"/>
          <w:sz w:val="21"/>
          <w:szCs w:val="20"/>
          <w:highlight w:val="none"/>
          <w:lang w:val="en-US" w:eastAsia="zh-CN" w:bidi="ar-SA"/>
        </w:rPr>
      </w:pPr>
    </w:p>
    <w:p w14:paraId="4F8E2B68">
      <w:pPr>
        <w:widowControl w:val="0"/>
        <w:spacing w:line="360" w:lineRule="auto"/>
        <w:ind w:left="567" w:leftChars="270" w:firstLine="1875" w:firstLineChars="625"/>
        <w:jc w:val="both"/>
        <w:rPr>
          <w:rFonts w:hint="eastAsia" w:ascii="宋体" w:hAnsi="宋体" w:eastAsia="宋体" w:cs="宋体"/>
          <w:color w:val="auto"/>
          <w:kern w:val="2"/>
          <w:sz w:val="30"/>
          <w:szCs w:val="20"/>
          <w:highlight w:val="none"/>
          <w:lang w:val="en-US" w:eastAsia="zh-CN" w:bidi="ar-SA"/>
        </w:rPr>
      </w:pPr>
      <w:r>
        <w:rPr>
          <w:rFonts w:hint="eastAsia" w:ascii="宋体" w:hAnsi="宋体" w:eastAsia="宋体" w:cs="宋体"/>
          <w:color w:val="auto"/>
          <w:kern w:val="2"/>
          <w:sz w:val="30"/>
          <w:szCs w:val="20"/>
          <w:highlight w:val="none"/>
          <w:lang w:val="en-US" w:eastAsia="zh-CN" w:bidi="ar-SA"/>
        </w:rPr>
        <w:t>招标编号：</w:t>
      </w:r>
      <w:r>
        <w:rPr>
          <w:rFonts w:hint="eastAsia" w:ascii="宋体" w:hAnsi="宋体" w:eastAsia="宋体" w:cs="宋体"/>
          <w:color w:val="auto"/>
          <w:kern w:val="2"/>
          <w:sz w:val="30"/>
          <w:szCs w:val="20"/>
          <w:highlight w:val="none"/>
          <w:u w:val="single"/>
          <w:lang w:val="en-US" w:eastAsia="zh-CN" w:bidi="ar-SA"/>
        </w:rPr>
        <w:t xml:space="preserve">                      </w:t>
      </w:r>
    </w:p>
    <w:p w14:paraId="5BF4B7B1">
      <w:pPr>
        <w:widowControl w:val="0"/>
        <w:spacing w:line="360" w:lineRule="auto"/>
        <w:ind w:left="567" w:leftChars="270" w:firstLine="1875" w:firstLineChars="625"/>
        <w:jc w:val="both"/>
        <w:rPr>
          <w:rFonts w:hint="eastAsia" w:ascii="宋体" w:hAnsi="宋体" w:eastAsia="宋体" w:cs="宋体"/>
          <w:color w:val="auto"/>
          <w:kern w:val="2"/>
          <w:sz w:val="30"/>
          <w:szCs w:val="20"/>
          <w:highlight w:val="none"/>
          <w:u w:val="single"/>
          <w:lang w:val="en-US" w:eastAsia="zh-CN" w:bidi="ar-SA"/>
        </w:rPr>
      </w:pPr>
      <w:r>
        <w:rPr>
          <w:rFonts w:hint="eastAsia" w:ascii="宋体" w:hAnsi="宋体" w:eastAsia="宋体" w:cs="宋体"/>
          <w:color w:val="auto"/>
          <w:kern w:val="2"/>
          <w:sz w:val="30"/>
          <w:szCs w:val="20"/>
          <w:highlight w:val="none"/>
          <w:lang w:val="en-US" w:eastAsia="zh-CN" w:bidi="ar-SA"/>
        </w:rPr>
        <w:t>项目名称：</w:t>
      </w:r>
      <w:r>
        <w:rPr>
          <w:rFonts w:hint="eastAsia" w:ascii="宋体" w:hAnsi="宋体" w:eastAsia="宋体" w:cs="宋体"/>
          <w:color w:val="auto"/>
          <w:kern w:val="2"/>
          <w:sz w:val="30"/>
          <w:szCs w:val="20"/>
          <w:highlight w:val="none"/>
          <w:u w:val="single"/>
          <w:lang w:val="en-US" w:eastAsia="zh-CN" w:bidi="ar-SA"/>
        </w:rPr>
        <w:t xml:space="preserve">                      </w:t>
      </w:r>
    </w:p>
    <w:p w14:paraId="74DC95B5">
      <w:pPr>
        <w:widowControl w:val="0"/>
        <w:spacing w:line="360" w:lineRule="auto"/>
        <w:ind w:left="567" w:leftChars="270" w:firstLine="1875" w:firstLineChars="625"/>
        <w:jc w:val="both"/>
        <w:rPr>
          <w:rFonts w:hint="eastAsia" w:ascii="宋体" w:hAnsi="宋体" w:eastAsia="宋体" w:cs="宋体"/>
          <w:color w:val="auto"/>
          <w:kern w:val="2"/>
          <w:sz w:val="30"/>
          <w:szCs w:val="20"/>
          <w:highlight w:val="none"/>
          <w:u w:val="single"/>
          <w:lang w:val="en-US" w:eastAsia="zh-CN" w:bidi="ar-SA"/>
        </w:rPr>
      </w:pPr>
      <w:r>
        <w:rPr>
          <w:rFonts w:hint="eastAsia" w:ascii="宋体" w:hAnsi="宋体" w:eastAsia="宋体" w:cs="宋体"/>
          <w:color w:val="auto"/>
          <w:kern w:val="2"/>
          <w:sz w:val="30"/>
          <w:szCs w:val="20"/>
          <w:highlight w:val="none"/>
          <w:lang w:val="en-US" w:eastAsia="zh-CN" w:bidi="ar-SA"/>
        </w:rPr>
        <w:t>投标文件内容：</w:t>
      </w:r>
      <w:r>
        <w:rPr>
          <w:rFonts w:hint="eastAsia" w:ascii="宋体" w:hAnsi="宋体" w:eastAsia="宋体" w:cs="宋体"/>
          <w:color w:val="auto"/>
          <w:kern w:val="2"/>
          <w:sz w:val="30"/>
          <w:szCs w:val="20"/>
          <w:highlight w:val="none"/>
          <w:u w:val="single"/>
          <w:lang w:val="en-US" w:eastAsia="zh-CN" w:bidi="ar-SA"/>
        </w:rPr>
        <w:t xml:space="preserve"> 投标文件技术部分 </w:t>
      </w:r>
    </w:p>
    <w:p w14:paraId="64511A2D">
      <w:pPr>
        <w:widowControl w:val="0"/>
        <w:spacing w:line="360" w:lineRule="auto"/>
        <w:ind w:left="567" w:leftChars="270" w:firstLine="1875" w:firstLineChars="625"/>
        <w:jc w:val="both"/>
        <w:rPr>
          <w:rFonts w:hint="eastAsia" w:ascii="宋体" w:hAnsi="宋体" w:eastAsia="宋体" w:cs="宋体"/>
          <w:color w:val="auto"/>
          <w:kern w:val="2"/>
          <w:sz w:val="30"/>
          <w:szCs w:val="20"/>
          <w:highlight w:val="none"/>
          <w:lang w:val="en-US" w:eastAsia="zh-CN" w:bidi="ar-SA"/>
        </w:rPr>
      </w:pPr>
      <w:r>
        <w:rPr>
          <w:rFonts w:hint="eastAsia" w:ascii="宋体" w:hAnsi="宋体" w:eastAsia="宋体" w:cs="宋体"/>
          <w:color w:val="auto"/>
          <w:kern w:val="2"/>
          <w:sz w:val="30"/>
          <w:szCs w:val="20"/>
          <w:highlight w:val="none"/>
          <w:lang w:val="en-US" w:eastAsia="zh-CN" w:bidi="ar-SA"/>
        </w:rPr>
        <w:t>招标人：</w:t>
      </w:r>
      <w:r>
        <w:rPr>
          <w:rFonts w:hint="eastAsia" w:ascii="宋体" w:hAnsi="宋体" w:eastAsia="宋体" w:cs="宋体"/>
          <w:color w:val="auto"/>
          <w:kern w:val="2"/>
          <w:sz w:val="30"/>
          <w:szCs w:val="20"/>
          <w:highlight w:val="none"/>
          <w:u w:val="single"/>
          <w:lang w:val="en-US" w:eastAsia="zh-CN" w:bidi="ar-SA"/>
        </w:rPr>
        <w:t xml:space="preserve">                        </w:t>
      </w:r>
    </w:p>
    <w:p w14:paraId="658D9CC4">
      <w:pPr>
        <w:widowControl w:val="0"/>
        <w:spacing w:line="360" w:lineRule="auto"/>
        <w:ind w:left="567" w:leftChars="270" w:firstLine="1875" w:firstLineChars="625"/>
        <w:jc w:val="both"/>
        <w:rPr>
          <w:rFonts w:hint="eastAsia" w:ascii="宋体" w:hAnsi="宋体" w:eastAsia="宋体" w:cs="宋体"/>
          <w:color w:val="auto"/>
          <w:kern w:val="2"/>
          <w:sz w:val="30"/>
          <w:szCs w:val="20"/>
          <w:highlight w:val="none"/>
          <w:u w:val="single"/>
          <w:lang w:val="en-US" w:eastAsia="zh-CN" w:bidi="ar-SA"/>
        </w:rPr>
      </w:pPr>
      <w:r>
        <w:rPr>
          <w:rFonts w:hint="eastAsia" w:ascii="宋体" w:hAnsi="宋体" w:eastAsia="宋体" w:cs="宋体"/>
          <w:color w:val="auto"/>
          <w:kern w:val="2"/>
          <w:sz w:val="30"/>
          <w:szCs w:val="20"/>
          <w:highlight w:val="none"/>
          <w:lang w:val="en-US" w:eastAsia="zh-CN" w:bidi="ar-SA"/>
        </w:rPr>
        <w:t>投标人：</w:t>
      </w:r>
      <w:r>
        <w:rPr>
          <w:rFonts w:hint="eastAsia" w:ascii="宋体" w:hAnsi="宋体" w:eastAsia="宋体" w:cs="宋体"/>
          <w:color w:val="auto"/>
          <w:kern w:val="2"/>
          <w:sz w:val="30"/>
          <w:szCs w:val="20"/>
          <w:highlight w:val="none"/>
          <w:u w:val="single"/>
          <w:lang w:val="en-US" w:eastAsia="zh-CN" w:bidi="ar-SA"/>
        </w:rPr>
        <w:t xml:space="preserve">                        </w:t>
      </w:r>
    </w:p>
    <w:p w14:paraId="66490EDB">
      <w:pPr>
        <w:widowControl w:val="0"/>
        <w:spacing w:line="360" w:lineRule="auto"/>
        <w:ind w:left="567" w:leftChars="270" w:firstLine="1875" w:firstLineChars="625"/>
        <w:jc w:val="both"/>
        <w:rPr>
          <w:rFonts w:hint="eastAsia" w:ascii="宋体" w:hAnsi="宋体" w:eastAsia="宋体" w:cs="宋体"/>
          <w:color w:val="auto"/>
          <w:kern w:val="2"/>
          <w:sz w:val="30"/>
          <w:szCs w:val="20"/>
          <w:highlight w:val="none"/>
          <w:lang w:val="en-US" w:eastAsia="zh-CN" w:bidi="ar-SA"/>
        </w:rPr>
      </w:pPr>
      <w:r>
        <w:rPr>
          <w:rFonts w:hint="eastAsia" w:ascii="宋体" w:hAnsi="宋体" w:eastAsia="宋体" w:cs="宋体"/>
          <w:color w:val="auto"/>
          <w:kern w:val="2"/>
          <w:sz w:val="30"/>
          <w:szCs w:val="20"/>
          <w:highlight w:val="none"/>
          <w:lang w:val="en-US" w:eastAsia="zh-CN" w:bidi="ar-SA"/>
        </w:rPr>
        <w:t>日  期：</w:t>
      </w:r>
      <w:r>
        <w:rPr>
          <w:rFonts w:hint="eastAsia" w:ascii="宋体" w:hAnsi="宋体" w:eastAsia="宋体" w:cs="宋体"/>
          <w:color w:val="auto"/>
          <w:kern w:val="2"/>
          <w:sz w:val="30"/>
          <w:szCs w:val="20"/>
          <w:highlight w:val="none"/>
          <w:u w:val="single"/>
          <w:lang w:val="en-US" w:eastAsia="zh-CN" w:bidi="ar-SA"/>
        </w:rPr>
        <w:t xml:space="preserve">     </w:t>
      </w:r>
      <w:r>
        <w:rPr>
          <w:rFonts w:hint="eastAsia" w:ascii="宋体" w:hAnsi="宋体" w:eastAsia="宋体" w:cs="宋体"/>
          <w:color w:val="auto"/>
          <w:kern w:val="2"/>
          <w:sz w:val="30"/>
          <w:szCs w:val="20"/>
          <w:highlight w:val="none"/>
          <w:lang w:val="en-US" w:eastAsia="zh-CN" w:bidi="ar-SA"/>
        </w:rPr>
        <w:t>年</w:t>
      </w:r>
      <w:r>
        <w:rPr>
          <w:rFonts w:hint="eastAsia" w:ascii="宋体" w:hAnsi="宋体" w:eastAsia="宋体" w:cs="宋体"/>
          <w:color w:val="auto"/>
          <w:kern w:val="2"/>
          <w:sz w:val="30"/>
          <w:szCs w:val="20"/>
          <w:highlight w:val="none"/>
          <w:u w:val="single"/>
          <w:lang w:val="en-US" w:eastAsia="zh-CN" w:bidi="ar-SA"/>
        </w:rPr>
        <w:t xml:space="preserve">    </w:t>
      </w:r>
      <w:r>
        <w:rPr>
          <w:rFonts w:hint="eastAsia" w:ascii="宋体" w:hAnsi="宋体" w:eastAsia="宋体" w:cs="宋体"/>
          <w:color w:val="auto"/>
          <w:kern w:val="2"/>
          <w:sz w:val="30"/>
          <w:szCs w:val="20"/>
          <w:highlight w:val="none"/>
          <w:lang w:val="en-US" w:eastAsia="zh-CN" w:bidi="ar-SA"/>
        </w:rPr>
        <w:t>月</w:t>
      </w:r>
      <w:r>
        <w:rPr>
          <w:rFonts w:hint="eastAsia" w:ascii="宋体" w:hAnsi="宋体" w:eastAsia="宋体" w:cs="宋体"/>
          <w:color w:val="auto"/>
          <w:kern w:val="2"/>
          <w:sz w:val="30"/>
          <w:szCs w:val="20"/>
          <w:highlight w:val="none"/>
          <w:u w:val="single"/>
          <w:lang w:val="en-US" w:eastAsia="zh-CN" w:bidi="ar-SA"/>
        </w:rPr>
        <w:t xml:space="preserve">    </w:t>
      </w:r>
      <w:r>
        <w:rPr>
          <w:rFonts w:hint="eastAsia" w:ascii="宋体" w:hAnsi="宋体" w:eastAsia="宋体" w:cs="宋体"/>
          <w:color w:val="auto"/>
          <w:kern w:val="2"/>
          <w:sz w:val="30"/>
          <w:szCs w:val="20"/>
          <w:highlight w:val="none"/>
          <w:lang w:val="en-US" w:eastAsia="zh-CN" w:bidi="ar-SA"/>
        </w:rPr>
        <w:t>日</w:t>
      </w:r>
    </w:p>
    <w:p w14:paraId="6488A240">
      <w:pPr>
        <w:widowControl w:val="0"/>
        <w:spacing w:line="360" w:lineRule="auto"/>
        <w:ind w:left="567" w:leftChars="270"/>
        <w:jc w:val="both"/>
        <w:rPr>
          <w:rFonts w:hint="eastAsia" w:ascii="宋体" w:hAnsi="宋体" w:eastAsia="宋体" w:cs="宋体"/>
          <w:color w:val="auto"/>
          <w:kern w:val="2"/>
          <w:sz w:val="21"/>
          <w:szCs w:val="20"/>
          <w:highlight w:val="none"/>
          <w:lang w:val="en-US" w:eastAsia="zh-CN" w:bidi="ar-SA"/>
        </w:rPr>
      </w:pPr>
    </w:p>
    <w:p w14:paraId="66387437">
      <w:pPr>
        <w:widowControl w:val="0"/>
        <w:spacing w:line="360" w:lineRule="auto"/>
        <w:ind w:left="567" w:leftChars="270"/>
        <w:jc w:val="both"/>
        <w:rPr>
          <w:rFonts w:hint="eastAsia" w:ascii="宋体" w:hAnsi="宋体" w:eastAsia="宋体" w:cs="宋体"/>
          <w:color w:val="auto"/>
          <w:kern w:val="2"/>
          <w:sz w:val="21"/>
          <w:szCs w:val="20"/>
          <w:highlight w:val="none"/>
          <w:lang w:val="en-US" w:eastAsia="zh-CN" w:bidi="ar-SA"/>
        </w:rPr>
      </w:pPr>
      <w:r>
        <w:rPr>
          <w:rFonts w:hint="eastAsia" w:ascii="宋体" w:hAnsi="宋体" w:eastAsia="宋体" w:cs="宋体"/>
          <w:color w:val="auto"/>
          <w:kern w:val="2"/>
          <w:sz w:val="21"/>
          <w:szCs w:val="20"/>
          <w:highlight w:val="none"/>
          <w:lang w:val="en-US" w:eastAsia="zh-CN" w:bidi="ar-SA"/>
        </w:rPr>
        <w:br w:type="page"/>
      </w:r>
    </w:p>
    <w:p w14:paraId="1B8E9C29">
      <w:pPr>
        <w:widowControl w:val="0"/>
        <w:spacing w:line="360" w:lineRule="auto"/>
        <w:ind w:left="567" w:leftChars="270"/>
        <w:jc w:val="both"/>
        <w:rPr>
          <w:rFonts w:hint="eastAsia" w:ascii="宋体" w:hAnsi="宋体" w:eastAsia="宋体" w:cs="宋体"/>
          <w:color w:val="auto"/>
          <w:kern w:val="2"/>
          <w:sz w:val="21"/>
          <w:szCs w:val="20"/>
          <w:highlight w:val="none"/>
          <w:lang w:val="en-US" w:eastAsia="zh-CN" w:bidi="ar-SA"/>
        </w:rPr>
      </w:pPr>
    </w:p>
    <w:p w14:paraId="019CDFCF">
      <w:pPr>
        <w:pBdr>
          <w:bottom w:val="single" w:color="auto" w:sz="6" w:space="0"/>
        </w:pBdr>
        <w:autoSpaceDE/>
        <w:autoSpaceDN/>
        <w:adjustRightInd/>
        <w:snapToGrid/>
        <w:spacing w:line="480" w:lineRule="auto"/>
        <w:ind w:firstLine="472" w:firstLineChars="224"/>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投标文件</w:t>
      </w:r>
      <w:r>
        <w:rPr>
          <w:rFonts w:hint="eastAsia" w:ascii="宋体" w:hAnsi="宋体" w:eastAsia="宋体" w:cs="宋体"/>
          <w:b/>
          <w:bCs/>
          <w:color w:val="auto"/>
          <w:szCs w:val="21"/>
          <w:highlight w:val="none"/>
          <w:lang w:val="en-US" w:eastAsia="zh-CN"/>
        </w:rPr>
        <w:t>技术</w:t>
      </w:r>
      <w:r>
        <w:rPr>
          <w:rFonts w:hint="eastAsia" w:ascii="宋体" w:hAnsi="宋体" w:eastAsia="宋体" w:cs="宋体"/>
          <w:b/>
          <w:bCs/>
          <w:color w:val="auto"/>
          <w:szCs w:val="21"/>
          <w:highlight w:val="none"/>
        </w:rPr>
        <w:t>评审部分索引表</w:t>
      </w:r>
    </w:p>
    <w:tbl>
      <w:tblPr>
        <w:tblStyle w:val="20"/>
        <w:tblW w:w="4999"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108" w:type="dxa"/>
          <w:bottom w:w="0" w:type="dxa"/>
          <w:right w:w="108" w:type="dxa"/>
        </w:tblCellMar>
      </w:tblPr>
      <w:tblGrid>
        <w:gridCol w:w="1369"/>
        <w:gridCol w:w="2753"/>
        <w:gridCol w:w="1773"/>
        <w:gridCol w:w="4399"/>
      </w:tblGrid>
      <w:tr w14:paraId="05BB889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204" w:hRule="atLeast"/>
          <w:jc w:val="center"/>
        </w:trPr>
        <w:tc>
          <w:tcPr>
            <w:tcW w:w="665" w:type="pct"/>
            <w:vAlign w:val="center"/>
          </w:tcPr>
          <w:p w14:paraId="0EED426F">
            <w:pPr>
              <w:autoSpaceDE/>
              <w:autoSpaceDN/>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序号</w:t>
            </w:r>
          </w:p>
        </w:tc>
        <w:tc>
          <w:tcPr>
            <w:tcW w:w="1337" w:type="pct"/>
            <w:vAlign w:val="center"/>
          </w:tcPr>
          <w:p w14:paraId="4B7C8653">
            <w:pPr>
              <w:autoSpaceDE/>
              <w:autoSpaceDN/>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评标项目</w:t>
            </w:r>
          </w:p>
        </w:tc>
        <w:tc>
          <w:tcPr>
            <w:tcW w:w="861" w:type="pct"/>
            <w:vAlign w:val="center"/>
          </w:tcPr>
          <w:p w14:paraId="42B6A59C">
            <w:pPr>
              <w:autoSpaceDE/>
              <w:autoSpaceDN/>
              <w:adjustRightInd w:val="0"/>
              <w:snapToGrid w:val="0"/>
              <w:spacing w:line="360" w:lineRule="auto"/>
              <w:jc w:val="center"/>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招标文件上的满分值</w:t>
            </w:r>
          </w:p>
        </w:tc>
        <w:tc>
          <w:tcPr>
            <w:tcW w:w="2136" w:type="pct"/>
            <w:tcBorders>
              <w:left w:val="single" w:color="auto" w:sz="4" w:space="0"/>
            </w:tcBorders>
            <w:vAlign w:val="center"/>
          </w:tcPr>
          <w:p w14:paraId="0E1B784F">
            <w:pPr>
              <w:autoSpaceDE/>
              <w:autoSpaceDN/>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页码索引</w:t>
            </w:r>
          </w:p>
        </w:tc>
      </w:tr>
      <w:tr w14:paraId="2E38F28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541" w:hRule="atLeast"/>
          <w:jc w:val="center"/>
        </w:trPr>
        <w:tc>
          <w:tcPr>
            <w:tcW w:w="665" w:type="pct"/>
            <w:vAlign w:val="center"/>
          </w:tcPr>
          <w:p w14:paraId="7742A939">
            <w:pPr>
              <w:autoSpaceDE/>
              <w:autoSpaceDN/>
              <w:adjustRightInd w:val="0"/>
              <w:snapToGrid w:val="0"/>
              <w:spacing w:line="360" w:lineRule="auto"/>
              <w:jc w:val="center"/>
              <w:rPr>
                <w:rFonts w:hint="eastAsia" w:ascii="宋体" w:hAnsi="宋体" w:eastAsia="宋体" w:cs="宋体"/>
                <w:bCs/>
                <w:color w:val="auto"/>
                <w:szCs w:val="21"/>
                <w:highlight w:val="none"/>
              </w:rPr>
            </w:pPr>
          </w:p>
        </w:tc>
        <w:tc>
          <w:tcPr>
            <w:tcW w:w="1337" w:type="pct"/>
            <w:vAlign w:val="center"/>
          </w:tcPr>
          <w:p w14:paraId="2E9A2545">
            <w:pPr>
              <w:autoSpaceDE/>
              <w:autoSpaceDN/>
              <w:adjustRightInd w:val="0"/>
              <w:snapToGrid w:val="0"/>
              <w:spacing w:line="360" w:lineRule="auto"/>
              <w:jc w:val="center"/>
              <w:rPr>
                <w:rFonts w:hint="eastAsia" w:ascii="宋体" w:hAnsi="宋体" w:eastAsia="宋体" w:cs="宋体"/>
                <w:bCs/>
                <w:color w:val="auto"/>
                <w:szCs w:val="21"/>
                <w:highlight w:val="none"/>
              </w:rPr>
            </w:pPr>
          </w:p>
        </w:tc>
        <w:tc>
          <w:tcPr>
            <w:tcW w:w="861" w:type="pct"/>
            <w:vAlign w:val="center"/>
          </w:tcPr>
          <w:p w14:paraId="0DB41A41">
            <w:pPr>
              <w:autoSpaceDE/>
              <w:autoSpaceDN/>
              <w:adjustRightInd w:val="0"/>
              <w:snapToGrid w:val="0"/>
              <w:spacing w:line="360" w:lineRule="auto"/>
              <w:jc w:val="center"/>
              <w:rPr>
                <w:rFonts w:hint="eastAsia" w:ascii="宋体" w:hAnsi="宋体" w:eastAsia="宋体" w:cs="宋体"/>
                <w:bCs/>
                <w:color w:val="auto"/>
                <w:szCs w:val="21"/>
                <w:highlight w:val="none"/>
              </w:rPr>
            </w:pPr>
          </w:p>
        </w:tc>
        <w:tc>
          <w:tcPr>
            <w:tcW w:w="2136" w:type="pct"/>
            <w:tcBorders>
              <w:left w:val="single" w:color="auto" w:sz="4" w:space="0"/>
            </w:tcBorders>
            <w:vAlign w:val="center"/>
          </w:tcPr>
          <w:p w14:paraId="1227D724">
            <w:pPr>
              <w:autoSpaceDE/>
              <w:autoSpaceDN/>
              <w:adjustRightInd w:val="0"/>
              <w:snapToGrid w:val="0"/>
              <w:spacing w:line="360" w:lineRule="auto"/>
              <w:rPr>
                <w:rFonts w:hint="eastAsia" w:ascii="宋体" w:hAnsi="宋体" w:eastAsia="宋体" w:cs="宋体"/>
                <w:bCs/>
                <w:color w:val="auto"/>
                <w:szCs w:val="21"/>
                <w:highlight w:val="none"/>
              </w:rPr>
            </w:pPr>
          </w:p>
        </w:tc>
      </w:tr>
      <w:tr w14:paraId="6147139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761" w:hRule="atLeast"/>
          <w:jc w:val="center"/>
        </w:trPr>
        <w:tc>
          <w:tcPr>
            <w:tcW w:w="665" w:type="pct"/>
            <w:vAlign w:val="center"/>
          </w:tcPr>
          <w:p w14:paraId="2F29E4FB">
            <w:pPr>
              <w:autoSpaceDE/>
              <w:autoSpaceDN/>
              <w:adjustRightInd/>
              <w:snapToGrid/>
              <w:spacing w:line="240" w:lineRule="auto"/>
              <w:rPr>
                <w:rFonts w:hint="eastAsia" w:ascii="宋体" w:hAnsi="宋体" w:eastAsia="宋体" w:cs="宋体"/>
                <w:bCs/>
                <w:color w:val="auto"/>
                <w:szCs w:val="21"/>
                <w:highlight w:val="none"/>
              </w:rPr>
            </w:pPr>
          </w:p>
        </w:tc>
        <w:tc>
          <w:tcPr>
            <w:tcW w:w="1337" w:type="pct"/>
            <w:vAlign w:val="center"/>
          </w:tcPr>
          <w:p w14:paraId="42A31385">
            <w:pPr>
              <w:autoSpaceDE/>
              <w:autoSpaceDN/>
              <w:adjustRightInd/>
              <w:snapToGrid/>
              <w:spacing w:line="240" w:lineRule="auto"/>
              <w:rPr>
                <w:rFonts w:hint="eastAsia" w:ascii="宋体" w:hAnsi="宋体" w:eastAsia="宋体" w:cs="宋体"/>
                <w:bCs/>
                <w:color w:val="auto"/>
                <w:szCs w:val="21"/>
                <w:highlight w:val="none"/>
              </w:rPr>
            </w:pPr>
          </w:p>
        </w:tc>
        <w:tc>
          <w:tcPr>
            <w:tcW w:w="861" w:type="pct"/>
            <w:vAlign w:val="center"/>
          </w:tcPr>
          <w:p w14:paraId="1DA73349">
            <w:pPr>
              <w:autoSpaceDE/>
              <w:autoSpaceDN/>
              <w:adjustRightInd/>
              <w:snapToGrid/>
              <w:spacing w:line="240" w:lineRule="auto"/>
              <w:rPr>
                <w:rFonts w:hint="eastAsia" w:ascii="宋体" w:hAnsi="宋体" w:eastAsia="宋体" w:cs="宋体"/>
                <w:bCs/>
                <w:color w:val="auto"/>
                <w:szCs w:val="21"/>
                <w:highlight w:val="none"/>
              </w:rPr>
            </w:pPr>
          </w:p>
        </w:tc>
        <w:tc>
          <w:tcPr>
            <w:tcW w:w="2136" w:type="pct"/>
            <w:tcBorders>
              <w:left w:val="single" w:color="auto" w:sz="4" w:space="0"/>
            </w:tcBorders>
            <w:vAlign w:val="center"/>
          </w:tcPr>
          <w:p w14:paraId="543ED2A6">
            <w:pPr>
              <w:autoSpaceDE/>
              <w:autoSpaceDN/>
              <w:adjustRightInd w:val="0"/>
              <w:snapToGrid w:val="0"/>
              <w:spacing w:line="360" w:lineRule="auto"/>
              <w:ind w:firstLine="105" w:firstLineChars="50"/>
              <w:rPr>
                <w:rFonts w:hint="eastAsia" w:ascii="宋体" w:hAnsi="宋体" w:eastAsia="宋体" w:cs="宋体"/>
                <w:bCs/>
                <w:color w:val="auto"/>
                <w:szCs w:val="21"/>
                <w:highlight w:val="none"/>
              </w:rPr>
            </w:pPr>
          </w:p>
        </w:tc>
      </w:tr>
      <w:tr w14:paraId="624E1F1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2029" w:hRule="atLeast"/>
          <w:jc w:val="center"/>
        </w:trPr>
        <w:tc>
          <w:tcPr>
            <w:tcW w:w="665" w:type="pct"/>
            <w:vAlign w:val="center"/>
          </w:tcPr>
          <w:p w14:paraId="39F74CC8">
            <w:pPr>
              <w:autoSpaceDE/>
              <w:autoSpaceDN/>
              <w:adjustRightInd w:val="0"/>
              <w:snapToGrid w:val="0"/>
              <w:spacing w:line="360" w:lineRule="auto"/>
              <w:jc w:val="center"/>
              <w:rPr>
                <w:rFonts w:hint="eastAsia" w:ascii="宋体" w:hAnsi="宋体" w:eastAsia="宋体" w:cs="宋体"/>
                <w:bCs/>
                <w:color w:val="auto"/>
                <w:szCs w:val="21"/>
                <w:highlight w:val="none"/>
              </w:rPr>
            </w:pPr>
          </w:p>
        </w:tc>
        <w:tc>
          <w:tcPr>
            <w:tcW w:w="1337" w:type="pct"/>
            <w:vAlign w:val="center"/>
          </w:tcPr>
          <w:p w14:paraId="41042B25">
            <w:pPr>
              <w:autoSpaceDE/>
              <w:autoSpaceDN/>
              <w:adjustRightInd w:val="0"/>
              <w:snapToGrid w:val="0"/>
              <w:spacing w:line="360" w:lineRule="auto"/>
              <w:rPr>
                <w:rFonts w:hint="eastAsia" w:ascii="宋体" w:hAnsi="宋体" w:eastAsia="宋体" w:cs="宋体"/>
                <w:bCs/>
                <w:color w:val="auto"/>
                <w:szCs w:val="21"/>
                <w:highlight w:val="none"/>
              </w:rPr>
            </w:pPr>
          </w:p>
        </w:tc>
        <w:tc>
          <w:tcPr>
            <w:tcW w:w="861" w:type="pct"/>
            <w:vAlign w:val="center"/>
          </w:tcPr>
          <w:p w14:paraId="778D24FE">
            <w:pPr>
              <w:autoSpaceDE/>
              <w:autoSpaceDN/>
              <w:adjustRightInd w:val="0"/>
              <w:snapToGrid w:val="0"/>
              <w:spacing w:line="360" w:lineRule="auto"/>
              <w:jc w:val="center"/>
              <w:rPr>
                <w:rFonts w:hint="eastAsia" w:ascii="宋体" w:hAnsi="宋体" w:eastAsia="宋体" w:cs="宋体"/>
                <w:bCs/>
                <w:color w:val="auto"/>
                <w:szCs w:val="21"/>
                <w:highlight w:val="none"/>
              </w:rPr>
            </w:pPr>
          </w:p>
        </w:tc>
        <w:tc>
          <w:tcPr>
            <w:tcW w:w="2136" w:type="pct"/>
            <w:tcBorders>
              <w:left w:val="single" w:color="auto" w:sz="4" w:space="0"/>
            </w:tcBorders>
            <w:vAlign w:val="center"/>
          </w:tcPr>
          <w:p w14:paraId="1E2B27C7">
            <w:pPr>
              <w:autoSpaceDE/>
              <w:autoSpaceDN/>
              <w:adjustRightInd/>
              <w:snapToGrid/>
              <w:spacing w:line="360" w:lineRule="auto"/>
              <w:ind w:firstLine="8" w:firstLineChars="4"/>
              <w:rPr>
                <w:rFonts w:hint="eastAsia" w:ascii="宋体" w:hAnsi="宋体" w:eastAsia="宋体" w:cs="宋体"/>
                <w:bCs/>
                <w:color w:val="auto"/>
                <w:szCs w:val="21"/>
                <w:highlight w:val="none"/>
              </w:rPr>
            </w:pPr>
          </w:p>
        </w:tc>
      </w:tr>
      <w:tr w14:paraId="59C65E1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033" w:hRule="atLeast"/>
          <w:jc w:val="center"/>
        </w:trPr>
        <w:tc>
          <w:tcPr>
            <w:tcW w:w="665" w:type="pct"/>
            <w:tcBorders>
              <w:top w:val="single" w:color="auto" w:sz="6" w:space="0"/>
              <w:left w:val="single" w:color="auto" w:sz="4" w:space="0"/>
              <w:bottom w:val="outset" w:color="808080" w:sz="6" w:space="0"/>
              <w:right w:val="single" w:color="auto" w:sz="6" w:space="0"/>
            </w:tcBorders>
            <w:vAlign w:val="center"/>
          </w:tcPr>
          <w:p w14:paraId="5490FA58">
            <w:pPr>
              <w:autoSpaceDE/>
              <w:autoSpaceDN/>
              <w:adjustRightInd w:val="0"/>
              <w:snapToGrid w:val="0"/>
              <w:spacing w:line="360" w:lineRule="auto"/>
              <w:jc w:val="center"/>
              <w:rPr>
                <w:rFonts w:hint="eastAsia" w:ascii="宋体" w:hAnsi="宋体" w:eastAsia="宋体" w:cs="宋体"/>
                <w:bCs/>
                <w:color w:val="auto"/>
                <w:szCs w:val="21"/>
                <w:highlight w:val="none"/>
              </w:rPr>
            </w:pPr>
          </w:p>
        </w:tc>
        <w:tc>
          <w:tcPr>
            <w:tcW w:w="1337" w:type="pct"/>
            <w:tcBorders>
              <w:top w:val="single" w:color="auto" w:sz="6" w:space="0"/>
              <w:left w:val="single" w:color="auto" w:sz="6" w:space="0"/>
              <w:bottom w:val="outset" w:color="808080" w:sz="6" w:space="0"/>
              <w:right w:val="single" w:color="auto" w:sz="6" w:space="0"/>
            </w:tcBorders>
            <w:vAlign w:val="center"/>
          </w:tcPr>
          <w:p w14:paraId="19862997">
            <w:pPr>
              <w:autoSpaceDE/>
              <w:autoSpaceDN/>
              <w:adjustRightInd w:val="0"/>
              <w:snapToGrid w:val="0"/>
              <w:spacing w:line="360" w:lineRule="auto"/>
              <w:rPr>
                <w:rFonts w:hint="eastAsia" w:ascii="宋体" w:hAnsi="宋体" w:eastAsia="宋体" w:cs="宋体"/>
                <w:bCs/>
                <w:color w:val="auto"/>
                <w:szCs w:val="21"/>
                <w:highlight w:val="none"/>
              </w:rPr>
            </w:pPr>
          </w:p>
        </w:tc>
        <w:tc>
          <w:tcPr>
            <w:tcW w:w="861" w:type="pct"/>
            <w:tcBorders>
              <w:top w:val="single" w:color="auto" w:sz="6" w:space="0"/>
              <w:left w:val="single" w:color="auto" w:sz="6" w:space="0"/>
              <w:bottom w:val="outset" w:color="808080" w:sz="6" w:space="0"/>
              <w:right w:val="single" w:color="auto" w:sz="6" w:space="0"/>
            </w:tcBorders>
            <w:vAlign w:val="center"/>
          </w:tcPr>
          <w:p w14:paraId="7BAF6DB0">
            <w:pPr>
              <w:autoSpaceDE/>
              <w:autoSpaceDN/>
              <w:adjustRightInd w:val="0"/>
              <w:snapToGrid w:val="0"/>
              <w:spacing w:line="360" w:lineRule="auto"/>
              <w:jc w:val="center"/>
              <w:rPr>
                <w:rFonts w:hint="eastAsia" w:ascii="宋体" w:hAnsi="宋体" w:eastAsia="宋体" w:cs="宋体"/>
                <w:bCs/>
                <w:color w:val="auto"/>
                <w:szCs w:val="21"/>
                <w:highlight w:val="none"/>
              </w:rPr>
            </w:pPr>
          </w:p>
        </w:tc>
        <w:tc>
          <w:tcPr>
            <w:tcW w:w="2136" w:type="pct"/>
            <w:tcBorders>
              <w:top w:val="single" w:color="auto" w:sz="6" w:space="0"/>
              <w:left w:val="single" w:color="auto" w:sz="4" w:space="0"/>
              <w:bottom w:val="outset" w:color="808080" w:sz="6" w:space="0"/>
              <w:right w:val="single" w:color="auto" w:sz="6" w:space="0"/>
            </w:tcBorders>
            <w:vAlign w:val="center"/>
          </w:tcPr>
          <w:p w14:paraId="3E51890F">
            <w:pPr>
              <w:autoSpaceDE/>
              <w:autoSpaceDN/>
              <w:adjustRightInd w:val="0"/>
              <w:snapToGrid w:val="0"/>
              <w:spacing w:line="360" w:lineRule="auto"/>
              <w:rPr>
                <w:rFonts w:hint="eastAsia" w:ascii="宋体" w:hAnsi="宋体" w:eastAsia="宋体" w:cs="宋体"/>
                <w:bCs/>
                <w:color w:val="auto"/>
                <w:szCs w:val="21"/>
                <w:highlight w:val="none"/>
              </w:rPr>
            </w:pPr>
          </w:p>
        </w:tc>
      </w:tr>
      <w:tr w14:paraId="418FA9B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966" w:hRule="atLeast"/>
          <w:jc w:val="center"/>
        </w:trPr>
        <w:tc>
          <w:tcPr>
            <w:tcW w:w="2002" w:type="pct"/>
            <w:gridSpan w:val="2"/>
            <w:tcBorders>
              <w:bottom w:val="single" w:color="auto" w:sz="4" w:space="0"/>
            </w:tcBorders>
            <w:vAlign w:val="center"/>
          </w:tcPr>
          <w:p w14:paraId="3C3541D5">
            <w:pPr>
              <w:autoSpaceDE/>
              <w:autoSpaceDN/>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合计</w:t>
            </w:r>
          </w:p>
        </w:tc>
        <w:tc>
          <w:tcPr>
            <w:tcW w:w="861" w:type="pct"/>
            <w:tcBorders>
              <w:bottom w:val="single" w:color="auto" w:sz="4" w:space="0"/>
            </w:tcBorders>
            <w:vAlign w:val="center"/>
          </w:tcPr>
          <w:p w14:paraId="7AB9AB29">
            <w:pPr>
              <w:autoSpaceDE/>
              <w:autoSpaceDN/>
              <w:adjustRightInd w:val="0"/>
              <w:snapToGrid w:val="0"/>
              <w:spacing w:line="360" w:lineRule="auto"/>
              <w:jc w:val="center"/>
              <w:rPr>
                <w:rFonts w:hint="eastAsia" w:ascii="宋体" w:hAnsi="宋体" w:eastAsia="宋体" w:cs="宋体"/>
                <w:bCs/>
                <w:color w:val="auto"/>
                <w:szCs w:val="21"/>
                <w:highlight w:val="none"/>
              </w:rPr>
            </w:pPr>
          </w:p>
        </w:tc>
        <w:tc>
          <w:tcPr>
            <w:tcW w:w="2136" w:type="pct"/>
            <w:tcBorders>
              <w:left w:val="single" w:color="auto" w:sz="4" w:space="0"/>
              <w:bottom w:val="single" w:color="auto" w:sz="4" w:space="0"/>
            </w:tcBorders>
            <w:vAlign w:val="center"/>
          </w:tcPr>
          <w:p w14:paraId="7238CD84">
            <w:pPr>
              <w:autoSpaceDE/>
              <w:autoSpaceDN/>
              <w:adjustRightInd/>
              <w:snapToGrid/>
              <w:spacing w:line="360" w:lineRule="auto"/>
              <w:jc w:val="center"/>
              <w:rPr>
                <w:rFonts w:hint="eastAsia" w:ascii="宋体" w:hAnsi="宋体" w:eastAsia="宋体" w:cs="宋体"/>
                <w:bCs/>
                <w:color w:val="auto"/>
                <w:szCs w:val="21"/>
                <w:highlight w:val="none"/>
              </w:rPr>
            </w:pPr>
          </w:p>
        </w:tc>
      </w:tr>
    </w:tbl>
    <w:p w14:paraId="49BB63BD">
      <w:pPr>
        <w:tabs>
          <w:tab w:val="left" w:pos="567"/>
        </w:tabs>
        <w:autoSpaceDE w:val="0"/>
        <w:autoSpaceDN w:val="0"/>
        <w:adjustRightInd w:val="0"/>
        <w:snapToGrid/>
        <w:spacing w:line="360" w:lineRule="auto"/>
        <w:jc w:val="left"/>
        <w:outlineLvl w:val="2"/>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Cs w:val="21"/>
          <w:highlight w:val="none"/>
        </w:rPr>
        <w:br w:type="page"/>
      </w:r>
      <w:bookmarkStart w:id="1098" w:name="_Toc30209"/>
      <w:bookmarkStart w:id="1099" w:name="_Toc21035"/>
      <w:bookmarkStart w:id="1100" w:name="_Toc12047"/>
      <w:bookmarkStart w:id="1101" w:name="_Toc8397"/>
      <w:r>
        <w:rPr>
          <w:rFonts w:hint="eastAsia" w:ascii="宋体" w:hAnsi="宋体" w:eastAsia="宋体" w:cs="宋体"/>
          <w:b/>
          <w:color w:val="auto"/>
          <w:kern w:val="0"/>
          <w:sz w:val="30"/>
          <w:szCs w:val="30"/>
          <w:highlight w:val="none"/>
          <w:lang w:val="en-US" w:eastAsia="zh-CN"/>
        </w:rPr>
        <w:t>13</w:t>
      </w:r>
      <w:r>
        <w:rPr>
          <w:rFonts w:hint="eastAsia" w:ascii="宋体" w:hAnsi="宋体" w:eastAsia="宋体" w:cs="宋体"/>
          <w:b/>
          <w:color w:val="auto"/>
          <w:kern w:val="0"/>
          <w:sz w:val="30"/>
          <w:szCs w:val="30"/>
          <w:highlight w:val="none"/>
        </w:rPr>
        <w:t>.1 用户需求偏离表格式</w:t>
      </w:r>
      <w:bookmarkEnd w:id="1098"/>
      <w:bookmarkEnd w:id="1099"/>
      <w:bookmarkEnd w:id="1100"/>
      <w:bookmarkEnd w:id="1101"/>
    </w:p>
    <w:p w14:paraId="659C27DF">
      <w:pPr>
        <w:autoSpaceDE/>
        <w:autoSpaceDN/>
        <w:adjustRightInd/>
        <w:snapToGrid/>
        <w:spacing w:before="120" w:after="120" w:line="360" w:lineRule="auto"/>
        <w:jc w:val="center"/>
        <w:rPr>
          <w:rFonts w:hint="eastAsia" w:ascii="宋体" w:hAnsi="宋体" w:eastAsia="宋体" w:cs="宋体"/>
          <w:color w:val="auto"/>
          <w:kern w:val="0"/>
          <w:szCs w:val="21"/>
          <w:highlight w:val="none"/>
        </w:rPr>
      </w:pPr>
      <w:r>
        <w:rPr>
          <w:rFonts w:hint="eastAsia" w:ascii="宋体" w:hAnsi="宋体" w:eastAsia="宋体" w:cs="宋体"/>
          <w:b/>
          <w:color w:val="auto"/>
          <w:kern w:val="0"/>
          <w:sz w:val="30"/>
          <w:szCs w:val="30"/>
          <w:highlight w:val="none"/>
          <w:lang w:val="zh-CN"/>
        </w:rPr>
        <w:t>用户需求偏离表</w:t>
      </w:r>
    </w:p>
    <w:tbl>
      <w:tblPr>
        <w:tblStyle w:val="2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9"/>
        <w:gridCol w:w="791"/>
        <w:gridCol w:w="3832"/>
        <w:gridCol w:w="1254"/>
        <w:gridCol w:w="2810"/>
        <w:gridCol w:w="1010"/>
      </w:tblGrid>
      <w:tr w14:paraId="532ED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290" w:type="pct"/>
            <w:vMerge w:val="restart"/>
            <w:vAlign w:val="center"/>
          </w:tcPr>
          <w:p w14:paraId="269E38D3">
            <w:pPr>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序号</w:t>
            </w:r>
          </w:p>
        </w:tc>
        <w:tc>
          <w:tcPr>
            <w:tcW w:w="2245" w:type="pct"/>
            <w:gridSpan w:val="2"/>
            <w:vAlign w:val="center"/>
          </w:tcPr>
          <w:p w14:paraId="0A096766">
            <w:pPr>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招标文件要求</w:t>
            </w:r>
          </w:p>
        </w:tc>
        <w:tc>
          <w:tcPr>
            <w:tcW w:w="2464" w:type="pct"/>
            <w:gridSpan w:val="3"/>
            <w:vAlign w:val="center"/>
          </w:tcPr>
          <w:p w14:paraId="15393767">
            <w:pPr>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投标文件内容</w:t>
            </w:r>
          </w:p>
        </w:tc>
      </w:tr>
      <w:tr w14:paraId="0BBED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290" w:type="pct"/>
            <w:vMerge w:val="continue"/>
            <w:vAlign w:val="center"/>
          </w:tcPr>
          <w:p w14:paraId="03EEDAEB">
            <w:pPr>
              <w:keepNext/>
              <w:keepLines/>
              <w:pageBreakBefore w:val="0"/>
              <w:widowControl w:val="0"/>
              <w:kinsoku/>
              <w:wordWrap/>
              <w:overflowPunct/>
              <w:topLinePunct w:val="0"/>
              <w:autoSpaceDE/>
              <w:autoSpaceDN/>
              <w:bidi w:val="0"/>
              <w:adjustRightInd/>
              <w:snapToGrid/>
              <w:spacing w:line="400" w:lineRule="exact"/>
              <w:jc w:val="center"/>
              <w:textAlignment w:val="auto"/>
              <w:outlineLvl w:val="0"/>
              <w:rPr>
                <w:rFonts w:hint="eastAsia" w:ascii="宋体" w:hAnsi="宋体" w:eastAsia="宋体" w:cs="宋体"/>
                <w:color w:val="auto"/>
                <w:kern w:val="0"/>
                <w:sz w:val="18"/>
                <w:szCs w:val="18"/>
                <w:highlight w:val="none"/>
              </w:rPr>
            </w:pPr>
          </w:p>
        </w:tc>
        <w:tc>
          <w:tcPr>
            <w:tcW w:w="384" w:type="pct"/>
            <w:vAlign w:val="center"/>
          </w:tcPr>
          <w:p w14:paraId="05C6F8F0">
            <w:pPr>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条款号</w:t>
            </w:r>
          </w:p>
        </w:tc>
        <w:tc>
          <w:tcPr>
            <w:tcW w:w="1860" w:type="pct"/>
            <w:vAlign w:val="center"/>
          </w:tcPr>
          <w:p w14:paraId="65648178">
            <w:pPr>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简要内容</w:t>
            </w:r>
          </w:p>
        </w:tc>
        <w:tc>
          <w:tcPr>
            <w:tcW w:w="608" w:type="pct"/>
            <w:vAlign w:val="center"/>
          </w:tcPr>
          <w:p w14:paraId="6D93E4EA">
            <w:pPr>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偏离情况</w:t>
            </w:r>
          </w:p>
        </w:tc>
        <w:tc>
          <w:tcPr>
            <w:tcW w:w="1364" w:type="pct"/>
            <w:vAlign w:val="center"/>
          </w:tcPr>
          <w:p w14:paraId="06880A20">
            <w:pPr>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实质性响应的具体内容</w:t>
            </w:r>
          </w:p>
        </w:tc>
        <w:tc>
          <w:tcPr>
            <w:tcW w:w="490" w:type="pct"/>
            <w:vAlign w:val="center"/>
          </w:tcPr>
          <w:p w14:paraId="1983017C">
            <w:pPr>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对应证明材料页码</w:t>
            </w:r>
          </w:p>
        </w:tc>
      </w:tr>
      <w:tr w14:paraId="20556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0" w:type="pct"/>
            <w:vAlign w:val="center"/>
          </w:tcPr>
          <w:p w14:paraId="47338E0C">
            <w:pPr>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1</w:t>
            </w:r>
          </w:p>
        </w:tc>
        <w:tc>
          <w:tcPr>
            <w:tcW w:w="384" w:type="pct"/>
            <w:vAlign w:val="center"/>
          </w:tcPr>
          <w:p w14:paraId="0DA2C0A1">
            <w:pPr>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kern w:val="0"/>
                <w:sz w:val="18"/>
                <w:szCs w:val="18"/>
                <w:highlight w:val="none"/>
                <w:lang w:val="en-US" w:eastAsia="zh-CN"/>
              </w:rPr>
            </w:pPr>
            <w:r>
              <w:rPr>
                <w:rFonts w:hint="eastAsia" w:ascii="宋体" w:hAnsi="宋体" w:eastAsia="宋体" w:cs="宋体"/>
                <w:b w:val="0"/>
                <w:bCs/>
                <w:color w:val="auto"/>
                <w:kern w:val="0"/>
                <w:sz w:val="18"/>
                <w:szCs w:val="18"/>
                <w:highlight w:val="none"/>
                <w:lang w:val="en-US" w:eastAsia="zh-CN"/>
              </w:rPr>
              <w:t>一</w:t>
            </w:r>
          </w:p>
        </w:tc>
        <w:tc>
          <w:tcPr>
            <w:tcW w:w="1860" w:type="pct"/>
            <w:vAlign w:val="center"/>
          </w:tcPr>
          <w:p w14:paraId="390B345D">
            <w:pPr>
              <w:pageBreakBefore w:val="0"/>
              <w:widowControl w:val="0"/>
              <w:kinsoku/>
              <w:wordWrap/>
              <w:overflowPunct/>
              <w:topLinePunct w:val="0"/>
              <w:autoSpaceDE/>
              <w:autoSpaceDN/>
              <w:bidi w:val="0"/>
              <w:adjustRightInd w:val="0"/>
              <w:snapToGrid/>
              <w:spacing w:line="400" w:lineRule="exact"/>
              <w:jc w:val="left"/>
              <w:textAlignment w:val="auto"/>
              <w:rPr>
                <w:rFonts w:hint="eastAsia" w:ascii="宋体" w:hAnsi="宋体" w:eastAsia="宋体" w:cs="宋体"/>
                <w:b w:val="0"/>
                <w:bCs/>
                <w:color w:val="auto"/>
                <w:sz w:val="18"/>
                <w:szCs w:val="18"/>
                <w:highlight w:val="none"/>
                <w:lang w:val="en-US" w:eastAsia="zh-CN"/>
              </w:rPr>
            </w:pPr>
            <w:r>
              <w:rPr>
                <w:rFonts w:hint="eastAsia" w:ascii="宋体" w:hAnsi="宋体" w:eastAsia="宋体" w:cs="宋体"/>
                <w:b w:val="0"/>
                <w:bCs/>
                <w:color w:val="auto"/>
                <w:sz w:val="18"/>
                <w:szCs w:val="18"/>
                <w:highlight w:val="none"/>
                <w:lang w:val="en-US" w:eastAsia="zh-CN"/>
              </w:rPr>
              <w:t>项目信息</w:t>
            </w:r>
          </w:p>
        </w:tc>
        <w:tc>
          <w:tcPr>
            <w:tcW w:w="608" w:type="pct"/>
            <w:vAlign w:val="center"/>
          </w:tcPr>
          <w:p w14:paraId="0E86602A">
            <w:pPr>
              <w:keepNext/>
              <w:keepLines/>
              <w:pageBreakBefore w:val="0"/>
              <w:widowControl w:val="0"/>
              <w:kinsoku/>
              <w:wordWrap/>
              <w:overflowPunct/>
              <w:topLinePunct w:val="0"/>
              <w:autoSpaceDE/>
              <w:autoSpaceDN/>
              <w:bidi w:val="0"/>
              <w:adjustRightInd/>
              <w:snapToGrid/>
              <w:spacing w:line="400" w:lineRule="exact"/>
              <w:jc w:val="center"/>
              <w:textAlignment w:val="auto"/>
              <w:outlineLvl w:val="2"/>
              <w:rPr>
                <w:rFonts w:hint="eastAsia" w:ascii="宋体" w:hAnsi="宋体" w:eastAsia="宋体" w:cs="宋体"/>
                <w:b w:val="0"/>
                <w:bCs/>
                <w:color w:val="auto"/>
                <w:kern w:val="0"/>
                <w:sz w:val="18"/>
                <w:szCs w:val="18"/>
                <w:highlight w:val="none"/>
              </w:rPr>
            </w:pPr>
          </w:p>
        </w:tc>
        <w:tc>
          <w:tcPr>
            <w:tcW w:w="1364" w:type="pct"/>
            <w:vAlign w:val="center"/>
          </w:tcPr>
          <w:p w14:paraId="2055C170">
            <w:pPr>
              <w:keepNext/>
              <w:keepLines/>
              <w:pageBreakBefore w:val="0"/>
              <w:widowControl w:val="0"/>
              <w:kinsoku/>
              <w:wordWrap/>
              <w:overflowPunct/>
              <w:topLinePunct w:val="0"/>
              <w:autoSpaceDE/>
              <w:autoSpaceDN/>
              <w:bidi w:val="0"/>
              <w:adjustRightInd/>
              <w:snapToGrid/>
              <w:spacing w:line="400" w:lineRule="exact"/>
              <w:jc w:val="center"/>
              <w:textAlignment w:val="auto"/>
              <w:outlineLvl w:val="2"/>
              <w:rPr>
                <w:rFonts w:hint="eastAsia" w:ascii="宋体" w:hAnsi="宋体" w:eastAsia="宋体" w:cs="宋体"/>
                <w:b w:val="0"/>
                <w:bCs/>
                <w:color w:val="auto"/>
                <w:kern w:val="0"/>
                <w:sz w:val="18"/>
                <w:szCs w:val="18"/>
                <w:highlight w:val="none"/>
              </w:rPr>
            </w:pPr>
          </w:p>
        </w:tc>
        <w:tc>
          <w:tcPr>
            <w:tcW w:w="490" w:type="pct"/>
            <w:vAlign w:val="center"/>
          </w:tcPr>
          <w:p w14:paraId="267955CE">
            <w:pPr>
              <w:keepNext/>
              <w:keepLines/>
              <w:pageBreakBefore w:val="0"/>
              <w:widowControl w:val="0"/>
              <w:kinsoku/>
              <w:wordWrap/>
              <w:overflowPunct/>
              <w:topLinePunct w:val="0"/>
              <w:autoSpaceDE/>
              <w:autoSpaceDN/>
              <w:bidi w:val="0"/>
              <w:adjustRightInd/>
              <w:snapToGrid/>
              <w:spacing w:line="400" w:lineRule="exact"/>
              <w:jc w:val="center"/>
              <w:textAlignment w:val="auto"/>
              <w:outlineLvl w:val="2"/>
              <w:rPr>
                <w:rFonts w:hint="eastAsia" w:ascii="宋体" w:hAnsi="宋体" w:eastAsia="宋体" w:cs="宋体"/>
                <w:b w:val="0"/>
                <w:bCs/>
                <w:color w:val="auto"/>
                <w:kern w:val="0"/>
                <w:sz w:val="18"/>
                <w:szCs w:val="18"/>
                <w:highlight w:val="none"/>
              </w:rPr>
            </w:pPr>
          </w:p>
        </w:tc>
      </w:tr>
      <w:tr w14:paraId="647FE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0" w:type="pct"/>
            <w:vAlign w:val="center"/>
          </w:tcPr>
          <w:p w14:paraId="2C0643DF">
            <w:pPr>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2</w:t>
            </w:r>
          </w:p>
        </w:tc>
        <w:tc>
          <w:tcPr>
            <w:tcW w:w="384" w:type="pct"/>
            <w:vAlign w:val="center"/>
          </w:tcPr>
          <w:p w14:paraId="49BE0AFD">
            <w:pPr>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kern w:val="0"/>
                <w:sz w:val="18"/>
                <w:szCs w:val="18"/>
                <w:highlight w:val="none"/>
                <w:lang w:val="en-US" w:eastAsia="zh-CN"/>
              </w:rPr>
            </w:pPr>
            <w:r>
              <w:rPr>
                <w:rFonts w:hint="eastAsia" w:ascii="宋体" w:hAnsi="宋体" w:eastAsia="宋体" w:cs="宋体"/>
                <w:b w:val="0"/>
                <w:bCs/>
                <w:color w:val="auto"/>
                <w:kern w:val="0"/>
                <w:sz w:val="18"/>
                <w:szCs w:val="18"/>
                <w:highlight w:val="none"/>
                <w:lang w:val="en-US" w:eastAsia="zh-CN"/>
              </w:rPr>
              <w:t>二</w:t>
            </w:r>
          </w:p>
        </w:tc>
        <w:tc>
          <w:tcPr>
            <w:tcW w:w="1860" w:type="pct"/>
            <w:vAlign w:val="center"/>
          </w:tcPr>
          <w:p w14:paraId="4374D08C">
            <w:pPr>
              <w:pageBreakBefore w:val="0"/>
              <w:widowControl w:val="0"/>
              <w:kinsoku/>
              <w:wordWrap/>
              <w:overflowPunct/>
              <w:topLinePunct w:val="0"/>
              <w:autoSpaceDE/>
              <w:autoSpaceDN/>
              <w:bidi w:val="0"/>
              <w:adjustRightInd w:val="0"/>
              <w:snapToGrid/>
              <w:spacing w:line="400" w:lineRule="exact"/>
              <w:jc w:val="left"/>
              <w:textAlignment w:val="auto"/>
              <w:rPr>
                <w:rFonts w:hint="eastAsia" w:ascii="宋体" w:hAnsi="宋体" w:eastAsia="宋体" w:cs="宋体"/>
                <w:b w:val="0"/>
                <w:bCs/>
                <w:color w:val="auto"/>
                <w:sz w:val="18"/>
                <w:szCs w:val="18"/>
                <w:highlight w:val="none"/>
                <w:lang w:val="en-US" w:eastAsia="zh-CN"/>
              </w:rPr>
            </w:pPr>
            <w:r>
              <w:rPr>
                <w:rFonts w:hint="eastAsia" w:ascii="宋体" w:hAnsi="宋体" w:eastAsia="宋体" w:cs="宋体"/>
                <w:b w:val="0"/>
                <w:bCs/>
                <w:color w:val="auto"/>
                <w:sz w:val="18"/>
                <w:szCs w:val="18"/>
                <w:highlight w:val="none"/>
                <w:lang w:val="en-US" w:eastAsia="zh-CN"/>
              </w:rPr>
              <w:t>货物采购需求</w:t>
            </w:r>
          </w:p>
        </w:tc>
        <w:tc>
          <w:tcPr>
            <w:tcW w:w="608" w:type="pct"/>
            <w:vAlign w:val="center"/>
          </w:tcPr>
          <w:p w14:paraId="7159FA37">
            <w:pPr>
              <w:pageBreakBefore w:val="0"/>
              <w:widowControl w:val="0"/>
              <w:kinsoku/>
              <w:wordWrap/>
              <w:overflowPunct/>
              <w:topLinePunct w:val="0"/>
              <w:autoSpaceDE/>
              <w:autoSpaceDN/>
              <w:bidi w:val="0"/>
              <w:adjustRightInd w:val="0"/>
              <w:snapToGrid/>
              <w:spacing w:line="400" w:lineRule="exact"/>
              <w:ind w:firstLine="360" w:firstLineChars="200"/>
              <w:jc w:val="left"/>
              <w:textAlignment w:val="auto"/>
              <w:rPr>
                <w:rFonts w:hint="eastAsia" w:ascii="宋体" w:hAnsi="宋体" w:eastAsia="宋体" w:cs="宋体"/>
                <w:b w:val="0"/>
                <w:bCs/>
                <w:color w:val="auto"/>
                <w:sz w:val="18"/>
                <w:szCs w:val="18"/>
                <w:highlight w:val="none"/>
                <w:lang w:val="en-US" w:eastAsia="zh-CN"/>
              </w:rPr>
            </w:pPr>
          </w:p>
        </w:tc>
        <w:tc>
          <w:tcPr>
            <w:tcW w:w="1364" w:type="pct"/>
            <w:vAlign w:val="center"/>
          </w:tcPr>
          <w:p w14:paraId="41FB2C9E">
            <w:pPr>
              <w:keepNext/>
              <w:keepLines/>
              <w:pageBreakBefore w:val="0"/>
              <w:widowControl w:val="0"/>
              <w:kinsoku/>
              <w:wordWrap/>
              <w:overflowPunct/>
              <w:topLinePunct w:val="0"/>
              <w:autoSpaceDE/>
              <w:autoSpaceDN/>
              <w:bidi w:val="0"/>
              <w:adjustRightInd/>
              <w:snapToGrid/>
              <w:spacing w:line="400" w:lineRule="exact"/>
              <w:jc w:val="center"/>
              <w:textAlignment w:val="auto"/>
              <w:outlineLvl w:val="2"/>
              <w:rPr>
                <w:rFonts w:hint="eastAsia" w:ascii="宋体" w:hAnsi="宋体" w:eastAsia="宋体" w:cs="宋体"/>
                <w:b w:val="0"/>
                <w:bCs/>
                <w:color w:val="auto"/>
                <w:kern w:val="0"/>
                <w:sz w:val="18"/>
                <w:szCs w:val="18"/>
                <w:highlight w:val="none"/>
              </w:rPr>
            </w:pPr>
          </w:p>
        </w:tc>
        <w:tc>
          <w:tcPr>
            <w:tcW w:w="490" w:type="pct"/>
            <w:vAlign w:val="center"/>
          </w:tcPr>
          <w:p w14:paraId="465518B6">
            <w:pPr>
              <w:keepNext/>
              <w:keepLines/>
              <w:pageBreakBefore w:val="0"/>
              <w:widowControl w:val="0"/>
              <w:kinsoku/>
              <w:wordWrap/>
              <w:overflowPunct/>
              <w:topLinePunct w:val="0"/>
              <w:autoSpaceDE/>
              <w:autoSpaceDN/>
              <w:bidi w:val="0"/>
              <w:adjustRightInd/>
              <w:snapToGrid/>
              <w:spacing w:line="400" w:lineRule="exact"/>
              <w:jc w:val="center"/>
              <w:textAlignment w:val="auto"/>
              <w:outlineLvl w:val="2"/>
              <w:rPr>
                <w:rFonts w:hint="eastAsia" w:ascii="宋体" w:hAnsi="宋体" w:eastAsia="宋体" w:cs="宋体"/>
                <w:b w:val="0"/>
                <w:bCs/>
                <w:color w:val="auto"/>
                <w:kern w:val="0"/>
                <w:sz w:val="18"/>
                <w:szCs w:val="18"/>
                <w:highlight w:val="none"/>
              </w:rPr>
            </w:pPr>
          </w:p>
        </w:tc>
      </w:tr>
      <w:tr w14:paraId="682AC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0" w:type="pct"/>
            <w:vAlign w:val="center"/>
          </w:tcPr>
          <w:p w14:paraId="3CB92858">
            <w:pPr>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val="en-US" w:eastAsia="zh-CN"/>
              </w:rPr>
              <w:t>3</w:t>
            </w:r>
          </w:p>
        </w:tc>
        <w:tc>
          <w:tcPr>
            <w:tcW w:w="384" w:type="pct"/>
            <w:vAlign w:val="center"/>
          </w:tcPr>
          <w:p w14:paraId="26FD4807">
            <w:pPr>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18"/>
                <w:szCs w:val="18"/>
                <w:highlight w:val="none"/>
                <w:lang w:val="en-US" w:eastAsia="zh-CN"/>
              </w:rPr>
            </w:pPr>
            <w:r>
              <w:rPr>
                <w:rFonts w:hint="eastAsia" w:ascii="宋体" w:hAnsi="宋体" w:eastAsia="宋体" w:cs="宋体"/>
                <w:b w:val="0"/>
                <w:bCs/>
                <w:color w:val="auto"/>
                <w:sz w:val="18"/>
                <w:szCs w:val="18"/>
                <w:highlight w:val="none"/>
                <w:lang w:val="en-US" w:eastAsia="zh-CN"/>
              </w:rPr>
              <w:t>三</w:t>
            </w:r>
          </w:p>
        </w:tc>
        <w:tc>
          <w:tcPr>
            <w:tcW w:w="1860" w:type="pct"/>
            <w:vAlign w:val="center"/>
          </w:tcPr>
          <w:p w14:paraId="28A4C571">
            <w:pPr>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color w:val="auto"/>
                <w:sz w:val="18"/>
                <w:szCs w:val="18"/>
                <w:highlight w:val="none"/>
                <w:lang w:eastAsia="zh-CN"/>
              </w:rPr>
            </w:pPr>
            <w:r>
              <w:rPr>
                <w:rFonts w:hint="eastAsia" w:ascii="宋体" w:hAnsi="宋体" w:eastAsia="宋体" w:cs="宋体"/>
                <w:b w:val="0"/>
                <w:bCs/>
                <w:color w:val="auto"/>
                <w:sz w:val="18"/>
                <w:szCs w:val="18"/>
                <w:highlight w:val="none"/>
                <w:lang w:val="en-US" w:eastAsia="zh-CN"/>
              </w:rPr>
              <w:t>交货要求</w:t>
            </w:r>
          </w:p>
        </w:tc>
        <w:tc>
          <w:tcPr>
            <w:tcW w:w="608" w:type="pct"/>
            <w:vAlign w:val="center"/>
          </w:tcPr>
          <w:p w14:paraId="296DDD32">
            <w:pPr>
              <w:pageBreakBefore w:val="0"/>
              <w:widowControl w:val="0"/>
              <w:kinsoku/>
              <w:wordWrap/>
              <w:overflowPunct/>
              <w:topLinePunct w:val="0"/>
              <w:autoSpaceDE/>
              <w:autoSpaceDN/>
              <w:bidi w:val="0"/>
              <w:adjustRightInd/>
              <w:snapToGrid/>
              <w:spacing w:line="400" w:lineRule="exact"/>
              <w:ind w:firstLine="360" w:firstLineChars="200"/>
              <w:jc w:val="left"/>
              <w:textAlignment w:val="auto"/>
              <w:rPr>
                <w:rFonts w:hint="eastAsia" w:ascii="宋体" w:hAnsi="宋体" w:eastAsia="宋体" w:cs="宋体"/>
                <w:b w:val="0"/>
                <w:bCs/>
                <w:color w:val="auto"/>
                <w:sz w:val="18"/>
                <w:szCs w:val="18"/>
                <w:highlight w:val="none"/>
              </w:rPr>
            </w:pPr>
          </w:p>
        </w:tc>
        <w:tc>
          <w:tcPr>
            <w:tcW w:w="1364" w:type="pct"/>
            <w:vAlign w:val="center"/>
          </w:tcPr>
          <w:p w14:paraId="401F9CDA">
            <w:pPr>
              <w:pageBreakBefore w:val="0"/>
              <w:widowControl w:val="0"/>
              <w:kinsoku/>
              <w:wordWrap/>
              <w:overflowPunct/>
              <w:topLinePunct w:val="0"/>
              <w:autoSpaceDE/>
              <w:autoSpaceDN/>
              <w:bidi w:val="0"/>
              <w:adjustRightInd/>
              <w:snapToGrid/>
              <w:spacing w:line="400" w:lineRule="exact"/>
              <w:ind w:firstLine="360" w:firstLineChars="200"/>
              <w:jc w:val="left"/>
              <w:textAlignment w:val="auto"/>
              <w:rPr>
                <w:rFonts w:hint="eastAsia" w:ascii="宋体" w:hAnsi="宋体" w:eastAsia="宋体" w:cs="宋体"/>
                <w:b w:val="0"/>
                <w:bCs/>
                <w:color w:val="auto"/>
                <w:sz w:val="18"/>
                <w:szCs w:val="18"/>
                <w:highlight w:val="none"/>
                <w:lang w:val="en-US" w:eastAsia="zh-CN"/>
              </w:rPr>
            </w:pPr>
          </w:p>
        </w:tc>
        <w:tc>
          <w:tcPr>
            <w:tcW w:w="490" w:type="pct"/>
            <w:vAlign w:val="center"/>
          </w:tcPr>
          <w:p w14:paraId="0D9E59B7">
            <w:pPr>
              <w:keepNext/>
              <w:keepLines/>
              <w:pageBreakBefore w:val="0"/>
              <w:widowControl w:val="0"/>
              <w:kinsoku/>
              <w:wordWrap/>
              <w:overflowPunct/>
              <w:topLinePunct w:val="0"/>
              <w:autoSpaceDE/>
              <w:autoSpaceDN/>
              <w:bidi w:val="0"/>
              <w:adjustRightInd/>
              <w:snapToGrid/>
              <w:spacing w:line="400" w:lineRule="exact"/>
              <w:jc w:val="center"/>
              <w:textAlignment w:val="auto"/>
              <w:outlineLvl w:val="2"/>
              <w:rPr>
                <w:rFonts w:hint="eastAsia" w:ascii="宋体" w:hAnsi="宋体" w:eastAsia="宋体" w:cs="宋体"/>
                <w:b w:val="0"/>
                <w:bCs/>
                <w:color w:val="auto"/>
                <w:kern w:val="0"/>
                <w:sz w:val="18"/>
                <w:szCs w:val="18"/>
                <w:highlight w:val="none"/>
              </w:rPr>
            </w:pPr>
          </w:p>
        </w:tc>
      </w:tr>
      <w:tr w14:paraId="710D6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0" w:type="pct"/>
            <w:vAlign w:val="center"/>
          </w:tcPr>
          <w:p w14:paraId="56016EB6">
            <w:pPr>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4</w:t>
            </w:r>
          </w:p>
        </w:tc>
        <w:tc>
          <w:tcPr>
            <w:tcW w:w="384" w:type="pct"/>
            <w:vAlign w:val="center"/>
          </w:tcPr>
          <w:p w14:paraId="6ECE7A24">
            <w:pPr>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18"/>
                <w:szCs w:val="18"/>
                <w:highlight w:val="none"/>
                <w:lang w:val="en-US" w:eastAsia="zh-CN"/>
              </w:rPr>
            </w:pPr>
            <w:r>
              <w:rPr>
                <w:rFonts w:hint="eastAsia" w:ascii="宋体" w:hAnsi="宋体" w:eastAsia="宋体" w:cs="宋体"/>
                <w:b w:val="0"/>
                <w:bCs/>
                <w:color w:val="auto"/>
                <w:sz w:val="18"/>
                <w:szCs w:val="18"/>
                <w:highlight w:val="none"/>
                <w:lang w:val="en-US" w:eastAsia="zh-CN"/>
              </w:rPr>
              <w:t>四</w:t>
            </w:r>
          </w:p>
        </w:tc>
        <w:tc>
          <w:tcPr>
            <w:tcW w:w="1860" w:type="pct"/>
            <w:vAlign w:val="center"/>
          </w:tcPr>
          <w:p w14:paraId="3BDD6686">
            <w:pPr>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color w:val="auto"/>
                <w:sz w:val="18"/>
                <w:szCs w:val="18"/>
                <w:highlight w:val="none"/>
                <w:lang w:val="en-US" w:eastAsia="zh-CN"/>
              </w:rPr>
            </w:pPr>
            <w:r>
              <w:rPr>
                <w:rFonts w:hint="eastAsia" w:ascii="宋体" w:hAnsi="宋体" w:eastAsia="宋体" w:cs="宋体"/>
                <w:b w:val="0"/>
                <w:bCs/>
                <w:color w:val="auto"/>
                <w:sz w:val="18"/>
                <w:szCs w:val="18"/>
                <w:highlight w:val="none"/>
                <w:lang w:val="en-US" w:eastAsia="zh-CN"/>
              </w:rPr>
              <w:t>技术参数要求</w:t>
            </w:r>
          </w:p>
        </w:tc>
        <w:tc>
          <w:tcPr>
            <w:tcW w:w="608" w:type="pct"/>
            <w:vAlign w:val="center"/>
          </w:tcPr>
          <w:p w14:paraId="68DB0259">
            <w:pPr>
              <w:pageBreakBefore w:val="0"/>
              <w:widowControl w:val="0"/>
              <w:kinsoku/>
              <w:wordWrap/>
              <w:overflowPunct/>
              <w:topLinePunct w:val="0"/>
              <w:autoSpaceDE/>
              <w:autoSpaceDN/>
              <w:bidi w:val="0"/>
              <w:adjustRightInd/>
              <w:snapToGrid/>
              <w:spacing w:line="400" w:lineRule="exact"/>
              <w:ind w:firstLine="360" w:firstLineChars="200"/>
              <w:jc w:val="left"/>
              <w:textAlignment w:val="auto"/>
              <w:rPr>
                <w:rFonts w:hint="eastAsia" w:ascii="宋体" w:hAnsi="宋体" w:eastAsia="宋体" w:cs="宋体"/>
                <w:b w:val="0"/>
                <w:bCs/>
                <w:color w:val="auto"/>
                <w:sz w:val="18"/>
                <w:szCs w:val="18"/>
                <w:highlight w:val="none"/>
              </w:rPr>
            </w:pPr>
          </w:p>
        </w:tc>
        <w:tc>
          <w:tcPr>
            <w:tcW w:w="1364" w:type="pct"/>
            <w:vAlign w:val="center"/>
          </w:tcPr>
          <w:p w14:paraId="792562BC">
            <w:pPr>
              <w:pageBreakBefore w:val="0"/>
              <w:widowControl w:val="0"/>
              <w:kinsoku/>
              <w:wordWrap/>
              <w:overflowPunct/>
              <w:topLinePunct w:val="0"/>
              <w:autoSpaceDE/>
              <w:autoSpaceDN/>
              <w:bidi w:val="0"/>
              <w:adjustRightInd/>
              <w:snapToGrid/>
              <w:spacing w:line="400" w:lineRule="exact"/>
              <w:ind w:firstLine="360" w:firstLineChars="200"/>
              <w:jc w:val="left"/>
              <w:textAlignment w:val="auto"/>
              <w:rPr>
                <w:rFonts w:hint="eastAsia" w:ascii="宋体" w:hAnsi="宋体" w:eastAsia="宋体" w:cs="宋体"/>
                <w:b w:val="0"/>
                <w:bCs/>
                <w:color w:val="auto"/>
                <w:sz w:val="18"/>
                <w:szCs w:val="18"/>
                <w:highlight w:val="none"/>
              </w:rPr>
            </w:pPr>
          </w:p>
        </w:tc>
        <w:tc>
          <w:tcPr>
            <w:tcW w:w="490" w:type="pct"/>
            <w:vAlign w:val="center"/>
          </w:tcPr>
          <w:p w14:paraId="6C4A319F">
            <w:pPr>
              <w:pageBreakBefore w:val="0"/>
              <w:widowControl w:val="0"/>
              <w:kinsoku/>
              <w:wordWrap/>
              <w:overflowPunct/>
              <w:topLinePunct w:val="0"/>
              <w:autoSpaceDE/>
              <w:autoSpaceDN/>
              <w:bidi w:val="0"/>
              <w:adjustRightInd/>
              <w:snapToGrid/>
              <w:spacing w:line="400" w:lineRule="exact"/>
              <w:ind w:firstLine="360" w:firstLineChars="200"/>
              <w:jc w:val="left"/>
              <w:textAlignment w:val="auto"/>
              <w:rPr>
                <w:rFonts w:hint="eastAsia" w:ascii="宋体" w:hAnsi="宋体" w:eastAsia="宋体" w:cs="宋体"/>
                <w:b w:val="0"/>
                <w:bCs/>
                <w:color w:val="auto"/>
                <w:sz w:val="18"/>
                <w:szCs w:val="18"/>
                <w:highlight w:val="none"/>
                <w:lang w:val="en-US" w:eastAsia="zh-CN"/>
              </w:rPr>
            </w:pPr>
          </w:p>
        </w:tc>
      </w:tr>
      <w:tr w14:paraId="00B5C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0" w:type="pct"/>
            <w:vAlign w:val="center"/>
          </w:tcPr>
          <w:p w14:paraId="1752EB18">
            <w:pPr>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18"/>
                <w:szCs w:val="18"/>
                <w:highlight w:val="none"/>
                <w:lang w:eastAsia="zh-CN"/>
              </w:rPr>
            </w:pPr>
            <w:r>
              <w:rPr>
                <w:rFonts w:hint="eastAsia" w:ascii="宋体" w:hAnsi="宋体" w:eastAsia="宋体" w:cs="宋体"/>
                <w:color w:val="auto"/>
                <w:kern w:val="0"/>
                <w:sz w:val="18"/>
                <w:szCs w:val="18"/>
                <w:highlight w:val="none"/>
                <w:lang w:val="en-US" w:eastAsia="zh-CN"/>
              </w:rPr>
              <w:t>5</w:t>
            </w:r>
          </w:p>
        </w:tc>
        <w:tc>
          <w:tcPr>
            <w:tcW w:w="384" w:type="pct"/>
            <w:vAlign w:val="center"/>
          </w:tcPr>
          <w:p w14:paraId="3028C4BE">
            <w:pPr>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kern w:val="0"/>
                <w:sz w:val="18"/>
                <w:szCs w:val="18"/>
                <w:highlight w:val="none"/>
                <w:lang w:val="en-US" w:eastAsia="zh-CN"/>
              </w:rPr>
            </w:pPr>
            <w:r>
              <w:rPr>
                <w:rFonts w:hint="eastAsia" w:ascii="宋体" w:hAnsi="宋体" w:eastAsia="宋体" w:cs="宋体"/>
                <w:b w:val="0"/>
                <w:bCs/>
                <w:color w:val="auto"/>
                <w:kern w:val="0"/>
                <w:sz w:val="18"/>
                <w:szCs w:val="18"/>
                <w:highlight w:val="none"/>
                <w:lang w:val="en-US" w:eastAsia="zh-CN"/>
              </w:rPr>
              <w:t>五</w:t>
            </w:r>
          </w:p>
        </w:tc>
        <w:tc>
          <w:tcPr>
            <w:tcW w:w="1860" w:type="pct"/>
            <w:vAlign w:val="center"/>
          </w:tcPr>
          <w:p w14:paraId="36A40F7D">
            <w:pPr>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color w:val="auto"/>
                <w:sz w:val="18"/>
                <w:szCs w:val="18"/>
                <w:highlight w:val="none"/>
                <w:lang w:val="en-US" w:eastAsia="zh-CN"/>
              </w:rPr>
            </w:pPr>
            <w:r>
              <w:rPr>
                <w:rFonts w:hint="eastAsia" w:ascii="宋体" w:hAnsi="宋体" w:eastAsia="宋体" w:cs="宋体"/>
                <w:b w:val="0"/>
                <w:bCs/>
                <w:color w:val="auto"/>
                <w:sz w:val="18"/>
                <w:szCs w:val="18"/>
                <w:highlight w:val="none"/>
              </w:rPr>
              <w:t>验收</w:t>
            </w:r>
            <w:r>
              <w:rPr>
                <w:rFonts w:hint="eastAsia" w:ascii="宋体" w:hAnsi="宋体" w:eastAsia="宋体" w:cs="宋体"/>
                <w:b w:val="0"/>
                <w:bCs/>
                <w:color w:val="auto"/>
                <w:sz w:val="18"/>
                <w:szCs w:val="18"/>
                <w:highlight w:val="none"/>
                <w:lang w:val="en-US" w:eastAsia="zh-CN"/>
              </w:rPr>
              <w:t>与检测</w:t>
            </w:r>
          </w:p>
        </w:tc>
        <w:tc>
          <w:tcPr>
            <w:tcW w:w="608" w:type="pct"/>
            <w:vAlign w:val="center"/>
          </w:tcPr>
          <w:p w14:paraId="7623BF72">
            <w:pPr>
              <w:pageBreakBefore w:val="0"/>
              <w:widowControl w:val="0"/>
              <w:kinsoku/>
              <w:wordWrap/>
              <w:overflowPunct/>
              <w:topLinePunct w:val="0"/>
              <w:autoSpaceDE/>
              <w:autoSpaceDN/>
              <w:bidi w:val="0"/>
              <w:adjustRightInd/>
              <w:snapToGrid/>
              <w:spacing w:line="400" w:lineRule="exact"/>
              <w:ind w:firstLine="360" w:firstLineChars="200"/>
              <w:jc w:val="left"/>
              <w:textAlignment w:val="auto"/>
              <w:rPr>
                <w:rFonts w:hint="eastAsia" w:ascii="宋体" w:hAnsi="宋体" w:eastAsia="宋体" w:cs="宋体"/>
                <w:b w:val="0"/>
                <w:bCs/>
                <w:color w:val="auto"/>
                <w:sz w:val="18"/>
                <w:szCs w:val="18"/>
                <w:highlight w:val="none"/>
              </w:rPr>
            </w:pPr>
          </w:p>
        </w:tc>
        <w:tc>
          <w:tcPr>
            <w:tcW w:w="1364" w:type="pct"/>
            <w:vAlign w:val="center"/>
          </w:tcPr>
          <w:p w14:paraId="36D4CA08">
            <w:pPr>
              <w:pageBreakBefore w:val="0"/>
              <w:widowControl w:val="0"/>
              <w:kinsoku/>
              <w:wordWrap/>
              <w:overflowPunct/>
              <w:topLinePunct w:val="0"/>
              <w:autoSpaceDE/>
              <w:autoSpaceDN/>
              <w:bidi w:val="0"/>
              <w:adjustRightInd/>
              <w:snapToGrid/>
              <w:spacing w:line="400" w:lineRule="exact"/>
              <w:ind w:firstLine="360" w:firstLineChars="200"/>
              <w:jc w:val="left"/>
              <w:textAlignment w:val="auto"/>
              <w:rPr>
                <w:rFonts w:hint="eastAsia" w:ascii="宋体" w:hAnsi="宋体" w:eastAsia="宋体" w:cs="宋体"/>
                <w:b w:val="0"/>
                <w:bCs/>
                <w:color w:val="auto"/>
                <w:sz w:val="18"/>
                <w:szCs w:val="18"/>
                <w:highlight w:val="none"/>
                <w:lang w:val="en-US" w:eastAsia="zh-CN"/>
              </w:rPr>
            </w:pPr>
          </w:p>
        </w:tc>
        <w:tc>
          <w:tcPr>
            <w:tcW w:w="490" w:type="pct"/>
            <w:vAlign w:val="center"/>
          </w:tcPr>
          <w:p w14:paraId="32C77FD9">
            <w:pPr>
              <w:keepNext/>
              <w:keepLines/>
              <w:pageBreakBefore w:val="0"/>
              <w:widowControl w:val="0"/>
              <w:kinsoku/>
              <w:wordWrap/>
              <w:overflowPunct/>
              <w:topLinePunct w:val="0"/>
              <w:autoSpaceDE/>
              <w:autoSpaceDN/>
              <w:bidi w:val="0"/>
              <w:adjustRightInd/>
              <w:snapToGrid/>
              <w:spacing w:line="400" w:lineRule="exact"/>
              <w:jc w:val="center"/>
              <w:textAlignment w:val="auto"/>
              <w:outlineLvl w:val="2"/>
              <w:rPr>
                <w:rFonts w:hint="eastAsia" w:ascii="宋体" w:hAnsi="宋体" w:eastAsia="宋体" w:cs="宋体"/>
                <w:b w:val="0"/>
                <w:bCs/>
                <w:color w:val="auto"/>
                <w:kern w:val="0"/>
                <w:sz w:val="18"/>
                <w:szCs w:val="18"/>
                <w:highlight w:val="none"/>
              </w:rPr>
            </w:pPr>
          </w:p>
        </w:tc>
      </w:tr>
      <w:tr w14:paraId="5FF5D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0" w:type="pct"/>
            <w:vAlign w:val="center"/>
          </w:tcPr>
          <w:p w14:paraId="2F08503D">
            <w:pPr>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6</w:t>
            </w:r>
          </w:p>
        </w:tc>
        <w:tc>
          <w:tcPr>
            <w:tcW w:w="384" w:type="pct"/>
            <w:vAlign w:val="center"/>
          </w:tcPr>
          <w:p w14:paraId="5C3020D3">
            <w:pPr>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kern w:val="0"/>
                <w:sz w:val="18"/>
                <w:szCs w:val="18"/>
                <w:highlight w:val="none"/>
                <w:lang w:val="en-US" w:eastAsia="zh-CN"/>
              </w:rPr>
            </w:pPr>
            <w:r>
              <w:rPr>
                <w:rFonts w:hint="eastAsia" w:ascii="宋体" w:hAnsi="宋体" w:eastAsia="宋体" w:cs="宋体"/>
                <w:b w:val="0"/>
                <w:bCs/>
                <w:color w:val="auto"/>
                <w:kern w:val="0"/>
                <w:sz w:val="18"/>
                <w:szCs w:val="18"/>
                <w:highlight w:val="none"/>
                <w:lang w:val="en-US" w:eastAsia="zh-CN"/>
              </w:rPr>
              <w:t>六</w:t>
            </w:r>
          </w:p>
        </w:tc>
        <w:tc>
          <w:tcPr>
            <w:tcW w:w="1860" w:type="pct"/>
            <w:vAlign w:val="top"/>
          </w:tcPr>
          <w:p w14:paraId="0223331B">
            <w:pPr>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质保期要求</w:t>
            </w:r>
          </w:p>
        </w:tc>
        <w:tc>
          <w:tcPr>
            <w:tcW w:w="608" w:type="pct"/>
            <w:vAlign w:val="center"/>
          </w:tcPr>
          <w:p w14:paraId="19A362DC">
            <w:pPr>
              <w:pageBreakBefore w:val="0"/>
              <w:widowControl w:val="0"/>
              <w:kinsoku/>
              <w:wordWrap/>
              <w:overflowPunct/>
              <w:topLinePunct w:val="0"/>
              <w:autoSpaceDE/>
              <w:autoSpaceDN/>
              <w:bidi w:val="0"/>
              <w:adjustRightInd/>
              <w:snapToGrid/>
              <w:spacing w:line="400" w:lineRule="exact"/>
              <w:ind w:firstLine="360" w:firstLineChars="200"/>
              <w:jc w:val="left"/>
              <w:textAlignment w:val="auto"/>
              <w:rPr>
                <w:rFonts w:hint="eastAsia" w:ascii="宋体" w:hAnsi="宋体" w:eastAsia="宋体" w:cs="宋体"/>
                <w:b w:val="0"/>
                <w:bCs/>
                <w:color w:val="auto"/>
                <w:sz w:val="18"/>
                <w:szCs w:val="18"/>
                <w:highlight w:val="none"/>
              </w:rPr>
            </w:pPr>
          </w:p>
        </w:tc>
        <w:tc>
          <w:tcPr>
            <w:tcW w:w="1364" w:type="pct"/>
            <w:vAlign w:val="center"/>
          </w:tcPr>
          <w:p w14:paraId="3EBF61EE">
            <w:pPr>
              <w:pageBreakBefore w:val="0"/>
              <w:widowControl w:val="0"/>
              <w:kinsoku/>
              <w:wordWrap/>
              <w:overflowPunct/>
              <w:topLinePunct w:val="0"/>
              <w:autoSpaceDE/>
              <w:autoSpaceDN/>
              <w:bidi w:val="0"/>
              <w:adjustRightInd/>
              <w:snapToGrid/>
              <w:spacing w:line="400" w:lineRule="exact"/>
              <w:ind w:firstLine="360" w:firstLineChars="200"/>
              <w:jc w:val="left"/>
              <w:textAlignment w:val="auto"/>
              <w:rPr>
                <w:rFonts w:hint="eastAsia" w:ascii="宋体" w:hAnsi="宋体" w:eastAsia="宋体" w:cs="宋体"/>
                <w:b w:val="0"/>
                <w:bCs/>
                <w:color w:val="auto"/>
                <w:sz w:val="18"/>
                <w:szCs w:val="18"/>
                <w:highlight w:val="none"/>
                <w:lang w:val="en-US" w:eastAsia="zh-CN"/>
              </w:rPr>
            </w:pPr>
          </w:p>
        </w:tc>
        <w:tc>
          <w:tcPr>
            <w:tcW w:w="490" w:type="pct"/>
            <w:vAlign w:val="center"/>
          </w:tcPr>
          <w:p w14:paraId="710118BC">
            <w:pPr>
              <w:keepNext/>
              <w:keepLines/>
              <w:pageBreakBefore w:val="0"/>
              <w:widowControl w:val="0"/>
              <w:kinsoku/>
              <w:wordWrap/>
              <w:overflowPunct/>
              <w:topLinePunct w:val="0"/>
              <w:autoSpaceDE/>
              <w:autoSpaceDN/>
              <w:bidi w:val="0"/>
              <w:adjustRightInd/>
              <w:snapToGrid/>
              <w:spacing w:line="400" w:lineRule="exact"/>
              <w:jc w:val="center"/>
              <w:textAlignment w:val="auto"/>
              <w:outlineLvl w:val="2"/>
              <w:rPr>
                <w:rFonts w:hint="eastAsia" w:ascii="宋体" w:hAnsi="宋体" w:eastAsia="宋体" w:cs="宋体"/>
                <w:b w:val="0"/>
                <w:bCs/>
                <w:color w:val="auto"/>
                <w:kern w:val="0"/>
                <w:sz w:val="18"/>
                <w:szCs w:val="18"/>
                <w:highlight w:val="none"/>
              </w:rPr>
            </w:pPr>
          </w:p>
        </w:tc>
      </w:tr>
      <w:tr w14:paraId="1B97D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0" w:type="pct"/>
            <w:vAlign w:val="center"/>
          </w:tcPr>
          <w:p w14:paraId="0917E3D7">
            <w:pPr>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7</w:t>
            </w:r>
          </w:p>
        </w:tc>
        <w:tc>
          <w:tcPr>
            <w:tcW w:w="384" w:type="pct"/>
            <w:vAlign w:val="center"/>
          </w:tcPr>
          <w:p w14:paraId="031C0FF3">
            <w:pPr>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kern w:val="0"/>
                <w:sz w:val="18"/>
                <w:szCs w:val="18"/>
                <w:highlight w:val="none"/>
                <w:lang w:val="en-US" w:eastAsia="zh-CN"/>
              </w:rPr>
            </w:pPr>
            <w:r>
              <w:rPr>
                <w:rFonts w:hint="eastAsia" w:ascii="宋体" w:hAnsi="宋体" w:eastAsia="宋体" w:cs="宋体"/>
                <w:b w:val="0"/>
                <w:bCs/>
                <w:color w:val="auto"/>
                <w:kern w:val="0"/>
                <w:sz w:val="18"/>
                <w:szCs w:val="18"/>
                <w:highlight w:val="none"/>
                <w:lang w:val="en-US" w:eastAsia="zh-CN"/>
              </w:rPr>
              <w:t>七</w:t>
            </w:r>
          </w:p>
        </w:tc>
        <w:tc>
          <w:tcPr>
            <w:tcW w:w="1860" w:type="pct"/>
            <w:vAlign w:val="center"/>
          </w:tcPr>
          <w:p w14:paraId="46A76968">
            <w:pPr>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报价及款项支付</w:t>
            </w:r>
          </w:p>
        </w:tc>
        <w:tc>
          <w:tcPr>
            <w:tcW w:w="608" w:type="pct"/>
            <w:vAlign w:val="center"/>
          </w:tcPr>
          <w:p w14:paraId="042E2EC0">
            <w:pPr>
              <w:keepNext/>
              <w:keepLines/>
              <w:pageBreakBefore w:val="0"/>
              <w:widowControl w:val="0"/>
              <w:kinsoku/>
              <w:wordWrap/>
              <w:overflowPunct/>
              <w:topLinePunct w:val="0"/>
              <w:autoSpaceDE/>
              <w:autoSpaceDN/>
              <w:bidi w:val="0"/>
              <w:adjustRightInd/>
              <w:snapToGrid/>
              <w:spacing w:line="400" w:lineRule="exact"/>
              <w:jc w:val="center"/>
              <w:textAlignment w:val="auto"/>
              <w:outlineLvl w:val="2"/>
              <w:rPr>
                <w:rFonts w:hint="eastAsia" w:ascii="宋体" w:hAnsi="宋体" w:eastAsia="宋体" w:cs="宋体"/>
                <w:b w:val="0"/>
                <w:bCs/>
                <w:color w:val="auto"/>
                <w:kern w:val="0"/>
                <w:sz w:val="18"/>
                <w:szCs w:val="18"/>
                <w:highlight w:val="none"/>
              </w:rPr>
            </w:pPr>
          </w:p>
        </w:tc>
        <w:tc>
          <w:tcPr>
            <w:tcW w:w="1364" w:type="pct"/>
            <w:vAlign w:val="center"/>
          </w:tcPr>
          <w:p w14:paraId="115A4178">
            <w:pPr>
              <w:keepNext/>
              <w:keepLines/>
              <w:pageBreakBefore w:val="0"/>
              <w:widowControl w:val="0"/>
              <w:kinsoku/>
              <w:wordWrap/>
              <w:overflowPunct/>
              <w:topLinePunct w:val="0"/>
              <w:autoSpaceDE/>
              <w:autoSpaceDN/>
              <w:bidi w:val="0"/>
              <w:adjustRightInd/>
              <w:snapToGrid/>
              <w:spacing w:line="400" w:lineRule="exact"/>
              <w:jc w:val="center"/>
              <w:textAlignment w:val="auto"/>
              <w:outlineLvl w:val="2"/>
              <w:rPr>
                <w:rFonts w:hint="eastAsia" w:ascii="宋体" w:hAnsi="宋体" w:eastAsia="宋体" w:cs="宋体"/>
                <w:b w:val="0"/>
                <w:bCs/>
                <w:color w:val="auto"/>
                <w:kern w:val="0"/>
                <w:sz w:val="18"/>
                <w:szCs w:val="18"/>
                <w:highlight w:val="none"/>
              </w:rPr>
            </w:pPr>
          </w:p>
        </w:tc>
        <w:tc>
          <w:tcPr>
            <w:tcW w:w="490" w:type="pct"/>
            <w:vAlign w:val="center"/>
          </w:tcPr>
          <w:p w14:paraId="67D4D427">
            <w:pPr>
              <w:keepNext/>
              <w:keepLines/>
              <w:pageBreakBefore w:val="0"/>
              <w:widowControl w:val="0"/>
              <w:kinsoku/>
              <w:wordWrap/>
              <w:overflowPunct/>
              <w:topLinePunct w:val="0"/>
              <w:autoSpaceDE/>
              <w:autoSpaceDN/>
              <w:bidi w:val="0"/>
              <w:adjustRightInd/>
              <w:snapToGrid/>
              <w:spacing w:line="400" w:lineRule="exact"/>
              <w:jc w:val="center"/>
              <w:textAlignment w:val="auto"/>
              <w:outlineLvl w:val="2"/>
              <w:rPr>
                <w:rFonts w:hint="eastAsia" w:ascii="宋体" w:hAnsi="宋体" w:eastAsia="宋体" w:cs="宋体"/>
                <w:b w:val="0"/>
                <w:bCs/>
                <w:color w:val="auto"/>
                <w:kern w:val="0"/>
                <w:sz w:val="18"/>
                <w:szCs w:val="18"/>
                <w:highlight w:val="none"/>
              </w:rPr>
            </w:pPr>
          </w:p>
        </w:tc>
      </w:tr>
      <w:tr w14:paraId="0F840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0" w:type="pct"/>
            <w:vAlign w:val="center"/>
          </w:tcPr>
          <w:p w14:paraId="0BC26689">
            <w:pPr>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8</w:t>
            </w:r>
          </w:p>
        </w:tc>
        <w:tc>
          <w:tcPr>
            <w:tcW w:w="384" w:type="pct"/>
            <w:vAlign w:val="center"/>
          </w:tcPr>
          <w:p w14:paraId="6946CD86">
            <w:pPr>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kern w:val="0"/>
                <w:sz w:val="18"/>
                <w:szCs w:val="18"/>
                <w:highlight w:val="none"/>
                <w:lang w:val="en-US" w:eastAsia="zh-CN"/>
              </w:rPr>
            </w:pPr>
            <w:r>
              <w:rPr>
                <w:rFonts w:hint="eastAsia" w:ascii="宋体" w:hAnsi="宋体" w:eastAsia="宋体" w:cs="宋体"/>
                <w:b w:val="0"/>
                <w:bCs/>
                <w:color w:val="auto"/>
                <w:kern w:val="0"/>
                <w:sz w:val="18"/>
                <w:szCs w:val="18"/>
                <w:highlight w:val="none"/>
                <w:lang w:val="en-US" w:eastAsia="zh-CN"/>
              </w:rPr>
              <w:t>八</w:t>
            </w:r>
          </w:p>
        </w:tc>
        <w:tc>
          <w:tcPr>
            <w:tcW w:w="1860" w:type="pct"/>
            <w:vAlign w:val="center"/>
          </w:tcPr>
          <w:p w14:paraId="10273B74">
            <w:pPr>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其他要求</w:t>
            </w:r>
          </w:p>
        </w:tc>
        <w:tc>
          <w:tcPr>
            <w:tcW w:w="608" w:type="pct"/>
            <w:vAlign w:val="center"/>
          </w:tcPr>
          <w:p w14:paraId="4C0246C1">
            <w:pPr>
              <w:keepNext/>
              <w:keepLines/>
              <w:pageBreakBefore w:val="0"/>
              <w:widowControl w:val="0"/>
              <w:kinsoku/>
              <w:wordWrap/>
              <w:overflowPunct/>
              <w:topLinePunct w:val="0"/>
              <w:autoSpaceDE/>
              <w:autoSpaceDN/>
              <w:bidi w:val="0"/>
              <w:adjustRightInd/>
              <w:snapToGrid/>
              <w:spacing w:line="400" w:lineRule="exact"/>
              <w:jc w:val="center"/>
              <w:textAlignment w:val="auto"/>
              <w:outlineLvl w:val="2"/>
              <w:rPr>
                <w:rFonts w:hint="eastAsia" w:ascii="宋体" w:hAnsi="宋体" w:eastAsia="宋体" w:cs="宋体"/>
                <w:b w:val="0"/>
                <w:bCs/>
                <w:color w:val="auto"/>
                <w:kern w:val="0"/>
                <w:sz w:val="18"/>
                <w:szCs w:val="18"/>
                <w:highlight w:val="none"/>
              </w:rPr>
            </w:pPr>
          </w:p>
        </w:tc>
        <w:tc>
          <w:tcPr>
            <w:tcW w:w="1364" w:type="pct"/>
            <w:vAlign w:val="center"/>
          </w:tcPr>
          <w:p w14:paraId="7863319B">
            <w:pPr>
              <w:keepNext/>
              <w:keepLines/>
              <w:pageBreakBefore w:val="0"/>
              <w:widowControl w:val="0"/>
              <w:kinsoku/>
              <w:wordWrap/>
              <w:overflowPunct/>
              <w:topLinePunct w:val="0"/>
              <w:autoSpaceDE/>
              <w:autoSpaceDN/>
              <w:bidi w:val="0"/>
              <w:adjustRightInd/>
              <w:snapToGrid/>
              <w:spacing w:line="400" w:lineRule="exact"/>
              <w:jc w:val="center"/>
              <w:textAlignment w:val="auto"/>
              <w:outlineLvl w:val="2"/>
              <w:rPr>
                <w:rFonts w:hint="eastAsia" w:ascii="宋体" w:hAnsi="宋体" w:eastAsia="宋体" w:cs="宋体"/>
                <w:b w:val="0"/>
                <w:bCs/>
                <w:color w:val="auto"/>
                <w:kern w:val="0"/>
                <w:sz w:val="18"/>
                <w:szCs w:val="18"/>
                <w:highlight w:val="none"/>
              </w:rPr>
            </w:pPr>
          </w:p>
        </w:tc>
        <w:tc>
          <w:tcPr>
            <w:tcW w:w="490" w:type="pct"/>
            <w:vAlign w:val="center"/>
          </w:tcPr>
          <w:p w14:paraId="4CD85B0A">
            <w:pPr>
              <w:keepNext/>
              <w:keepLines/>
              <w:pageBreakBefore w:val="0"/>
              <w:widowControl w:val="0"/>
              <w:kinsoku/>
              <w:wordWrap/>
              <w:overflowPunct/>
              <w:topLinePunct w:val="0"/>
              <w:autoSpaceDE/>
              <w:autoSpaceDN/>
              <w:bidi w:val="0"/>
              <w:adjustRightInd/>
              <w:snapToGrid/>
              <w:spacing w:line="400" w:lineRule="exact"/>
              <w:jc w:val="center"/>
              <w:textAlignment w:val="auto"/>
              <w:outlineLvl w:val="2"/>
              <w:rPr>
                <w:rFonts w:hint="eastAsia" w:ascii="宋体" w:hAnsi="宋体" w:eastAsia="宋体" w:cs="宋体"/>
                <w:b w:val="0"/>
                <w:bCs/>
                <w:color w:val="auto"/>
                <w:kern w:val="0"/>
                <w:sz w:val="18"/>
                <w:szCs w:val="18"/>
                <w:highlight w:val="none"/>
              </w:rPr>
            </w:pPr>
          </w:p>
        </w:tc>
      </w:tr>
      <w:tr w14:paraId="6BBF9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99" w:type="dxa"/>
            <w:vAlign w:val="center"/>
          </w:tcPr>
          <w:p w14:paraId="39136F53">
            <w:pPr>
              <w:pageBreakBefore w:val="0"/>
              <w:widowControl w:val="0"/>
              <w:kinsoku/>
              <w:wordWrap/>
              <w:overflowPunct/>
              <w:topLinePunct w:val="0"/>
              <w:autoSpaceDE/>
              <w:autoSpaceDN/>
              <w:bidi w:val="0"/>
              <w:snapToGrid/>
              <w:spacing w:line="400" w:lineRule="exact"/>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9</w:t>
            </w:r>
          </w:p>
        </w:tc>
        <w:tc>
          <w:tcPr>
            <w:tcW w:w="791" w:type="dxa"/>
            <w:vAlign w:val="center"/>
          </w:tcPr>
          <w:p w14:paraId="57FA56E0">
            <w:pPr>
              <w:pageBreakBefore w:val="0"/>
              <w:widowControl w:val="0"/>
              <w:kinsoku/>
              <w:wordWrap/>
              <w:overflowPunct/>
              <w:topLinePunct w:val="0"/>
              <w:autoSpaceDE/>
              <w:autoSpaceDN/>
              <w:bidi w:val="0"/>
              <w:snapToGrid/>
              <w:spacing w:line="400" w:lineRule="exact"/>
              <w:jc w:val="center"/>
              <w:textAlignment w:val="auto"/>
              <w:rPr>
                <w:rFonts w:hint="eastAsia" w:ascii="宋体" w:hAnsi="宋体" w:eastAsia="宋体" w:cs="宋体"/>
                <w:b w:val="0"/>
                <w:bCs/>
                <w:color w:val="auto"/>
                <w:kern w:val="0"/>
                <w:sz w:val="18"/>
                <w:szCs w:val="18"/>
                <w:highlight w:val="none"/>
                <w:lang w:val="en-US" w:eastAsia="zh-CN"/>
              </w:rPr>
            </w:pPr>
            <w:r>
              <w:rPr>
                <w:rFonts w:hint="eastAsia" w:ascii="宋体" w:hAnsi="宋体" w:eastAsia="宋体" w:cs="宋体"/>
                <w:b w:val="0"/>
                <w:bCs/>
                <w:color w:val="auto"/>
                <w:kern w:val="0"/>
                <w:sz w:val="18"/>
                <w:szCs w:val="18"/>
                <w:highlight w:val="none"/>
                <w:lang w:val="en-US" w:eastAsia="zh-CN"/>
              </w:rPr>
              <w:t>附件一</w:t>
            </w:r>
          </w:p>
        </w:tc>
        <w:tc>
          <w:tcPr>
            <w:tcW w:w="3832" w:type="dxa"/>
            <w:vAlign w:val="center"/>
          </w:tcPr>
          <w:p w14:paraId="29F9FD1C">
            <w:pPr>
              <w:pageBreakBefore w:val="0"/>
              <w:widowControl w:val="0"/>
              <w:kinsoku/>
              <w:wordWrap/>
              <w:overflowPunct/>
              <w:topLinePunct w:val="0"/>
              <w:autoSpaceDE/>
              <w:autoSpaceDN/>
              <w:bidi w:val="0"/>
              <w:snapToGrid/>
              <w:spacing w:line="400" w:lineRule="exact"/>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lang w:val="en-US" w:eastAsia="zh-CN"/>
              </w:rPr>
              <w:t>采购材料清单</w:t>
            </w:r>
          </w:p>
        </w:tc>
        <w:tc>
          <w:tcPr>
            <w:tcW w:w="1254" w:type="dxa"/>
            <w:vAlign w:val="center"/>
          </w:tcPr>
          <w:p w14:paraId="7C521285">
            <w:pPr>
              <w:keepNext/>
              <w:keepLines/>
              <w:pageBreakBefore w:val="0"/>
              <w:widowControl w:val="0"/>
              <w:kinsoku/>
              <w:wordWrap/>
              <w:overflowPunct/>
              <w:topLinePunct w:val="0"/>
              <w:autoSpaceDE/>
              <w:autoSpaceDN/>
              <w:bidi w:val="0"/>
              <w:snapToGrid/>
              <w:spacing w:line="400" w:lineRule="exact"/>
              <w:jc w:val="center"/>
              <w:textAlignment w:val="auto"/>
              <w:outlineLvl w:val="2"/>
              <w:rPr>
                <w:rFonts w:hint="eastAsia" w:ascii="宋体" w:hAnsi="宋体" w:eastAsia="宋体" w:cs="宋体"/>
                <w:b w:val="0"/>
                <w:bCs/>
                <w:color w:val="auto"/>
                <w:kern w:val="0"/>
                <w:sz w:val="18"/>
                <w:szCs w:val="18"/>
                <w:highlight w:val="none"/>
              </w:rPr>
            </w:pPr>
          </w:p>
        </w:tc>
        <w:tc>
          <w:tcPr>
            <w:tcW w:w="2810" w:type="dxa"/>
            <w:vAlign w:val="center"/>
          </w:tcPr>
          <w:p w14:paraId="090EC955">
            <w:pPr>
              <w:keepNext/>
              <w:keepLines/>
              <w:pageBreakBefore w:val="0"/>
              <w:widowControl w:val="0"/>
              <w:kinsoku/>
              <w:wordWrap/>
              <w:overflowPunct/>
              <w:topLinePunct w:val="0"/>
              <w:autoSpaceDE/>
              <w:autoSpaceDN/>
              <w:bidi w:val="0"/>
              <w:snapToGrid/>
              <w:spacing w:line="400" w:lineRule="exact"/>
              <w:jc w:val="center"/>
              <w:textAlignment w:val="auto"/>
              <w:outlineLvl w:val="2"/>
              <w:rPr>
                <w:rFonts w:hint="eastAsia" w:ascii="宋体" w:hAnsi="宋体" w:eastAsia="宋体" w:cs="宋体"/>
                <w:b w:val="0"/>
                <w:bCs/>
                <w:color w:val="auto"/>
                <w:kern w:val="0"/>
                <w:sz w:val="18"/>
                <w:szCs w:val="18"/>
                <w:highlight w:val="none"/>
              </w:rPr>
            </w:pPr>
          </w:p>
        </w:tc>
        <w:tc>
          <w:tcPr>
            <w:tcW w:w="1010" w:type="dxa"/>
            <w:vAlign w:val="center"/>
          </w:tcPr>
          <w:p w14:paraId="1AD1B41A">
            <w:pPr>
              <w:keepNext/>
              <w:keepLines/>
              <w:pageBreakBefore w:val="0"/>
              <w:widowControl w:val="0"/>
              <w:kinsoku/>
              <w:wordWrap/>
              <w:overflowPunct/>
              <w:topLinePunct w:val="0"/>
              <w:autoSpaceDE/>
              <w:autoSpaceDN/>
              <w:bidi w:val="0"/>
              <w:snapToGrid/>
              <w:spacing w:line="400" w:lineRule="exact"/>
              <w:jc w:val="center"/>
              <w:textAlignment w:val="auto"/>
              <w:outlineLvl w:val="2"/>
              <w:rPr>
                <w:rFonts w:hint="eastAsia" w:ascii="宋体" w:hAnsi="宋体" w:eastAsia="宋体" w:cs="宋体"/>
                <w:b w:val="0"/>
                <w:bCs/>
                <w:color w:val="auto"/>
                <w:kern w:val="0"/>
                <w:sz w:val="18"/>
                <w:szCs w:val="18"/>
                <w:highlight w:val="none"/>
              </w:rPr>
            </w:pPr>
          </w:p>
        </w:tc>
      </w:tr>
    </w:tbl>
    <w:p w14:paraId="1CE9D955">
      <w:pPr>
        <w:autoSpaceDE/>
        <w:autoSpaceDN/>
        <w:adjustRightInd/>
        <w:snapToGrid/>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p w14:paraId="17909188">
      <w:pPr>
        <w:autoSpaceDE/>
        <w:autoSpaceDN/>
        <w:adjustRightInd/>
        <w:snapToGrid/>
        <w:spacing w:line="360" w:lineRule="auto"/>
        <w:ind w:left="605" w:leftChars="18" w:hanging="567" w:hangingChars="27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（1）</w:t>
      </w:r>
      <w:r>
        <w:rPr>
          <w:rFonts w:hint="eastAsia" w:ascii="宋体" w:hAnsi="宋体" w:eastAsia="宋体" w:cs="宋体"/>
          <w:b/>
          <w:color w:val="auto"/>
          <w:szCs w:val="21"/>
          <w:highlight w:val="none"/>
          <w:u w:val="single"/>
        </w:rPr>
        <w:t>投标人应对照招标文件用户需求书的响应，逐条逐项、如实地填写“偏离情况”，</w:t>
      </w:r>
      <w:r>
        <w:rPr>
          <w:rFonts w:hint="eastAsia" w:ascii="宋体" w:hAnsi="宋体" w:eastAsia="宋体" w:cs="宋体"/>
          <w:b/>
          <w:color w:val="auto"/>
          <w:kern w:val="0"/>
          <w:szCs w:val="21"/>
          <w:highlight w:val="none"/>
          <w:u w:val="single"/>
        </w:rPr>
        <w:t>若发现未填写本表，或虚假填写本表，或伪造、变造证明材料的，按无效投标文件处理</w:t>
      </w:r>
      <w:r>
        <w:rPr>
          <w:rFonts w:hint="eastAsia" w:ascii="宋体" w:hAnsi="宋体" w:eastAsia="宋体" w:cs="宋体"/>
          <w:b/>
          <w:color w:val="auto"/>
          <w:szCs w:val="21"/>
          <w:highlight w:val="none"/>
          <w:u w:val="single"/>
        </w:rPr>
        <w:t>。若招标文件用户需求书中有“★”条款</w:t>
      </w:r>
      <w:r>
        <w:rPr>
          <w:rFonts w:hint="eastAsia" w:ascii="宋体" w:hAnsi="宋体" w:eastAsia="宋体" w:cs="宋体"/>
          <w:b/>
          <w:color w:val="auto"/>
          <w:szCs w:val="21"/>
          <w:highlight w:val="none"/>
          <w:u w:val="single"/>
          <w:lang w:val="en-US" w:eastAsia="zh-CN"/>
        </w:rPr>
        <w:t>，</w:t>
      </w:r>
      <w:r>
        <w:rPr>
          <w:rFonts w:hint="eastAsia" w:ascii="宋体" w:hAnsi="宋体" w:eastAsia="宋体" w:cs="宋体"/>
          <w:b/>
          <w:color w:val="auto"/>
          <w:szCs w:val="21"/>
          <w:highlight w:val="none"/>
          <w:u w:val="single"/>
        </w:rPr>
        <w:t>须逐条逐项、如实地填写“偏离情况”，未填写“★”条款以外的条款的，视为完全满足招标文件要求。</w:t>
      </w:r>
    </w:p>
    <w:p w14:paraId="4857CCA7">
      <w:pPr>
        <w:autoSpaceDE/>
        <w:autoSpaceDN/>
        <w:adjustRightInd/>
        <w:snapToGrid/>
        <w:spacing w:line="360" w:lineRule="auto"/>
        <w:ind w:left="605" w:leftChars="18" w:hanging="567" w:hangingChars="27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偏离情况（投标文件对招标文件用户需求的响应程度）分为：正偏离、负偏离、无偏离。正偏离是指投标人对用户需求响应优于招标文件的要求；负偏离是指投标人对用户需求响应不满足或不完全满足招标文件的要求；无偏离是指投标人对用户需求响应完全满足招标文件的要求。 </w:t>
      </w:r>
    </w:p>
    <w:p w14:paraId="00EBC6FA">
      <w:pPr>
        <w:autoSpaceDE/>
        <w:autoSpaceDN/>
        <w:adjustRightInd/>
        <w:snapToGrid/>
        <w:spacing w:line="360" w:lineRule="auto"/>
        <w:ind w:left="607" w:leftChars="18" w:hanging="569" w:hangingChars="270"/>
        <w:rPr>
          <w:rFonts w:hint="eastAsia" w:ascii="宋体" w:hAnsi="宋体" w:eastAsia="宋体" w:cs="宋体"/>
          <w:b/>
          <w:color w:val="auto"/>
          <w:kern w:val="0"/>
          <w:szCs w:val="21"/>
          <w:highlight w:val="none"/>
          <w:u w:val="single"/>
        </w:rPr>
      </w:pPr>
      <w:r>
        <w:rPr>
          <w:rFonts w:hint="eastAsia" w:ascii="宋体" w:hAnsi="宋体" w:eastAsia="宋体" w:cs="宋体"/>
          <w:b/>
          <w:color w:val="auto"/>
          <w:szCs w:val="21"/>
          <w:highlight w:val="none"/>
        </w:rPr>
        <w:t>（3）</w:t>
      </w:r>
      <w:r>
        <w:rPr>
          <w:rFonts w:hint="eastAsia" w:ascii="宋体" w:hAnsi="宋体" w:eastAsia="宋体" w:cs="宋体"/>
          <w:b/>
          <w:color w:val="auto"/>
          <w:kern w:val="0"/>
          <w:szCs w:val="21"/>
          <w:highlight w:val="none"/>
          <w:u w:val="single"/>
        </w:rPr>
        <w:t>应逐条</w:t>
      </w:r>
      <w:r>
        <w:rPr>
          <w:rFonts w:hint="eastAsia" w:ascii="宋体" w:hAnsi="宋体" w:eastAsia="宋体" w:cs="宋体"/>
          <w:b/>
          <w:color w:val="auto"/>
          <w:szCs w:val="21"/>
          <w:highlight w:val="none"/>
          <w:u w:val="single"/>
        </w:rPr>
        <w:t>逐项</w:t>
      </w:r>
      <w:r>
        <w:rPr>
          <w:rFonts w:hint="eastAsia" w:ascii="宋体" w:hAnsi="宋体" w:eastAsia="宋体" w:cs="宋体"/>
          <w:b/>
          <w:color w:val="auto"/>
          <w:kern w:val="0"/>
          <w:szCs w:val="21"/>
          <w:highlight w:val="none"/>
          <w:u w:val="single"/>
        </w:rPr>
        <w:t>、如实地填写“偏离情况”。“偏离情况”项为正偏离（或负偏离）的，必须在“实质性响应的具体内容”项内详细说明与招标文件的偏离内容，“偏离情况”项为无偏离的，在“实质性响应的具体内容”项内填“完全响应招标文件要求”即可，也可进一步说明投标响应的具体内容。投标人可将反映投标货物技术参数、性能、功能的技术支持资料作为本表的附件，并在本偏离表“对应证明材料页码”项内注明其在投标文件中的具体页码。</w:t>
      </w:r>
    </w:p>
    <w:p w14:paraId="023A644B">
      <w:pPr>
        <w:autoSpaceDE/>
        <w:autoSpaceDN/>
        <w:adjustRightInd/>
        <w:snapToGrid/>
        <w:spacing w:line="360" w:lineRule="auto"/>
        <w:ind w:left="607" w:leftChars="18" w:hanging="569" w:hangingChars="270"/>
        <w:rPr>
          <w:rFonts w:hint="eastAsia" w:ascii="宋体" w:hAnsi="宋体" w:eastAsia="宋体" w:cs="宋体"/>
          <w:b/>
          <w:color w:val="auto"/>
          <w:kern w:val="0"/>
          <w:sz w:val="24"/>
          <w:szCs w:val="21"/>
          <w:highlight w:val="none"/>
          <w:u w:val="single"/>
          <w:lang w:val="zh-CN"/>
        </w:rPr>
      </w:pPr>
      <w:r>
        <w:rPr>
          <w:rFonts w:hint="eastAsia" w:ascii="宋体" w:hAnsi="宋体" w:eastAsia="宋体" w:cs="宋体"/>
          <w:b/>
          <w:color w:val="auto"/>
          <w:szCs w:val="21"/>
          <w:highlight w:val="none"/>
        </w:rPr>
        <w:t>（4）</w:t>
      </w:r>
      <w:r>
        <w:rPr>
          <w:rFonts w:hint="eastAsia" w:ascii="宋体" w:hAnsi="宋体" w:eastAsia="宋体" w:cs="宋体"/>
          <w:b/>
          <w:color w:val="auto"/>
          <w:kern w:val="0"/>
          <w:szCs w:val="21"/>
          <w:highlight w:val="none"/>
          <w:u w:val="single"/>
        </w:rPr>
        <w:t>凡标有“★”的地方均被视为重要的技术指标要求或性能要求。投标人要特别加以注意，必须对此回答并完全满足这些要求，否则若有一项带“★”的指标未响应或不满足，将按无效投标处理</w:t>
      </w:r>
      <w:r>
        <w:rPr>
          <w:rFonts w:hint="eastAsia" w:ascii="宋体" w:hAnsi="宋体" w:eastAsia="宋体" w:cs="宋体"/>
          <w:b/>
          <w:color w:val="auto"/>
          <w:kern w:val="0"/>
          <w:sz w:val="24"/>
          <w:szCs w:val="21"/>
          <w:highlight w:val="none"/>
          <w:u w:val="single"/>
          <w:lang w:val="zh-CN"/>
        </w:rPr>
        <w:t>。</w:t>
      </w:r>
    </w:p>
    <w:p w14:paraId="6CD173CF">
      <w:pPr>
        <w:autoSpaceDE/>
        <w:autoSpaceDN/>
        <w:adjustRightInd/>
        <w:snapToGrid/>
        <w:spacing w:line="360" w:lineRule="auto"/>
        <w:rPr>
          <w:rFonts w:hint="eastAsia" w:ascii="宋体" w:hAnsi="宋体" w:eastAsia="宋体" w:cs="宋体"/>
          <w:color w:val="auto"/>
          <w:szCs w:val="21"/>
          <w:highlight w:val="none"/>
        </w:rPr>
      </w:pPr>
    </w:p>
    <w:p w14:paraId="085D6B7D">
      <w:pPr>
        <w:autoSpaceDE w:val="0"/>
        <w:autoSpaceDN w:val="0"/>
        <w:adjustRightInd w:val="0"/>
        <w:snapToGrid/>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投标人：（</w:t>
      </w:r>
      <w:r>
        <w:rPr>
          <w:rFonts w:hint="eastAsia" w:ascii="宋体" w:hAnsi="宋体" w:eastAsia="宋体" w:cs="宋体"/>
          <w:color w:val="auto"/>
          <w:szCs w:val="21"/>
          <w:highlight w:val="none"/>
          <w:lang w:val="zh-CN"/>
        </w:rPr>
        <w:t>加盖投标人法人公章</w:t>
      </w:r>
      <w:r>
        <w:rPr>
          <w:rFonts w:hint="eastAsia" w:ascii="宋体" w:hAnsi="宋体" w:eastAsia="宋体" w:cs="宋体"/>
          <w:color w:val="auto"/>
          <w:kern w:val="0"/>
          <w:szCs w:val="21"/>
          <w:highlight w:val="none"/>
        </w:rPr>
        <w:t>）</w:t>
      </w:r>
    </w:p>
    <w:p w14:paraId="1E01C05B">
      <w:pPr>
        <w:autoSpaceDE w:val="0"/>
        <w:autoSpaceDN w:val="0"/>
        <w:adjustRightInd w:val="0"/>
        <w:snapToGrid/>
        <w:spacing w:line="240" w:lineRule="auto"/>
        <w:ind w:left="15" w:leftChars="-50" w:hanging="120"/>
        <w:jc w:val="left"/>
        <w:outlineLvl w:val="9"/>
        <w:rPr>
          <w:rFonts w:hint="eastAsia" w:ascii="宋体" w:hAnsi="宋体" w:eastAsia="宋体" w:cs="宋体"/>
          <w:b/>
          <w:color w:val="auto"/>
          <w:kern w:val="0"/>
          <w:sz w:val="30"/>
          <w:szCs w:val="30"/>
          <w:highlight w:val="none"/>
        </w:rPr>
      </w:pPr>
      <w:r>
        <w:rPr>
          <w:rFonts w:hint="eastAsia" w:ascii="宋体" w:hAnsi="宋体" w:eastAsia="宋体" w:cs="宋体"/>
          <w:color w:val="auto"/>
          <w:kern w:val="0"/>
          <w:szCs w:val="21"/>
          <w:highlight w:val="none"/>
        </w:rPr>
        <w:t xml:space="preserve">                                                               日  期：   年  月  日</w:t>
      </w:r>
      <w:r>
        <w:rPr>
          <w:rFonts w:hint="eastAsia" w:ascii="宋体" w:hAnsi="宋体" w:eastAsia="宋体" w:cs="宋体"/>
          <w:b/>
          <w:color w:val="auto"/>
          <w:kern w:val="0"/>
          <w:sz w:val="30"/>
          <w:szCs w:val="30"/>
          <w:highlight w:val="none"/>
        </w:rPr>
        <w:br w:type="page"/>
      </w:r>
    </w:p>
    <w:p w14:paraId="2B444088">
      <w:pPr>
        <w:tabs>
          <w:tab w:val="left" w:pos="567"/>
        </w:tabs>
        <w:autoSpaceDE w:val="0"/>
        <w:autoSpaceDN w:val="0"/>
        <w:adjustRightInd w:val="0"/>
        <w:snapToGrid/>
        <w:spacing w:line="360" w:lineRule="auto"/>
        <w:jc w:val="left"/>
        <w:outlineLvl w:val="2"/>
        <w:rPr>
          <w:rFonts w:hint="eastAsia" w:ascii="宋体" w:hAnsi="宋体" w:eastAsia="宋体" w:cs="宋体"/>
          <w:b/>
          <w:color w:val="auto"/>
          <w:kern w:val="0"/>
          <w:sz w:val="30"/>
          <w:szCs w:val="30"/>
          <w:highlight w:val="none"/>
        </w:rPr>
      </w:pPr>
      <w:bookmarkStart w:id="1102" w:name="_Toc17811"/>
      <w:bookmarkStart w:id="1103" w:name="_Toc30876"/>
      <w:bookmarkStart w:id="1104" w:name="_Toc28875"/>
      <w:bookmarkStart w:id="1105" w:name="_Toc6926"/>
      <w:bookmarkStart w:id="1106" w:name="_Toc102860438"/>
      <w:bookmarkStart w:id="1107" w:name="_Toc104991896"/>
      <w:bookmarkStart w:id="1108" w:name="_Toc102860094"/>
      <w:bookmarkStart w:id="1109" w:name="_Toc140596949"/>
      <w:bookmarkStart w:id="1110" w:name="_Toc142508389"/>
      <w:r>
        <w:rPr>
          <w:rFonts w:hint="eastAsia" w:ascii="宋体" w:hAnsi="宋体" w:eastAsia="宋体" w:cs="宋体"/>
          <w:b/>
          <w:color w:val="auto"/>
          <w:kern w:val="0"/>
          <w:sz w:val="30"/>
          <w:szCs w:val="30"/>
          <w:highlight w:val="none"/>
          <w:lang w:val="en-US" w:eastAsia="zh-CN"/>
        </w:rPr>
        <w:t xml:space="preserve">13.2 </w:t>
      </w:r>
      <w:r>
        <w:rPr>
          <w:rFonts w:hint="eastAsia" w:ascii="宋体" w:hAnsi="宋体" w:eastAsia="宋体" w:cs="宋体"/>
          <w:b/>
          <w:color w:val="auto"/>
          <w:kern w:val="0"/>
          <w:sz w:val="30"/>
          <w:szCs w:val="30"/>
          <w:highlight w:val="none"/>
        </w:rPr>
        <w:t>供货货物清单表格式</w:t>
      </w:r>
      <w:bookmarkEnd w:id="1102"/>
      <w:bookmarkEnd w:id="1103"/>
      <w:bookmarkEnd w:id="1104"/>
    </w:p>
    <w:p w14:paraId="4CE867D7">
      <w:pPr>
        <w:keepNext w:val="0"/>
        <w:keepLines w:val="0"/>
        <w:pageBreakBefore w:val="0"/>
        <w:widowControl w:val="0"/>
        <w:kinsoku/>
        <w:wordWrap/>
        <w:overflowPunct/>
        <w:topLinePunct w:val="0"/>
        <w:autoSpaceDE w:val="0"/>
        <w:autoSpaceDN w:val="0"/>
        <w:bidi w:val="0"/>
        <w:adjustRightInd w:val="0"/>
        <w:snapToGrid/>
        <w:spacing w:line="240" w:lineRule="auto"/>
        <w:ind w:right="-23" w:rightChars="-11" w:firstLine="0"/>
        <w:jc w:val="center"/>
        <w:textAlignment w:val="auto"/>
        <w:outlineLvl w:val="9"/>
        <w:rPr>
          <w:rFonts w:hint="eastAsia" w:ascii="宋体" w:hAnsi="宋体" w:eastAsia="宋体" w:cs="宋体"/>
          <w:b/>
          <w:color w:val="auto"/>
          <w:sz w:val="30"/>
          <w:szCs w:val="30"/>
          <w:highlight w:val="none"/>
          <w:lang w:val="zh-CN"/>
        </w:rPr>
      </w:pPr>
      <w:r>
        <w:rPr>
          <w:rFonts w:hint="eastAsia" w:ascii="宋体" w:hAnsi="宋体" w:eastAsia="宋体" w:cs="宋体"/>
          <w:b/>
          <w:color w:val="auto"/>
          <w:sz w:val="30"/>
          <w:szCs w:val="30"/>
          <w:highlight w:val="none"/>
          <w:lang w:val="zh-CN"/>
        </w:rPr>
        <w:t>供货货物清单表</w:t>
      </w:r>
    </w:p>
    <w:p w14:paraId="773C0718">
      <w:pPr>
        <w:autoSpaceDE w:val="0"/>
        <w:autoSpaceDN w:val="0"/>
        <w:adjustRightInd w:val="0"/>
        <w:snapToGrid w:val="0"/>
        <w:spacing w:line="360" w:lineRule="auto"/>
        <w:jc w:val="left"/>
        <w:outlineLvl w:val="9"/>
        <w:rPr>
          <w:rFonts w:hint="eastAsia" w:ascii="宋体" w:hAnsi="宋体" w:eastAsia="宋体" w:cs="宋体"/>
          <w:color w:val="auto"/>
          <w:kern w:val="0"/>
          <w:szCs w:val="21"/>
          <w:highlight w:val="none"/>
        </w:rPr>
      </w:pPr>
    </w:p>
    <w:tbl>
      <w:tblPr>
        <w:tblStyle w:val="20"/>
        <w:tblW w:w="501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7"/>
        <w:gridCol w:w="1732"/>
        <w:gridCol w:w="715"/>
        <w:gridCol w:w="816"/>
        <w:gridCol w:w="1383"/>
        <w:gridCol w:w="1383"/>
        <w:gridCol w:w="682"/>
        <w:gridCol w:w="765"/>
        <w:gridCol w:w="666"/>
        <w:gridCol w:w="1166"/>
        <w:gridCol w:w="550"/>
      </w:tblGrid>
      <w:tr w14:paraId="1DDCF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5000" w:type="pct"/>
            <w:gridSpan w:val="11"/>
            <w:tcBorders>
              <w:top w:val="single" w:color="auto" w:sz="4" w:space="0"/>
              <w:left w:val="single" w:color="auto" w:sz="4" w:space="0"/>
              <w:bottom w:val="single" w:color="auto" w:sz="4" w:space="0"/>
              <w:right w:val="single" w:color="auto" w:sz="4" w:space="0"/>
            </w:tcBorders>
            <w:vAlign w:val="center"/>
          </w:tcPr>
          <w:p w14:paraId="4B4F58C6">
            <w:pPr>
              <w:autoSpaceDE w:val="0"/>
              <w:autoSpaceDN w:val="0"/>
              <w:adjustRightInd w:val="0"/>
              <w:snapToGrid/>
              <w:spacing w:line="400" w:lineRule="exact"/>
              <w:ind w:firstLine="422"/>
              <w:jc w:val="center"/>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货物明细</w:t>
            </w:r>
          </w:p>
        </w:tc>
      </w:tr>
      <w:tr w14:paraId="2EFF4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231" w:type="pct"/>
            <w:tcBorders>
              <w:top w:val="single" w:color="auto" w:sz="4" w:space="0"/>
              <w:left w:val="single" w:color="auto" w:sz="4" w:space="0"/>
              <w:bottom w:val="single" w:color="auto" w:sz="4" w:space="0"/>
              <w:right w:val="single" w:color="auto" w:sz="4" w:space="0"/>
            </w:tcBorders>
            <w:vAlign w:val="center"/>
          </w:tcPr>
          <w:p w14:paraId="4D35DF73">
            <w:pPr>
              <w:autoSpaceDE/>
              <w:autoSpaceDN/>
              <w:adjustRightInd/>
              <w:snapToGrid/>
              <w:spacing w:line="400" w:lineRule="exact"/>
              <w:ind w:firstLine="0"/>
              <w:jc w:val="center"/>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序号</w:t>
            </w:r>
          </w:p>
        </w:tc>
        <w:tc>
          <w:tcPr>
            <w:tcW w:w="838" w:type="pct"/>
            <w:tcBorders>
              <w:top w:val="single" w:color="auto" w:sz="4" w:space="0"/>
              <w:left w:val="single" w:color="auto" w:sz="4" w:space="0"/>
              <w:bottom w:val="single" w:color="auto" w:sz="4" w:space="0"/>
              <w:right w:val="single" w:color="auto" w:sz="4" w:space="0"/>
            </w:tcBorders>
            <w:vAlign w:val="center"/>
          </w:tcPr>
          <w:p w14:paraId="49661C42">
            <w:pPr>
              <w:autoSpaceDE/>
              <w:autoSpaceDN/>
              <w:adjustRightInd/>
              <w:snapToGrid/>
              <w:spacing w:line="400" w:lineRule="exact"/>
              <w:ind w:firstLine="0"/>
              <w:jc w:val="center"/>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货物名称</w:t>
            </w:r>
          </w:p>
        </w:tc>
        <w:tc>
          <w:tcPr>
            <w:tcW w:w="346" w:type="pct"/>
            <w:tcBorders>
              <w:top w:val="single" w:color="auto" w:sz="4" w:space="0"/>
              <w:left w:val="single" w:color="auto" w:sz="4" w:space="0"/>
              <w:bottom w:val="single" w:color="auto" w:sz="4" w:space="0"/>
              <w:right w:val="single" w:color="auto" w:sz="4" w:space="0"/>
            </w:tcBorders>
            <w:vAlign w:val="center"/>
          </w:tcPr>
          <w:p w14:paraId="03174144">
            <w:pPr>
              <w:autoSpaceDE/>
              <w:autoSpaceDN/>
              <w:adjustRightInd/>
              <w:snapToGrid/>
              <w:spacing w:line="400" w:lineRule="exact"/>
              <w:ind w:firstLine="0"/>
              <w:jc w:val="center"/>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品牌</w:t>
            </w:r>
          </w:p>
        </w:tc>
        <w:tc>
          <w:tcPr>
            <w:tcW w:w="395" w:type="pct"/>
            <w:tcBorders>
              <w:top w:val="single" w:color="auto" w:sz="4" w:space="0"/>
              <w:left w:val="single" w:color="auto" w:sz="4" w:space="0"/>
              <w:bottom w:val="single" w:color="auto" w:sz="4" w:space="0"/>
              <w:right w:val="single" w:color="auto" w:sz="4" w:space="0"/>
            </w:tcBorders>
            <w:vAlign w:val="center"/>
          </w:tcPr>
          <w:p w14:paraId="050DE1C8">
            <w:pPr>
              <w:autoSpaceDE/>
              <w:autoSpaceDN/>
              <w:adjustRightInd/>
              <w:snapToGrid/>
              <w:spacing w:line="400" w:lineRule="exact"/>
              <w:ind w:firstLine="0"/>
              <w:jc w:val="center"/>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产地</w:t>
            </w:r>
          </w:p>
        </w:tc>
        <w:tc>
          <w:tcPr>
            <w:tcW w:w="669" w:type="pct"/>
            <w:tcBorders>
              <w:top w:val="single" w:color="auto" w:sz="4" w:space="0"/>
              <w:left w:val="single" w:color="auto" w:sz="4" w:space="0"/>
              <w:bottom w:val="single" w:color="auto" w:sz="4" w:space="0"/>
              <w:right w:val="single" w:color="auto" w:sz="4" w:space="0"/>
            </w:tcBorders>
            <w:vAlign w:val="center"/>
          </w:tcPr>
          <w:p w14:paraId="55267405">
            <w:pPr>
              <w:autoSpaceDE/>
              <w:autoSpaceDN/>
              <w:adjustRightInd/>
              <w:snapToGrid/>
              <w:spacing w:line="400" w:lineRule="exact"/>
              <w:ind w:firstLine="0"/>
              <w:jc w:val="center"/>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规格</w:t>
            </w:r>
          </w:p>
          <w:p w14:paraId="0844A611">
            <w:pPr>
              <w:autoSpaceDE/>
              <w:autoSpaceDN/>
              <w:adjustRightInd/>
              <w:snapToGrid/>
              <w:spacing w:line="400" w:lineRule="exact"/>
              <w:ind w:firstLine="0"/>
              <w:jc w:val="center"/>
              <w:outlineLvl w:val="9"/>
              <w:rPr>
                <w:rFonts w:hint="eastAsia" w:ascii="宋体" w:hAnsi="宋体" w:eastAsia="宋体" w:cs="宋体"/>
                <w:b/>
                <w:color w:val="auto"/>
                <w:kern w:val="0"/>
                <w:szCs w:val="21"/>
                <w:highlight w:val="none"/>
              </w:rPr>
            </w:pPr>
            <w:r>
              <w:rPr>
                <w:rFonts w:hint="eastAsia" w:ascii="宋体" w:hAnsi="宋体" w:eastAsia="宋体" w:cs="宋体"/>
                <w:b/>
                <w:bCs/>
                <w:i w:val="0"/>
                <w:iCs w:val="0"/>
                <w:color w:val="auto"/>
                <w:kern w:val="0"/>
                <w:sz w:val="21"/>
                <w:szCs w:val="21"/>
                <w:highlight w:val="none"/>
                <w:u w:val="none"/>
                <w:lang w:val="en-US" w:eastAsia="zh-CN" w:bidi="ar"/>
              </w:rPr>
              <w:t>（公称直径）</w:t>
            </w:r>
          </w:p>
        </w:tc>
        <w:tc>
          <w:tcPr>
            <w:tcW w:w="669" w:type="pct"/>
            <w:tcBorders>
              <w:top w:val="single" w:color="auto" w:sz="4" w:space="0"/>
              <w:left w:val="single" w:color="auto" w:sz="4" w:space="0"/>
              <w:bottom w:val="single" w:color="auto" w:sz="4" w:space="0"/>
              <w:right w:val="single" w:color="auto" w:sz="4" w:space="0"/>
            </w:tcBorders>
            <w:vAlign w:val="center"/>
          </w:tcPr>
          <w:p w14:paraId="39957D4A">
            <w:pPr>
              <w:autoSpaceDE/>
              <w:autoSpaceDN/>
              <w:adjustRightInd/>
              <w:snapToGrid/>
              <w:spacing w:line="400" w:lineRule="exact"/>
              <w:ind w:firstLine="0"/>
              <w:jc w:val="center"/>
              <w:outlineLvl w:val="9"/>
              <w:rPr>
                <w:rFonts w:hint="eastAsia" w:ascii="宋体" w:hAnsi="宋体" w:eastAsia="宋体" w:cs="宋体"/>
                <w:b/>
                <w:color w:val="auto"/>
                <w:kern w:val="0"/>
                <w:szCs w:val="21"/>
                <w:highlight w:val="none"/>
              </w:rPr>
            </w:pPr>
            <w:r>
              <w:rPr>
                <w:rFonts w:hint="eastAsia" w:ascii="宋体" w:hAnsi="宋体" w:eastAsia="宋体" w:cs="宋体"/>
                <w:b/>
                <w:bCs/>
                <w:i w:val="0"/>
                <w:iCs w:val="0"/>
                <w:color w:val="auto"/>
                <w:kern w:val="0"/>
                <w:sz w:val="21"/>
                <w:szCs w:val="21"/>
                <w:highlight w:val="none"/>
                <w:u w:val="none"/>
                <w:lang w:val="en-US" w:eastAsia="zh-CN" w:bidi="ar"/>
              </w:rPr>
              <w:t>材质</w:t>
            </w:r>
          </w:p>
        </w:tc>
        <w:tc>
          <w:tcPr>
            <w:tcW w:w="330" w:type="pct"/>
            <w:tcBorders>
              <w:top w:val="single" w:color="auto" w:sz="4" w:space="0"/>
              <w:left w:val="single" w:color="auto" w:sz="4" w:space="0"/>
              <w:bottom w:val="single" w:color="auto" w:sz="4" w:space="0"/>
              <w:right w:val="single" w:color="auto" w:sz="4" w:space="0"/>
            </w:tcBorders>
            <w:vAlign w:val="center"/>
          </w:tcPr>
          <w:p w14:paraId="5F2CEB3F">
            <w:pPr>
              <w:autoSpaceDE/>
              <w:autoSpaceDN/>
              <w:adjustRightInd/>
              <w:snapToGrid/>
              <w:spacing w:line="400" w:lineRule="exact"/>
              <w:ind w:firstLine="0"/>
              <w:jc w:val="center"/>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单位</w:t>
            </w:r>
          </w:p>
        </w:tc>
        <w:tc>
          <w:tcPr>
            <w:tcW w:w="370" w:type="pct"/>
            <w:tcBorders>
              <w:top w:val="single" w:color="auto" w:sz="4" w:space="0"/>
              <w:left w:val="single" w:color="auto" w:sz="4" w:space="0"/>
              <w:bottom w:val="single" w:color="auto" w:sz="4" w:space="0"/>
              <w:right w:val="single" w:color="auto" w:sz="4" w:space="0"/>
            </w:tcBorders>
            <w:vAlign w:val="center"/>
          </w:tcPr>
          <w:p w14:paraId="50EE618F">
            <w:pPr>
              <w:autoSpaceDE/>
              <w:autoSpaceDN/>
              <w:adjustRightInd/>
              <w:snapToGrid/>
              <w:spacing w:line="400" w:lineRule="exact"/>
              <w:ind w:firstLine="0"/>
              <w:jc w:val="center"/>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val="en-US" w:eastAsia="zh-CN"/>
              </w:rPr>
              <w:t>预计用量</w:t>
            </w:r>
          </w:p>
        </w:tc>
        <w:tc>
          <w:tcPr>
            <w:tcW w:w="322" w:type="pct"/>
            <w:tcBorders>
              <w:top w:val="single" w:color="auto" w:sz="4" w:space="0"/>
              <w:left w:val="single" w:color="auto" w:sz="4" w:space="0"/>
              <w:bottom w:val="single" w:color="auto" w:sz="4" w:space="0"/>
              <w:right w:val="single" w:color="auto" w:sz="4" w:space="0"/>
            </w:tcBorders>
            <w:vAlign w:val="center"/>
          </w:tcPr>
          <w:p w14:paraId="4203559E">
            <w:pPr>
              <w:autoSpaceDE w:val="0"/>
              <w:autoSpaceDN w:val="0"/>
              <w:adjustRightInd w:val="0"/>
              <w:snapToGrid/>
              <w:spacing w:line="400" w:lineRule="exact"/>
              <w:ind w:firstLine="0"/>
              <w:jc w:val="center"/>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生产厂家</w:t>
            </w:r>
          </w:p>
        </w:tc>
        <w:tc>
          <w:tcPr>
            <w:tcW w:w="564" w:type="pct"/>
            <w:tcBorders>
              <w:top w:val="single" w:color="auto" w:sz="4" w:space="0"/>
              <w:left w:val="single" w:color="auto" w:sz="4" w:space="0"/>
              <w:bottom w:val="single" w:color="auto" w:sz="4" w:space="0"/>
              <w:right w:val="single" w:color="auto" w:sz="4" w:space="0"/>
            </w:tcBorders>
            <w:vAlign w:val="center"/>
          </w:tcPr>
          <w:p w14:paraId="5B434685">
            <w:pPr>
              <w:autoSpaceDE w:val="0"/>
              <w:autoSpaceDN w:val="0"/>
              <w:adjustRightInd w:val="0"/>
              <w:snapToGrid/>
              <w:spacing w:line="400" w:lineRule="exact"/>
              <w:ind w:firstLine="0"/>
              <w:jc w:val="center"/>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主要技术参数</w:t>
            </w:r>
          </w:p>
        </w:tc>
        <w:tc>
          <w:tcPr>
            <w:tcW w:w="261" w:type="pct"/>
            <w:tcBorders>
              <w:top w:val="single" w:color="auto" w:sz="4" w:space="0"/>
              <w:left w:val="single" w:color="auto" w:sz="4" w:space="0"/>
              <w:bottom w:val="single" w:color="auto" w:sz="4" w:space="0"/>
              <w:right w:val="single" w:color="auto" w:sz="4" w:space="0"/>
            </w:tcBorders>
            <w:vAlign w:val="center"/>
          </w:tcPr>
          <w:p w14:paraId="25B1528E">
            <w:pPr>
              <w:autoSpaceDE w:val="0"/>
              <w:autoSpaceDN w:val="0"/>
              <w:adjustRightInd w:val="0"/>
              <w:snapToGrid/>
              <w:spacing w:line="400" w:lineRule="exact"/>
              <w:ind w:firstLine="0"/>
              <w:jc w:val="center"/>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备注</w:t>
            </w:r>
          </w:p>
        </w:tc>
      </w:tr>
      <w:tr w14:paraId="30D50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231" w:type="pct"/>
            <w:tcBorders>
              <w:top w:val="single" w:color="auto" w:sz="4" w:space="0"/>
              <w:left w:val="single" w:color="auto" w:sz="4" w:space="0"/>
              <w:bottom w:val="single" w:color="auto" w:sz="4" w:space="0"/>
              <w:right w:val="single" w:color="auto" w:sz="4" w:space="0"/>
            </w:tcBorders>
            <w:vAlign w:val="center"/>
          </w:tcPr>
          <w:p w14:paraId="715F87E0">
            <w:pPr>
              <w:autoSpaceDE w:val="0"/>
              <w:autoSpaceDN w:val="0"/>
              <w:adjustRightInd w:val="0"/>
              <w:snapToGrid/>
              <w:spacing w:line="400" w:lineRule="exact"/>
              <w:jc w:val="center"/>
              <w:outlineLvl w:val="9"/>
              <w:rPr>
                <w:rFonts w:hint="eastAsia" w:ascii="宋体" w:hAnsi="宋体" w:eastAsia="宋体" w:cs="宋体"/>
                <w:color w:val="auto"/>
                <w:kern w:val="0"/>
                <w:szCs w:val="21"/>
                <w:highlight w:val="none"/>
                <w:lang w:val="en-US" w:eastAsia="zh-CN"/>
              </w:rPr>
            </w:pPr>
            <w:r>
              <w:rPr>
                <w:rFonts w:hint="eastAsia" w:cs="宋体"/>
                <w:color w:val="auto"/>
                <w:kern w:val="0"/>
                <w:szCs w:val="21"/>
                <w:highlight w:val="none"/>
                <w:lang w:val="en-US" w:eastAsia="zh-CN"/>
              </w:rPr>
              <w:t>1</w:t>
            </w:r>
          </w:p>
        </w:tc>
        <w:tc>
          <w:tcPr>
            <w:tcW w:w="838" w:type="pct"/>
            <w:tcBorders>
              <w:top w:val="single" w:color="auto" w:sz="4" w:space="0"/>
              <w:left w:val="single" w:color="auto" w:sz="4" w:space="0"/>
              <w:bottom w:val="single" w:color="auto" w:sz="4" w:space="0"/>
              <w:right w:val="single" w:color="auto" w:sz="4" w:space="0"/>
            </w:tcBorders>
            <w:vAlign w:val="center"/>
          </w:tcPr>
          <w:p w14:paraId="157B9991">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法兰闸阀</w:t>
            </w:r>
          </w:p>
        </w:tc>
        <w:tc>
          <w:tcPr>
            <w:tcW w:w="346" w:type="pct"/>
            <w:tcBorders>
              <w:top w:val="single" w:color="auto" w:sz="4" w:space="0"/>
              <w:left w:val="single" w:color="auto" w:sz="4" w:space="0"/>
              <w:bottom w:val="single" w:color="auto" w:sz="4" w:space="0"/>
              <w:right w:val="single" w:color="auto" w:sz="4" w:space="0"/>
            </w:tcBorders>
            <w:vAlign w:val="center"/>
          </w:tcPr>
          <w:p w14:paraId="403B3E4E">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395" w:type="pct"/>
            <w:tcBorders>
              <w:top w:val="single" w:color="auto" w:sz="4" w:space="0"/>
              <w:left w:val="single" w:color="auto" w:sz="4" w:space="0"/>
              <w:bottom w:val="single" w:color="auto" w:sz="4" w:space="0"/>
              <w:right w:val="single" w:color="auto" w:sz="4" w:space="0"/>
            </w:tcBorders>
            <w:vAlign w:val="center"/>
          </w:tcPr>
          <w:p w14:paraId="6EC9F0DE">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669" w:type="pct"/>
            <w:tcBorders>
              <w:top w:val="single" w:color="auto" w:sz="4" w:space="0"/>
              <w:left w:val="single" w:color="auto" w:sz="4" w:space="0"/>
              <w:bottom w:val="single" w:color="auto" w:sz="4" w:space="0"/>
              <w:right w:val="single" w:color="auto" w:sz="4" w:space="0"/>
            </w:tcBorders>
            <w:vAlign w:val="center"/>
          </w:tcPr>
          <w:p w14:paraId="12B03EFE">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DN50</w:t>
            </w:r>
          </w:p>
        </w:tc>
        <w:tc>
          <w:tcPr>
            <w:tcW w:w="669" w:type="pct"/>
            <w:tcBorders>
              <w:top w:val="single" w:color="auto" w:sz="4" w:space="0"/>
              <w:left w:val="single" w:color="auto" w:sz="4" w:space="0"/>
              <w:bottom w:val="single" w:color="auto" w:sz="4" w:space="0"/>
              <w:right w:val="single" w:color="auto" w:sz="4" w:space="0"/>
            </w:tcBorders>
            <w:vAlign w:val="center"/>
          </w:tcPr>
          <w:p w14:paraId="6AE231D7">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330" w:type="pct"/>
            <w:tcBorders>
              <w:top w:val="single" w:color="auto" w:sz="4" w:space="0"/>
              <w:left w:val="single" w:color="auto" w:sz="4" w:space="0"/>
              <w:bottom w:val="single" w:color="auto" w:sz="4" w:space="0"/>
              <w:right w:val="single" w:color="auto" w:sz="4" w:space="0"/>
            </w:tcBorders>
            <w:vAlign w:val="center"/>
          </w:tcPr>
          <w:p w14:paraId="43ADEE39">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370" w:type="pct"/>
            <w:tcBorders>
              <w:top w:val="single" w:color="auto" w:sz="4" w:space="0"/>
              <w:left w:val="single" w:color="auto" w:sz="4" w:space="0"/>
              <w:bottom w:val="single" w:color="auto" w:sz="4" w:space="0"/>
              <w:right w:val="single" w:color="auto" w:sz="4" w:space="0"/>
            </w:tcBorders>
            <w:vAlign w:val="center"/>
          </w:tcPr>
          <w:p w14:paraId="65637C46">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80</w:t>
            </w:r>
          </w:p>
        </w:tc>
        <w:tc>
          <w:tcPr>
            <w:tcW w:w="322" w:type="pct"/>
            <w:tcBorders>
              <w:top w:val="single" w:color="auto" w:sz="4" w:space="0"/>
              <w:left w:val="single" w:color="auto" w:sz="4" w:space="0"/>
              <w:bottom w:val="single" w:color="auto" w:sz="4" w:space="0"/>
              <w:right w:val="single" w:color="auto" w:sz="4" w:space="0"/>
            </w:tcBorders>
          </w:tcPr>
          <w:p w14:paraId="07F49B14">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564" w:type="pct"/>
            <w:tcBorders>
              <w:top w:val="single" w:color="auto" w:sz="4" w:space="0"/>
              <w:left w:val="single" w:color="auto" w:sz="4" w:space="0"/>
              <w:bottom w:val="single" w:color="auto" w:sz="4" w:space="0"/>
              <w:right w:val="single" w:color="auto" w:sz="4" w:space="0"/>
            </w:tcBorders>
          </w:tcPr>
          <w:p w14:paraId="68FBC957">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261" w:type="pct"/>
            <w:tcBorders>
              <w:top w:val="single" w:color="auto" w:sz="4" w:space="0"/>
              <w:left w:val="single" w:color="auto" w:sz="4" w:space="0"/>
              <w:bottom w:val="single" w:color="auto" w:sz="4" w:space="0"/>
              <w:right w:val="single" w:color="auto" w:sz="4" w:space="0"/>
            </w:tcBorders>
            <w:vAlign w:val="center"/>
          </w:tcPr>
          <w:p w14:paraId="14CAA77A">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r>
      <w:tr w14:paraId="1A487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231" w:type="pct"/>
            <w:tcBorders>
              <w:top w:val="single" w:color="auto" w:sz="4" w:space="0"/>
              <w:left w:val="single" w:color="auto" w:sz="4" w:space="0"/>
              <w:bottom w:val="single" w:color="auto" w:sz="4" w:space="0"/>
              <w:right w:val="single" w:color="auto" w:sz="4" w:space="0"/>
            </w:tcBorders>
            <w:vAlign w:val="center"/>
          </w:tcPr>
          <w:p w14:paraId="28302FC5">
            <w:pPr>
              <w:autoSpaceDE w:val="0"/>
              <w:autoSpaceDN w:val="0"/>
              <w:adjustRightInd w:val="0"/>
              <w:snapToGrid/>
              <w:spacing w:line="400" w:lineRule="exact"/>
              <w:jc w:val="center"/>
              <w:outlineLvl w:val="9"/>
              <w:rPr>
                <w:rFonts w:hint="eastAsia" w:ascii="宋体" w:hAnsi="宋体" w:eastAsia="宋体" w:cs="宋体"/>
                <w:color w:val="auto"/>
                <w:kern w:val="0"/>
                <w:szCs w:val="21"/>
                <w:highlight w:val="none"/>
                <w:lang w:val="en-US" w:eastAsia="zh-CN"/>
              </w:rPr>
            </w:pPr>
            <w:r>
              <w:rPr>
                <w:rFonts w:hint="eastAsia" w:cs="宋体"/>
                <w:color w:val="auto"/>
                <w:kern w:val="0"/>
                <w:szCs w:val="21"/>
                <w:highlight w:val="none"/>
                <w:lang w:val="en-US" w:eastAsia="zh-CN"/>
              </w:rPr>
              <w:t>2</w:t>
            </w:r>
          </w:p>
        </w:tc>
        <w:tc>
          <w:tcPr>
            <w:tcW w:w="838" w:type="pct"/>
            <w:tcBorders>
              <w:top w:val="single" w:color="auto" w:sz="4" w:space="0"/>
              <w:left w:val="single" w:color="auto" w:sz="4" w:space="0"/>
              <w:bottom w:val="single" w:color="auto" w:sz="4" w:space="0"/>
              <w:right w:val="single" w:color="auto" w:sz="4" w:space="0"/>
            </w:tcBorders>
            <w:vAlign w:val="center"/>
          </w:tcPr>
          <w:p w14:paraId="3BCDAFDC">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法兰闸阀</w:t>
            </w:r>
          </w:p>
        </w:tc>
        <w:tc>
          <w:tcPr>
            <w:tcW w:w="346" w:type="pct"/>
            <w:tcBorders>
              <w:top w:val="single" w:color="auto" w:sz="4" w:space="0"/>
              <w:left w:val="single" w:color="auto" w:sz="4" w:space="0"/>
              <w:bottom w:val="single" w:color="auto" w:sz="4" w:space="0"/>
              <w:right w:val="single" w:color="auto" w:sz="4" w:space="0"/>
            </w:tcBorders>
            <w:vAlign w:val="center"/>
          </w:tcPr>
          <w:p w14:paraId="7D49C5BF">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395" w:type="pct"/>
            <w:tcBorders>
              <w:top w:val="single" w:color="auto" w:sz="4" w:space="0"/>
              <w:left w:val="single" w:color="auto" w:sz="4" w:space="0"/>
              <w:bottom w:val="single" w:color="auto" w:sz="4" w:space="0"/>
              <w:right w:val="single" w:color="auto" w:sz="4" w:space="0"/>
            </w:tcBorders>
            <w:vAlign w:val="center"/>
          </w:tcPr>
          <w:p w14:paraId="327C7773">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669" w:type="pct"/>
            <w:tcBorders>
              <w:top w:val="single" w:color="auto" w:sz="4" w:space="0"/>
              <w:left w:val="single" w:color="auto" w:sz="4" w:space="0"/>
              <w:bottom w:val="single" w:color="auto" w:sz="4" w:space="0"/>
              <w:right w:val="single" w:color="auto" w:sz="4" w:space="0"/>
            </w:tcBorders>
            <w:vAlign w:val="center"/>
          </w:tcPr>
          <w:p w14:paraId="15E7209E">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DN65</w:t>
            </w:r>
          </w:p>
        </w:tc>
        <w:tc>
          <w:tcPr>
            <w:tcW w:w="669" w:type="pct"/>
            <w:tcBorders>
              <w:top w:val="single" w:color="auto" w:sz="4" w:space="0"/>
              <w:left w:val="single" w:color="auto" w:sz="4" w:space="0"/>
              <w:bottom w:val="single" w:color="auto" w:sz="4" w:space="0"/>
              <w:right w:val="single" w:color="auto" w:sz="4" w:space="0"/>
            </w:tcBorders>
            <w:vAlign w:val="center"/>
          </w:tcPr>
          <w:p w14:paraId="6ED32E56">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330" w:type="pct"/>
            <w:tcBorders>
              <w:top w:val="single" w:color="auto" w:sz="4" w:space="0"/>
              <w:left w:val="single" w:color="auto" w:sz="4" w:space="0"/>
              <w:bottom w:val="single" w:color="auto" w:sz="4" w:space="0"/>
              <w:right w:val="single" w:color="auto" w:sz="4" w:space="0"/>
            </w:tcBorders>
            <w:vAlign w:val="center"/>
          </w:tcPr>
          <w:p w14:paraId="00B530D4">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370" w:type="pct"/>
            <w:tcBorders>
              <w:top w:val="single" w:color="auto" w:sz="4" w:space="0"/>
              <w:left w:val="single" w:color="auto" w:sz="4" w:space="0"/>
              <w:bottom w:val="single" w:color="auto" w:sz="4" w:space="0"/>
              <w:right w:val="single" w:color="auto" w:sz="4" w:space="0"/>
            </w:tcBorders>
            <w:vAlign w:val="center"/>
          </w:tcPr>
          <w:p w14:paraId="3ED85C24">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10</w:t>
            </w:r>
          </w:p>
        </w:tc>
        <w:tc>
          <w:tcPr>
            <w:tcW w:w="322" w:type="pct"/>
            <w:tcBorders>
              <w:top w:val="single" w:color="auto" w:sz="4" w:space="0"/>
              <w:left w:val="single" w:color="auto" w:sz="4" w:space="0"/>
              <w:bottom w:val="single" w:color="auto" w:sz="4" w:space="0"/>
              <w:right w:val="single" w:color="auto" w:sz="4" w:space="0"/>
            </w:tcBorders>
          </w:tcPr>
          <w:p w14:paraId="0E8115E1">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564" w:type="pct"/>
            <w:tcBorders>
              <w:top w:val="single" w:color="auto" w:sz="4" w:space="0"/>
              <w:left w:val="single" w:color="auto" w:sz="4" w:space="0"/>
              <w:bottom w:val="single" w:color="auto" w:sz="4" w:space="0"/>
              <w:right w:val="single" w:color="auto" w:sz="4" w:space="0"/>
            </w:tcBorders>
          </w:tcPr>
          <w:p w14:paraId="7CDDC3D0">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261" w:type="pct"/>
            <w:tcBorders>
              <w:top w:val="single" w:color="auto" w:sz="4" w:space="0"/>
              <w:left w:val="single" w:color="auto" w:sz="4" w:space="0"/>
              <w:bottom w:val="single" w:color="auto" w:sz="4" w:space="0"/>
              <w:right w:val="single" w:color="auto" w:sz="4" w:space="0"/>
            </w:tcBorders>
            <w:vAlign w:val="center"/>
          </w:tcPr>
          <w:p w14:paraId="0D9A4971">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r>
      <w:tr w14:paraId="7ED35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231" w:type="pct"/>
            <w:tcBorders>
              <w:top w:val="single" w:color="auto" w:sz="4" w:space="0"/>
              <w:left w:val="single" w:color="auto" w:sz="4" w:space="0"/>
              <w:bottom w:val="single" w:color="auto" w:sz="4" w:space="0"/>
              <w:right w:val="single" w:color="auto" w:sz="4" w:space="0"/>
            </w:tcBorders>
            <w:vAlign w:val="center"/>
          </w:tcPr>
          <w:p w14:paraId="2C70918E">
            <w:pPr>
              <w:autoSpaceDE w:val="0"/>
              <w:autoSpaceDN w:val="0"/>
              <w:adjustRightInd w:val="0"/>
              <w:snapToGrid/>
              <w:spacing w:line="400" w:lineRule="exact"/>
              <w:jc w:val="center"/>
              <w:outlineLvl w:val="9"/>
              <w:rPr>
                <w:rFonts w:hint="eastAsia" w:ascii="宋体" w:hAnsi="宋体" w:eastAsia="宋体" w:cs="宋体"/>
                <w:color w:val="auto"/>
                <w:kern w:val="0"/>
                <w:szCs w:val="21"/>
                <w:highlight w:val="none"/>
                <w:lang w:val="en-US" w:eastAsia="zh-CN"/>
              </w:rPr>
            </w:pPr>
            <w:r>
              <w:rPr>
                <w:rFonts w:hint="eastAsia" w:cs="宋体"/>
                <w:color w:val="auto"/>
                <w:kern w:val="0"/>
                <w:szCs w:val="21"/>
                <w:highlight w:val="none"/>
                <w:lang w:val="en-US" w:eastAsia="zh-CN"/>
              </w:rPr>
              <w:t>3</w:t>
            </w:r>
          </w:p>
        </w:tc>
        <w:tc>
          <w:tcPr>
            <w:tcW w:w="838" w:type="pct"/>
            <w:tcBorders>
              <w:top w:val="single" w:color="auto" w:sz="4" w:space="0"/>
              <w:left w:val="single" w:color="auto" w:sz="4" w:space="0"/>
              <w:bottom w:val="single" w:color="auto" w:sz="4" w:space="0"/>
              <w:right w:val="single" w:color="auto" w:sz="4" w:space="0"/>
            </w:tcBorders>
            <w:vAlign w:val="center"/>
          </w:tcPr>
          <w:p w14:paraId="0A0DE253">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法兰闸阀</w:t>
            </w:r>
          </w:p>
        </w:tc>
        <w:tc>
          <w:tcPr>
            <w:tcW w:w="346" w:type="pct"/>
            <w:tcBorders>
              <w:top w:val="single" w:color="auto" w:sz="4" w:space="0"/>
              <w:left w:val="single" w:color="auto" w:sz="4" w:space="0"/>
              <w:bottom w:val="single" w:color="auto" w:sz="4" w:space="0"/>
              <w:right w:val="single" w:color="auto" w:sz="4" w:space="0"/>
            </w:tcBorders>
            <w:vAlign w:val="center"/>
          </w:tcPr>
          <w:p w14:paraId="137E651A">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395" w:type="pct"/>
            <w:tcBorders>
              <w:top w:val="single" w:color="auto" w:sz="4" w:space="0"/>
              <w:left w:val="single" w:color="auto" w:sz="4" w:space="0"/>
              <w:bottom w:val="single" w:color="auto" w:sz="4" w:space="0"/>
              <w:right w:val="single" w:color="auto" w:sz="4" w:space="0"/>
            </w:tcBorders>
            <w:vAlign w:val="center"/>
          </w:tcPr>
          <w:p w14:paraId="27547414">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669" w:type="pct"/>
            <w:tcBorders>
              <w:top w:val="single" w:color="auto" w:sz="4" w:space="0"/>
              <w:left w:val="single" w:color="auto" w:sz="4" w:space="0"/>
              <w:bottom w:val="single" w:color="auto" w:sz="4" w:space="0"/>
              <w:right w:val="single" w:color="auto" w:sz="4" w:space="0"/>
            </w:tcBorders>
            <w:vAlign w:val="center"/>
          </w:tcPr>
          <w:p w14:paraId="57AA6F28">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DN80</w:t>
            </w:r>
          </w:p>
        </w:tc>
        <w:tc>
          <w:tcPr>
            <w:tcW w:w="669" w:type="pct"/>
            <w:tcBorders>
              <w:top w:val="single" w:color="auto" w:sz="4" w:space="0"/>
              <w:left w:val="single" w:color="auto" w:sz="4" w:space="0"/>
              <w:bottom w:val="single" w:color="auto" w:sz="4" w:space="0"/>
              <w:right w:val="single" w:color="auto" w:sz="4" w:space="0"/>
            </w:tcBorders>
            <w:vAlign w:val="center"/>
          </w:tcPr>
          <w:p w14:paraId="60702E20">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330" w:type="pct"/>
            <w:tcBorders>
              <w:top w:val="single" w:color="auto" w:sz="4" w:space="0"/>
              <w:left w:val="single" w:color="auto" w:sz="4" w:space="0"/>
              <w:bottom w:val="single" w:color="auto" w:sz="4" w:space="0"/>
              <w:right w:val="single" w:color="auto" w:sz="4" w:space="0"/>
            </w:tcBorders>
            <w:vAlign w:val="center"/>
          </w:tcPr>
          <w:p w14:paraId="3DED2742">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370" w:type="pct"/>
            <w:tcBorders>
              <w:top w:val="single" w:color="auto" w:sz="4" w:space="0"/>
              <w:left w:val="single" w:color="auto" w:sz="4" w:space="0"/>
              <w:bottom w:val="single" w:color="auto" w:sz="4" w:space="0"/>
              <w:right w:val="single" w:color="auto" w:sz="4" w:space="0"/>
            </w:tcBorders>
            <w:vAlign w:val="center"/>
          </w:tcPr>
          <w:p w14:paraId="50D21EC3">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421</w:t>
            </w:r>
          </w:p>
        </w:tc>
        <w:tc>
          <w:tcPr>
            <w:tcW w:w="322" w:type="pct"/>
            <w:tcBorders>
              <w:top w:val="single" w:color="auto" w:sz="4" w:space="0"/>
              <w:left w:val="single" w:color="auto" w:sz="4" w:space="0"/>
              <w:bottom w:val="single" w:color="auto" w:sz="4" w:space="0"/>
              <w:right w:val="single" w:color="auto" w:sz="4" w:space="0"/>
            </w:tcBorders>
          </w:tcPr>
          <w:p w14:paraId="49310B5D">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564" w:type="pct"/>
            <w:tcBorders>
              <w:top w:val="single" w:color="auto" w:sz="4" w:space="0"/>
              <w:left w:val="single" w:color="auto" w:sz="4" w:space="0"/>
              <w:bottom w:val="single" w:color="auto" w:sz="4" w:space="0"/>
              <w:right w:val="single" w:color="auto" w:sz="4" w:space="0"/>
            </w:tcBorders>
          </w:tcPr>
          <w:p w14:paraId="6EB9A854">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261" w:type="pct"/>
            <w:tcBorders>
              <w:top w:val="single" w:color="auto" w:sz="4" w:space="0"/>
              <w:left w:val="single" w:color="auto" w:sz="4" w:space="0"/>
              <w:bottom w:val="single" w:color="auto" w:sz="4" w:space="0"/>
              <w:right w:val="single" w:color="auto" w:sz="4" w:space="0"/>
            </w:tcBorders>
            <w:vAlign w:val="center"/>
          </w:tcPr>
          <w:p w14:paraId="73F88728">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r>
      <w:tr w14:paraId="7DF09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231" w:type="pct"/>
            <w:tcBorders>
              <w:top w:val="single" w:color="auto" w:sz="4" w:space="0"/>
              <w:left w:val="single" w:color="auto" w:sz="4" w:space="0"/>
              <w:bottom w:val="single" w:color="auto" w:sz="4" w:space="0"/>
              <w:right w:val="single" w:color="auto" w:sz="4" w:space="0"/>
            </w:tcBorders>
            <w:vAlign w:val="center"/>
          </w:tcPr>
          <w:p w14:paraId="2F661C9D">
            <w:pPr>
              <w:autoSpaceDE w:val="0"/>
              <w:autoSpaceDN w:val="0"/>
              <w:adjustRightInd w:val="0"/>
              <w:snapToGrid/>
              <w:spacing w:line="400" w:lineRule="exact"/>
              <w:jc w:val="center"/>
              <w:outlineLvl w:val="9"/>
              <w:rPr>
                <w:rFonts w:hint="eastAsia" w:ascii="宋体" w:hAnsi="宋体" w:eastAsia="宋体" w:cs="宋体"/>
                <w:color w:val="auto"/>
                <w:kern w:val="0"/>
                <w:szCs w:val="21"/>
                <w:highlight w:val="none"/>
                <w:lang w:eastAsia="zh-CN"/>
              </w:rPr>
            </w:pPr>
            <w:r>
              <w:rPr>
                <w:rFonts w:hint="eastAsia" w:cs="宋体"/>
                <w:color w:val="auto"/>
                <w:kern w:val="0"/>
                <w:szCs w:val="21"/>
                <w:highlight w:val="none"/>
                <w:lang w:val="en-US" w:eastAsia="zh-CN"/>
              </w:rPr>
              <w:t>4</w:t>
            </w:r>
          </w:p>
        </w:tc>
        <w:tc>
          <w:tcPr>
            <w:tcW w:w="838" w:type="pct"/>
            <w:tcBorders>
              <w:top w:val="single" w:color="auto" w:sz="4" w:space="0"/>
              <w:left w:val="single" w:color="auto" w:sz="4" w:space="0"/>
              <w:bottom w:val="single" w:color="auto" w:sz="4" w:space="0"/>
              <w:right w:val="single" w:color="auto" w:sz="4" w:space="0"/>
            </w:tcBorders>
            <w:vAlign w:val="center"/>
          </w:tcPr>
          <w:p w14:paraId="252DB79F">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color w:val="auto"/>
                <w:kern w:val="0"/>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法兰闸阀</w:t>
            </w:r>
          </w:p>
        </w:tc>
        <w:tc>
          <w:tcPr>
            <w:tcW w:w="346" w:type="pct"/>
            <w:tcBorders>
              <w:top w:val="single" w:color="auto" w:sz="4" w:space="0"/>
              <w:left w:val="single" w:color="auto" w:sz="4" w:space="0"/>
              <w:bottom w:val="single" w:color="auto" w:sz="4" w:space="0"/>
              <w:right w:val="single" w:color="auto" w:sz="4" w:space="0"/>
            </w:tcBorders>
            <w:vAlign w:val="center"/>
          </w:tcPr>
          <w:p w14:paraId="54239F3B">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395" w:type="pct"/>
            <w:tcBorders>
              <w:top w:val="single" w:color="auto" w:sz="4" w:space="0"/>
              <w:left w:val="single" w:color="auto" w:sz="4" w:space="0"/>
              <w:bottom w:val="single" w:color="auto" w:sz="4" w:space="0"/>
              <w:right w:val="single" w:color="auto" w:sz="4" w:space="0"/>
            </w:tcBorders>
            <w:vAlign w:val="center"/>
          </w:tcPr>
          <w:p w14:paraId="79FEBFB1">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669" w:type="pct"/>
            <w:tcBorders>
              <w:top w:val="single" w:color="auto" w:sz="4" w:space="0"/>
              <w:left w:val="single" w:color="auto" w:sz="4" w:space="0"/>
              <w:bottom w:val="single" w:color="auto" w:sz="4" w:space="0"/>
              <w:right w:val="single" w:color="auto" w:sz="4" w:space="0"/>
            </w:tcBorders>
            <w:vAlign w:val="center"/>
          </w:tcPr>
          <w:p w14:paraId="37C9B915">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color w:val="auto"/>
                <w:kern w:val="0"/>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DN100</w:t>
            </w:r>
          </w:p>
        </w:tc>
        <w:tc>
          <w:tcPr>
            <w:tcW w:w="669" w:type="pct"/>
            <w:tcBorders>
              <w:top w:val="single" w:color="auto" w:sz="4" w:space="0"/>
              <w:left w:val="single" w:color="auto" w:sz="4" w:space="0"/>
              <w:bottom w:val="single" w:color="auto" w:sz="4" w:space="0"/>
              <w:right w:val="single" w:color="auto" w:sz="4" w:space="0"/>
            </w:tcBorders>
            <w:vAlign w:val="center"/>
          </w:tcPr>
          <w:p w14:paraId="4C853BA5">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color w:val="auto"/>
                <w:kern w:val="0"/>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330" w:type="pct"/>
            <w:tcBorders>
              <w:top w:val="single" w:color="auto" w:sz="4" w:space="0"/>
              <w:left w:val="single" w:color="auto" w:sz="4" w:space="0"/>
              <w:bottom w:val="single" w:color="auto" w:sz="4" w:space="0"/>
              <w:right w:val="single" w:color="auto" w:sz="4" w:space="0"/>
            </w:tcBorders>
            <w:vAlign w:val="center"/>
          </w:tcPr>
          <w:p w14:paraId="13090FD4">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color w:val="auto"/>
                <w:kern w:val="0"/>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370" w:type="pct"/>
            <w:tcBorders>
              <w:top w:val="single" w:color="auto" w:sz="4" w:space="0"/>
              <w:left w:val="single" w:color="auto" w:sz="4" w:space="0"/>
              <w:bottom w:val="single" w:color="auto" w:sz="4" w:space="0"/>
              <w:right w:val="single" w:color="auto" w:sz="4" w:space="0"/>
            </w:tcBorders>
            <w:vAlign w:val="center"/>
          </w:tcPr>
          <w:p w14:paraId="278D2206">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color w:val="auto"/>
                <w:kern w:val="0"/>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1049</w:t>
            </w:r>
          </w:p>
        </w:tc>
        <w:tc>
          <w:tcPr>
            <w:tcW w:w="322" w:type="pct"/>
            <w:tcBorders>
              <w:top w:val="single" w:color="auto" w:sz="4" w:space="0"/>
              <w:left w:val="single" w:color="auto" w:sz="4" w:space="0"/>
              <w:bottom w:val="single" w:color="auto" w:sz="4" w:space="0"/>
              <w:right w:val="single" w:color="auto" w:sz="4" w:space="0"/>
            </w:tcBorders>
          </w:tcPr>
          <w:p w14:paraId="5D84868C">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564" w:type="pct"/>
            <w:tcBorders>
              <w:top w:val="single" w:color="auto" w:sz="4" w:space="0"/>
              <w:left w:val="single" w:color="auto" w:sz="4" w:space="0"/>
              <w:bottom w:val="single" w:color="auto" w:sz="4" w:space="0"/>
              <w:right w:val="single" w:color="auto" w:sz="4" w:space="0"/>
            </w:tcBorders>
          </w:tcPr>
          <w:p w14:paraId="4EC1962E">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261" w:type="pct"/>
            <w:tcBorders>
              <w:top w:val="single" w:color="auto" w:sz="4" w:space="0"/>
              <w:left w:val="single" w:color="auto" w:sz="4" w:space="0"/>
              <w:bottom w:val="single" w:color="auto" w:sz="4" w:space="0"/>
              <w:right w:val="single" w:color="auto" w:sz="4" w:space="0"/>
            </w:tcBorders>
            <w:vAlign w:val="center"/>
          </w:tcPr>
          <w:p w14:paraId="421CEDD3">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r>
      <w:tr w14:paraId="61D9A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231" w:type="pct"/>
            <w:tcBorders>
              <w:top w:val="single" w:color="auto" w:sz="4" w:space="0"/>
              <w:left w:val="single" w:color="auto" w:sz="4" w:space="0"/>
              <w:bottom w:val="single" w:color="auto" w:sz="4" w:space="0"/>
              <w:right w:val="single" w:color="auto" w:sz="4" w:space="0"/>
            </w:tcBorders>
            <w:vAlign w:val="center"/>
          </w:tcPr>
          <w:p w14:paraId="404ABAAC">
            <w:pPr>
              <w:autoSpaceDE w:val="0"/>
              <w:autoSpaceDN w:val="0"/>
              <w:adjustRightInd w:val="0"/>
              <w:snapToGrid/>
              <w:spacing w:line="400" w:lineRule="exact"/>
              <w:jc w:val="center"/>
              <w:outlineLvl w:val="9"/>
              <w:rPr>
                <w:rFonts w:hint="eastAsia" w:ascii="宋体" w:hAnsi="宋体" w:eastAsia="宋体" w:cs="宋体"/>
                <w:color w:val="auto"/>
                <w:kern w:val="0"/>
                <w:szCs w:val="21"/>
                <w:highlight w:val="none"/>
                <w:lang w:val="en-US" w:eastAsia="zh-CN"/>
              </w:rPr>
            </w:pPr>
            <w:r>
              <w:rPr>
                <w:rFonts w:hint="eastAsia" w:cs="宋体"/>
                <w:color w:val="auto"/>
                <w:kern w:val="0"/>
                <w:szCs w:val="21"/>
                <w:highlight w:val="none"/>
                <w:lang w:val="en-US" w:eastAsia="zh-CN"/>
              </w:rPr>
              <w:t>5</w:t>
            </w:r>
          </w:p>
        </w:tc>
        <w:tc>
          <w:tcPr>
            <w:tcW w:w="838" w:type="pct"/>
            <w:tcBorders>
              <w:top w:val="single" w:color="auto" w:sz="4" w:space="0"/>
              <w:left w:val="single" w:color="auto" w:sz="4" w:space="0"/>
              <w:bottom w:val="single" w:color="auto" w:sz="4" w:space="0"/>
              <w:right w:val="single" w:color="auto" w:sz="4" w:space="0"/>
            </w:tcBorders>
            <w:vAlign w:val="center"/>
          </w:tcPr>
          <w:p w14:paraId="30A48442">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color w:val="auto"/>
                <w:kern w:val="0"/>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法兰闸阀</w:t>
            </w:r>
          </w:p>
        </w:tc>
        <w:tc>
          <w:tcPr>
            <w:tcW w:w="346" w:type="pct"/>
            <w:tcBorders>
              <w:top w:val="single" w:color="auto" w:sz="4" w:space="0"/>
              <w:left w:val="single" w:color="auto" w:sz="4" w:space="0"/>
              <w:bottom w:val="single" w:color="auto" w:sz="4" w:space="0"/>
              <w:right w:val="single" w:color="auto" w:sz="4" w:space="0"/>
            </w:tcBorders>
            <w:vAlign w:val="center"/>
          </w:tcPr>
          <w:p w14:paraId="2C790CF5">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395" w:type="pct"/>
            <w:tcBorders>
              <w:top w:val="single" w:color="auto" w:sz="4" w:space="0"/>
              <w:left w:val="single" w:color="auto" w:sz="4" w:space="0"/>
              <w:bottom w:val="single" w:color="auto" w:sz="4" w:space="0"/>
              <w:right w:val="single" w:color="auto" w:sz="4" w:space="0"/>
            </w:tcBorders>
            <w:vAlign w:val="center"/>
          </w:tcPr>
          <w:p w14:paraId="44C56B21">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669" w:type="pct"/>
            <w:tcBorders>
              <w:top w:val="single" w:color="auto" w:sz="4" w:space="0"/>
              <w:left w:val="single" w:color="auto" w:sz="4" w:space="0"/>
              <w:bottom w:val="single" w:color="auto" w:sz="4" w:space="0"/>
              <w:right w:val="single" w:color="auto" w:sz="4" w:space="0"/>
            </w:tcBorders>
            <w:vAlign w:val="center"/>
          </w:tcPr>
          <w:p w14:paraId="40012560">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color w:val="auto"/>
                <w:kern w:val="0"/>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DN125</w:t>
            </w:r>
          </w:p>
        </w:tc>
        <w:tc>
          <w:tcPr>
            <w:tcW w:w="669" w:type="pct"/>
            <w:tcBorders>
              <w:top w:val="single" w:color="auto" w:sz="4" w:space="0"/>
              <w:left w:val="single" w:color="auto" w:sz="4" w:space="0"/>
              <w:bottom w:val="single" w:color="auto" w:sz="4" w:space="0"/>
              <w:right w:val="single" w:color="auto" w:sz="4" w:space="0"/>
            </w:tcBorders>
            <w:vAlign w:val="center"/>
          </w:tcPr>
          <w:p w14:paraId="42D07324">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color w:val="auto"/>
                <w:kern w:val="0"/>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330" w:type="pct"/>
            <w:tcBorders>
              <w:top w:val="single" w:color="auto" w:sz="4" w:space="0"/>
              <w:left w:val="single" w:color="auto" w:sz="4" w:space="0"/>
              <w:bottom w:val="single" w:color="auto" w:sz="4" w:space="0"/>
              <w:right w:val="single" w:color="auto" w:sz="4" w:space="0"/>
            </w:tcBorders>
            <w:vAlign w:val="center"/>
          </w:tcPr>
          <w:p w14:paraId="6AC75D82">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color w:val="auto"/>
                <w:kern w:val="0"/>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370" w:type="pct"/>
            <w:tcBorders>
              <w:top w:val="single" w:color="auto" w:sz="4" w:space="0"/>
              <w:left w:val="single" w:color="auto" w:sz="4" w:space="0"/>
              <w:bottom w:val="single" w:color="auto" w:sz="4" w:space="0"/>
              <w:right w:val="single" w:color="auto" w:sz="4" w:space="0"/>
            </w:tcBorders>
            <w:vAlign w:val="center"/>
          </w:tcPr>
          <w:p w14:paraId="33FA15AE">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color w:val="auto"/>
                <w:kern w:val="0"/>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3</w:t>
            </w:r>
          </w:p>
        </w:tc>
        <w:tc>
          <w:tcPr>
            <w:tcW w:w="322" w:type="pct"/>
            <w:tcBorders>
              <w:top w:val="single" w:color="auto" w:sz="4" w:space="0"/>
              <w:left w:val="single" w:color="auto" w:sz="4" w:space="0"/>
              <w:bottom w:val="single" w:color="auto" w:sz="4" w:space="0"/>
              <w:right w:val="single" w:color="auto" w:sz="4" w:space="0"/>
            </w:tcBorders>
          </w:tcPr>
          <w:p w14:paraId="7BB42D25">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564" w:type="pct"/>
            <w:tcBorders>
              <w:top w:val="single" w:color="auto" w:sz="4" w:space="0"/>
              <w:left w:val="single" w:color="auto" w:sz="4" w:space="0"/>
              <w:bottom w:val="single" w:color="auto" w:sz="4" w:space="0"/>
              <w:right w:val="single" w:color="auto" w:sz="4" w:space="0"/>
            </w:tcBorders>
          </w:tcPr>
          <w:p w14:paraId="0841518D">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261" w:type="pct"/>
            <w:tcBorders>
              <w:top w:val="single" w:color="auto" w:sz="4" w:space="0"/>
              <w:left w:val="single" w:color="auto" w:sz="4" w:space="0"/>
              <w:bottom w:val="single" w:color="auto" w:sz="4" w:space="0"/>
              <w:right w:val="single" w:color="auto" w:sz="4" w:space="0"/>
            </w:tcBorders>
            <w:vAlign w:val="center"/>
          </w:tcPr>
          <w:p w14:paraId="0C428126">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r>
      <w:tr w14:paraId="5FEC9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231" w:type="pct"/>
            <w:tcBorders>
              <w:top w:val="single" w:color="auto" w:sz="4" w:space="0"/>
              <w:left w:val="single" w:color="auto" w:sz="4" w:space="0"/>
              <w:bottom w:val="single" w:color="auto" w:sz="4" w:space="0"/>
              <w:right w:val="single" w:color="auto" w:sz="4" w:space="0"/>
            </w:tcBorders>
            <w:vAlign w:val="center"/>
          </w:tcPr>
          <w:p w14:paraId="1D3EB378">
            <w:pPr>
              <w:autoSpaceDE w:val="0"/>
              <w:autoSpaceDN w:val="0"/>
              <w:adjustRightInd w:val="0"/>
              <w:snapToGrid/>
              <w:spacing w:line="400" w:lineRule="exact"/>
              <w:jc w:val="center"/>
              <w:outlineLvl w:val="9"/>
              <w:rPr>
                <w:rFonts w:hint="eastAsia" w:ascii="宋体" w:hAnsi="宋体" w:eastAsia="宋体" w:cs="宋体"/>
                <w:color w:val="auto"/>
                <w:kern w:val="0"/>
                <w:szCs w:val="21"/>
                <w:highlight w:val="none"/>
                <w:lang w:val="en-US" w:eastAsia="zh-CN"/>
              </w:rPr>
            </w:pPr>
            <w:r>
              <w:rPr>
                <w:rFonts w:hint="eastAsia" w:cs="宋体"/>
                <w:color w:val="auto"/>
                <w:kern w:val="0"/>
                <w:szCs w:val="21"/>
                <w:highlight w:val="none"/>
                <w:lang w:val="en-US" w:eastAsia="zh-CN"/>
              </w:rPr>
              <w:t>6</w:t>
            </w:r>
          </w:p>
        </w:tc>
        <w:tc>
          <w:tcPr>
            <w:tcW w:w="838" w:type="pct"/>
            <w:tcBorders>
              <w:top w:val="single" w:color="auto" w:sz="4" w:space="0"/>
              <w:left w:val="single" w:color="auto" w:sz="4" w:space="0"/>
              <w:bottom w:val="single" w:color="auto" w:sz="4" w:space="0"/>
              <w:right w:val="single" w:color="auto" w:sz="4" w:space="0"/>
            </w:tcBorders>
            <w:vAlign w:val="center"/>
          </w:tcPr>
          <w:p w14:paraId="58A4068A">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color w:val="auto"/>
                <w:kern w:val="0"/>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法兰闸阀</w:t>
            </w:r>
          </w:p>
        </w:tc>
        <w:tc>
          <w:tcPr>
            <w:tcW w:w="346" w:type="pct"/>
            <w:tcBorders>
              <w:top w:val="single" w:color="auto" w:sz="4" w:space="0"/>
              <w:left w:val="single" w:color="auto" w:sz="4" w:space="0"/>
              <w:bottom w:val="single" w:color="auto" w:sz="4" w:space="0"/>
              <w:right w:val="single" w:color="auto" w:sz="4" w:space="0"/>
            </w:tcBorders>
            <w:vAlign w:val="center"/>
          </w:tcPr>
          <w:p w14:paraId="3405BF1E">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395" w:type="pct"/>
            <w:tcBorders>
              <w:top w:val="single" w:color="auto" w:sz="4" w:space="0"/>
              <w:left w:val="single" w:color="auto" w:sz="4" w:space="0"/>
              <w:bottom w:val="single" w:color="auto" w:sz="4" w:space="0"/>
              <w:right w:val="single" w:color="auto" w:sz="4" w:space="0"/>
            </w:tcBorders>
            <w:vAlign w:val="center"/>
          </w:tcPr>
          <w:p w14:paraId="6EB5152D">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669" w:type="pct"/>
            <w:tcBorders>
              <w:top w:val="single" w:color="auto" w:sz="4" w:space="0"/>
              <w:left w:val="single" w:color="auto" w:sz="4" w:space="0"/>
              <w:bottom w:val="single" w:color="auto" w:sz="4" w:space="0"/>
              <w:right w:val="single" w:color="auto" w:sz="4" w:space="0"/>
            </w:tcBorders>
            <w:vAlign w:val="center"/>
          </w:tcPr>
          <w:p w14:paraId="080FF50B">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color w:val="auto"/>
                <w:kern w:val="0"/>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DN150</w:t>
            </w:r>
          </w:p>
        </w:tc>
        <w:tc>
          <w:tcPr>
            <w:tcW w:w="669" w:type="pct"/>
            <w:tcBorders>
              <w:top w:val="single" w:color="auto" w:sz="4" w:space="0"/>
              <w:left w:val="single" w:color="auto" w:sz="4" w:space="0"/>
              <w:bottom w:val="single" w:color="auto" w:sz="4" w:space="0"/>
              <w:right w:val="single" w:color="auto" w:sz="4" w:space="0"/>
            </w:tcBorders>
            <w:vAlign w:val="center"/>
          </w:tcPr>
          <w:p w14:paraId="61804E77">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color w:val="auto"/>
                <w:kern w:val="0"/>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330" w:type="pct"/>
            <w:tcBorders>
              <w:top w:val="single" w:color="auto" w:sz="4" w:space="0"/>
              <w:left w:val="single" w:color="auto" w:sz="4" w:space="0"/>
              <w:bottom w:val="single" w:color="auto" w:sz="4" w:space="0"/>
              <w:right w:val="single" w:color="auto" w:sz="4" w:space="0"/>
            </w:tcBorders>
            <w:vAlign w:val="center"/>
          </w:tcPr>
          <w:p w14:paraId="6F08D213">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color w:val="auto"/>
                <w:kern w:val="0"/>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370" w:type="pct"/>
            <w:tcBorders>
              <w:top w:val="single" w:color="auto" w:sz="4" w:space="0"/>
              <w:left w:val="single" w:color="auto" w:sz="4" w:space="0"/>
              <w:bottom w:val="single" w:color="auto" w:sz="4" w:space="0"/>
              <w:right w:val="single" w:color="auto" w:sz="4" w:space="0"/>
            </w:tcBorders>
            <w:vAlign w:val="center"/>
          </w:tcPr>
          <w:p w14:paraId="2F09CA3F">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color w:val="auto"/>
                <w:kern w:val="0"/>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320</w:t>
            </w:r>
          </w:p>
        </w:tc>
        <w:tc>
          <w:tcPr>
            <w:tcW w:w="322" w:type="pct"/>
            <w:tcBorders>
              <w:top w:val="single" w:color="auto" w:sz="4" w:space="0"/>
              <w:left w:val="single" w:color="auto" w:sz="4" w:space="0"/>
              <w:bottom w:val="single" w:color="auto" w:sz="4" w:space="0"/>
              <w:right w:val="single" w:color="auto" w:sz="4" w:space="0"/>
            </w:tcBorders>
          </w:tcPr>
          <w:p w14:paraId="03F6025E">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564" w:type="pct"/>
            <w:tcBorders>
              <w:top w:val="single" w:color="auto" w:sz="4" w:space="0"/>
              <w:left w:val="single" w:color="auto" w:sz="4" w:space="0"/>
              <w:bottom w:val="single" w:color="auto" w:sz="4" w:space="0"/>
              <w:right w:val="single" w:color="auto" w:sz="4" w:space="0"/>
            </w:tcBorders>
          </w:tcPr>
          <w:p w14:paraId="4155F28C">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261" w:type="pct"/>
            <w:tcBorders>
              <w:top w:val="single" w:color="auto" w:sz="4" w:space="0"/>
              <w:left w:val="single" w:color="auto" w:sz="4" w:space="0"/>
              <w:bottom w:val="single" w:color="auto" w:sz="4" w:space="0"/>
              <w:right w:val="single" w:color="auto" w:sz="4" w:space="0"/>
            </w:tcBorders>
            <w:vAlign w:val="center"/>
          </w:tcPr>
          <w:p w14:paraId="13681EF4">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r>
      <w:tr w14:paraId="758FB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231" w:type="pct"/>
            <w:tcBorders>
              <w:top w:val="single" w:color="auto" w:sz="4" w:space="0"/>
              <w:left w:val="single" w:color="auto" w:sz="4" w:space="0"/>
              <w:bottom w:val="single" w:color="auto" w:sz="4" w:space="0"/>
              <w:right w:val="single" w:color="auto" w:sz="4" w:space="0"/>
            </w:tcBorders>
            <w:vAlign w:val="center"/>
          </w:tcPr>
          <w:p w14:paraId="0AE23F25">
            <w:pPr>
              <w:autoSpaceDE w:val="0"/>
              <w:autoSpaceDN w:val="0"/>
              <w:adjustRightInd w:val="0"/>
              <w:snapToGrid/>
              <w:spacing w:line="400" w:lineRule="exact"/>
              <w:jc w:val="center"/>
              <w:outlineLvl w:val="9"/>
              <w:rPr>
                <w:rFonts w:hint="eastAsia" w:ascii="宋体" w:hAnsi="宋体" w:eastAsia="宋体" w:cs="宋体"/>
                <w:color w:val="auto"/>
                <w:kern w:val="0"/>
                <w:szCs w:val="21"/>
                <w:highlight w:val="none"/>
                <w:lang w:val="en-US" w:eastAsia="zh-CN"/>
              </w:rPr>
            </w:pPr>
            <w:r>
              <w:rPr>
                <w:rFonts w:hint="eastAsia" w:cs="宋体"/>
                <w:color w:val="auto"/>
                <w:kern w:val="0"/>
                <w:szCs w:val="21"/>
                <w:highlight w:val="none"/>
                <w:lang w:val="en-US" w:eastAsia="zh-CN"/>
              </w:rPr>
              <w:t>7</w:t>
            </w:r>
          </w:p>
        </w:tc>
        <w:tc>
          <w:tcPr>
            <w:tcW w:w="838" w:type="pct"/>
            <w:tcBorders>
              <w:top w:val="single" w:color="auto" w:sz="4" w:space="0"/>
              <w:left w:val="single" w:color="auto" w:sz="4" w:space="0"/>
              <w:bottom w:val="single" w:color="auto" w:sz="4" w:space="0"/>
              <w:right w:val="single" w:color="auto" w:sz="4" w:space="0"/>
            </w:tcBorders>
            <w:vAlign w:val="center"/>
          </w:tcPr>
          <w:p w14:paraId="4BDD0CD1">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color w:val="auto"/>
                <w:kern w:val="0"/>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法兰闸阀</w:t>
            </w:r>
          </w:p>
        </w:tc>
        <w:tc>
          <w:tcPr>
            <w:tcW w:w="346" w:type="pct"/>
            <w:tcBorders>
              <w:top w:val="single" w:color="auto" w:sz="4" w:space="0"/>
              <w:left w:val="single" w:color="auto" w:sz="4" w:space="0"/>
              <w:bottom w:val="single" w:color="auto" w:sz="4" w:space="0"/>
              <w:right w:val="single" w:color="auto" w:sz="4" w:space="0"/>
            </w:tcBorders>
            <w:vAlign w:val="center"/>
          </w:tcPr>
          <w:p w14:paraId="2A66EA03">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395" w:type="pct"/>
            <w:tcBorders>
              <w:top w:val="single" w:color="auto" w:sz="4" w:space="0"/>
              <w:left w:val="single" w:color="auto" w:sz="4" w:space="0"/>
              <w:bottom w:val="single" w:color="auto" w:sz="4" w:space="0"/>
              <w:right w:val="single" w:color="auto" w:sz="4" w:space="0"/>
            </w:tcBorders>
            <w:vAlign w:val="center"/>
          </w:tcPr>
          <w:p w14:paraId="0C4F4849">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669" w:type="pct"/>
            <w:tcBorders>
              <w:top w:val="single" w:color="auto" w:sz="4" w:space="0"/>
              <w:left w:val="single" w:color="auto" w:sz="4" w:space="0"/>
              <w:bottom w:val="single" w:color="auto" w:sz="4" w:space="0"/>
              <w:right w:val="single" w:color="auto" w:sz="4" w:space="0"/>
            </w:tcBorders>
            <w:vAlign w:val="center"/>
          </w:tcPr>
          <w:p w14:paraId="70FB1906">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color w:val="auto"/>
                <w:kern w:val="0"/>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DN200</w:t>
            </w:r>
          </w:p>
        </w:tc>
        <w:tc>
          <w:tcPr>
            <w:tcW w:w="669" w:type="pct"/>
            <w:tcBorders>
              <w:top w:val="single" w:color="auto" w:sz="4" w:space="0"/>
              <w:left w:val="single" w:color="auto" w:sz="4" w:space="0"/>
              <w:bottom w:val="single" w:color="auto" w:sz="4" w:space="0"/>
              <w:right w:val="single" w:color="auto" w:sz="4" w:space="0"/>
            </w:tcBorders>
            <w:vAlign w:val="center"/>
          </w:tcPr>
          <w:p w14:paraId="375BE8E4">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color w:val="auto"/>
                <w:kern w:val="0"/>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330" w:type="pct"/>
            <w:tcBorders>
              <w:top w:val="single" w:color="auto" w:sz="4" w:space="0"/>
              <w:left w:val="single" w:color="auto" w:sz="4" w:space="0"/>
              <w:bottom w:val="single" w:color="auto" w:sz="4" w:space="0"/>
              <w:right w:val="single" w:color="auto" w:sz="4" w:space="0"/>
            </w:tcBorders>
            <w:vAlign w:val="center"/>
          </w:tcPr>
          <w:p w14:paraId="35A4664E">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color w:val="auto"/>
                <w:kern w:val="0"/>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370" w:type="pct"/>
            <w:tcBorders>
              <w:top w:val="single" w:color="auto" w:sz="4" w:space="0"/>
              <w:left w:val="single" w:color="auto" w:sz="4" w:space="0"/>
              <w:bottom w:val="single" w:color="auto" w:sz="4" w:space="0"/>
              <w:right w:val="single" w:color="auto" w:sz="4" w:space="0"/>
            </w:tcBorders>
            <w:vAlign w:val="center"/>
          </w:tcPr>
          <w:p w14:paraId="6C348903">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color w:val="auto"/>
                <w:kern w:val="0"/>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260</w:t>
            </w:r>
          </w:p>
        </w:tc>
        <w:tc>
          <w:tcPr>
            <w:tcW w:w="322" w:type="pct"/>
            <w:tcBorders>
              <w:top w:val="single" w:color="auto" w:sz="4" w:space="0"/>
              <w:left w:val="single" w:color="auto" w:sz="4" w:space="0"/>
              <w:bottom w:val="single" w:color="auto" w:sz="4" w:space="0"/>
              <w:right w:val="single" w:color="auto" w:sz="4" w:space="0"/>
            </w:tcBorders>
          </w:tcPr>
          <w:p w14:paraId="1945B41F">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564" w:type="pct"/>
            <w:tcBorders>
              <w:top w:val="single" w:color="auto" w:sz="4" w:space="0"/>
              <w:left w:val="single" w:color="auto" w:sz="4" w:space="0"/>
              <w:bottom w:val="single" w:color="auto" w:sz="4" w:space="0"/>
              <w:right w:val="single" w:color="auto" w:sz="4" w:space="0"/>
            </w:tcBorders>
          </w:tcPr>
          <w:p w14:paraId="1B6C4FA5">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261" w:type="pct"/>
            <w:tcBorders>
              <w:top w:val="single" w:color="auto" w:sz="4" w:space="0"/>
              <w:left w:val="single" w:color="auto" w:sz="4" w:space="0"/>
              <w:bottom w:val="single" w:color="auto" w:sz="4" w:space="0"/>
              <w:right w:val="single" w:color="auto" w:sz="4" w:space="0"/>
            </w:tcBorders>
            <w:vAlign w:val="center"/>
          </w:tcPr>
          <w:p w14:paraId="57CFDEA5">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r>
      <w:tr w14:paraId="7C88D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231" w:type="pct"/>
            <w:tcBorders>
              <w:top w:val="single" w:color="auto" w:sz="4" w:space="0"/>
              <w:left w:val="single" w:color="auto" w:sz="4" w:space="0"/>
              <w:bottom w:val="single" w:color="auto" w:sz="4" w:space="0"/>
              <w:right w:val="single" w:color="auto" w:sz="4" w:space="0"/>
            </w:tcBorders>
            <w:vAlign w:val="center"/>
          </w:tcPr>
          <w:p w14:paraId="5B7FDBE6">
            <w:pPr>
              <w:autoSpaceDE w:val="0"/>
              <w:autoSpaceDN w:val="0"/>
              <w:adjustRightInd w:val="0"/>
              <w:snapToGrid/>
              <w:spacing w:line="400" w:lineRule="exact"/>
              <w:jc w:val="center"/>
              <w:outlineLvl w:val="9"/>
              <w:rPr>
                <w:rFonts w:hint="eastAsia" w:ascii="宋体" w:hAnsi="宋体" w:eastAsia="宋体" w:cs="宋体"/>
                <w:color w:val="auto"/>
                <w:kern w:val="0"/>
                <w:szCs w:val="21"/>
                <w:highlight w:val="none"/>
                <w:lang w:val="en-US" w:eastAsia="zh-CN"/>
              </w:rPr>
            </w:pPr>
            <w:r>
              <w:rPr>
                <w:rFonts w:hint="eastAsia" w:cs="宋体"/>
                <w:color w:val="auto"/>
                <w:kern w:val="0"/>
                <w:szCs w:val="21"/>
                <w:highlight w:val="none"/>
                <w:lang w:val="en-US" w:eastAsia="zh-CN"/>
              </w:rPr>
              <w:t>8</w:t>
            </w:r>
          </w:p>
        </w:tc>
        <w:tc>
          <w:tcPr>
            <w:tcW w:w="838" w:type="pct"/>
            <w:tcBorders>
              <w:top w:val="single" w:color="auto" w:sz="4" w:space="0"/>
              <w:left w:val="single" w:color="auto" w:sz="4" w:space="0"/>
              <w:bottom w:val="single" w:color="auto" w:sz="4" w:space="0"/>
              <w:right w:val="single" w:color="auto" w:sz="4" w:space="0"/>
            </w:tcBorders>
            <w:vAlign w:val="center"/>
          </w:tcPr>
          <w:p w14:paraId="0D9F0B37">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color w:val="auto"/>
                <w:kern w:val="0"/>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法兰闸阀</w:t>
            </w:r>
          </w:p>
        </w:tc>
        <w:tc>
          <w:tcPr>
            <w:tcW w:w="346" w:type="pct"/>
            <w:tcBorders>
              <w:top w:val="single" w:color="auto" w:sz="4" w:space="0"/>
              <w:left w:val="single" w:color="auto" w:sz="4" w:space="0"/>
              <w:bottom w:val="single" w:color="auto" w:sz="4" w:space="0"/>
              <w:right w:val="single" w:color="auto" w:sz="4" w:space="0"/>
            </w:tcBorders>
            <w:vAlign w:val="center"/>
          </w:tcPr>
          <w:p w14:paraId="5D6B2919">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395" w:type="pct"/>
            <w:tcBorders>
              <w:top w:val="single" w:color="auto" w:sz="4" w:space="0"/>
              <w:left w:val="single" w:color="auto" w:sz="4" w:space="0"/>
              <w:bottom w:val="single" w:color="auto" w:sz="4" w:space="0"/>
              <w:right w:val="single" w:color="auto" w:sz="4" w:space="0"/>
            </w:tcBorders>
            <w:vAlign w:val="center"/>
          </w:tcPr>
          <w:p w14:paraId="728E86D7">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669" w:type="pct"/>
            <w:tcBorders>
              <w:top w:val="single" w:color="auto" w:sz="4" w:space="0"/>
              <w:left w:val="single" w:color="auto" w:sz="4" w:space="0"/>
              <w:bottom w:val="single" w:color="auto" w:sz="4" w:space="0"/>
              <w:right w:val="single" w:color="auto" w:sz="4" w:space="0"/>
            </w:tcBorders>
            <w:vAlign w:val="center"/>
          </w:tcPr>
          <w:p w14:paraId="7ED1508B">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color w:val="auto"/>
                <w:kern w:val="0"/>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DN250</w:t>
            </w:r>
          </w:p>
        </w:tc>
        <w:tc>
          <w:tcPr>
            <w:tcW w:w="669" w:type="pct"/>
            <w:tcBorders>
              <w:top w:val="single" w:color="auto" w:sz="4" w:space="0"/>
              <w:left w:val="single" w:color="auto" w:sz="4" w:space="0"/>
              <w:bottom w:val="single" w:color="auto" w:sz="4" w:space="0"/>
              <w:right w:val="single" w:color="auto" w:sz="4" w:space="0"/>
            </w:tcBorders>
            <w:vAlign w:val="center"/>
          </w:tcPr>
          <w:p w14:paraId="203E2B52">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color w:val="auto"/>
                <w:kern w:val="0"/>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330" w:type="pct"/>
            <w:tcBorders>
              <w:top w:val="single" w:color="auto" w:sz="4" w:space="0"/>
              <w:left w:val="single" w:color="auto" w:sz="4" w:space="0"/>
              <w:bottom w:val="single" w:color="auto" w:sz="4" w:space="0"/>
              <w:right w:val="single" w:color="auto" w:sz="4" w:space="0"/>
            </w:tcBorders>
            <w:vAlign w:val="center"/>
          </w:tcPr>
          <w:p w14:paraId="50702E12">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color w:val="auto"/>
                <w:kern w:val="0"/>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370" w:type="pct"/>
            <w:tcBorders>
              <w:top w:val="single" w:color="auto" w:sz="4" w:space="0"/>
              <w:left w:val="single" w:color="auto" w:sz="4" w:space="0"/>
              <w:bottom w:val="single" w:color="auto" w:sz="4" w:space="0"/>
              <w:right w:val="single" w:color="auto" w:sz="4" w:space="0"/>
            </w:tcBorders>
            <w:vAlign w:val="center"/>
          </w:tcPr>
          <w:p w14:paraId="02EF4A34">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color w:val="auto"/>
                <w:kern w:val="0"/>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10</w:t>
            </w:r>
          </w:p>
        </w:tc>
        <w:tc>
          <w:tcPr>
            <w:tcW w:w="322" w:type="pct"/>
            <w:tcBorders>
              <w:top w:val="single" w:color="auto" w:sz="4" w:space="0"/>
              <w:left w:val="single" w:color="auto" w:sz="4" w:space="0"/>
              <w:bottom w:val="single" w:color="auto" w:sz="4" w:space="0"/>
              <w:right w:val="single" w:color="auto" w:sz="4" w:space="0"/>
            </w:tcBorders>
          </w:tcPr>
          <w:p w14:paraId="10C06D8B">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564" w:type="pct"/>
            <w:tcBorders>
              <w:top w:val="single" w:color="auto" w:sz="4" w:space="0"/>
              <w:left w:val="single" w:color="auto" w:sz="4" w:space="0"/>
              <w:bottom w:val="single" w:color="auto" w:sz="4" w:space="0"/>
              <w:right w:val="single" w:color="auto" w:sz="4" w:space="0"/>
            </w:tcBorders>
          </w:tcPr>
          <w:p w14:paraId="2573FB58">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261" w:type="pct"/>
            <w:tcBorders>
              <w:top w:val="single" w:color="auto" w:sz="4" w:space="0"/>
              <w:left w:val="single" w:color="auto" w:sz="4" w:space="0"/>
              <w:bottom w:val="single" w:color="auto" w:sz="4" w:space="0"/>
              <w:right w:val="single" w:color="auto" w:sz="4" w:space="0"/>
            </w:tcBorders>
            <w:vAlign w:val="center"/>
          </w:tcPr>
          <w:p w14:paraId="37117ED3">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r>
      <w:tr w14:paraId="51116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231" w:type="pct"/>
            <w:tcBorders>
              <w:top w:val="single" w:color="auto" w:sz="4" w:space="0"/>
              <w:left w:val="single" w:color="auto" w:sz="4" w:space="0"/>
              <w:bottom w:val="single" w:color="auto" w:sz="4" w:space="0"/>
              <w:right w:val="single" w:color="auto" w:sz="4" w:space="0"/>
            </w:tcBorders>
            <w:vAlign w:val="center"/>
          </w:tcPr>
          <w:p w14:paraId="02206573">
            <w:pPr>
              <w:autoSpaceDE w:val="0"/>
              <w:autoSpaceDN w:val="0"/>
              <w:adjustRightInd w:val="0"/>
              <w:snapToGrid/>
              <w:spacing w:line="400" w:lineRule="exact"/>
              <w:jc w:val="center"/>
              <w:outlineLvl w:val="9"/>
              <w:rPr>
                <w:rFonts w:hint="eastAsia" w:ascii="宋体" w:hAnsi="宋体" w:eastAsia="宋体" w:cs="宋体"/>
                <w:color w:val="auto"/>
                <w:kern w:val="0"/>
                <w:szCs w:val="21"/>
                <w:highlight w:val="none"/>
                <w:lang w:val="en-US" w:eastAsia="zh-CN"/>
              </w:rPr>
            </w:pPr>
            <w:r>
              <w:rPr>
                <w:rFonts w:hint="eastAsia" w:cs="宋体"/>
                <w:color w:val="auto"/>
                <w:kern w:val="0"/>
                <w:szCs w:val="21"/>
                <w:highlight w:val="none"/>
                <w:lang w:val="en-US" w:eastAsia="zh-CN"/>
              </w:rPr>
              <w:t>9</w:t>
            </w:r>
          </w:p>
        </w:tc>
        <w:tc>
          <w:tcPr>
            <w:tcW w:w="838" w:type="pct"/>
            <w:tcBorders>
              <w:top w:val="single" w:color="auto" w:sz="4" w:space="0"/>
              <w:left w:val="single" w:color="auto" w:sz="4" w:space="0"/>
              <w:bottom w:val="single" w:color="auto" w:sz="4" w:space="0"/>
              <w:right w:val="single" w:color="auto" w:sz="4" w:space="0"/>
            </w:tcBorders>
            <w:vAlign w:val="center"/>
          </w:tcPr>
          <w:p w14:paraId="147AC199">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color w:val="auto"/>
                <w:kern w:val="0"/>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法兰闸阀</w:t>
            </w:r>
          </w:p>
        </w:tc>
        <w:tc>
          <w:tcPr>
            <w:tcW w:w="346" w:type="pct"/>
            <w:tcBorders>
              <w:top w:val="single" w:color="auto" w:sz="4" w:space="0"/>
              <w:left w:val="single" w:color="auto" w:sz="4" w:space="0"/>
              <w:bottom w:val="single" w:color="auto" w:sz="4" w:space="0"/>
              <w:right w:val="single" w:color="auto" w:sz="4" w:space="0"/>
            </w:tcBorders>
            <w:vAlign w:val="center"/>
          </w:tcPr>
          <w:p w14:paraId="7E9470DB">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395" w:type="pct"/>
            <w:tcBorders>
              <w:top w:val="single" w:color="auto" w:sz="4" w:space="0"/>
              <w:left w:val="single" w:color="auto" w:sz="4" w:space="0"/>
              <w:bottom w:val="single" w:color="auto" w:sz="4" w:space="0"/>
              <w:right w:val="single" w:color="auto" w:sz="4" w:space="0"/>
            </w:tcBorders>
            <w:vAlign w:val="center"/>
          </w:tcPr>
          <w:p w14:paraId="487BD138">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669" w:type="pct"/>
            <w:tcBorders>
              <w:top w:val="single" w:color="auto" w:sz="4" w:space="0"/>
              <w:left w:val="single" w:color="auto" w:sz="4" w:space="0"/>
              <w:bottom w:val="single" w:color="auto" w:sz="4" w:space="0"/>
              <w:right w:val="single" w:color="auto" w:sz="4" w:space="0"/>
            </w:tcBorders>
            <w:vAlign w:val="center"/>
          </w:tcPr>
          <w:p w14:paraId="71850A3A">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color w:val="auto"/>
                <w:kern w:val="0"/>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DN300</w:t>
            </w:r>
          </w:p>
        </w:tc>
        <w:tc>
          <w:tcPr>
            <w:tcW w:w="669" w:type="pct"/>
            <w:tcBorders>
              <w:top w:val="single" w:color="auto" w:sz="4" w:space="0"/>
              <w:left w:val="single" w:color="auto" w:sz="4" w:space="0"/>
              <w:bottom w:val="single" w:color="auto" w:sz="4" w:space="0"/>
              <w:right w:val="single" w:color="auto" w:sz="4" w:space="0"/>
            </w:tcBorders>
            <w:vAlign w:val="center"/>
          </w:tcPr>
          <w:p w14:paraId="010ABED7">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color w:val="auto"/>
                <w:kern w:val="0"/>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330" w:type="pct"/>
            <w:tcBorders>
              <w:top w:val="single" w:color="auto" w:sz="4" w:space="0"/>
              <w:left w:val="single" w:color="auto" w:sz="4" w:space="0"/>
              <w:bottom w:val="single" w:color="auto" w:sz="4" w:space="0"/>
              <w:right w:val="single" w:color="auto" w:sz="4" w:space="0"/>
            </w:tcBorders>
            <w:vAlign w:val="center"/>
          </w:tcPr>
          <w:p w14:paraId="565A2AF0">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color w:val="auto"/>
                <w:kern w:val="0"/>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370" w:type="pct"/>
            <w:tcBorders>
              <w:top w:val="single" w:color="auto" w:sz="4" w:space="0"/>
              <w:left w:val="single" w:color="auto" w:sz="4" w:space="0"/>
              <w:bottom w:val="single" w:color="auto" w:sz="4" w:space="0"/>
              <w:right w:val="single" w:color="auto" w:sz="4" w:space="0"/>
            </w:tcBorders>
            <w:vAlign w:val="center"/>
          </w:tcPr>
          <w:p w14:paraId="1677137B">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color w:val="auto"/>
                <w:kern w:val="0"/>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30</w:t>
            </w:r>
          </w:p>
        </w:tc>
        <w:tc>
          <w:tcPr>
            <w:tcW w:w="322" w:type="pct"/>
            <w:tcBorders>
              <w:top w:val="single" w:color="auto" w:sz="4" w:space="0"/>
              <w:left w:val="single" w:color="auto" w:sz="4" w:space="0"/>
              <w:bottom w:val="single" w:color="auto" w:sz="4" w:space="0"/>
              <w:right w:val="single" w:color="auto" w:sz="4" w:space="0"/>
            </w:tcBorders>
          </w:tcPr>
          <w:p w14:paraId="49054CFE">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564" w:type="pct"/>
            <w:tcBorders>
              <w:top w:val="single" w:color="auto" w:sz="4" w:space="0"/>
              <w:left w:val="single" w:color="auto" w:sz="4" w:space="0"/>
              <w:bottom w:val="single" w:color="auto" w:sz="4" w:space="0"/>
              <w:right w:val="single" w:color="auto" w:sz="4" w:space="0"/>
            </w:tcBorders>
          </w:tcPr>
          <w:p w14:paraId="35BB034C">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261" w:type="pct"/>
            <w:tcBorders>
              <w:top w:val="single" w:color="auto" w:sz="4" w:space="0"/>
              <w:left w:val="single" w:color="auto" w:sz="4" w:space="0"/>
              <w:bottom w:val="single" w:color="auto" w:sz="4" w:space="0"/>
              <w:right w:val="single" w:color="auto" w:sz="4" w:space="0"/>
            </w:tcBorders>
            <w:vAlign w:val="center"/>
          </w:tcPr>
          <w:p w14:paraId="76A1C776">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r>
      <w:tr w14:paraId="14743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231" w:type="pct"/>
            <w:tcBorders>
              <w:top w:val="single" w:color="auto" w:sz="4" w:space="0"/>
              <w:left w:val="single" w:color="auto" w:sz="4" w:space="0"/>
              <w:bottom w:val="single" w:color="auto" w:sz="4" w:space="0"/>
              <w:right w:val="single" w:color="auto" w:sz="4" w:space="0"/>
            </w:tcBorders>
            <w:vAlign w:val="center"/>
          </w:tcPr>
          <w:p w14:paraId="677C201E">
            <w:pPr>
              <w:autoSpaceDE w:val="0"/>
              <w:autoSpaceDN w:val="0"/>
              <w:adjustRightInd w:val="0"/>
              <w:snapToGrid/>
              <w:spacing w:line="400" w:lineRule="exact"/>
              <w:jc w:val="center"/>
              <w:outlineLvl w:val="9"/>
              <w:rPr>
                <w:rFonts w:hint="default" w:ascii="宋体" w:hAnsi="宋体" w:eastAsia="宋体" w:cs="宋体"/>
                <w:color w:val="auto"/>
                <w:kern w:val="0"/>
                <w:szCs w:val="21"/>
                <w:highlight w:val="none"/>
                <w:lang w:val="en-US" w:eastAsia="zh-CN"/>
              </w:rPr>
            </w:pPr>
            <w:r>
              <w:rPr>
                <w:rFonts w:hint="eastAsia" w:cs="宋体"/>
                <w:color w:val="auto"/>
                <w:kern w:val="0"/>
                <w:szCs w:val="21"/>
                <w:highlight w:val="none"/>
                <w:lang w:val="en-US" w:eastAsia="zh-CN"/>
              </w:rPr>
              <w:t>10</w:t>
            </w:r>
          </w:p>
        </w:tc>
        <w:tc>
          <w:tcPr>
            <w:tcW w:w="838" w:type="pct"/>
            <w:tcBorders>
              <w:top w:val="single" w:color="auto" w:sz="4" w:space="0"/>
              <w:left w:val="single" w:color="auto" w:sz="4" w:space="0"/>
              <w:bottom w:val="single" w:color="auto" w:sz="4" w:space="0"/>
              <w:right w:val="single" w:color="auto" w:sz="4" w:space="0"/>
            </w:tcBorders>
            <w:vAlign w:val="center"/>
          </w:tcPr>
          <w:p w14:paraId="50B9B16C">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color w:val="auto"/>
                <w:kern w:val="0"/>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法兰闸阀</w:t>
            </w:r>
          </w:p>
        </w:tc>
        <w:tc>
          <w:tcPr>
            <w:tcW w:w="346" w:type="pct"/>
            <w:tcBorders>
              <w:top w:val="single" w:color="auto" w:sz="4" w:space="0"/>
              <w:left w:val="single" w:color="auto" w:sz="4" w:space="0"/>
              <w:bottom w:val="single" w:color="auto" w:sz="4" w:space="0"/>
              <w:right w:val="single" w:color="auto" w:sz="4" w:space="0"/>
            </w:tcBorders>
            <w:vAlign w:val="center"/>
          </w:tcPr>
          <w:p w14:paraId="2045DF45">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395" w:type="pct"/>
            <w:tcBorders>
              <w:top w:val="single" w:color="auto" w:sz="4" w:space="0"/>
              <w:left w:val="single" w:color="auto" w:sz="4" w:space="0"/>
              <w:bottom w:val="single" w:color="auto" w:sz="4" w:space="0"/>
              <w:right w:val="single" w:color="auto" w:sz="4" w:space="0"/>
            </w:tcBorders>
            <w:vAlign w:val="center"/>
          </w:tcPr>
          <w:p w14:paraId="51082847">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669" w:type="pct"/>
            <w:tcBorders>
              <w:top w:val="single" w:color="auto" w:sz="4" w:space="0"/>
              <w:left w:val="single" w:color="auto" w:sz="4" w:space="0"/>
              <w:bottom w:val="single" w:color="auto" w:sz="4" w:space="0"/>
              <w:right w:val="single" w:color="auto" w:sz="4" w:space="0"/>
            </w:tcBorders>
            <w:vAlign w:val="center"/>
          </w:tcPr>
          <w:p w14:paraId="64B22344">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color w:val="auto"/>
                <w:kern w:val="0"/>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DN350</w:t>
            </w:r>
          </w:p>
        </w:tc>
        <w:tc>
          <w:tcPr>
            <w:tcW w:w="669" w:type="pct"/>
            <w:tcBorders>
              <w:top w:val="single" w:color="auto" w:sz="4" w:space="0"/>
              <w:left w:val="single" w:color="auto" w:sz="4" w:space="0"/>
              <w:bottom w:val="single" w:color="auto" w:sz="4" w:space="0"/>
              <w:right w:val="single" w:color="auto" w:sz="4" w:space="0"/>
            </w:tcBorders>
            <w:vAlign w:val="center"/>
          </w:tcPr>
          <w:p w14:paraId="3E213287">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color w:val="auto"/>
                <w:kern w:val="0"/>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330" w:type="pct"/>
            <w:tcBorders>
              <w:top w:val="single" w:color="auto" w:sz="4" w:space="0"/>
              <w:left w:val="single" w:color="auto" w:sz="4" w:space="0"/>
              <w:bottom w:val="single" w:color="auto" w:sz="4" w:space="0"/>
              <w:right w:val="single" w:color="auto" w:sz="4" w:space="0"/>
            </w:tcBorders>
            <w:vAlign w:val="center"/>
          </w:tcPr>
          <w:p w14:paraId="29F809C7">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color w:val="auto"/>
                <w:kern w:val="0"/>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370" w:type="pct"/>
            <w:tcBorders>
              <w:top w:val="single" w:color="auto" w:sz="4" w:space="0"/>
              <w:left w:val="single" w:color="auto" w:sz="4" w:space="0"/>
              <w:bottom w:val="single" w:color="auto" w:sz="4" w:space="0"/>
              <w:right w:val="single" w:color="auto" w:sz="4" w:space="0"/>
            </w:tcBorders>
            <w:vAlign w:val="center"/>
          </w:tcPr>
          <w:p w14:paraId="6493FBF5">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color w:val="auto"/>
                <w:kern w:val="0"/>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3</w:t>
            </w:r>
          </w:p>
        </w:tc>
        <w:tc>
          <w:tcPr>
            <w:tcW w:w="322" w:type="pct"/>
            <w:tcBorders>
              <w:top w:val="single" w:color="auto" w:sz="4" w:space="0"/>
              <w:left w:val="single" w:color="auto" w:sz="4" w:space="0"/>
              <w:bottom w:val="single" w:color="auto" w:sz="4" w:space="0"/>
              <w:right w:val="single" w:color="auto" w:sz="4" w:space="0"/>
            </w:tcBorders>
          </w:tcPr>
          <w:p w14:paraId="0C107CB5">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564" w:type="pct"/>
            <w:tcBorders>
              <w:top w:val="single" w:color="auto" w:sz="4" w:space="0"/>
              <w:left w:val="single" w:color="auto" w:sz="4" w:space="0"/>
              <w:bottom w:val="single" w:color="auto" w:sz="4" w:space="0"/>
              <w:right w:val="single" w:color="auto" w:sz="4" w:space="0"/>
            </w:tcBorders>
          </w:tcPr>
          <w:p w14:paraId="05455B3F">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261" w:type="pct"/>
            <w:tcBorders>
              <w:top w:val="single" w:color="auto" w:sz="4" w:space="0"/>
              <w:left w:val="single" w:color="auto" w:sz="4" w:space="0"/>
              <w:bottom w:val="single" w:color="auto" w:sz="4" w:space="0"/>
              <w:right w:val="single" w:color="auto" w:sz="4" w:space="0"/>
            </w:tcBorders>
            <w:vAlign w:val="center"/>
          </w:tcPr>
          <w:p w14:paraId="110FD707">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r>
      <w:tr w14:paraId="23D4D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231" w:type="pct"/>
            <w:tcBorders>
              <w:top w:val="single" w:color="auto" w:sz="4" w:space="0"/>
              <w:left w:val="single" w:color="auto" w:sz="4" w:space="0"/>
              <w:bottom w:val="single" w:color="auto" w:sz="4" w:space="0"/>
              <w:right w:val="single" w:color="auto" w:sz="4" w:space="0"/>
            </w:tcBorders>
            <w:vAlign w:val="center"/>
          </w:tcPr>
          <w:p w14:paraId="6876EA93">
            <w:pPr>
              <w:autoSpaceDE w:val="0"/>
              <w:autoSpaceDN w:val="0"/>
              <w:adjustRightInd w:val="0"/>
              <w:snapToGrid/>
              <w:spacing w:line="400" w:lineRule="exact"/>
              <w:jc w:val="center"/>
              <w:outlineLvl w:val="9"/>
              <w:rPr>
                <w:rFonts w:hint="default" w:ascii="宋体" w:hAnsi="宋体" w:eastAsia="宋体" w:cs="宋体"/>
                <w:color w:val="auto"/>
                <w:kern w:val="0"/>
                <w:szCs w:val="21"/>
                <w:highlight w:val="none"/>
                <w:lang w:val="en-US" w:eastAsia="zh-CN"/>
              </w:rPr>
            </w:pPr>
            <w:r>
              <w:rPr>
                <w:rFonts w:hint="eastAsia" w:cs="宋体"/>
                <w:color w:val="auto"/>
                <w:kern w:val="0"/>
                <w:szCs w:val="21"/>
                <w:highlight w:val="none"/>
                <w:lang w:val="en-US" w:eastAsia="zh-CN"/>
              </w:rPr>
              <w:t>11</w:t>
            </w:r>
          </w:p>
        </w:tc>
        <w:tc>
          <w:tcPr>
            <w:tcW w:w="838" w:type="pct"/>
            <w:tcBorders>
              <w:top w:val="single" w:color="auto" w:sz="4" w:space="0"/>
              <w:left w:val="single" w:color="auto" w:sz="4" w:space="0"/>
              <w:bottom w:val="single" w:color="auto" w:sz="4" w:space="0"/>
              <w:right w:val="single" w:color="auto" w:sz="4" w:space="0"/>
            </w:tcBorders>
            <w:vAlign w:val="center"/>
          </w:tcPr>
          <w:p w14:paraId="301F5240">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color w:val="auto"/>
                <w:kern w:val="0"/>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法兰闸阀</w:t>
            </w:r>
          </w:p>
        </w:tc>
        <w:tc>
          <w:tcPr>
            <w:tcW w:w="346" w:type="pct"/>
            <w:tcBorders>
              <w:top w:val="single" w:color="auto" w:sz="4" w:space="0"/>
              <w:left w:val="single" w:color="auto" w:sz="4" w:space="0"/>
              <w:bottom w:val="single" w:color="auto" w:sz="4" w:space="0"/>
              <w:right w:val="single" w:color="auto" w:sz="4" w:space="0"/>
            </w:tcBorders>
            <w:vAlign w:val="center"/>
          </w:tcPr>
          <w:p w14:paraId="42F3AD54">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395" w:type="pct"/>
            <w:tcBorders>
              <w:top w:val="single" w:color="auto" w:sz="4" w:space="0"/>
              <w:left w:val="single" w:color="auto" w:sz="4" w:space="0"/>
              <w:bottom w:val="single" w:color="auto" w:sz="4" w:space="0"/>
              <w:right w:val="single" w:color="auto" w:sz="4" w:space="0"/>
            </w:tcBorders>
            <w:vAlign w:val="center"/>
          </w:tcPr>
          <w:p w14:paraId="2DD4A9B2">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669" w:type="pct"/>
            <w:tcBorders>
              <w:top w:val="single" w:color="auto" w:sz="4" w:space="0"/>
              <w:left w:val="single" w:color="auto" w:sz="4" w:space="0"/>
              <w:bottom w:val="single" w:color="auto" w:sz="4" w:space="0"/>
              <w:right w:val="single" w:color="auto" w:sz="4" w:space="0"/>
            </w:tcBorders>
            <w:vAlign w:val="center"/>
          </w:tcPr>
          <w:p w14:paraId="489840B7">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color w:val="auto"/>
                <w:kern w:val="0"/>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DN400</w:t>
            </w:r>
          </w:p>
        </w:tc>
        <w:tc>
          <w:tcPr>
            <w:tcW w:w="669" w:type="pct"/>
            <w:tcBorders>
              <w:top w:val="single" w:color="auto" w:sz="4" w:space="0"/>
              <w:left w:val="single" w:color="auto" w:sz="4" w:space="0"/>
              <w:bottom w:val="single" w:color="auto" w:sz="4" w:space="0"/>
              <w:right w:val="single" w:color="auto" w:sz="4" w:space="0"/>
            </w:tcBorders>
            <w:vAlign w:val="center"/>
          </w:tcPr>
          <w:p w14:paraId="37F9C94B">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color w:val="auto"/>
                <w:kern w:val="0"/>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330" w:type="pct"/>
            <w:tcBorders>
              <w:top w:val="single" w:color="auto" w:sz="4" w:space="0"/>
              <w:left w:val="single" w:color="auto" w:sz="4" w:space="0"/>
              <w:bottom w:val="single" w:color="auto" w:sz="4" w:space="0"/>
              <w:right w:val="single" w:color="auto" w:sz="4" w:space="0"/>
            </w:tcBorders>
            <w:vAlign w:val="center"/>
          </w:tcPr>
          <w:p w14:paraId="72CDB9FD">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color w:val="auto"/>
                <w:kern w:val="0"/>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370" w:type="pct"/>
            <w:tcBorders>
              <w:top w:val="single" w:color="auto" w:sz="4" w:space="0"/>
              <w:left w:val="single" w:color="auto" w:sz="4" w:space="0"/>
              <w:bottom w:val="single" w:color="auto" w:sz="4" w:space="0"/>
              <w:right w:val="single" w:color="auto" w:sz="4" w:space="0"/>
            </w:tcBorders>
            <w:vAlign w:val="center"/>
          </w:tcPr>
          <w:p w14:paraId="007B4A18">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color w:val="auto"/>
                <w:kern w:val="0"/>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15</w:t>
            </w:r>
          </w:p>
        </w:tc>
        <w:tc>
          <w:tcPr>
            <w:tcW w:w="322" w:type="pct"/>
            <w:tcBorders>
              <w:top w:val="single" w:color="auto" w:sz="4" w:space="0"/>
              <w:left w:val="single" w:color="auto" w:sz="4" w:space="0"/>
              <w:bottom w:val="single" w:color="auto" w:sz="4" w:space="0"/>
              <w:right w:val="single" w:color="auto" w:sz="4" w:space="0"/>
            </w:tcBorders>
          </w:tcPr>
          <w:p w14:paraId="382EDB27">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564" w:type="pct"/>
            <w:tcBorders>
              <w:top w:val="single" w:color="auto" w:sz="4" w:space="0"/>
              <w:left w:val="single" w:color="auto" w:sz="4" w:space="0"/>
              <w:bottom w:val="single" w:color="auto" w:sz="4" w:space="0"/>
              <w:right w:val="single" w:color="auto" w:sz="4" w:space="0"/>
            </w:tcBorders>
          </w:tcPr>
          <w:p w14:paraId="6F9F8FED">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261" w:type="pct"/>
            <w:tcBorders>
              <w:top w:val="single" w:color="auto" w:sz="4" w:space="0"/>
              <w:left w:val="single" w:color="auto" w:sz="4" w:space="0"/>
              <w:bottom w:val="single" w:color="auto" w:sz="4" w:space="0"/>
              <w:right w:val="single" w:color="auto" w:sz="4" w:space="0"/>
            </w:tcBorders>
            <w:vAlign w:val="center"/>
          </w:tcPr>
          <w:p w14:paraId="0B9CB092">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r>
      <w:tr w14:paraId="621E3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231" w:type="pct"/>
            <w:tcBorders>
              <w:top w:val="single" w:color="auto" w:sz="4" w:space="0"/>
              <w:left w:val="single" w:color="auto" w:sz="4" w:space="0"/>
              <w:bottom w:val="single" w:color="auto" w:sz="4" w:space="0"/>
              <w:right w:val="single" w:color="auto" w:sz="4" w:space="0"/>
            </w:tcBorders>
            <w:vAlign w:val="center"/>
          </w:tcPr>
          <w:p w14:paraId="08CA4FC6">
            <w:pPr>
              <w:autoSpaceDE w:val="0"/>
              <w:autoSpaceDN w:val="0"/>
              <w:adjustRightInd w:val="0"/>
              <w:snapToGrid/>
              <w:spacing w:line="400" w:lineRule="exact"/>
              <w:jc w:val="center"/>
              <w:outlineLvl w:val="9"/>
              <w:rPr>
                <w:rFonts w:hint="default" w:ascii="宋体" w:hAnsi="宋体" w:eastAsia="宋体" w:cs="宋体"/>
                <w:color w:val="auto"/>
                <w:kern w:val="0"/>
                <w:szCs w:val="21"/>
                <w:highlight w:val="none"/>
                <w:lang w:val="en-US" w:eastAsia="zh-CN"/>
              </w:rPr>
            </w:pPr>
            <w:r>
              <w:rPr>
                <w:rFonts w:hint="eastAsia" w:cs="宋体"/>
                <w:color w:val="auto"/>
                <w:kern w:val="0"/>
                <w:szCs w:val="21"/>
                <w:highlight w:val="none"/>
                <w:lang w:val="en-US" w:eastAsia="zh-CN"/>
              </w:rPr>
              <w:t>12</w:t>
            </w:r>
          </w:p>
        </w:tc>
        <w:tc>
          <w:tcPr>
            <w:tcW w:w="838" w:type="pct"/>
            <w:tcBorders>
              <w:top w:val="single" w:color="auto" w:sz="4" w:space="0"/>
              <w:left w:val="single" w:color="auto" w:sz="4" w:space="0"/>
              <w:bottom w:val="single" w:color="auto" w:sz="4" w:space="0"/>
              <w:right w:val="single" w:color="auto" w:sz="4" w:space="0"/>
            </w:tcBorders>
            <w:vAlign w:val="center"/>
          </w:tcPr>
          <w:p w14:paraId="49C87C02">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color w:val="auto"/>
                <w:kern w:val="0"/>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法兰闸阀</w:t>
            </w:r>
          </w:p>
        </w:tc>
        <w:tc>
          <w:tcPr>
            <w:tcW w:w="346" w:type="pct"/>
            <w:tcBorders>
              <w:top w:val="single" w:color="auto" w:sz="4" w:space="0"/>
              <w:left w:val="single" w:color="auto" w:sz="4" w:space="0"/>
              <w:bottom w:val="single" w:color="auto" w:sz="4" w:space="0"/>
              <w:right w:val="single" w:color="auto" w:sz="4" w:space="0"/>
            </w:tcBorders>
            <w:vAlign w:val="center"/>
          </w:tcPr>
          <w:p w14:paraId="124F897E">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395" w:type="pct"/>
            <w:tcBorders>
              <w:top w:val="single" w:color="auto" w:sz="4" w:space="0"/>
              <w:left w:val="single" w:color="auto" w:sz="4" w:space="0"/>
              <w:bottom w:val="single" w:color="auto" w:sz="4" w:space="0"/>
              <w:right w:val="single" w:color="auto" w:sz="4" w:space="0"/>
            </w:tcBorders>
            <w:vAlign w:val="center"/>
          </w:tcPr>
          <w:p w14:paraId="78F27466">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669" w:type="pct"/>
            <w:tcBorders>
              <w:top w:val="single" w:color="auto" w:sz="4" w:space="0"/>
              <w:left w:val="single" w:color="auto" w:sz="4" w:space="0"/>
              <w:bottom w:val="single" w:color="auto" w:sz="4" w:space="0"/>
              <w:right w:val="single" w:color="auto" w:sz="4" w:space="0"/>
            </w:tcBorders>
            <w:vAlign w:val="center"/>
          </w:tcPr>
          <w:p w14:paraId="301A705C">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color w:val="auto"/>
                <w:kern w:val="0"/>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DN450</w:t>
            </w:r>
          </w:p>
        </w:tc>
        <w:tc>
          <w:tcPr>
            <w:tcW w:w="669" w:type="pct"/>
            <w:tcBorders>
              <w:top w:val="single" w:color="auto" w:sz="4" w:space="0"/>
              <w:left w:val="single" w:color="auto" w:sz="4" w:space="0"/>
              <w:bottom w:val="single" w:color="auto" w:sz="4" w:space="0"/>
              <w:right w:val="single" w:color="auto" w:sz="4" w:space="0"/>
            </w:tcBorders>
            <w:vAlign w:val="center"/>
          </w:tcPr>
          <w:p w14:paraId="21569FA1">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color w:val="auto"/>
                <w:kern w:val="0"/>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330" w:type="pct"/>
            <w:tcBorders>
              <w:top w:val="single" w:color="auto" w:sz="4" w:space="0"/>
              <w:left w:val="single" w:color="auto" w:sz="4" w:space="0"/>
              <w:bottom w:val="single" w:color="auto" w:sz="4" w:space="0"/>
              <w:right w:val="single" w:color="auto" w:sz="4" w:space="0"/>
            </w:tcBorders>
            <w:vAlign w:val="center"/>
          </w:tcPr>
          <w:p w14:paraId="0B189978">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color w:val="auto"/>
                <w:kern w:val="0"/>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370" w:type="pct"/>
            <w:tcBorders>
              <w:top w:val="single" w:color="auto" w:sz="4" w:space="0"/>
              <w:left w:val="single" w:color="auto" w:sz="4" w:space="0"/>
              <w:bottom w:val="single" w:color="auto" w:sz="4" w:space="0"/>
              <w:right w:val="single" w:color="auto" w:sz="4" w:space="0"/>
            </w:tcBorders>
            <w:vAlign w:val="center"/>
          </w:tcPr>
          <w:p w14:paraId="137A61C6">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color w:val="auto"/>
                <w:kern w:val="0"/>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3</w:t>
            </w:r>
          </w:p>
        </w:tc>
        <w:tc>
          <w:tcPr>
            <w:tcW w:w="322" w:type="pct"/>
            <w:tcBorders>
              <w:top w:val="single" w:color="auto" w:sz="4" w:space="0"/>
              <w:left w:val="single" w:color="auto" w:sz="4" w:space="0"/>
              <w:bottom w:val="single" w:color="auto" w:sz="4" w:space="0"/>
              <w:right w:val="single" w:color="auto" w:sz="4" w:space="0"/>
            </w:tcBorders>
          </w:tcPr>
          <w:p w14:paraId="1F0D81AE">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564" w:type="pct"/>
            <w:tcBorders>
              <w:top w:val="single" w:color="auto" w:sz="4" w:space="0"/>
              <w:left w:val="single" w:color="auto" w:sz="4" w:space="0"/>
              <w:bottom w:val="single" w:color="auto" w:sz="4" w:space="0"/>
              <w:right w:val="single" w:color="auto" w:sz="4" w:space="0"/>
            </w:tcBorders>
          </w:tcPr>
          <w:p w14:paraId="689D877C">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261" w:type="pct"/>
            <w:tcBorders>
              <w:top w:val="single" w:color="auto" w:sz="4" w:space="0"/>
              <w:left w:val="single" w:color="auto" w:sz="4" w:space="0"/>
              <w:bottom w:val="single" w:color="auto" w:sz="4" w:space="0"/>
              <w:right w:val="single" w:color="auto" w:sz="4" w:space="0"/>
            </w:tcBorders>
            <w:vAlign w:val="center"/>
          </w:tcPr>
          <w:p w14:paraId="4254A306">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r>
      <w:tr w14:paraId="455FB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231" w:type="pct"/>
            <w:tcBorders>
              <w:top w:val="single" w:color="auto" w:sz="4" w:space="0"/>
              <w:left w:val="single" w:color="auto" w:sz="4" w:space="0"/>
              <w:bottom w:val="single" w:color="auto" w:sz="4" w:space="0"/>
              <w:right w:val="single" w:color="auto" w:sz="4" w:space="0"/>
            </w:tcBorders>
            <w:vAlign w:val="center"/>
          </w:tcPr>
          <w:p w14:paraId="61E1DDAA">
            <w:pPr>
              <w:autoSpaceDE w:val="0"/>
              <w:autoSpaceDN w:val="0"/>
              <w:adjustRightInd w:val="0"/>
              <w:snapToGrid/>
              <w:spacing w:line="400" w:lineRule="exact"/>
              <w:jc w:val="center"/>
              <w:outlineLvl w:val="9"/>
              <w:rPr>
                <w:rFonts w:hint="default" w:ascii="宋体" w:hAnsi="宋体" w:eastAsia="宋体" w:cs="宋体"/>
                <w:color w:val="auto"/>
                <w:kern w:val="0"/>
                <w:szCs w:val="21"/>
                <w:highlight w:val="none"/>
                <w:lang w:val="en-US" w:eastAsia="zh-CN"/>
              </w:rPr>
            </w:pPr>
            <w:r>
              <w:rPr>
                <w:rFonts w:hint="eastAsia" w:cs="宋体"/>
                <w:color w:val="auto"/>
                <w:kern w:val="0"/>
                <w:szCs w:val="21"/>
                <w:highlight w:val="none"/>
                <w:lang w:val="en-US" w:eastAsia="zh-CN"/>
              </w:rPr>
              <w:t>13</w:t>
            </w:r>
          </w:p>
        </w:tc>
        <w:tc>
          <w:tcPr>
            <w:tcW w:w="838" w:type="pct"/>
            <w:tcBorders>
              <w:top w:val="single" w:color="auto" w:sz="4" w:space="0"/>
              <w:left w:val="single" w:color="auto" w:sz="4" w:space="0"/>
              <w:bottom w:val="single" w:color="auto" w:sz="4" w:space="0"/>
              <w:right w:val="single" w:color="auto" w:sz="4" w:space="0"/>
            </w:tcBorders>
            <w:vAlign w:val="center"/>
          </w:tcPr>
          <w:p w14:paraId="04E3BE8D">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color w:val="auto"/>
                <w:kern w:val="0"/>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法兰闸阀</w:t>
            </w:r>
          </w:p>
        </w:tc>
        <w:tc>
          <w:tcPr>
            <w:tcW w:w="346" w:type="pct"/>
            <w:tcBorders>
              <w:top w:val="single" w:color="auto" w:sz="4" w:space="0"/>
              <w:left w:val="single" w:color="auto" w:sz="4" w:space="0"/>
              <w:bottom w:val="single" w:color="auto" w:sz="4" w:space="0"/>
              <w:right w:val="single" w:color="auto" w:sz="4" w:space="0"/>
            </w:tcBorders>
            <w:vAlign w:val="center"/>
          </w:tcPr>
          <w:p w14:paraId="33082F74">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395" w:type="pct"/>
            <w:tcBorders>
              <w:top w:val="single" w:color="auto" w:sz="4" w:space="0"/>
              <w:left w:val="single" w:color="auto" w:sz="4" w:space="0"/>
              <w:bottom w:val="single" w:color="auto" w:sz="4" w:space="0"/>
              <w:right w:val="single" w:color="auto" w:sz="4" w:space="0"/>
            </w:tcBorders>
            <w:vAlign w:val="center"/>
          </w:tcPr>
          <w:p w14:paraId="1FE6F6C0">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669" w:type="pct"/>
            <w:tcBorders>
              <w:top w:val="single" w:color="auto" w:sz="4" w:space="0"/>
              <w:left w:val="single" w:color="auto" w:sz="4" w:space="0"/>
              <w:bottom w:val="single" w:color="auto" w:sz="4" w:space="0"/>
              <w:right w:val="single" w:color="auto" w:sz="4" w:space="0"/>
            </w:tcBorders>
            <w:vAlign w:val="center"/>
          </w:tcPr>
          <w:p w14:paraId="45B9DEC3">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color w:val="auto"/>
                <w:kern w:val="0"/>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DN500</w:t>
            </w:r>
          </w:p>
        </w:tc>
        <w:tc>
          <w:tcPr>
            <w:tcW w:w="669" w:type="pct"/>
            <w:tcBorders>
              <w:top w:val="single" w:color="auto" w:sz="4" w:space="0"/>
              <w:left w:val="single" w:color="auto" w:sz="4" w:space="0"/>
              <w:bottom w:val="single" w:color="auto" w:sz="4" w:space="0"/>
              <w:right w:val="single" w:color="auto" w:sz="4" w:space="0"/>
            </w:tcBorders>
            <w:vAlign w:val="center"/>
          </w:tcPr>
          <w:p w14:paraId="19752546">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color w:val="auto"/>
                <w:kern w:val="0"/>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330" w:type="pct"/>
            <w:tcBorders>
              <w:top w:val="single" w:color="auto" w:sz="4" w:space="0"/>
              <w:left w:val="single" w:color="auto" w:sz="4" w:space="0"/>
              <w:bottom w:val="single" w:color="auto" w:sz="4" w:space="0"/>
              <w:right w:val="single" w:color="auto" w:sz="4" w:space="0"/>
            </w:tcBorders>
            <w:vAlign w:val="center"/>
          </w:tcPr>
          <w:p w14:paraId="26DE7F78">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color w:val="auto"/>
                <w:kern w:val="0"/>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370" w:type="pct"/>
            <w:tcBorders>
              <w:top w:val="single" w:color="auto" w:sz="4" w:space="0"/>
              <w:left w:val="single" w:color="auto" w:sz="4" w:space="0"/>
              <w:bottom w:val="single" w:color="auto" w:sz="4" w:space="0"/>
              <w:right w:val="single" w:color="auto" w:sz="4" w:space="0"/>
            </w:tcBorders>
            <w:vAlign w:val="center"/>
          </w:tcPr>
          <w:p w14:paraId="375C1AF4">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color w:val="auto"/>
                <w:kern w:val="0"/>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4</w:t>
            </w:r>
          </w:p>
        </w:tc>
        <w:tc>
          <w:tcPr>
            <w:tcW w:w="322" w:type="pct"/>
            <w:tcBorders>
              <w:top w:val="single" w:color="auto" w:sz="4" w:space="0"/>
              <w:left w:val="single" w:color="auto" w:sz="4" w:space="0"/>
              <w:bottom w:val="single" w:color="auto" w:sz="4" w:space="0"/>
              <w:right w:val="single" w:color="auto" w:sz="4" w:space="0"/>
            </w:tcBorders>
          </w:tcPr>
          <w:p w14:paraId="016CEBF9">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564" w:type="pct"/>
            <w:tcBorders>
              <w:top w:val="single" w:color="auto" w:sz="4" w:space="0"/>
              <w:left w:val="single" w:color="auto" w:sz="4" w:space="0"/>
              <w:bottom w:val="single" w:color="auto" w:sz="4" w:space="0"/>
              <w:right w:val="single" w:color="auto" w:sz="4" w:space="0"/>
            </w:tcBorders>
          </w:tcPr>
          <w:p w14:paraId="41D773B9">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261" w:type="pct"/>
            <w:tcBorders>
              <w:top w:val="single" w:color="auto" w:sz="4" w:space="0"/>
              <w:left w:val="single" w:color="auto" w:sz="4" w:space="0"/>
              <w:bottom w:val="single" w:color="auto" w:sz="4" w:space="0"/>
              <w:right w:val="single" w:color="auto" w:sz="4" w:space="0"/>
            </w:tcBorders>
            <w:vAlign w:val="center"/>
          </w:tcPr>
          <w:p w14:paraId="01575F49">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r>
      <w:tr w14:paraId="17499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231" w:type="pct"/>
            <w:tcBorders>
              <w:top w:val="single" w:color="auto" w:sz="4" w:space="0"/>
              <w:left w:val="single" w:color="auto" w:sz="4" w:space="0"/>
              <w:bottom w:val="single" w:color="auto" w:sz="4" w:space="0"/>
              <w:right w:val="single" w:color="auto" w:sz="4" w:space="0"/>
            </w:tcBorders>
            <w:vAlign w:val="center"/>
          </w:tcPr>
          <w:p w14:paraId="3A2AF757">
            <w:pPr>
              <w:autoSpaceDE w:val="0"/>
              <w:autoSpaceDN w:val="0"/>
              <w:adjustRightInd w:val="0"/>
              <w:snapToGrid/>
              <w:spacing w:line="400" w:lineRule="exact"/>
              <w:jc w:val="center"/>
              <w:outlineLvl w:val="9"/>
              <w:rPr>
                <w:rFonts w:hint="default" w:ascii="宋体" w:hAnsi="宋体" w:eastAsia="宋体" w:cs="宋体"/>
                <w:color w:val="auto"/>
                <w:kern w:val="0"/>
                <w:szCs w:val="21"/>
                <w:highlight w:val="none"/>
                <w:lang w:val="en-US" w:eastAsia="zh-CN"/>
              </w:rPr>
            </w:pPr>
            <w:r>
              <w:rPr>
                <w:rFonts w:hint="eastAsia" w:cs="宋体"/>
                <w:color w:val="auto"/>
                <w:kern w:val="0"/>
                <w:szCs w:val="21"/>
                <w:highlight w:val="none"/>
                <w:lang w:val="en-US" w:eastAsia="zh-CN"/>
              </w:rPr>
              <w:t>14</w:t>
            </w:r>
          </w:p>
        </w:tc>
        <w:tc>
          <w:tcPr>
            <w:tcW w:w="838" w:type="pct"/>
            <w:tcBorders>
              <w:top w:val="single" w:color="auto" w:sz="4" w:space="0"/>
              <w:left w:val="single" w:color="auto" w:sz="4" w:space="0"/>
              <w:bottom w:val="single" w:color="auto" w:sz="4" w:space="0"/>
              <w:right w:val="single" w:color="auto" w:sz="4" w:space="0"/>
            </w:tcBorders>
            <w:vAlign w:val="center"/>
          </w:tcPr>
          <w:p w14:paraId="282FEC94">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color w:val="auto"/>
                <w:kern w:val="0"/>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法兰闸阀</w:t>
            </w:r>
          </w:p>
        </w:tc>
        <w:tc>
          <w:tcPr>
            <w:tcW w:w="346" w:type="pct"/>
            <w:tcBorders>
              <w:top w:val="single" w:color="auto" w:sz="4" w:space="0"/>
              <w:left w:val="single" w:color="auto" w:sz="4" w:space="0"/>
              <w:bottom w:val="single" w:color="auto" w:sz="4" w:space="0"/>
              <w:right w:val="single" w:color="auto" w:sz="4" w:space="0"/>
            </w:tcBorders>
            <w:vAlign w:val="center"/>
          </w:tcPr>
          <w:p w14:paraId="55C6AD90">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395" w:type="pct"/>
            <w:tcBorders>
              <w:top w:val="single" w:color="auto" w:sz="4" w:space="0"/>
              <w:left w:val="single" w:color="auto" w:sz="4" w:space="0"/>
              <w:bottom w:val="single" w:color="auto" w:sz="4" w:space="0"/>
              <w:right w:val="single" w:color="auto" w:sz="4" w:space="0"/>
            </w:tcBorders>
            <w:vAlign w:val="center"/>
          </w:tcPr>
          <w:p w14:paraId="3CE3A34A">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669" w:type="pct"/>
            <w:tcBorders>
              <w:top w:val="single" w:color="auto" w:sz="4" w:space="0"/>
              <w:left w:val="single" w:color="auto" w:sz="4" w:space="0"/>
              <w:bottom w:val="single" w:color="auto" w:sz="4" w:space="0"/>
              <w:right w:val="single" w:color="auto" w:sz="4" w:space="0"/>
            </w:tcBorders>
            <w:vAlign w:val="center"/>
          </w:tcPr>
          <w:p w14:paraId="1E052CBE">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color w:val="auto"/>
                <w:kern w:val="0"/>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DN600</w:t>
            </w:r>
          </w:p>
        </w:tc>
        <w:tc>
          <w:tcPr>
            <w:tcW w:w="669" w:type="pct"/>
            <w:tcBorders>
              <w:top w:val="single" w:color="auto" w:sz="4" w:space="0"/>
              <w:left w:val="single" w:color="auto" w:sz="4" w:space="0"/>
              <w:bottom w:val="single" w:color="auto" w:sz="4" w:space="0"/>
              <w:right w:val="single" w:color="auto" w:sz="4" w:space="0"/>
            </w:tcBorders>
            <w:vAlign w:val="center"/>
          </w:tcPr>
          <w:p w14:paraId="2812D589">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color w:val="auto"/>
                <w:kern w:val="0"/>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330" w:type="pct"/>
            <w:tcBorders>
              <w:top w:val="single" w:color="auto" w:sz="4" w:space="0"/>
              <w:left w:val="single" w:color="auto" w:sz="4" w:space="0"/>
              <w:bottom w:val="single" w:color="auto" w:sz="4" w:space="0"/>
              <w:right w:val="single" w:color="auto" w:sz="4" w:space="0"/>
            </w:tcBorders>
            <w:vAlign w:val="center"/>
          </w:tcPr>
          <w:p w14:paraId="68FC6D6E">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color w:val="auto"/>
                <w:kern w:val="0"/>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370" w:type="pct"/>
            <w:tcBorders>
              <w:top w:val="single" w:color="auto" w:sz="4" w:space="0"/>
              <w:left w:val="single" w:color="auto" w:sz="4" w:space="0"/>
              <w:bottom w:val="single" w:color="auto" w:sz="4" w:space="0"/>
              <w:right w:val="single" w:color="auto" w:sz="4" w:space="0"/>
            </w:tcBorders>
            <w:vAlign w:val="center"/>
          </w:tcPr>
          <w:p w14:paraId="00913B1E">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color w:val="auto"/>
                <w:kern w:val="0"/>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4</w:t>
            </w:r>
          </w:p>
        </w:tc>
        <w:tc>
          <w:tcPr>
            <w:tcW w:w="322" w:type="pct"/>
            <w:tcBorders>
              <w:top w:val="single" w:color="auto" w:sz="4" w:space="0"/>
              <w:left w:val="single" w:color="auto" w:sz="4" w:space="0"/>
              <w:bottom w:val="single" w:color="auto" w:sz="4" w:space="0"/>
              <w:right w:val="single" w:color="auto" w:sz="4" w:space="0"/>
            </w:tcBorders>
          </w:tcPr>
          <w:p w14:paraId="3FCD6679">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564" w:type="pct"/>
            <w:tcBorders>
              <w:top w:val="single" w:color="auto" w:sz="4" w:space="0"/>
              <w:left w:val="single" w:color="auto" w:sz="4" w:space="0"/>
              <w:bottom w:val="single" w:color="auto" w:sz="4" w:space="0"/>
              <w:right w:val="single" w:color="auto" w:sz="4" w:space="0"/>
            </w:tcBorders>
          </w:tcPr>
          <w:p w14:paraId="3ED5F448">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261" w:type="pct"/>
            <w:tcBorders>
              <w:top w:val="single" w:color="auto" w:sz="4" w:space="0"/>
              <w:left w:val="single" w:color="auto" w:sz="4" w:space="0"/>
              <w:bottom w:val="single" w:color="auto" w:sz="4" w:space="0"/>
              <w:right w:val="single" w:color="auto" w:sz="4" w:space="0"/>
            </w:tcBorders>
            <w:vAlign w:val="center"/>
          </w:tcPr>
          <w:p w14:paraId="5D1436CF">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r>
      <w:tr w14:paraId="71452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231" w:type="pct"/>
            <w:tcBorders>
              <w:top w:val="single" w:color="auto" w:sz="4" w:space="0"/>
              <w:left w:val="single" w:color="auto" w:sz="4" w:space="0"/>
              <w:bottom w:val="single" w:color="auto" w:sz="4" w:space="0"/>
              <w:right w:val="single" w:color="auto" w:sz="4" w:space="0"/>
            </w:tcBorders>
            <w:vAlign w:val="center"/>
          </w:tcPr>
          <w:p w14:paraId="1FEBACB5">
            <w:pPr>
              <w:autoSpaceDE w:val="0"/>
              <w:autoSpaceDN w:val="0"/>
              <w:adjustRightInd w:val="0"/>
              <w:snapToGrid/>
              <w:spacing w:line="400" w:lineRule="exact"/>
              <w:jc w:val="center"/>
              <w:outlineLvl w:val="9"/>
              <w:rPr>
                <w:rFonts w:hint="default" w:ascii="宋体" w:hAnsi="宋体" w:eastAsia="宋体" w:cs="宋体"/>
                <w:color w:val="auto"/>
                <w:kern w:val="0"/>
                <w:szCs w:val="21"/>
                <w:highlight w:val="none"/>
                <w:lang w:val="en-US" w:eastAsia="zh-CN"/>
              </w:rPr>
            </w:pPr>
            <w:r>
              <w:rPr>
                <w:rFonts w:hint="eastAsia" w:cs="宋体"/>
                <w:color w:val="auto"/>
                <w:kern w:val="0"/>
                <w:szCs w:val="21"/>
                <w:highlight w:val="none"/>
                <w:lang w:val="en-US" w:eastAsia="zh-CN"/>
              </w:rPr>
              <w:t>15</w:t>
            </w:r>
          </w:p>
        </w:tc>
        <w:tc>
          <w:tcPr>
            <w:tcW w:w="838" w:type="pct"/>
            <w:tcBorders>
              <w:top w:val="single" w:color="auto" w:sz="4" w:space="0"/>
              <w:left w:val="single" w:color="auto" w:sz="4" w:space="0"/>
              <w:bottom w:val="single" w:color="auto" w:sz="4" w:space="0"/>
              <w:right w:val="single" w:color="auto" w:sz="4" w:space="0"/>
            </w:tcBorders>
            <w:vAlign w:val="center"/>
          </w:tcPr>
          <w:p w14:paraId="299426E4">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color w:val="auto"/>
                <w:kern w:val="0"/>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法兰蝶阀</w:t>
            </w:r>
          </w:p>
        </w:tc>
        <w:tc>
          <w:tcPr>
            <w:tcW w:w="346" w:type="pct"/>
            <w:tcBorders>
              <w:top w:val="single" w:color="auto" w:sz="4" w:space="0"/>
              <w:left w:val="single" w:color="auto" w:sz="4" w:space="0"/>
              <w:bottom w:val="single" w:color="auto" w:sz="4" w:space="0"/>
              <w:right w:val="single" w:color="auto" w:sz="4" w:space="0"/>
            </w:tcBorders>
            <w:vAlign w:val="center"/>
          </w:tcPr>
          <w:p w14:paraId="5008B6F0">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395" w:type="pct"/>
            <w:tcBorders>
              <w:top w:val="single" w:color="auto" w:sz="4" w:space="0"/>
              <w:left w:val="single" w:color="auto" w:sz="4" w:space="0"/>
              <w:bottom w:val="single" w:color="auto" w:sz="4" w:space="0"/>
              <w:right w:val="single" w:color="auto" w:sz="4" w:space="0"/>
            </w:tcBorders>
            <w:vAlign w:val="center"/>
          </w:tcPr>
          <w:p w14:paraId="47229E9C">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669" w:type="pct"/>
            <w:tcBorders>
              <w:top w:val="single" w:color="auto" w:sz="4" w:space="0"/>
              <w:left w:val="single" w:color="auto" w:sz="4" w:space="0"/>
              <w:bottom w:val="single" w:color="auto" w:sz="4" w:space="0"/>
              <w:right w:val="single" w:color="auto" w:sz="4" w:space="0"/>
            </w:tcBorders>
            <w:vAlign w:val="center"/>
          </w:tcPr>
          <w:p w14:paraId="487C766C">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color w:val="auto"/>
                <w:kern w:val="0"/>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DN50</w:t>
            </w:r>
          </w:p>
        </w:tc>
        <w:tc>
          <w:tcPr>
            <w:tcW w:w="669" w:type="pct"/>
            <w:tcBorders>
              <w:top w:val="single" w:color="auto" w:sz="4" w:space="0"/>
              <w:left w:val="single" w:color="auto" w:sz="4" w:space="0"/>
              <w:bottom w:val="single" w:color="auto" w:sz="4" w:space="0"/>
              <w:right w:val="single" w:color="auto" w:sz="4" w:space="0"/>
            </w:tcBorders>
            <w:vAlign w:val="center"/>
          </w:tcPr>
          <w:p w14:paraId="39571414">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color w:val="auto"/>
                <w:kern w:val="0"/>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330" w:type="pct"/>
            <w:tcBorders>
              <w:top w:val="single" w:color="auto" w:sz="4" w:space="0"/>
              <w:left w:val="single" w:color="auto" w:sz="4" w:space="0"/>
              <w:bottom w:val="single" w:color="auto" w:sz="4" w:space="0"/>
              <w:right w:val="single" w:color="auto" w:sz="4" w:space="0"/>
            </w:tcBorders>
            <w:vAlign w:val="center"/>
          </w:tcPr>
          <w:p w14:paraId="04B7C909">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color w:val="auto"/>
                <w:kern w:val="0"/>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370" w:type="pct"/>
            <w:tcBorders>
              <w:top w:val="single" w:color="auto" w:sz="4" w:space="0"/>
              <w:left w:val="single" w:color="auto" w:sz="4" w:space="0"/>
              <w:bottom w:val="single" w:color="auto" w:sz="4" w:space="0"/>
              <w:right w:val="single" w:color="auto" w:sz="4" w:space="0"/>
            </w:tcBorders>
            <w:vAlign w:val="center"/>
          </w:tcPr>
          <w:p w14:paraId="7F91A39C">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color w:val="auto"/>
                <w:kern w:val="0"/>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6</w:t>
            </w:r>
          </w:p>
        </w:tc>
        <w:tc>
          <w:tcPr>
            <w:tcW w:w="322" w:type="pct"/>
            <w:tcBorders>
              <w:top w:val="single" w:color="auto" w:sz="4" w:space="0"/>
              <w:left w:val="single" w:color="auto" w:sz="4" w:space="0"/>
              <w:bottom w:val="single" w:color="auto" w:sz="4" w:space="0"/>
              <w:right w:val="single" w:color="auto" w:sz="4" w:space="0"/>
            </w:tcBorders>
          </w:tcPr>
          <w:p w14:paraId="3748A438">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564" w:type="pct"/>
            <w:tcBorders>
              <w:top w:val="single" w:color="auto" w:sz="4" w:space="0"/>
              <w:left w:val="single" w:color="auto" w:sz="4" w:space="0"/>
              <w:bottom w:val="single" w:color="auto" w:sz="4" w:space="0"/>
              <w:right w:val="single" w:color="auto" w:sz="4" w:space="0"/>
            </w:tcBorders>
          </w:tcPr>
          <w:p w14:paraId="28C14828">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261" w:type="pct"/>
            <w:tcBorders>
              <w:top w:val="single" w:color="auto" w:sz="4" w:space="0"/>
              <w:left w:val="single" w:color="auto" w:sz="4" w:space="0"/>
              <w:bottom w:val="single" w:color="auto" w:sz="4" w:space="0"/>
              <w:right w:val="single" w:color="auto" w:sz="4" w:space="0"/>
            </w:tcBorders>
            <w:vAlign w:val="center"/>
          </w:tcPr>
          <w:p w14:paraId="4716A20E">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r>
      <w:tr w14:paraId="3A7C7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231" w:type="pct"/>
            <w:tcBorders>
              <w:top w:val="single" w:color="auto" w:sz="4" w:space="0"/>
              <w:left w:val="single" w:color="auto" w:sz="4" w:space="0"/>
              <w:bottom w:val="single" w:color="auto" w:sz="4" w:space="0"/>
              <w:right w:val="single" w:color="auto" w:sz="4" w:space="0"/>
            </w:tcBorders>
            <w:vAlign w:val="center"/>
          </w:tcPr>
          <w:p w14:paraId="48768FD8">
            <w:pPr>
              <w:autoSpaceDE w:val="0"/>
              <w:autoSpaceDN w:val="0"/>
              <w:adjustRightInd w:val="0"/>
              <w:snapToGrid/>
              <w:spacing w:line="400" w:lineRule="exact"/>
              <w:jc w:val="center"/>
              <w:outlineLvl w:val="9"/>
              <w:rPr>
                <w:rFonts w:hint="default" w:ascii="宋体" w:hAnsi="宋体" w:eastAsia="宋体" w:cs="宋体"/>
                <w:color w:val="auto"/>
                <w:kern w:val="0"/>
                <w:szCs w:val="21"/>
                <w:highlight w:val="none"/>
                <w:lang w:val="en-US" w:eastAsia="zh-CN"/>
              </w:rPr>
            </w:pPr>
            <w:r>
              <w:rPr>
                <w:rFonts w:hint="eastAsia" w:cs="宋体"/>
                <w:color w:val="auto"/>
                <w:kern w:val="0"/>
                <w:szCs w:val="21"/>
                <w:highlight w:val="none"/>
                <w:lang w:val="en-US" w:eastAsia="zh-CN"/>
              </w:rPr>
              <w:t>16</w:t>
            </w:r>
          </w:p>
        </w:tc>
        <w:tc>
          <w:tcPr>
            <w:tcW w:w="838" w:type="pct"/>
            <w:tcBorders>
              <w:top w:val="single" w:color="auto" w:sz="4" w:space="0"/>
              <w:left w:val="single" w:color="auto" w:sz="4" w:space="0"/>
              <w:bottom w:val="single" w:color="auto" w:sz="4" w:space="0"/>
              <w:right w:val="single" w:color="auto" w:sz="4" w:space="0"/>
            </w:tcBorders>
            <w:vAlign w:val="center"/>
          </w:tcPr>
          <w:p w14:paraId="5E783496">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color w:val="auto"/>
                <w:kern w:val="0"/>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法兰蝶阀</w:t>
            </w:r>
          </w:p>
        </w:tc>
        <w:tc>
          <w:tcPr>
            <w:tcW w:w="346" w:type="pct"/>
            <w:tcBorders>
              <w:top w:val="single" w:color="auto" w:sz="4" w:space="0"/>
              <w:left w:val="single" w:color="auto" w:sz="4" w:space="0"/>
              <w:bottom w:val="single" w:color="auto" w:sz="4" w:space="0"/>
              <w:right w:val="single" w:color="auto" w:sz="4" w:space="0"/>
            </w:tcBorders>
            <w:vAlign w:val="center"/>
          </w:tcPr>
          <w:p w14:paraId="626D743B">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395" w:type="pct"/>
            <w:tcBorders>
              <w:top w:val="single" w:color="auto" w:sz="4" w:space="0"/>
              <w:left w:val="single" w:color="auto" w:sz="4" w:space="0"/>
              <w:bottom w:val="single" w:color="auto" w:sz="4" w:space="0"/>
              <w:right w:val="single" w:color="auto" w:sz="4" w:space="0"/>
            </w:tcBorders>
            <w:vAlign w:val="center"/>
          </w:tcPr>
          <w:p w14:paraId="34BD8F92">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669" w:type="pct"/>
            <w:tcBorders>
              <w:top w:val="single" w:color="auto" w:sz="4" w:space="0"/>
              <w:left w:val="single" w:color="auto" w:sz="4" w:space="0"/>
              <w:bottom w:val="single" w:color="auto" w:sz="4" w:space="0"/>
              <w:right w:val="single" w:color="auto" w:sz="4" w:space="0"/>
            </w:tcBorders>
            <w:vAlign w:val="center"/>
          </w:tcPr>
          <w:p w14:paraId="525F0D79">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color w:val="auto"/>
                <w:kern w:val="0"/>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DN65</w:t>
            </w:r>
          </w:p>
        </w:tc>
        <w:tc>
          <w:tcPr>
            <w:tcW w:w="669" w:type="pct"/>
            <w:tcBorders>
              <w:top w:val="single" w:color="auto" w:sz="4" w:space="0"/>
              <w:left w:val="single" w:color="auto" w:sz="4" w:space="0"/>
              <w:bottom w:val="single" w:color="auto" w:sz="4" w:space="0"/>
              <w:right w:val="single" w:color="auto" w:sz="4" w:space="0"/>
            </w:tcBorders>
            <w:vAlign w:val="center"/>
          </w:tcPr>
          <w:p w14:paraId="66A846B3">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color w:val="auto"/>
                <w:kern w:val="0"/>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330" w:type="pct"/>
            <w:tcBorders>
              <w:top w:val="single" w:color="auto" w:sz="4" w:space="0"/>
              <w:left w:val="single" w:color="auto" w:sz="4" w:space="0"/>
              <w:bottom w:val="single" w:color="auto" w:sz="4" w:space="0"/>
              <w:right w:val="single" w:color="auto" w:sz="4" w:space="0"/>
            </w:tcBorders>
            <w:vAlign w:val="center"/>
          </w:tcPr>
          <w:p w14:paraId="298D90E7">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color w:val="auto"/>
                <w:kern w:val="0"/>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370" w:type="pct"/>
            <w:tcBorders>
              <w:top w:val="single" w:color="auto" w:sz="4" w:space="0"/>
              <w:left w:val="single" w:color="auto" w:sz="4" w:space="0"/>
              <w:bottom w:val="single" w:color="auto" w:sz="4" w:space="0"/>
              <w:right w:val="single" w:color="auto" w:sz="4" w:space="0"/>
            </w:tcBorders>
            <w:vAlign w:val="center"/>
          </w:tcPr>
          <w:p w14:paraId="13BC40EB">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color w:val="auto"/>
                <w:kern w:val="0"/>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3</w:t>
            </w:r>
          </w:p>
        </w:tc>
        <w:tc>
          <w:tcPr>
            <w:tcW w:w="322" w:type="pct"/>
            <w:tcBorders>
              <w:top w:val="single" w:color="auto" w:sz="4" w:space="0"/>
              <w:left w:val="single" w:color="auto" w:sz="4" w:space="0"/>
              <w:bottom w:val="single" w:color="auto" w:sz="4" w:space="0"/>
              <w:right w:val="single" w:color="auto" w:sz="4" w:space="0"/>
            </w:tcBorders>
          </w:tcPr>
          <w:p w14:paraId="2C996781">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564" w:type="pct"/>
            <w:tcBorders>
              <w:top w:val="single" w:color="auto" w:sz="4" w:space="0"/>
              <w:left w:val="single" w:color="auto" w:sz="4" w:space="0"/>
              <w:bottom w:val="single" w:color="auto" w:sz="4" w:space="0"/>
              <w:right w:val="single" w:color="auto" w:sz="4" w:space="0"/>
            </w:tcBorders>
          </w:tcPr>
          <w:p w14:paraId="289E53F6">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261" w:type="pct"/>
            <w:tcBorders>
              <w:top w:val="single" w:color="auto" w:sz="4" w:space="0"/>
              <w:left w:val="single" w:color="auto" w:sz="4" w:space="0"/>
              <w:bottom w:val="single" w:color="auto" w:sz="4" w:space="0"/>
              <w:right w:val="single" w:color="auto" w:sz="4" w:space="0"/>
            </w:tcBorders>
            <w:vAlign w:val="center"/>
          </w:tcPr>
          <w:p w14:paraId="01907F58">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r>
      <w:tr w14:paraId="29510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231" w:type="pct"/>
            <w:tcBorders>
              <w:top w:val="single" w:color="auto" w:sz="4" w:space="0"/>
              <w:left w:val="single" w:color="auto" w:sz="4" w:space="0"/>
              <w:bottom w:val="single" w:color="auto" w:sz="4" w:space="0"/>
              <w:right w:val="single" w:color="auto" w:sz="4" w:space="0"/>
            </w:tcBorders>
            <w:vAlign w:val="center"/>
          </w:tcPr>
          <w:p w14:paraId="27C2BE21">
            <w:pPr>
              <w:autoSpaceDE w:val="0"/>
              <w:autoSpaceDN w:val="0"/>
              <w:adjustRightInd w:val="0"/>
              <w:snapToGrid/>
              <w:spacing w:line="400" w:lineRule="exact"/>
              <w:jc w:val="center"/>
              <w:outlineLvl w:val="9"/>
              <w:rPr>
                <w:rFonts w:hint="default" w:ascii="宋体" w:hAnsi="宋体" w:eastAsia="宋体" w:cs="宋体"/>
                <w:color w:val="auto"/>
                <w:kern w:val="0"/>
                <w:szCs w:val="21"/>
                <w:highlight w:val="none"/>
                <w:lang w:val="en-US" w:eastAsia="zh-CN"/>
              </w:rPr>
            </w:pPr>
            <w:r>
              <w:rPr>
                <w:rFonts w:hint="eastAsia" w:cs="宋体"/>
                <w:color w:val="auto"/>
                <w:kern w:val="0"/>
                <w:szCs w:val="21"/>
                <w:highlight w:val="none"/>
                <w:lang w:val="en-US" w:eastAsia="zh-CN"/>
              </w:rPr>
              <w:t>17</w:t>
            </w:r>
          </w:p>
        </w:tc>
        <w:tc>
          <w:tcPr>
            <w:tcW w:w="838" w:type="pct"/>
            <w:tcBorders>
              <w:top w:val="single" w:color="auto" w:sz="4" w:space="0"/>
              <w:left w:val="single" w:color="auto" w:sz="4" w:space="0"/>
              <w:bottom w:val="single" w:color="auto" w:sz="4" w:space="0"/>
              <w:right w:val="single" w:color="auto" w:sz="4" w:space="0"/>
            </w:tcBorders>
            <w:vAlign w:val="center"/>
          </w:tcPr>
          <w:p w14:paraId="0360EC0B">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color w:val="auto"/>
                <w:kern w:val="0"/>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法兰蝶阀</w:t>
            </w:r>
          </w:p>
        </w:tc>
        <w:tc>
          <w:tcPr>
            <w:tcW w:w="346" w:type="pct"/>
            <w:tcBorders>
              <w:top w:val="single" w:color="auto" w:sz="4" w:space="0"/>
              <w:left w:val="single" w:color="auto" w:sz="4" w:space="0"/>
              <w:bottom w:val="single" w:color="auto" w:sz="4" w:space="0"/>
              <w:right w:val="single" w:color="auto" w:sz="4" w:space="0"/>
            </w:tcBorders>
            <w:vAlign w:val="center"/>
          </w:tcPr>
          <w:p w14:paraId="491F1A35">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395" w:type="pct"/>
            <w:tcBorders>
              <w:top w:val="single" w:color="auto" w:sz="4" w:space="0"/>
              <w:left w:val="single" w:color="auto" w:sz="4" w:space="0"/>
              <w:bottom w:val="single" w:color="auto" w:sz="4" w:space="0"/>
              <w:right w:val="single" w:color="auto" w:sz="4" w:space="0"/>
            </w:tcBorders>
            <w:vAlign w:val="center"/>
          </w:tcPr>
          <w:p w14:paraId="2AF64000">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669" w:type="pct"/>
            <w:tcBorders>
              <w:top w:val="single" w:color="auto" w:sz="4" w:space="0"/>
              <w:left w:val="single" w:color="auto" w:sz="4" w:space="0"/>
              <w:bottom w:val="single" w:color="auto" w:sz="4" w:space="0"/>
              <w:right w:val="single" w:color="auto" w:sz="4" w:space="0"/>
            </w:tcBorders>
            <w:vAlign w:val="center"/>
          </w:tcPr>
          <w:p w14:paraId="5CB5A550">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color w:val="auto"/>
                <w:kern w:val="0"/>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DN80</w:t>
            </w:r>
          </w:p>
        </w:tc>
        <w:tc>
          <w:tcPr>
            <w:tcW w:w="669" w:type="pct"/>
            <w:tcBorders>
              <w:top w:val="single" w:color="auto" w:sz="4" w:space="0"/>
              <w:left w:val="single" w:color="auto" w:sz="4" w:space="0"/>
              <w:bottom w:val="single" w:color="auto" w:sz="4" w:space="0"/>
              <w:right w:val="single" w:color="auto" w:sz="4" w:space="0"/>
            </w:tcBorders>
            <w:vAlign w:val="center"/>
          </w:tcPr>
          <w:p w14:paraId="11DEB14E">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color w:val="auto"/>
                <w:kern w:val="0"/>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330" w:type="pct"/>
            <w:tcBorders>
              <w:top w:val="single" w:color="auto" w:sz="4" w:space="0"/>
              <w:left w:val="single" w:color="auto" w:sz="4" w:space="0"/>
              <w:bottom w:val="single" w:color="auto" w:sz="4" w:space="0"/>
              <w:right w:val="single" w:color="auto" w:sz="4" w:space="0"/>
            </w:tcBorders>
            <w:vAlign w:val="center"/>
          </w:tcPr>
          <w:p w14:paraId="75CC9EDA">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color w:val="auto"/>
                <w:kern w:val="0"/>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370" w:type="pct"/>
            <w:tcBorders>
              <w:top w:val="single" w:color="auto" w:sz="4" w:space="0"/>
              <w:left w:val="single" w:color="auto" w:sz="4" w:space="0"/>
              <w:bottom w:val="single" w:color="auto" w:sz="4" w:space="0"/>
              <w:right w:val="single" w:color="auto" w:sz="4" w:space="0"/>
            </w:tcBorders>
            <w:vAlign w:val="center"/>
          </w:tcPr>
          <w:p w14:paraId="78949B07">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color w:val="auto"/>
                <w:kern w:val="0"/>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85</w:t>
            </w:r>
          </w:p>
        </w:tc>
        <w:tc>
          <w:tcPr>
            <w:tcW w:w="322" w:type="pct"/>
            <w:tcBorders>
              <w:top w:val="single" w:color="auto" w:sz="4" w:space="0"/>
              <w:left w:val="single" w:color="auto" w:sz="4" w:space="0"/>
              <w:bottom w:val="single" w:color="auto" w:sz="4" w:space="0"/>
              <w:right w:val="single" w:color="auto" w:sz="4" w:space="0"/>
            </w:tcBorders>
          </w:tcPr>
          <w:p w14:paraId="10BDFF6C">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564" w:type="pct"/>
            <w:tcBorders>
              <w:top w:val="single" w:color="auto" w:sz="4" w:space="0"/>
              <w:left w:val="single" w:color="auto" w:sz="4" w:space="0"/>
              <w:bottom w:val="single" w:color="auto" w:sz="4" w:space="0"/>
              <w:right w:val="single" w:color="auto" w:sz="4" w:space="0"/>
            </w:tcBorders>
          </w:tcPr>
          <w:p w14:paraId="56021CDE">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261" w:type="pct"/>
            <w:tcBorders>
              <w:top w:val="single" w:color="auto" w:sz="4" w:space="0"/>
              <w:left w:val="single" w:color="auto" w:sz="4" w:space="0"/>
              <w:bottom w:val="single" w:color="auto" w:sz="4" w:space="0"/>
              <w:right w:val="single" w:color="auto" w:sz="4" w:space="0"/>
            </w:tcBorders>
            <w:vAlign w:val="center"/>
          </w:tcPr>
          <w:p w14:paraId="009AA56A">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r>
      <w:tr w14:paraId="37589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231" w:type="pct"/>
            <w:tcBorders>
              <w:top w:val="single" w:color="auto" w:sz="4" w:space="0"/>
              <w:left w:val="single" w:color="auto" w:sz="4" w:space="0"/>
              <w:bottom w:val="single" w:color="auto" w:sz="4" w:space="0"/>
              <w:right w:val="single" w:color="auto" w:sz="4" w:space="0"/>
            </w:tcBorders>
            <w:vAlign w:val="center"/>
          </w:tcPr>
          <w:p w14:paraId="7823CF52">
            <w:pPr>
              <w:autoSpaceDE w:val="0"/>
              <w:autoSpaceDN w:val="0"/>
              <w:adjustRightInd w:val="0"/>
              <w:snapToGrid/>
              <w:spacing w:line="400" w:lineRule="exact"/>
              <w:jc w:val="center"/>
              <w:outlineLvl w:val="9"/>
              <w:rPr>
                <w:rFonts w:hint="default" w:ascii="宋体" w:hAnsi="宋体" w:eastAsia="宋体" w:cs="宋体"/>
                <w:color w:val="auto"/>
                <w:kern w:val="0"/>
                <w:szCs w:val="21"/>
                <w:highlight w:val="none"/>
                <w:lang w:val="en-US" w:eastAsia="zh-CN"/>
              </w:rPr>
            </w:pPr>
            <w:r>
              <w:rPr>
                <w:rFonts w:hint="eastAsia" w:cs="宋体"/>
                <w:color w:val="auto"/>
                <w:kern w:val="0"/>
                <w:szCs w:val="21"/>
                <w:highlight w:val="none"/>
                <w:lang w:val="en-US" w:eastAsia="zh-CN"/>
              </w:rPr>
              <w:t>18</w:t>
            </w:r>
          </w:p>
        </w:tc>
        <w:tc>
          <w:tcPr>
            <w:tcW w:w="838" w:type="pct"/>
            <w:tcBorders>
              <w:top w:val="single" w:color="auto" w:sz="4" w:space="0"/>
              <w:left w:val="single" w:color="auto" w:sz="4" w:space="0"/>
              <w:bottom w:val="single" w:color="auto" w:sz="4" w:space="0"/>
              <w:right w:val="single" w:color="auto" w:sz="4" w:space="0"/>
            </w:tcBorders>
            <w:vAlign w:val="center"/>
          </w:tcPr>
          <w:p w14:paraId="2A681CFB">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color w:val="auto"/>
                <w:kern w:val="0"/>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法兰蝶阀</w:t>
            </w:r>
          </w:p>
        </w:tc>
        <w:tc>
          <w:tcPr>
            <w:tcW w:w="346" w:type="pct"/>
            <w:tcBorders>
              <w:top w:val="single" w:color="auto" w:sz="4" w:space="0"/>
              <w:left w:val="single" w:color="auto" w:sz="4" w:space="0"/>
              <w:bottom w:val="single" w:color="auto" w:sz="4" w:space="0"/>
              <w:right w:val="single" w:color="auto" w:sz="4" w:space="0"/>
            </w:tcBorders>
            <w:vAlign w:val="center"/>
          </w:tcPr>
          <w:p w14:paraId="71310066">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395" w:type="pct"/>
            <w:tcBorders>
              <w:top w:val="single" w:color="auto" w:sz="4" w:space="0"/>
              <w:left w:val="single" w:color="auto" w:sz="4" w:space="0"/>
              <w:bottom w:val="single" w:color="auto" w:sz="4" w:space="0"/>
              <w:right w:val="single" w:color="auto" w:sz="4" w:space="0"/>
            </w:tcBorders>
            <w:vAlign w:val="center"/>
          </w:tcPr>
          <w:p w14:paraId="00C71BA9">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669" w:type="pct"/>
            <w:tcBorders>
              <w:top w:val="single" w:color="auto" w:sz="4" w:space="0"/>
              <w:left w:val="single" w:color="auto" w:sz="4" w:space="0"/>
              <w:bottom w:val="single" w:color="auto" w:sz="4" w:space="0"/>
              <w:right w:val="single" w:color="auto" w:sz="4" w:space="0"/>
            </w:tcBorders>
            <w:vAlign w:val="center"/>
          </w:tcPr>
          <w:p w14:paraId="7B17F5E9">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color w:val="auto"/>
                <w:kern w:val="0"/>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DN100</w:t>
            </w:r>
          </w:p>
        </w:tc>
        <w:tc>
          <w:tcPr>
            <w:tcW w:w="669" w:type="pct"/>
            <w:tcBorders>
              <w:top w:val="single" w:color="auto" w:sz="4" w:space="0"/>
              <w:left w:val="single" w:color="auto" w:sz="4" w:space="0"/>
              <w:bottom w:val="single" w:color="auto" w:sz="4" w:space="0"/>
              <w:right w:val="single" w:color="auto" w:sz="4" w:space="0"/>
            </w:tcBorders>
            <w:vAlign w:val="center"/>
          </w:tcPr>
          <w:p w14:paraId="23382548">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color w:val="auto"/>
                <w:kern w:val="0"/>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330" w:type="pct"/>
            <w:tcBorders>
              <w:top w:val="single" w:color="auto" w:sz="4" w:space="0"/>
              <w:left w:val="single" w:color="auto" w:sz="4" w:space="0"/>
              <w:bottom w:val="single" w:color="auto" w:sz="4" w:space="0"/>
              <w:right w:val="single" w:color="auto" w:sz="4" w:space="0"/>
            </w:tcBorders>
            <w:vAlign w:val="center"/>
          </w:tcPr>
          <w:p w14:paraId="30440BD6">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color w:val="auto"/>
                <w:kern w:val="0"/>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370" w:type="pct"/>
            <w:tcBorders>
              <w:top w:val="single" w:color="auto" w:sz="4" w:space="0"/>
              <w:left w:val="single" w:color="auto" w:sz="4" w:space="0"/>
              <w:bottom w:val="single" w:color="auto" w:sz="4" w:space="0"/>
              <w:right w:val="single" w:color="auto" w:sz="4" w:space="0"/>
            </w:tcBorders>
            <w:vAlign w:val="center"/>
          </w:tcPr>
          <w:p w14:paraId="73800C51">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color w:val="auto"/>
                <w:kern w:val="0"/>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200</w:t>
            </w:r>
          </w:p>
        </w:tc>
        <w:tc>
          <w:tcPr>
            <w:tcW w:w="322" w:type="pct"/>
            <w:tcBorders>
              <w:top w:val="single" w:color="auto" w:sz="4" w:space="0"/>
              <w:left w:val="single" w:color="auto" w:sz="4" w:space="0"/>
              <w:bottom w:val="single" w:color="auto" w:sz="4" w:space="0"/>
              <w:right w:val="single" w:color="auto" w:sz="4" w:space="0"/>
            </w:tcBorders>
          </w:tcPr>
          <w:p w14:paraId="001B7C9F">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564" w:type="pct"/>
            <w:tcBorders>
              <w:top w:val="single" w:color="auto" w:sz="4" w:space="0"/>
              <w:left w:val="single" w:color="auto" w:sz="4" w:space="0"/>
              <w:bottom w:val="single" w:color="auto" w:sz="4" w:space="0"/>
              <w:right w:val="single" w:color="auto" w:sz="4" w:space="0"/>
            </w:tcBorders>
          </w:tcPr>
          <w:p w14:paraId="1E09FBE1">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261" w:type="pct"/>
            <w:tcBorders>
              <w:top w:val="single" w:color="auto" w:sz="4" w:space="0"/>
              <w:left w:val="single" w:color="auto" w:sz="4" w:space="0"/>
              <w:bottom w:val="single" w:color="auto" w:sz="4" w:space="0"/>
              <w:right w:val="single" w:color="auto" w:sz="4" w:space="0"/>
            </w:tcBorders>
            <w:vAlign w:val="center"/>
          </w:tcPr>
          <w:p w14:paraId="431405B7">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r>
      <w:tr w14:paraId="6B897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231" w:type="pct"/>
            <w:tcBorders>
              <w:top w:val="single" w:color="auto" w:sz="4" w:space="0"/>
              <w:left w:val="single" w:color="auto" w:sz="4" w:space="0"/>
              <w:bottom w:val="single" w:color="auto" w:sz="4" w:space="0"/>
              <w:right w:val="single" w:color="auto" w:sz="4" w:space="0"/>
            </w:tcBorders>
            <w:vAlign w:val="center"/>
          </w:tcPr>
          <w:p w14:paraId="5C7B65D9">
            <w:pPr>
              <w:autoSpaceDE w:val="0"/>
              <w:autoSpaceDN w:val="0"/>
              <w:adjustRightInd w:val="0"/>
              <w:snapToGrid/>
              <w:spacing w:line="400" w:lineRule="exact"/>
              <w:jc w:val="center"/>
              <w:outlineLvl w:val="9"/>
              <w:rPr>
                <w:rFonts w:hint="default" w:ascii="宋体" w:hAnsi="宋体" w:eastAsia="宋体" w:cs="宋体"/>
                <w:color w:val="auto"/>
                <w:kern w:val="0"/>
                <w:szCs w:val="21"/>
                <w:highlight w:val="none"/>
                <w:lang w:val="en-US" w:eastAsia="zh-CN"/>
              </w:rPr>
            </w:pPr>
            <w:r>
              <w:rPr>
                <w:rFonts w:hint="eastAsia" w:cs="宋体"/>
                <w:color w:val="auto"/>
                <w:kern w:val="0"/>
                <w:szCs w:val="21"/>
                <w:highlight w:val="none"/>
                <w:lang w:val="en-US" w:eastAsia="zh-CN"/>
              </w:rPr>
              <w:t>19</w:t>
            </w:r>
          </w:p>
        </w:tc>
        <w:tc>
          <w:tcPr>
            <w:tcW w:w="838" w:type="pct"/>
            <w:tcBorders>
              <w:top w:val="single" w:color="auto" w:sz="4" w:space="0"/>
              <w:left w:val="single" w:color="auto" w:sz="4" w:space="0"/>
              <w:bottom w:val="single" w:color="auto" w:sz="4" w:space="0"/>
              <w:right w:val="single" w:color="auto" w:sz="4" w:space="0"/>
            </w:tcBorders>
            <w:vAlign w:val="center"/>
          </w:tcPr>
          <w:p w14:paraId="11D834E5">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color w:val="auto"/>
                <w:kern w:val="0"/>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法兰蝶阀</w:t>
            </w:r>
          </w:p>
        </w:tc>
        <w:tc>
          <w:tcPr>
            <w:tcW w:w="346" w:type="pct"/>
            <w:tcBorders>
              <w:top w:val="single" w:color="auto" w:sz="4" w:space="0"/>
              <w:left w:val="single" w:color="auto" w:sz="4" w:space="0"/>
              <w:bottom w:val="single" w:color="auto" w:sz="4" w:space="0"/>
              <w:right w:val="single" w:color="auto" w:sz="4" w:space="0"/>
            </w:tcBorders>
            <w:vAlign w:val="center"/>
          </w:tcPr>
          <w:p w14:paraId="57556B15">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395" w:type="pct"/>
            <w:tcBorders>
              <w:top w:val="single" w:color="auto" w:sz="4" w:space="0"/>
              <w:left w:val="single" w:color="auto" w:sz="4" w:space="0"/>
              <w:bottom w:val="single" w:color="auto" w:sz="4" w:space="0"/>
              <w:right w:val="single" w:color="auto" w:sz="4" w:space="0"/>
            </w:tcBorders>
            <w:vAlign w:val="center"/>
          </w:tcPr>
          <w:p w14:paraId="5B318FBF">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669" w:type="pct"/>
            <w:tcBorders>
              <w:top w:val="single" w:color="auto" w:sz="4" w:space="0"/>
              <w:left w:val="single" w:color="auto" w:sz="4" w:space="0"/>
              <w:bottom w:val="single" w:color="auto" w:sz="4" w:space="0"/>
              <w:right w:val="single" w:color="auto" w:sz="4" w:space="0"/>
            </w:tcBorders>
            <w:vAlign w:val="center"/>
          </w:tcPr>
          <w:p w14:paraId="21AD4F80">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color w:val="auto"/>
                <w:kern w:val="0"/>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DN125</w:t>
            </w:r>
          </w:p>
        </w:tc>
        <w:tc>
          <w:tcPr>
            <w:tcW w:w="669" w:type="pct"/>
            <w:tcBorders>
              <w:top w:val="single" w:color="auto" w:sz="4" w:space="0"/>
              <w:left w:val="single" w:color="auto" w:sz="4" w:space="0"/>
              <w:bottom w:val="single" w:color="auto" w:sz="4" w:space="0"/>
              <w:right w:val="single" w:color="auto" w:sz="4" w:space="0"/>
            </w:tcBorders>
            <w:vAlign w:val="center"/>
          </w:tcPr>
          <w:p w14:paraId="6B433E3D">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color w:val="auto"/>
                <w:kern w:val="0"/>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330" w:type="pct"/>
            <w:tcBorders>
              <w:top w:val="single" w:color="auto" w:sz="4" w:space="0"/>
              <w:left w:val="single" w:color="auto" w:sz="4" w:space="0"/>
              <w:bottom w:val="single" w:color="auto" w:sz="4" w:space="0"/>
              <w:right w:val="single" w:color="auto" w:sz="4" w:space="0"/>
            </w:tcBorders>
            <w:vAlign w:val="center"/>
          </w:tcPr>
          <w:p w14:paraId="18367DB5">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color w:val="auto"/>
                <w:kern w:val="0"/>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370" w:type="pct"/>
            <w:tcBorders>
              <w:top w:val="single" w:color="auto" w:sz="4" w:space="0"/>
              <w:left w:val="single" w:color="auto" w:sz="4" w:space="0"/>
              <w:bottom w:val="single" w:color="auto" w:sz="4" w:space="0"/>
              <w:right w:val="single" w:color="auto" w:sz="4" w:space="0"/>
            </w:tcBorders>
            <w:vAlign w:val="center"/>
          </w:tcPr>
          <w:p w14:paraId="06F59A74">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color w:val="auto"/>
                <w:kern w:val="0"/>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3</w:t>
            </w:r>
          </w:p>
        </w:tc>
        <w:tc>
          <w:tcPr>
            <w:tcW w:w="322" w:type="pct"/>
            <w:tcBorders>
              <w:top w:val="single" w:color="auto" w:sz="4" w:space="0"/>
              <w:left w:val="single" w:color="auto" w:sz="4" w:space="0"/>
              <w:bottom w:val="single" w:color="auto" w:sz="4" w:space="0"/>
              <w:right w:val="single" w:color="auto" w:sz="4" w:space="0"/>
            </w:tcBorders>
          </w:tcPr>
          <w:p w14:paraId="49A0E7F1">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564" w:type="pct"/>
            <w:tcBorders>
              <w:top w:val="single" w:color="auto" w:sz="4" w:space="0"/>
              <w:left w:val="single" w:color="auto" w:sz="4" w:space="0"/>
              <w:bottom w:val="single" w:color="auto" w:sz="4" w:space="0"/>
              <w:right w:val="single" w:color="auto" w:sz="4" w:space="0"/>
            </w:tcBorders>
          </w:tcPr>
          <w:p w14:paraId="2218A06C">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261" w:type="pct"/>
            <w:tcBorders>
              <w:top w:val="single" w:color="auto" w:sz="4" w:space="0"/>
              <w:left w:val="single" w:color="auto" w:sz="4" w:space="0"/>
              <w:bottom w:val="single" w:color="auto" w:sz="4" w:space="0"/>
              <w:right w:val="single" w:color="auto" w:sz="4" w:space="0"/>
            </w:tcBorders>
            <w:vAlign w:val="center"/>
          </w:tcPr>
          <w:p w14:paraId="7C222548">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r>
      <w:tr w14:paraId="3913B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231" w:type="pct"/>
            <w:tcBorders>
              <w:top w:val="single" w:color="auto" w:sz="4" w:space="0"/>
              <w:left w:val="single" w:color="auto" w:sz="4" w:space="0"/>
              <w:bottom w:val="single" w:color="auto" w:sz="4" w:space="0"/>
              <w:right w:val="single" w:color="auto" w:sz="4" w:space="0"/>
            </w:tcBorders>
            <w:vAlign w:val="center"/>
          </w:tcPr>
          <w:p w14:paraId="619AB209">
            <w:pPr>
              <w:autoSpaceDE w:val="0"/>
              <w:autoSpaceDN w:val="0"/>
              <w:adjustRightInd w:val="0"/>
              <w:snapToGrid/>
              <w:spacing w:line="400" w:lineRule="exact"/>
              <w:jc w:val="center"/>
              <w:outlineLvl w:val="9"/>
              <w:rPr>
                <w:rFonts w:hint="default" w:ascii="宋体" w:hAnsi="宋体" w:eastAsia="宋体" w:cs="宋体"/>
                <w:color w:val="auto"/>
                <w:kern w:val="0"/>
                <w:szCs w:val="21"/>
                <w:highlight w:val="none"/>
                <w:lang w:val="en-US" w:eastAsia="zh-CN"/>
              </w:rPr>
            </w:pPr>
            <w:r>
              <w:rPr>
                <w:rFonts w:hint="eastAsia" w:cs="宋体"/>
                <w:color w:val="auto"/>
                <w:kern w:val="0"/>
                <w:szCs w:val="21"/>
                <w:highlight w:val="none"/>
                <w:lang w:val="en-US" w:eastAsia="zh-CN"/>
              </w:rPr>
              <w:t>20</w:t>
            </w:r>
          </w:p>
        </w:tc>
        <w:tc>
          <w:tcPr>
            <w:tcW w:w="838" w:type="pct"/>
            <w:tcBorders>
              <w:top w:val="single" w:color="auto" w:sz="4" w:space="0"/>
              <w:left w:val="single" w:color="auto" w:sz="4" w:space="0"/>
              <w:bottom w:val="single" w:color="auto" w:sz="4" w:space="0"/>
              <w:right w:val="single" w:color="auto" w:sz="4" w:space="0"/>
            </w:tcBorders>
            <w:vAlign w:val="center"/>
          </w:tcPr>
          <w:p w14:paraId="31C9D807">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color w:val="auto"/>
                <w:kern w:val="0"/>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法兰蝶阀</w:t>
            </w:r>
          </w:p>
        </w:tc>
        <w:tc>
          <w:tcPr>
            <w:tcW w:w="346" w:type="pct"/>
            <w:tcBorders>
              <w:top w:val="single" w:color="auto" w:sz="4" w:space="0"/>
              <w:left w:val="single" w:color="auto" w:sz="4" w:space="0"/>
              <w:bottom w:val="single" w:color="auto" w:sz="4" w:space="0"/>
              <w:right w:val="single" w:color="auto" w:sz="4" w:space="0"/>
            </w:tcBorders>
            <w:vAlign w:val="center"/>
          </w:tcPr>
          <w:p w14:paraId="15D8918D">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395" w:type="pct"/>
            <w:tcBorders>
              <w:top w:val="single" w:color="auto" w:sz="4" w:space="0"/>
              <w:left w:val="single" w:color="auto" w:sz="4" w:space="0"/>
              <w:bottom w:val="single" w:color="auto" w:sz="4" w:space="0"/>
              <w:right w:val="single" w:color="auto" w:sz="4" w:space="0"/>
            </w:tcBorders>
            <w:vAlign w:val="center"/>
          </w:tcPr>
          <w:p w14:paraId="546F6157">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669" w:type="pct"/>
            <w:tcBorders>
              <w:top w:val="single" w:color="auto" w:sz="4" w:space="0"/>
              <w:left w:val="single" w:color="auto" w:sz="4" w:space="0"/>
              <w:bottom w:val="single" w:color="auto" w:sz="4" w:space="0"/>
              <w:right w:val="single" w:color="auto" w:sz="4" w:space="0"/>
            </w:tcBorders>
            <w:vAlign w:val="center"/>
          </w:tcPr>
          <w:p w14:paraId="33476A08">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color w:val="auto"/>
                <w:kern w:val="0"/>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DN150</w:t>
            </w:r>
          </w:p>
        </w:tc>
        <w:tc>
          <w:tcPr>
            <w:tcW w:w="669" w:type="pct"/>
            <w:tcBorders>
              <w:top w:val="single" w:color="auto" w:sz="4" w:space="0"/>
              <w:left w:val="single" w:color="auto" w:sz="4" w:space="0"/>
              <w:bottom w:val="single" w:color="auto" w:sz="4" w:space="0"/>
              <w:right w:val="single" w:color="auto" w:sz="4" w:space="0"/>
            </w:tcBorders>
            <w:vAlign w:val="center"/>
          </w:tcPr>
          <w:p w14:paraId="10A1E4D2">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color w:val="auto"/>
                <w:kern w:val="0"/>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330" w:type="pct"/>
            <w:tcBorders>
              <w:top w:val="single" w:color="auto" w:sz="4" w:space="0"/>
              <w:left w:val="single" w:color="auto" w:sz="4" w:space="0"/>
              <w:bottom w:val="single" w:color="auto" w:sz="4" w:space="0"/>
              <w:right w:val="single" w:color="auto" w:sz="4" w:space="0"/>
            </w:tcBorders>
            <w:vAlign w:val="center"/>
          </w:tcPr>
          <w:p w14:paraId="566C8CC5">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color w:val="auto"/>
                <w:kern w:val="0"/>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370" w:type="pct"/>
            <w:tcBorders>
              <w:top w:val="single" w:color="auto" w:sz="4" w:space="0"/>
              <w:left w:val="single" w:color="auto" w:sz="4" w:space="0"/>
              <w:bottom w:val="single" w:color="auto" w:sz="4" w:space="0"/>
              <w:right w:val="single" w:color="auto" w:sz="4" w:space="0"/>
            </w:tcBorders>
            <w:vAlign w:val="center"/>
          </w:tcPr>
          <w:p w14:paraId="24074D90">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color w:val="auto"/>
                <w:kern w:val="0"/>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120</w:t>
            </w:r>
          </w:p>
        </w:tc>
        <w:tc>
          <w:tcPr>
            <w:tcW w:w="322" w:type="pct"/>
            <w:tcBorders>
              <w:top w:val="single" w:color="auto" w:sz="4" w:space="0"/>
              <w:left w:val="single" w:color="auto" w:sz="4" w:space="0"/>
              <w:bottom w:val="single" w:color="auto" w:sz="4" w:space="0"/>
              <w:right w:val="single" w:color="auto" w:sz="4" w:space="0"/>
            </w:tcBorders>
          </w:tcPr>
          <w:p w14:paraId="5227EAC3">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564" w:type="pct"/>
            <w:tcBorders>
              <w:top w:val="single" w:color="auto" w:sz="4" w:space="0"/>
              <w:left w:val="single" w:color="auto" w:sz="4" w:space="0"/>
              <w:bottom w:val="single" w:color="auto" w:sz="4" w:space="0"/>
              <w:right w:val="single" w:color="auto" w:sz="4" w:space="0"/>
            </w:tcBorders>
          </w:tcPr>
          <w:p w14:paraId="5593F594">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261" w:type="pct"/>
            <w:tcBorders>
              <w:top w:val="single" w:color="auto" w:sz="4" w:space="0"/>
              <w:left w:val="single" w:color="auto" w:sz="4" w:space="0"/>
              <w:bottom w:val="single" w:color="auto" w:sz="4" w:space="0"/>
              <w:right w:val="single" w:color="auto" w:sz="4" w:space="0"/>
            </w:tcBorders>
            <w:vAlign w:val="center"/>
          </w:tcPr>
          <w:p w14:paraId="2AB8361E">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r>
      <w:tr w14:paraId="39290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231" w:type="pct"/>
            <w:tcBorders>
              <w:top w:val="single" w:color="auto" w:sz="4" w:space="0"/>
              <w:left w:val="single" w:color="auto" w:sz="4" w:space="0"/>
              <w:bottom w:val="single" w:color="auto" w:sz="4" w:space="0"/>
              <w:right w:val="single" w:color="auto" w:sz="4" w:space="0"/>
            </w:tcBorders>
            <w:vAlign w:val="center"/>
          </w:tcPr>
          <w:p w14:paraId="6E205A61">
            <w:pPr>
              <w:autoSpaceDE w:val="0"/>
              <w:autoSpaceDN w:val="0"/>
              <w:adjustRightInd w:val="0"/>
              <w:snapToGrid/>
              <w:spacing w:line="400" w:lineRule="exact"/>
              <w:jc w:val="center"/>
              <w:outlineLvl w:val="9"/>
              <w:rPr>
                <w:rFonts w:hint="default" w:ascii="宋体" w:hAnsi="宋体" w:eastAsia="宋体" w:cs="宋体"/>
                <w:color w:val="auto"/>
                <w:kern w:val="0"/>
                <w:szCs w:val="21"/>
                <w:highlight w:val="none"/>
                <w:lang w:val="en-US" w:eastAsia="zh-CN"/>
              </w:rPr>
            </w:pPr>
            <w:r>
              <w:rPr>
                <w:rFonts w:hint="eastAsia" w:cs="宋体"/>
                <w:color w:val="auto"/>
                <w:kern w:val="0"/>
                <w:szCs w:val="21"/>
                <w:highlight w:val="none"/>
                <w:lang w:val="en-US" w:eastAsia="zh-CN"/>
              </w:rPr>
              <w:t>21</w:t>
            </w:r>
          </w:p>
        </w:tc>
        <w:tc>
          <w:tcPr>
            <w:tcW w:w="838" w:type="pct"/>
            <w:tcBorders>
              <w:top w:val="single" w:color="auto" w:sz="4" w:space="0"/>
              <w:left w:val="single" w:color="auto" w:sz="4" w:space="0"/>
              <w:bottom w:val="single" w:color="auto" w:sz="4" w:space="0"/>
              <w:right w:val="single" w:color="auto" w:sz="4" w:space="0"/>
            </w:tcBorders>
            <w:vAlign w:val="center"/>
          </w:tcPr>
          <w:p w14:paraId="5DC11648">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color w:val="auto"/>
                <w:kern w:val="0"/>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法兰蝶阀</w:t>
            </w:r>
          </w:p>
        </w:tc>
        <w:tc>
          <w:tcPr>
            <w:tcW w:w="346" w:type="pct"/>
            <w:tcBorders>
              <w:top w:val="single" w:color="auto" w:sz="4" w:space="0"/>
              <w:left w:val="single" w:color="auto" w:sz="4" w:space="0"/>
              <w:bottom w:val="single" w:color="auto" w:sz="4" w:space="0"/>
              <w:right w:val="single" w:color="auto" w:sz="4" w:space="0"/>
            </w:tcBorders>
            <w:vAlign w:val="center"/>
          </w:tcPr>
          <w:p w14:paraId="16CF3605">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395" w:type="pct"/>
            <w:tcBorders>
              <w:top w:val="single" w:color="auto" w:sz="4" w:space="0"/>
              <w:left w:val="single" w:color="auto" w:sz="4" w:space="0"/>
              <w:bottom w:val="single" w:color="auto" w:sz="4" w:space="0"/>
              <w:right w:val="single" w:color="auto" w:sz="4" w:space="0"/>
            </w:tcBorders>
            <w:vAlign w:val="center"/>
          </w:tcPr>
          <w:p w14:paraId="10ECC718">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669" w:type="pct"/>
            <w:tcBorders>
              <w:top w:val="single" w:color="auto" w:sz="4" w:space="0"/>
              <w:left w:val="single" w:color="auto" w:sz="4" w:space="0"/>
              <w:bottom w:val="single" w:color="auto" w:sz="4" w:space="0"/>
              <w:right w:val="single" w:color="auto" w:sz="4" w:space="0"/>
            </w:tcBorders>
            <w:vAlign w:val="center"/>
          </w:tcPr>
          <w:p w14:paraId="4039B532">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color w:val="auto"/>
                <w:kern w:val="0"/>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DN200</w:t>
            </w:r>
          </w:p>
        </w:tc>
        <w:tc>
          <w:tcPr>
            <w:tcW w:w="669" w:type="pct"/>
            <w:tcBorders>
              <w:top w:val="single" w:color="auto" w:sz="4" w:space="0"/>
              <w:left w:val="single" w:color="auto" w:sz="4" w:space="0"/>
              <w:bottom w:val="single" w:color="auto" w:sz="4" w:space="0"/>
              <w:right w:val="single" w:color="auto" w:sz="4" w:space="0"/>
            </w:tcBorders>
            <w:vAlign w:val="center"/>
          </w:tcPr>
          <w:p w14:paraId="4FCFA658">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color w:val="auto"/>
                <w:kern w:val="0"/>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330" w:type="pct"/>
            <w:tcBorders>
              <w:top w:val="single" w:color="auto" w:sz="4" w:space="0"/>
              <w:left w:val="single" w:color="auto" w:sz="4" w:space="0"/>
              <w:bottom w:val="single" w:color="auto" w:sz="4" w:space="0"/>
              <w:right w:val="single" w:color="auto" w:sz="4" w:space="0"/>
            </w:tcBorders>
            <w:vAlign w:val="center"/>
          </w:tcPr>
          <w:p w14:paraId="297D5AF8">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color w:val="auto"/>
                <w:kern w:val="0"/>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370" w:type="pct"/>
            <w:tcBorders>
              <w:top w:val="single" w:color="auto" w:sz="4" w:space="0"/>
              <w:left w:val="single" w:color="auto" w:sz="4" w:space="0"/>
              <w:bottom w:val="single" w:color="auto" w:sz="4" w:space="0"/>
              <w:right w:val="single" w:color="auto" w:sz="4" w:space="0"/>
            </w:tcBorders>
            <w:vAlign w:val="center"/>
          </w:tcPr>
          <w:p w14:paraId="42EC211F">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color w:val="auto"/>
                <w:kern w:val="0"/>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95</w:t>
            </w:r>
          </w:p>
        </w:tc>
        <w:tc>
          <w:tcPr>
            <w:tcW w:w="322" w:type="pct"/>
            <w:tcBorders>
              <w:top w:val="single" w:color="auto" w:sz="4" w:space="0"/>
              <w:left w:val="single" w:color="auto" w:sz="4" w:space="0"/>
              <w:bottom w:val="single" w:color="auto" w:sz="4" w:space="0"/>
              <w:right w:val="single" w:color="auto" w:sz="4" w:space="0"/>
            </w:tcBorders>
          </w:tcPr>
          <w:p w14:paraId="0367CFD6">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564" w:type="pct"/>
            <w:tcBorders>
              <w:top w:val="single" w:color="auto" w:sz="4" w:space="0"/>
              <w:left w:val="single" w:color="auto" w:sz="4" w:space="0"/>
              <w:bottom w:val="single" w:color="auto" w:sz="4" w:space="0"/>
              <w:right w:val="single" w:color="auto" w:sz="4" w:space="0"/>
            </w:tcBorders>
          </w:tcPr>
          <w:p w14:paraId="45CBD887">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261" w:type="pct"/>
            <w:tcBorders>
              <w:top w:val="single" w:color="auto" w:sz="4" w:space="0"/>
              <w:left w:val="single" w:color="auto" w:sz="4" w:space="0"/>
              <w:bottom w:val="single" w:color="auto" w:sz="4" w:space="0"/>
              <w:right w:val="single" w:color="auto" w:sz="4" w:space="0"/>
            </w:tcBorders>
            <w:vAlign w:val="center"/>
          </w:tcPr>
          <w:p w14:paraId="2633BDC4">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r>
      <w:tr w14:paraId="2AC71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231" w:type="pct"/>
            <w:tcBorders>
              <w:top w:val="single" w:color="auto" w:sz="4" w:space="0"/>
              <w:left w:val="single" w:color="auto" w:sz="4" w:space="0"/>
              <w:bottom w:val="single" w:color="auto" w:sz="4" w:space="0"/>
              <w:right w:val="single" w:color="auto" w:sz="4" w:space="0"/>
            </w:tcBorders>
            <w:vAlign w:val="center"/>
          </w:tcPr>
          <w:p w14:paraId="657459B0">
            <w:pPr>
              <w:autoSpaceDE w:val="0"/>
              <w:autoSpaceDN w:val="0"/>
              <w:adjustRightInd w:val="0"/>
              <w:snapToGrid/>
              <w:spacing w:line="400" w:lineRule="exact"/>
              <w:jc w:val="center"/>
              <w:outlineLvl w:val="9"/>
              <w:rPr>
                <w:rFonts w:hint="default" w:ascii="宋体" w:hAnsi="宋体" w:eastAsia="宋体" w:cs="宋体"/>
                <w:color w:val="auto"/>
                <w:kern w:val="0"/>
                <w:szCs w:val="21"/>
                <w:highlight w:val="none"/>
                <w:lang w:val="en-US" w:eastAsia="zh-CN"/>
              </w:rPr>
            </w:pPr>
            <w:r>
              <w:rPr>
                <w:rFonts w:hint="eastAsia" w:cs="宋体"/>
                <w:color w:val="auto"/>
                <w:kern w:val="0"/>
                <w:szCs w:val="21"/>
                <w:highlight w:val="none"/>
                <w:lang w:val="en-US" w:eastAsia="zh-CN"/>
              </w:rPr>
              <w:t>22</w:t>
            </w:r>
          </w:p>
        </w:tc>
        <w:tc>
          <w:tcPr>
            <w:tcW w:w="838" w:type="pct"/>
            <w:tcBorders>
              <w:top w:val="single" w:color="auto" w:sz="4" w:space="0"/>
              <w:left w:val="single" w:color="auto" w:sz="4" w:space="0"/>
              <w:bottom w:val="single" w:color="auto" w:sz="4" w:space="0"/>
              <w:right w:val="single" w:color="auto" w:sz="4" w:space="0"/>
            </w:tcBorders>
            <w:vAlign w:val="center"/>
          </w:tcPr>
          <w:p w14:paraId="7E446D21">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color w:val="auto"/>
                <w:kern w:val="0"/>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法兰蝶阀</w:t>
            </w:r>
          </w:p>
        </w:tc>
        <w:tc>
          <w:tcPr>
            <w:tcW w:w="346" w:type="pct"/>
            <w:tcBorders>
              <w:top w:val="single" w:color="auto" w:sz="4" w:space="0"/>
              <w:left w:val="single" w:color="auto" w:sz="4" w:space="0"/>
              <w:bottom w:val="single" w:color="auto" w:sz="4" w:space="0"/>
              <w:right w:val="single" w:color="auto" w:sz="4" w:space="0"/>
            </w:tcBorders>
            <w:vAlign w:val="center"/>
          </w:tcPr>
          <w:p w14:paraId="62075B83">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395" w:type="pct"/>
            <w:tcBorders>
              <w:top w:val="single" w:color="auto" w:sz="4" w:space="0"/>
              <w:left w:val="single" w:color="auto" w:sz="4" w:space="0"/>
              <w:bottom w:val="single" w:color="auto" w:sz="4" w:space="0"/>
              <w:right w:val="single" w:color="auto" w:sz="4" w:space="0"/>
            </w:tcBorders>
            <w:vAlign w:val="center"/>
          </w:tcPr>
          <w:p w14:paraId="247FB1ED">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669" w:type="pct"/>
            <w:tcBorders>
              <w:top w:val="single" w:color="auto" w:sz="4" w:space="0"/>
              <w:left w:val="single" w:color="auto" w:sz="4" w:space="0"/>
              <w:bottom w:val="single" w:color="auto" w:sz="4" w:space="0"/>
              <w:right w:val="single" w:color="auto" w:sz="4" w:space="0"/>
            </w:tcBorders>
            <w:vAlign w:val="center"/>
          </w:tcPr>
          <w:p w14:paraId="361B44EA">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color w:val="auto"/>
                <w:kern w:val="0"/>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DN250</w:t>
            </w:r>
          </w:p>
        </w:tc>
        <w:tc>
          <w:tcPr>
            <w:tcW w:w="669" w:type="pct"/>
            <w:tcBorders>
              <w:top w:val="single" w:color="auto" w:sz="4" w:space="0"/>
              <w:left w:val="single" w:color="auto" w:sz="4" w:space="0"/>
              <w:bottom w:val="single" w:color="auto" w:sz="4" w:space="0"/>
              <w:right w:val="single" w:color="auto" w:sz="4" w:space="0"/>
            </w:tcBorders>
            <w:vAlign w:val="center"/>
          </w:tcPr>
          <w:p w14:paraId="30892953">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color w:val="auto"/>
                <w:kern w:val="0"/>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330" w:type="pct"/>
            <w:tcBorders>
              <w:top w:val="single" w:color="auto" w:sz="4" w:space="0"/>
              <w:left w:val="single" w:color="auto" w:sz="4" w:space="0"/>
              <w:bottom w:val="single" w:color="auto" w:sz="4" w:space="0"/>
              <w:right w:val="single" w:color="auto" w:sz="4" w:space="0"/>
            </w:tcBorders>
            <w:vAlign w:val="center"/>
          </w:tcPr>
          <w:p w14:paraId="322967FB">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color w:val="auto"/>
                <w:kern w:val="0"/>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370" w:type="pct"/>
            <w:tcBorders>
              <w:top w:val="single" w:color="auto" w:sz="4" w:space="0"/>
              <w:left w:val="single" w:color="auto" w:sz="4" w:space="0"/>
              <w:bottom w:val="single" w:color="auto" w:sz="4" w:space="0"/>
              <w:right w:val="single" w:color="auto" w:sz="4" w:space="0"/>
            </w:tcBorders>
            <w:vAlign w:val="center"/>
          </w:tcPr>
          <w:p w14:paraId="45C94298">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color w:val="auto"/>
                <w:kern w:val="0"/>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6</w:t>
            </w:r>
          </w:p>
        </w:tc>
        <w:tc>
          <w:tcPr>
            <w:tcW w:w="322" w:type="pct"/>
            <w:tcBorders>
              <w:top w:val="single" w:color="auto" w:sz="4" w:space="0"/>
              <w:left w:val="single" w:color="auto" w:sz="4" w:space="0"/>
              <w:bottom w:val="single" w:color="auto" w:sz="4" w:space="0"/>
              <w:right w:val="single" w:color="auto" w:sz="4" w:space="0"/>
            </w:tcBorders>
          </w:tcPr>
          <w:p w14:paraId="0A8CBC69">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564" w:type="pct"/>
            <w:tcBorders>
              <w:top w:val="single" w:color="auto" w:sz="4" w:space="0"/>
              <w:left w:val="single" w:color="auto" w:sz="4" w:space="0"/>
              <w:bottom w:val="single" w:color="auto" w:sz="4" w:space="0"/>
              <w:right w:val="single" w:color="auto" w:sz="4" w:space="0"/>
            </w:tcBorders>
          </w:tcPr>
          <w:p w14:paraId="54BCE87C">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261" w:type="pct"/>
            <w:tcBorders>
              <w:top w:val="single" w:color="auto" w:sz="4" w:space="0"/>
              <w:left w:val="single" w:color="auto" w:sz="4" w:space="0"/>
              <w:bottom w:val="single" w:color="auto" w:sz="4" w:space="0"/>
              <w:right w:val="single" w:color="auto" w:sz="4" w:space="0"/>
            </w:tcBorders>
            <w:vAlign w:val="center"/>
          </w:tcPr>
          <w:p w14:paraId="56CAE282">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r>
      <w:tr w14:paraId="4F53C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231" w:type="pct"/>
            <w:tcBorders>
              <w:top w:val="single" w:color="auto" w:sz="4" w:space="0"/>
              <w:left w:val="single" w:color="auto" w:sz="4" w:space="0"/>
              <w:bottom w:val="single" w:color="auto" w:sz="4" w:space="0"/>
              <w:right w:val="single" w:color="auto" w:sz="4" w:space="0"/>
            </w:tcBorders>
            <w:vAlign w:val="center"/>
          </w:tcPr>
          <w:p w14:paraId="23D49202">
            <w:pPr>
              <w:autoSpaceDE w:val="0"/>
              <w:autoSpaceDN w:val="0"/>
              <w:adjustRightInd w:val="0"/>
              <w:snapToGrid/>
              <w:spacing w:line="400" w:lineRule="exact"/>
              <w:jc w:val="center"/>
              <w:outlineLvl w:val="9"/>
              <w:rPr>
                <w:rFonts w:hint="default" w:ascii="宋体" w:hAnsi="宋体" w:eastAsia="宋体" w:cs="宋体"/>
                <w:color w:val="auto"/>
                <w:kern w:val="0"/>
                <w:szCs w:val="21"/>
                <w:highlight w:val="none"/>
                <w:lang w:val="en-US" w:eastAsia="zh-CN"/>
              </w:rPr>
            </w:pPr>
            <w:r>
              <w:rPr>
                <w:rFonts w:hint="eastAsia" w:cs="宋体"/>
                <w:color w:val="auto"/>
                <w:kern w:val="0"/>
                <w:szCs w:val="21"/>
                <w:highlight w:val="none"/>
                <w:lang w:val="en-US" w:eastAsia="zh-CN"/>
              </w:rPr>
              <w:t>23</w:t>
            </w:r>
          </w:p>
        </w:tc>
        <w:tc>
          <w:tcPr>
            <w:tcW w:w="838" w:type="pct"/>
            <w:tcBorders>
              <w:top w:val="single" w:color="auto" w:sz="4" w:space="0"/>
              <w:left w:val="single" w:color="auto" w:sz="4" w:space="0"/>
              <w:bottom w:val="single" w:color="auto" w:sz="4" w:space="0"/>
              <w:right w:val="single" w:color="auto" w:sz="4" w:space="0"/>
            </w:tcBorders>
            <w:vAlign w:val="center"/>
          </w:tcPr>
          <w:p w14:paraId="63ED653E">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color w:val="auto"/>
                <w:kern w:val="0"/>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法兰蝶阀</w:t>
            </w:r>
          </w:p>
        </w:tc>
        <w:tc>
          <w:tcPr>
            <w:tcW w:w="346" w:type="pct"/>
            <w:tcBorders>
              <w:top w:val="single" w:color="auto" w:sz="4" w:space="0"/>
              <w:left w:val="single" w:color="auto" w:sz="4" w:space="0"/>
              <w:bottom w:val="single" w:color="auto" w:sz="4" w:space="0"/>
              <w:right w:val="single" w:color="auto" w:sz="4" w:space="0"/>
            </w:tcBorders>
            <w:vAlign w:val="center"/>
          </w:tcPr>
          <w:p w14:paraId="75837B37">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395" w:type="pct"/>
            <w:tcBorders>
              <w:top w:val="single" w:color="auto" w:sz="4" w:space="0"/>
              <w:left w:val="single" w:color="auto" w:sz="4" w:space="0"/>
              <w:bottom w:val="single" w:color="auto" w:sz="4" w:space="0"/>
              <w:right w:val="single" w:color="auto" w:sz="4" w:space="0"/>
            </w:tcBorders>
            <w:vAlign w:val="center"/>
          </w:tcPr>
          <w:p w14:paraId="35DA8BBD">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669" w:type="pct"/>
            <w:tcBorders>
              <w:top w:val="single" w:color="auto" w:sz="4" w:space="0"/>
              <w:left w:val="single" w:color="auto" w:sz="4" w:space="0"/>
              <w:bottom w:val="single" w:color="auto" w:sz="4" w:space="0"/>
              <w:right w:val="single" w:color="auto" w:sz="4" w:space="0"/>
            </w:tcBorders>
            <w:vAlign w:val="center"/>
          </w:tcPr>
          <w:p w14:paraId="672B45AE">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color w:val="auto"/>
                <w:kern w:val="0"/>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DN300</w:t>
            </w:r>
          </w:p>
        </w:tc>
        <w:tc>
          <w:tcPr>
            <w:tcW w:w="669" w:type="pct"/>
            <w:tcBorders>
              <w:top w:val="single" w:color="auto" w:sz="4" w:space="0"/>
              <w:left w:val="single" w:color="auto" w:sz="4" w:space="0"/>
              <w:bottom w:val="single" w:color="auto" w:sz="4" w:space="0"/>
              <w:right w:val="single" w:color="auto" w:sz="4" w:space="0"/>
            </w:tcBorders>
            <w:vAlign w:val="center"/>
          </w:tcPr>
          <w:p w14:paraId="6522C6F5">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color w:val="auto"/>
                <w:kern w:val="0"/>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330" w:type="pct"/>
            <w:tcBorders>
              <w:top w:val="single" w:color="auto" w:sz="4" w:space="0"/>
              <w:left w:val="single" w:color="auto" w:sz="4" w:space="0"/>
              <w:bottom w:val="single" w:color="auto" w:sz="4" w:space="0"/>
              <w:right w:val="single" w:color="auto" w:sz="4" w:space="0"/>
            </w:tcBorders>
            <w:vAlign w:val="center"/>
          </w:tcPr>
          <w:p w14:paraId="581769F6">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color w:val="auto"/>
                <w:kern w:val="0"/>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370" w:type="pct"/>
            <w:tcBorders>
              <w:top w:val="single" w:color="auto" w:sz="4" w:space="0"/>
              <w:left w:val="single" w:color="auto" w:sz="4" w:space="0"/>
              <w:bottom w:val="single" w:color="auto" w:sz="4" w:space="0"/>
              <w:right w:val="single" w:color="auto" w:sz="4" w:space="0"/>
            </w:tcBorders>
            <w:vAlign w:val="center"/>
          </w:tcPr>
          <w:p w14:paraId="3909A21B">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color w:val="auto"/>
                <w:kern w:val="0"/>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84</w:t>
            </w:r>
          </w:p>
        </w:tc>
        <w:tc>
          <w:tcPr>
            <w:tcW w:w="322" w:type="pct"/>
            <w:tcBorders>
              <w:top w:val="single" w:color="auto" w:sz="4" w:space="0"/>
              <w:left w:val="single" w:color="auto" w:sz="4" w:space="0"/>
              <w:bottom w:val="single" w:color="auto" w:sz="4" w:space="0"/>
              <w:right w:val="single" w:color="auto" w:sz="4" w:space="0"/>
            </w:tcBorders>
          </w:tcPr>
          <w:p w14:paraId="0D2A86BE">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564" w:type="pct"/>
            <w:tcBorders>
              <w:top w:val="single" w:color="auto" w:sz="4" w:space="0"/>
              <w:left w:val="single" w:color="auto" w:sz="4" w:space="0"/>
              <w:bottom w:val="single" w:color="auto" w:sz="4" w:space="0"/>
              <w:right w:val="single" w:color="auto" w:sz="4" w:space="0"/>
            </w:tcBorders>
          </w:tcPr>
          <w:p w14:paraId="3F5EEBE5">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261" w:type="pct"/>
            <w:tcBorders>
              <w:top w:val="single" w:color="auto" w:sz="4" w:space="0"/>
              <w:left w:val="single" w:color="auto" w:sz="4" w:space="0"/>
              <w:bottom w:val="single" w:color="auto" w:sz="4" w:space="0"/>
              <w:right w:val="single" w:color="auto" w:sz="4" w:space="0"/>
            </w:tcBorders>
            <w:vAlign w:val="center"/>
          </w:tcPr>
          <w:p w14:paraId="0758CA4D">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r>
      <w:tr w14:paraId="28DC4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231" w:type="pct"/>
            <w:tcBorders>
              <w:top w:val="single" w:color="auto" w:sz="4" w:space="0"/>
              <w:left w:val="single" w:color="auto" w:sz="4" w:space="0"/>
              <w:bottom w:val="single" w:color="auto" w:sz="4" w:space="0"/>
              <w:right w:val="single" w:color="auto" w:sz="4" w:space="0"/>
            </w:tcBorders>
            <w:vAlign w:val="center"/>
          </w:tcPr>
          <w:p w14:paraId="39ACF00E">
            <w:pPr>
              <w:autoSpaceDE w:val="0"/>
              <w:autoSpaceDN w:val="0"/>
              <w:adjustRightInd w:val="0"/>
              <w:snapToGrid/>
              <w:spacing w:line="400" w:lineRule="exact"/>
              <w:jc w:val="center"/>
              <w:outlineLvl w:val="9"/>
              <w:rPr>
                <w:rFonts w:hint="default" w:ascii="宋体" w:hAnsi="宋体" w:eastAsia="宋体" w:cs="宋体"/>
                <w:color w:val="auto"/>
                <w:kern w:val="0"/>
                <w:szCs w:val="21"/>
                <w:highlight w:val="none"/>
                <w:lang w:val="en-US" w:eastAsia="zh-CN"/>
              </w:rPr>
            </w:pPr>
            <w:r>
              <w:rPr>
                <w:rFonts w:hint="eastAsia" w:cs="宋体"/>
                <w:color w:val="auto"/>
                <w:kern w:val="0"/>
                <w:szCs w:val="21"/>
                <w:highlight w:val="none"/>
                <w:lang w:val="en-US" w:eastAsia="zh-CN"/>
              </w:rPr>
              <w:t>24</w:t>
            </w:r>
          </w:p>
        </w:tc>
        <w:tc>
          <w:tcPr>
            <w:tcW w:w="838" w:type="pct"/>
            <w:tcBorders>
              <w:top w:val="single" w:color="auto" w:sz="4" w:space="0"/>
              <w:left w:val="single" w:color="auto" w:sz="4" w:space="0"/>
              <w:bottom w:val="single" w:color="auto" w:sz="4" w:space="0"/>
              <w:right w:val="single" w:color="auto" w:sz="4" w:space="0"/>
            </w:tcBorders>
            <w:vAlign w:val="center"/>
          </w:tcPr>
          <w:p w14:paraId="327221E0">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color w:val="auto"/>
                <w:kern w:val="0"/>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法兰蝶阀</w:t>
            </w:r>
          </w:p>
        </w:tc>
        <w:tc>
          <w:tcPr>
            <w:tcW w:w="346" w:type="pct"/>
            <w:tcBorders>
              <w:top w:val="single" w:color="auto" w:sz="4" w:space="0"/>
              <w:left w:val="single" w:color="auto" w:sz="4" w:space="0"/>
              <w:bottom w:val="single" w:color="auto" w:sz="4" w:space="0"/>
              <w:right w:val="single" w:color="auto" w:sz="4" w:space="0"/>
            </w:tcBorders>
            <w:vAlign w:val="center"/>
          </w:tcPr>
          <w:p w14:paraId="5670BAF7">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395" w:type="pct"/>
            <w:tcBorders>
              <w:top w:val="single" w:color="auto" w:sz="4" w:space="0"/>
              <w:left w:val="single" w:color="auto" w:sz="4" w:space="0"/>
              <w:bottom w:val="single" w:color="auto" w:sz="4" w:space="0"/>
              <w:right w:val="single" w:color="auto" w:sz="4" w:space="0"/>
            </w:tcBorders>
            <w:vAlign w:val="center"/>
          </w:tcPr>
          <w:p w14:paraId="38B7AC96">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669" w:type="pct"/>
            <w:tcBorders>
              <w:top w:val="single" w:color="auto" w:sz="4" w:space="0"/>
              <w:left w:val="single" w:color="auto" w:sz="4" w:space="0"/>
              <w:bottom w:val="single" w:color="auto" w:sz="4" w:space="0"/>
              <w:right w:val="single" w:color="auto" w:sz="4" w:space="0"/>
            </w:tcBorders>
            <w:vAlign w:val="center"/>
          </w:tcPr>
          <w:p w14:paraId="41F24967">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color w:val="auto"/>
                <w:kern w:val="0"/>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DN350</w:t>
            </w:r>
          </w:p>
        </w:tc>
        <w:tc>
          <w:tcPr>
            <w:tcW w:w="669" w:type="pct"/>
            <w:tcBorders>
              <w:top w:val="single" w:color="auto" w:sz="4" w:space="0"/>
              <w:left w:val="single" w:color="auto" w:sz="4" w:space="0"/>
              <w:bottom w:val="single" w:color="auto" w:sz="4" w:space="0"/>
              <w:right w:val="single" w:color="auto" w:sz="4" w:space="0"/>
            </w:tcBorders>
            <w:vAlign w:val="center"/>
          </w:tcPr>
          <w:p w14:paraId="78523ACF">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color w:val="auto"/>
                <w:kern w:val="0"/>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330" w:type="pct"/>
            <w:tcBorders>
              <w:top w:val="single" w:color="auto" w:sz="4" w:space="0"/>
              <w:left w:val="single" w:color="auto" w:sz="4" w:space="0"/>
              <w:bottom w:val="single" w:color="auto" w:sz="4" w:space="0"/>
              <w:right w:val="single" w:color="auto" w:sz="4" w:space="0"/>
            </w:tcBorders>
            <w:vAlign w:val="center"/>
          </w:tcPr>
          <w:p w14:paraId="12FE8D9E">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color w:val="auto"/>
                <w:kern w:val="0"/>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370" w:type="pct"/>
            <w:tcBorders>
              <w:top w:val="single" w:color="auto" w:sz="4" w:space="0"/>
              <w:left w:val="single" w:color="auto" w:sz="4" w:space="0"/>
              <w:bottom w:val="single" w:color="auto" w:sz="4" w:space="0"/>
              <w:right w:val="single" w:color="auto" w:sz="4" w:space="0"/>
            </w:tcBorders>
            <w:vAlign w:val="center"/>
          </w:tcPr>
          <w:p w14:paraId="7F318DFB">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color w:val="auto"/>
                <w:kern w:val="0"/>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3</w:t>
            </w:r>
          </w:p>
        </w:tc>
        <w:tc>
          <w:tcPr>
            <w:tcW w:w="322" w:type="pct"/>
            <w:tcBorders>
              <w:top w:val="single" w:color="auto" w:sz="4" w:space="0"/>
              <w:left w:val="single" w:color="auto" w:sz="4" w:space="0"/>
              <w:bottom w:val="single" w:color="auto" w:sz="4" w:space="0"/>
              <w:right w:val="single" w:color="auto" w:sz="4" w:space="0"/>
            </w:tcBorders>
          </w:tcPr>
          <w:p w14:paraId="75C779B0">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564" w:type="pct"/>
            <w:tcBorders>
              <w:top w:val="single" w:color="auto" w:sz="4" w:space="0"/>
              <w:left w:val="single" w:color="auto" w:sz="4" w:space="0"/>
              <w:bottom w:val="single" w:color="auto" w:sz="4" w:space="0"/>
              <w:right w:val="single" w:color="auto" w:sz="4" w:space="0"/>
            </w:tcBorders>
          </w:tcPr>
          <w:p w14:paraId="41446425">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261" w:type="pct"/>
            <w:tcBorders>
              <w:top w:val="single" w:color="auto" w:sz="4" w:space="0"/>
              <w:left w:val="single" w:color="auto" w:sz="4" w:space="0"/>
              <w:bottom w:val="single" w:color="auto" w:sz="4" w:space="0"/>
              <w:right w:val="single" w:color="auto" w:sz="4" w:space="0"/>
            </w:tcBorders>
            <w:vAlign w:val="center"/>
          </w:tcPr>
          <w:p w14:paraId="0FFF9D22">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r>
      <w:tr w14:paraId="41482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231" w:type="pct"/>
            <w:tcBorders>
              <w:top w:val="single" w:color="auto" w:sz="4" w:space="0"/>
              <w:left w:val="single" w:color="auto" w:sz="4" w:space="0"/>
              <w:bottom w:val="single" w:color="auto" w:sz="4" w:space="0"/>
              <w:right w:val="single" w:color="auto" w:sz="4" w:space="0"/>
            </w:tcBorders>
            <w:vAlign w:val="center"/>
          </w:tcPr>
          <w:p w14:paraId="7DC3EA4C">
            <w:pPr>
              <w:autoSpaceDE w:val="0"/>
              <w:autoSpaceDN w:val="0"/>
              <w:adjustRightInd w:val="0"/>
              <w:snapToGrid/>
              <w:spacing w:line="400" w:lineRule="exact"/>
              <w:jc w:val="center"/>
              <w:outlineLvl w:val="9"/>
              <w:rPr>
                <w:rFonts w:hint="default" w:ascii="宋体" w:hAnsi="宋体" w:eastAsia="宋体" w:cs="宋体"/>
                <w:color w:val="auto"/>
                <w:kern w:val="0"/>
                <w:szCs w:val="21"/>
                <w:highlight w:val="none"/>
                <w:lang w:val="en-US" w:eastAsia="zh-CN"/>
              </w:rPr>
            </w:pPr>
            <w:r>
              <w:rPr>
                <w:rFonts w:hint="eastAsia" w:cs="宋体"/>
                <w:color w:val="auto"/>
                <w:kern w:val="0"/>
                <w:szCs w:val="21"/>
                <w:highlight w:val="none"/>
                <w:lang w:val="en-US" w:eastAsia="zh-CN"/>
              </w:rPr>
              <w:t>25</w:t>
            </w:r>
          </w:p>
        </w:tc>
        <w:tc>
          <w:tcPr>
            <w:tcW w:w="838" w:type="pct"/>
            <w:tcBorders>
              <w:top w:val="single" w:color="auto" w:sz="4" w:space="0"/>
              <w:left w:val="single" w:color="auto" w:sz="4" w:space="0"/>
              <w:bottom w:val="single" w:color="auto" w:sz="4" w:space="0"/>
              <w:right w:val="single" w:color="auto" w:sz="4" w:space="0"/>
            </w:tcBorders>
            <w:vAlign w:val="center"/>
          </w:tcPr>
          <w:p w14:paraId="20B9A44D">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color w:val="auto"/>
                <w:kern w:val="0"/>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法兰蝶阀</w:t>
            </w:r>
          </w:p>
        </w:tc>
        <w:tc>
          <w:tcPr>
            <w:tcW w:w="346" w:type="pct"/>
            <w:tcBorders>
              <w:top w:val="single" w:color="auto" w:sz="4" w:space="0"/>
              <w:left w:val="single" w:color="auto" w:sz="4" w:space="0"/>
              <w:bottom w:val="single" w:color="auto" w:sz="4" w:space="0"/>
              <w:right w:val="single" w:color="auto" w:sz="4" w:space="0"/>
            </w:tcBorders>
            <w:vAlign w:val="center"/>
          </w:tcPr>
          <w:p w14:paraId="686F302D">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395" w:type="pct"/>
            <w:tcBorders>
              <w:top w:val="single" w:color="auto" w:sz="4" w:space="0"/>
              <w:left w:val="single" w:color="auto" w:sz="4" w:space="0"/>
              <w:bottom w:val="single" w:color="auto" w:sz="4" w:space="0"/>
              <w:right w:val="single" w:color="auto" w:sz="4" w:space="0"/>
            </w:tcBorders>
            <w:vAlign w:val="center"/>
          </w:tcPr>
          <w:p w14:paraId="2E15ADEE">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669" w:type="pct"/>
            <w:tcBorders>
              <w:top w:val="single" w:color="auto" w:sz="4" w:space="0"/>
              <w:left w:val="single" w:color="auto" w:sz="4" w:space="0"/>
              <w:bottom w:val="single" w:color="auto" w:sz="4" w:space="0"/>
              <w:right w:val="single" w:color="auto" w:sz="4" w:space="0"/>
            </w:tcBorders>
            <w:vAlign w:val="center"/>
          </w:tcPr>
          <w:p w14:paraId="1497BF07">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color w:val="auto"/>
                <w:kern w:val="0"/>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DN400</w:t>
            </w:r>
          </w:p>
        </w:tc>
        <w:tc>
          <w:tcPr>
            <w:tcW w:w="669" w:type="pct"/>
            <w:tcBorders>
              <w:top w:val="single" w:color="auto" w:sz="4" w:space="0"/>
              <w:left w:val="single" w:color="auto" w:sz="4" w:space="0"/>
              <w:bottom w:val="single" w:color="auto" w:sz="4" w:space="0"/>
              <w:right w:val="single" w:color="auto" w:sz="4" w:space="0"/>
            </w:tcBorders>
            <w:vAlign w:val="center"/>
          </w:tcPr>
          <w:p w14:paraId="3A3575BF">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color w:val="auto"/>
                <w:kern w:val="0"/>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330" w:type="pct"/>
            <w:tcBorders>
              <w:top w:val="single" w:color="auto" w:sz="4" w:space="0"/>
              <w:left w:val="single" w:color="auto" w:sz="4" w:space="0"/>
              <w:bottom w:val="single" w:color="auto" w:sz="4" w:space="0"/>
              <w:right w:val="single" w:color="auto" w:sz="4" w:space="0"/>
            </w:tcBorders>
            <w:vAlign w:val="center"/>
          </w:tcPr>
          <w:p w14:paraId="69A7253C">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color w:val="auto"/>
                <w:kern w:val="0"/>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370" w:type="pct"/>
            <w:tcBorders>
              <w:top w:val="single" w:color="auto" w:sz="4" w:space="0"/>
              <w:left w:val="single" w:color="auto" w:sz="4" w:space="0"/>
              <w:bottom w:val="single" w:color="auto" w:sz="4" w:space="0"/>
              <w:right w:val="single" w:color="auto" w:sz="4" w:space="0"/>
            </w:tcBorders>
            <w:vAlign w:val="center"/>
          </w:tcPr>
          <w:p w14:paraId="5F8F2096">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color w:val="auto"/>
                <w:kern w:val="0"/>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49</w:t>
            </w:r>
          </w:p>
        </w:tc>
        <w:tc>
          <w:tcPr>
            <w:tcW w:w="322" w:type="pct"/>
            <w:tcBorders>
              <w:top w:val="single" w:color="auto" w:sz="4" w:space="0"/>
              <w:left w:val="single" w:color="auto" w:sz="4" w:space="0"/>
              <w:bottom w:val="single" w:color="auto" w:sz="4" w:space="0"/>
              <w:right w:val="single" w:color="auto" w:sz="4" w:space="0"/>
            </w:tcBorders>
          </w:tcPr>
          <w:p w14:paraId="340939F8">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564" w:type="pct"/>
            <w:tcBorders>
              <w:top w:val="single" w:color="auto" w:sz="4" w:space="0"/>
              <w:left w:val="single" w:color="auto" w:sz="4" w:space="0"/>
              <w:bottom w:val="single" w:color="auto" w:sz="4" w:space="0"/>
              <w:right w:val="single" w:color="auto" w:sz="4" w:space="0"/>
            </w:tcBorders>
          </w:tcPr>
          <w:p w14:paraId="61C9AC99">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261" w:type="pct"/>
            <w:tcBorders>
              <w:top w:val="single" w:color="auto" w:sz="4" w:space="0"/>
              <w:left w:val="single" w:color="auto" w:sz="4" w:space="0"/>
              <w:bottom w:val="single" w:color="auto" w:sz="4" w:space="0"/>
              <w:right w:val="single" w:color="auto" w:sz="4" w:space="0"/>
            </w:tcBorders>
            <w:vAlign w:val="center"/>
          </w:tcPr>
          <w:p w14:paraId="3ABB3B77">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r>
      <w:tr w14:paraId="3F0F3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231" w:type="pct"/>
            <w:tcBorders>
              <w:top w:val="single" w:color="auto" w:sz="4" w:space="0"/>
              <w:left w:val="single" w:color="auto" w:sz="4" w:space="0"/>
              <w:bottom w:val="single" w:color="auto" w:sz="4" w:space="0"/>
              <w:right w:val="single" w:color="auto" w:sz="4" w:space="0"/>
            </w:tcBorders>
            <w:vAlign w:val="center"/>
          </w:tcPr>
          <w:p w14:paraId="3BBF8C2C">
            <w:pPr>
              <w:autoSpaceDE w:val="0"/>
              <w:autoSpaceDN w:val="0"/>
              <w:adjustRightInd w:val="0"/>
              <w:snapToGrid/>
              <w:spacing w:line="400" w:lineRule="exact"/>
              <w:jc w:val="center"/>
              <w:outlineLvl w:val="9"/>
              <w:rPr>
                <w:rFonts w:hint="default" w:ascii="宋体" w:hAnsi="宋体" w:eastAsia="宋体" w:cs="宋体"/>
                <w:color w:val="auto"/>
                <w:kern w:val="0"/>
                <w:szCs w:val="21"/>
                <w:highlight w:val="none"/>
                <w:lang w:val="en-US" w:eastAsia="zh-CN"/>
              </w:rPr>
            </w:pPr>
            <w:r>
              <w:rPr>
                <w:rFonts w:hint="eastAsia" w:cs="宋体"/>
                <w:color w:val="auto"/>
                <w:kern w:val="0"/>
                <w:szCs w:val="21"/>
                <w:highlight w:val="none"/>
                <w:lang w:val="en-US" w:eastAsia="zh-CN"/>
              </w:rPr>
              <w:t>26</w:t>
            </w:r>
          </w:p>
        </w:tc>
        <w:tc>
          <w:tcPr>
            <w:tcW w:w="838" w:type="pct"/>
            <w:tcBorders>
              <w:top w:val="single" w:color="auto" w:sz="4" w:space="0"/>
              <w:left w:val="single" w:color="auto" w:sz="4" w:space="0"/>
              <w:bottom w:val="single" w:color="auto" w:sz="4" w:space="0"/>
              <w:right w:val="single" w:color="auto" w:sz="4" w:space="0"/>
            </w:tcBorders>
            <w:vAlign w:val="center"/>
          </w:tcPr>
          <w:p w14:paraId="504EFF04">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color w:val="auto"/>
                <w:kern w:val="0"/>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法兰蝶阀</w:t>
            </w:r>
          </w:p>
        </w:tc>
        <w:tc>
          <w:tcPr>
            <w:tcW w:w="346" w:type="pct"/>
            <w:tcBorders>
              <w:top w:val="single" w:color="auto" w:sz="4" w:space="0"/>
              <w:left w:val="single" w:color="auto" w:sz="4" w:space="0"/>
              <w:bottom w:val="single" w:color="auto" w:sz="4" w:space="0"/>
              <w:right w:val="single" w:color="auto" w:sz="4" w:space="0"/>
            </w:tcBorders>
            <w:vAlign w:val="center"/>
          </w:tcPr>
          <w:p w14:paraId="5954E40F">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395" w:type="pct"/>
            <w:tcBorders>
              <w:top w:val="single" w:color="auto" w:sz="4" w:space="0"/>
              <w:left w:val="single" w:color="auto" w:sz="4" w:space="0"/>
              <w:bottom w:val="single" w:color="auto" w:sz="4" w:space="0"/>
              <w:right w:val="single" w:color="auto" w:sz="4" w:space="0"/>
            </w:tcBorders>
            <w:vAlign w:val="center"/>
          </w:tcPr>
          <w:p w14:paraId="63819B1F">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669" w:type="pct"/>
            <w:tcBorders>
              <w:top w:val="single" w:color="auto" w:sz="4" w:space="0"/>
              <w:left w:val="single" w:color="auto" w:sz="4" w:space="0"/>
              <w:bottom w:val="single" w:color="auto" w:sz="4" w:space="0"/>
              <w:right w:val="single" w:color="auto" w:sz="4" w:space="0"/>
            </w:tcBorders>
            <w:vAlign w:val="center"/>
          </w:tcPr>
          <w:p w14:paraId="29E5F24C">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color w:val="auto"/>
                <w:kern w:val="0"/>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DN450</w:t>
            </w:r>
          </w:p>
        </w:tc>
        <w:tc>
          <w:tcPr>
            <w:tcW w:w="669" w:type="pct"/>
            <w:tcBorders>
              <w:top w:val="single" w:color="auto" w:sz="4" w:space="0"/>
              <w:left w:val="single" w:color="auto" w:sz="4" w:space="0"/>
              <w:bottom w:val="single" w:color="auto" w:sz="4" w:space="0"/>
              <w:right w:val="single" w:color="auto" w:sz="4" w:space="0"/>
            </w:tcBorders>
            <w:vAlign w:val="center"/>
          </w:tcPr>
          <w:p w14:paraId="2ED87C72">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color w:val="auto"/>
                <w:kern w:val="0"/>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330" w:type="pct"/>
            <w:tcBorders>
              <w:top w:val="single" w:color="auto" w:sz="4" w:space="0"/>
              <w:left w:val="single" w:color="auto" w:sz="4" w:space="0"/>
              <w:bottom w:val="single" w:color="auto" w:sz="4" w:space="0"/>
              <w:right w:val="single" w:color="auto" w:sz="4" w:space="0"/>
            </w:tcBorders>
            <w:vAlign w:val="center"/>
          </w:tcPr>
          <w:p w14:paraId="7E088BC4">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color w:val="auto"/>
                <w:kern w:val="0"/>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370" w:type="pct"/>
            <w:tcBorders>
              <w:top w:val="single" w:color="auto" w:sz="4" w:space="0"/>
              <w:left w:val="single" w:color="auto" w:sz="4" w:space="0"/>
              <w:bottom w:val="single" w:color="auto" w:sz="4" w:space="0"/>
              <w:right w:val="single" w:color="auto" w:sz="4" w:space="0"/>
            </w:tcBorders>
            <w:vAlign w:val="center"/>
          </w:tcPr>
          <w:p w14:paraId="7BE53FCF">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color w:val="auto"/>
                <w:kern w:val="0"/>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3</w:t>
            </w:r>
          </w:p>
        </w:tc>
        <w:tc>
          <w:tcPr>
            <w:tcW w:w="322" w:type="pct"/>
            <w:tcBorders>
              <w:top w:val="single" w:color="auto" w:sz="4" w:space="0"/>
              <w:left w:val="single" w:color="auto" w:sz="4" w:space="0"/>
              <w:bottom w:val="single" w:color="auto" w:sz="4" w:space="0"/>
              <w:right w:val="single" w:color="auto" w:sz="4" w:space="0"/>
            </w:tcBorders>
          </w:tcPr>
          <w:p w14:paraId="2B3857CD">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564" w:type="pct"/>
            <w:tcBorders>
              <w:top w:val="single" w:color="auto" w:sz="4" w:space="0"/>
              <w:left w:val="single" w:color="auto" w:sz="4" w:space="0"/>
              <w:bottom w:val="single" w:color="auto" w:sz="4" w:space="0"/>
              <w:right w:val="single" w:color="auto" w:sz="4" w:space="0"/>
            </w:tcBorders>
          </w:tcPr>
          <w:p w14:paraId="1C1769CE">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261" w:type="pct"/>
            <w:tcBorders>
              <w:top w:val="single" w:color="auto" w:sz="4" w:space="0"/>
              <w:left w:val="single" w:color="auto" w:sz="4" w:space="0"/>
              <w:bottom w:val="single" w:color="auto" w:sz="4" w:space="0"/>
              <w:right w:val="single" w:color="auto" w:sz="4" w:space="0"/>
            </w:tcBorders>
            <w:vAlign w:val="center"/>
          </w:tcPr>
          <w:p w14:paraId="6B6DE860">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r>
      <w:tr w14:paraId="56938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231" w:type="pct"/>
            <w:tcBorders>
              <w:top w:val="single" w:color="auto" w:sz="4" w:space="0"/>
              <w:left w:val="single" w:color="auto" w:sz="4" w:space="0"/>
              <w:bottom w:val="single" w:color="auto" w:sz="4" w:space="0"/>
              <w:right w:val="single" w:color="auto" w:sz="4" w:space="0"/>
            </w:tcBorders>
            <w:vAlign w:val="center"/>
          </w:tcPr>
          <w:p w14:paraId="2D0B39C5">
            <w:pPr>
              <w:autoSpaceDE w:val="0"/>
              <w:autoSpaceDN w:val="0"/>
              <w:adjustRightInd w:val="0"/>
              <w:snapToGrid/>
              <w:spacing w:line="400" w:lineRule="exact"/>
              <w:jc w:val="center"/>
              <w:outlineLvl w:val="9"/>
              <w:rPr>
                <w:rFonts w:hint="default" w:ascii="宋体" w:hAnsi="宋体" w:eastAsia="宋体" w:cs="宋体"/>
                <w:color w:val="auto"/>
                <w:kern w:val="0"/>
                <w:szCs w:val="21"/>
                <w:highlight w:val="none"/>
                <w:lang w:val="en-US" w:eastAsia="zh-CN"/>
              </w:rPr>
            </w:pPr>
            <w:r>
              <w:rPr>
                <w:rFonts w:hint="eastAsia" w:cs="宋体"/>
                <w:color w:val="auto"/>
                <w:kern w:val="0"/>
                <w:szCs w:val="21"/>
                <w:highlight w:val="none"/>
                <w:lang w:val="en-US" w:eastAsia="zh-CN"/>
              </w:rPr>
              <w:t>27</w:t>
            </w:r>
          </w:p>
        </w:tc>
        <w:tc>
          <w:tcPr>
            <w:tcW w:w="838" w:type="pct"/>
            <w:tcBorders>
              <w:top w:val="single" w:color="auto" w:sz="4" w:space="0"/>
              <w:left w:val="single" w:color="auto" w:sz="4" w:space="0"/>
              <w:bottom w:val="single" w:color="auto" w:sz="4" w:space="0"/>
              <w:right w:val="single" w:color="auto" w:sz="4" w:space="0"/>
            </w:tcBorders>
            <w:vAlign w:val="center"/>
          </w:tcPr>
          <w:p w14:paraId="24BFBF64">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color w:val="auto"/>
                <w:kern w:val="0"/>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法兰蝶阀</w:t>
            </w:r>
          </w:p>
        </w:tc>
        <w:tc>
          <w:tcPr>
            <w:tcW w:w="346" w:type="pct"/>
            <w:tcBorders>
              <w:top w:val="single" w:color="auto" w:sz="4" w:space="0"/>
              <w:left w:val="single" w:color="auto" w:sz="4" w:space="0"/>
              <w:bottom w:val="single" w:color="auto" w:sz="4" w:space="0"/>
              <w:right w:val="single" w:color="auto" w:sz="4" w:space="0"/>
            </w:tcBorders>
            <w:vAlign w:val="center"/>
          </w:tcPr>
          <w:p w14:paraId="11361C5F">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395" w:type="pct"/>
            <w:tcBorders>
              <w:top w:val="single" w:color="auto" w:sz="4" w:space="0"/>
              <w:left w:val="single" w:color="auto" w:sz="4" w:space="0"/>
              <w:bottom w:val="single" w:color="auto" w:sz="4" w:space="0"/>
              <w:right w:val="single" w:color="auto" w:sz="4" w:space="0"/>
            </w:tcBorders>
            <w:vAlign w:val="center"/>
          </w:tcPr>
          <w:p w14:paraId="242CFE30">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669" w:type="pct"/>
            <w:tcBorders>
              <w:top w:val="single" w:color="auto" w:sz="4" w:space="0"/>
              <w:left w:val="single" w:color="auto" w:sz="4" w:space="0"/>
              <w:bottom w:val="single" w:color="auto" w:sz="4" w:space="0"/>
              <w:right w:val="single" w:color="auto" w:sz="4" w:space="0"/>
            </w:tcBorders>
            <w:vAlign w:val="center"/>
          </w:tcPr>
          <w:p w14:paraId="7CA80D5B">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color w:val="auto"/>
                <w:kern w:val="0"/>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DN500</w:t>
            </w:r>
          </w:p>
        </w:tc>
        <w:tc>
          <w:tcPr>
            <w:tcW w:w="669" w:type="pct"/>
            <w:tcBorders>
              <w:top w:val="single" w:color="auto" w:sz="4" w:space="0"/>
              <w:left w:val="single" w:color="auto" w:sz="4" w:space="0"/>
              <w:bottom w:val="single" w:color="auto" w:sz="4" w:space="0"/>
              <w:right w:val="single" w:color="auto" w:sz="4" w:space="0"/>
            </w:tcBorders>
            <w:vAlign w:val="center"/>
          </w:tcPr>
          <w:p w14:paraId="24491C55">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color w:val="auto"/>
                <w:kern w:val="0"/>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330" w:type="pct"/>
            <w:tcBorders>
              <w:top w:val="single" w:color="auto" w:sz="4" w:space="0"/>
              <w:left w:val="single" w:color="auto" w:sz="4" w:space="0"/>
              <w:bottom w:val="single" w:color="auto" w:sz="4" w:space="0"/>
              <w:right w:val="single" w:color="auto" w:sz="4" w:space="0"/>
            </w:tcBorders>
            <w:vAlign w:val="center"/>
          </w:tcPr>
          <w:p w14:paraId="04143753">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color w:val="auto"/>
                <w:kern w:val="0"/>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370" w:type="pct"/>
            <w:tcBorders>
              <w:top w:val="single" w:color="auto" w:sz="4" w:space="0"/>
              <w:left w:val="single" w:color="auto" w:sz="4" w:space="0"/>
              <w:bottom w:val="single" w:color="auto" w:sz="4" w:space="0"/>
              <w:right w:val="single" w:color="auto" w:sz="4" w:space="0"/>
            </w:tcBorders>
            <w:vAlign w:val="center"/>
          </w:tcPr>
          <w:p w14:paraId="2E41D1F2">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color w:val="auto"/>
                <w:kern w:val="0"/>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11</w:t>
            </w:r>
          </w:p>
        </w:tc>
        <w:tc>
          <w:tcPr>
            <w:tcW w:w="322" w:type="pct"/>
            <w:tcBorders>
              <w:top w:val="single" w:color="auto" w:sz="4" w:space="0"/>
              <w:left w:val="single" w:color="auto" w:sz="4" w:space="0"/>
              <w:bottom w:val="single" w:color="auto" w:sz="4" w:space="0"/>
              <w:right w:val="single" w:color="auto" w:sz="4" w:space="0"/>
            </w:tcBorders>
          </w:tcPr>
          <w:p w14:paraId="0F997049">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564" w:type="pct"/>
            <w:tcBorders>
              <w:top w:val="single" w:color="auto" w:sz="4" w:space="0"/>
              <w:left w:val="single" w:color="auto" w:sz="4" w:space="0"/>
              <w:bottom w:val="single" w:color="auto" w:sz="4" w:space="0"/>
              <w:right w:val="single" w:color="auto" w:sz="4" w:space="0"/>
            </w:tcBorders>
          </w:tcPr>
          <w:p w14:paraId="0CED99FE">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261" w:type="pct"/>
            <w:tcBorders>
              <w:top w:val="single" w:color="auto" w:sz="4" w:space="0"/>
              <w:left w:val="single" w:color="auto" w:sz="4" w:space="0"/>
              <w:bottom w:val="single" w:color="auto" w:sz="4" w:space="0"/>
              <w:right w:val="single" w:color="auto" w:sz="4" w:space="0"/>
            </w:tcBorders>
            <w:vAlign w:val="center"/>
          </w:tcPr>
          <w:p w14:paraId="7DF9E86F">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r>
      <w:tr w14:paraId="464C3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231" w:type="pct"/>
            <w:tcBorders>
              <w:top w:val="single" w:color="auto" w:sz="4" w:space="0"/>
              <w:left w:val="single" w:color="auto" w:sz="4" w:space="0"/>
              <w:bottom w:val="single" w:color="auto" w:sz="4" w:space="0"/>
              <w:right w:val="single" w:color="auto" w:sz="4" w:space="0"/>
            </w:tcBorders>
            <w:vAlign w:val="center"/>
          </w:tcPr>
          <w:p w14:paraId="659EFA84">
            <w:pPr>
              <w:autoSpaceDE w:val="0"/>
              <w:autoSpaceDN w:val="0"/>
              <w:adjustRightInd w:val="0"/>
              <w:snapToGrid/>
              <w:spacing w:line="400" w:lineRule="exact"/>
              <w:jc w:val="center"/>
              <w:outlineLvl w:val="9"/>
              <w:rPr>
                <w:rFonts w:hint="default" w:ascii="宋体" w:hAnsi="宋体" w:eastAsia="宋体" w:cs="宋体"/>
                <w:color w:val="auto"/>
                <w:kern w:val="0"/>
                <w:szCs w:val="21"/>
                <w:highlight w:val="none"/>
                <w:lang w:val="en-US" w:eastAsia="zh-CN"/>
              </w:rPr>
            </w:pPr>
            <w:r>
              <w:rPr>
                <w:rFonts w:hint="eastAsia" w:cs="宋体"/>
                <w:color w:val="auto"/>
                <w:kern w:val="0"/>
                <w:szCs w:val="21"/>
                <w:highlight w:val="none"/>
                <w:lang w:val="en-US" w:eastAsia="zh-CN"/>
              </w:rPr>
              <w:t>28</w:t>
            </w:r>
          </w:p>
        </w:tc>
        <w:tc>
          <w:tcPr>
            <w:tcW w:w="838" w:type="pct"/>
            <w:tcBorders>
              <w:top w:val="single" w:color="auto" w:sz="4" w:space="0"/>
              <w:left w:val="single" w:color="auto" w:sz="4" w:space="0"/>
              <w:bottom w:val="single" w:color="auto" w:sz="4" w:space="0"/>
              <w:right w:val="single" w:color="auto" w:sz="4" w:space="0"/>
            </w:tcBorders>
            <w:vAlign w:val="center"/>
          </w:tcPr>
          <w:p w14:paraId="7B6E2A0F">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color w:val="auto"/>
                <w:kern w:val="0"/>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法兰蝶阀</w:t>
            </w:r>
          </w:p>
        </w:tc>
        <w:tc>
          <w:tcPr>
            <w:tcW w:w="346" w:type="pct"/>
            <w:tcBorders>
              <w:top w:val="single" w:color="auto" w:sz="4" w:space="0"/>
              <w:left w:val="single" w:color="auto" w:sz="4" w:space="0"/>
              <w:bottom w:val="single" w:color="auto" w:sz="4" w:space="0"/>
              <w:right w:val="single" w:color="auto" w:sz="4" w:space="0"/>
            </w:tcBorders>
            <w:vAlign w:val="center"/>
          </w:tcPr>
          <w:p w14:paraId="3D7FCA45">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395" w:type="pct"/>
            <w:tcBorders>
              <w:top w:val="single" w:color="auto" w:sz="4" w:space="0"/>
              <w:left w:val="single" w:color="auto" w:sz="4" w:space="0"/>
              <w:bottom w:val="single" w:color="auto" w:sz="4" w:space="0"/>
              <w:right w:val="single" w:color="auto" w:sz="4" w:space="0"/>
            </w:tcBorders>
            <w:vAlign w:val="center"/>
          </w:tcPr>
          <w:p w14:paraId="1438135D">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669" w:type="pct"/>
            <w:tcBorders>
              <w:top w:val="single" w:color="auto" w:sz="4" w:space="0"/>
              <w:left w:val="single" w:color="auto" w:sz="4" w:space="0"/>
              <w:bottom w:val="single" w:color="auto" w:sz="4" w:space="0"/>
              <w:right w:val="single" w:color="auto" w:sz="4" w:space="0"/>
            </w:tcBorders>
            <w:vAlign w:val="center"/>
          </w:tcPr>
          <w:p w14:paraId="063F0A71">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color w:val="auto"/>
                <w:kern w:val="0"/>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DN600</w:t>
            </w:r>
          </w:p>
        </w:tc>
        <w:tc>
          <w:tcPr>
            <w:tcW w:w="669" w:type="pct"/>
            <w:tcBorders>
              <w:top w:val="single" w:color="auto" w:sz="4" w:space="0"/>
              <w:left w:val="single" w:color="auto" w:sz="4" w:space="0"/>
              <w:bottom w:val="single" w:color="auto" w:sz="4" w:space="0"/>
              <w:right w:val="single" w:color="auto" w:sz="4" w:space="0"/>
            </w:tcBorders>
            <w:vAlign w:val="center"/>
          </w:tcPr>
          <w:p w14:paraId="5B971958">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color w:val="auto"/>
                <w:kern w:val="0"/>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330" w:type="pct"/>
            <w:tcBorders>
              <w:top w:val="single" w:color="auto" w:sz="4" w:space="0"/>
              <w:left w:val="single" w:color="auto" w:sz="4" w:space="0"/>
              <w:bottom w:val="single" w:color="auto" w:sz="4" w:space="0"/>
              <w:right w:val="single" w:color="auto" w:sz="4" w:space="0"/>
            </w:tcBorders>
            <w:vAlign w:val="center"/>
          </w:tcPr>
          <w:p w14:paraId="43627F36">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color w:val="auto"/>
                <w:kern w:val="0"/>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370" w:type="pct"/>
            <w:tcBorders>
              <w:top w:val="single" w:color="auto" w:sz="4" w:space="0"/>
              <w:left w:val="single" w:color="auto" w:sz="4" w:space="0"/>
              <w:bottom w:val="single" w:color="auto" w:sz="4" w:space="0"/>
              <w:right w:val="single" w:color="auto" w:sz="4" w:space="0"/>
            </w:tcBorders>
            <w:vAlign w:val="center"/>
          </w:tcPr>
          <w:p w14:paraId="13DE481A">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color w:val="auto"/>
                <w:kern w:val="0"/>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21</w:t>
            </w:r>
          </w:p>
        </w:tc>
        <w:tc>
          <w:tcPr>
            <w:tcW w:w="322" w:type="pct"/>
            <w:tcBorders>
              <w:top w:val="single" w:color="auto" w:sz="4" w:space="0"/>
              <w:left w:val="single" w:color="auto" w:sz="4" w:space="0"/>
              <w:bottom w:val="single" w:color="auto" w:sz="4" w:space="0"/>
              <w:right w:val="single" w:color="auto" w:sz="4" w:space="0"/>
            </w:tcBorders>
          </w:tcPr>
          <w:p w14:paraId="7EBA465A">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564" w:type="pct"/>
            <w:tcBorders>
              <w:top w:val="single" w:color="auto" w:sz="4" w:space="0"/>
              <w:left w:val="single" w:color="auto" w:sz="4" w:space="0"/>
              <w:bottom w:val="single" w:color="auto" w:sz="4" w:space="0"/>
              <w:right w:val="single" w:color="auto" w:sz="4" w:space="0"/>
            </w:tcBorders>
          </w:tcPr>
          <w:p w14:paraId="257638ED">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261" w:type="pct"/>
            <w:tcBorders>
              <w:top w:val="single" w:color="auto" w:sz="4" w:space="0"/>
              <w:left w:val="single" w:color="auto" w:sz="4" w:space="0"/>
              <w:bottom w:val="single" w:color="auto" w:sz="4" w:space="0"/>
              <w:right w:val="single" w:color="auto" w:sz="4" w:space="0"/>
            </w:tcBorders>
            <w:vAlign w:val="center"/>
          </w:tcPr>
          <w:p w14:paraId="2D2B78A5">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r>
      <w:tr w14:paraId="4747C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231" w:type="pct"/>
            <w:tcBorders>
              <w:top w:val="single" w:color="auto" w:sz="4" w:space="0"/>
              <w:left w:val="single" w:color="auto" w:sz="4" w:space="0"/>
              <w:bottom w:val="single" w:color="auto" w:sz="4" w:space="0"/>
              <w:right w:val="single" w:color="auto" w:sz="4" w:space="0"/>
            </w:tcBorders>
            <w:vAlign w:val="center"/>
          </w:tcPr>
          <w:p w14:paraId="019E1253">
            <w:pPr>
              <w:autoSpaceDE w:val="0"/>
              <w:autoSpaceDN w:val="0"/>
              <w:adjustRightInd w:val="0"/>
              <w:snapToGrid/>
              <w:spacing w:line="400" w:lineRule="exact"/>
              <w:jc w:val="center"/>
              <w:outlineLvl w:val="9"/>
              <w:rPr>
                <w:rFonts w:hint="default" w:ascii="宋体" w:hAnsi="宋体" w:eastAsia="宋体" w:cs="宋体"/>
                <w:color w:val="auto"/>
                <w:kern w:val="0"/>
                <w:szCs w:val="21"/>
                <w:highlight w:val="none"/>
                <w:lang w:val="en-US" w:eastAsia="zh-CN"/>
              </w:rPr>
            </w:pPr>
            <w:r>
              <w:rPr>
                <w:rFonts w:hint="eastAsia" w:cs="宋体"/>
                <w:color w:val="auto"/>
                <w:kern w:val="0"/>
                <w:szCs w:val="21"/>
                <w:highlight w:val="none"/>
                <w:lang w:val="en-US" w:eastAsia="zh-CN"/>
              </w:rPr>
              <w:t>29</w:t>
            </w:r>
          </w:p>
        </w:tc>
        <w:tc>
          <w:tcPr>
            <w:tcW w:w="838" w:type="pct"/>
            <w:tcBorders>
              <w:top w:val="single" w:color="auto" w:sz="4" w:space="0"/>
              <w:left w:val="single" w:color="auto" w:sz="4" w:space="0"/>
              <w:bottom w:val="single" w:color="auto" w:sz="4" w:space="0"/>
              <w:right w:val="single" w:color="auto" w:sz="4" w:space="0"/>
            </w:tcBorders>
            <w:vAlign w:val="center"/>
          </w:tcPr>
          <w:p w14:paraId="300756E5">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color w:val="auto"/>
                <w:kern w:val="0"/>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法兰蝶阀</w:t>
            </w:r>
          </w:p>
        </w:tc>
        <w:tc>
          <w:tcPr>
            <w:tcW w:w="346" w:type="pct"/>
            <w:tcBorders>
              <w:top w:val="single" w:color="auto" w:sz="4" w:space="0"/>
              <w:left w:val="single" w:color="auto" w:sz="4" w:space="0"/>
              <w:bottom w:val="single" w:color="auto" w:sz="4" w:space="0"/>
              <w:right w:val="single" w:color="auto" w:sz="4" w:space="0"/>
            </w:tcBorders>
            <w:vAlign w:val="center"/>
          </w:tcPr>
          <w:p w14:paraId="3422D324">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395" w:type="pct"/>
            <w:tcBorders>
              <w:top w:val="single" w:color="auto" w:sz="4" w:space="0"/>
              <w:left w:val="single" w:color="auto" w:sz="4" w:space="0"/>
              <w:bottom w:val="single" w:color="auto" w:sz="4" w:space="0"/>
              <w:right w:val="single" w:color="auto" w:sz="4" w:space="0"/>
            </w:tcBorders>
            <w:vAlign w:val="center"/>
          </w:tcPr>
          <w:p w14:paraId="14CBAA86">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669" w:type="pct"/>
            <w:tcBorders>
              <w:top w:val="single" w:color="auto" w:sz="4" w:space="0"/>
              <w:left w:val="single" w:color="auto" w:sz="4" w:space="0"/>
              <w:bottom w:val="single" w:color="auto" w:sz="4" w:space="0"/>
              <w:right w:val="single" w:color="auto" w:sz="4" w:space="0"/>
            </w:tcBorders>
            <w:vAlign w:val="center"/>
          </w:tcPr>
          <w:p w14:paraId="139D4AC2">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color w:val="auto"/>
                <w:kern w:val="0"/>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DN700</w:t>
            </w:r>
          </w:p>
        </w:tc>
        <w:tc>
          <w:tcPr>
            <w:tcW w:w="669" w:type="pct"/>
            <w:tcBorders>
              <w:top w:val="single" w:color="auto" w:sz="4" w:space="0"/>
              <w:left w:val="single" w:color="auto" w:sz="4" w:space="0"/>
              <w:bottom w:val="single" w:color="auto" w:sz="4" w:space="0"/>
              <w:right w:val="single" w:color="auto" w:sz="4" w:space="0"/>
            </w:tcBorders>
            <w:vAlign w:val="center"/>
          </w:tcPr>
          <w:p w14:paraId="5E837372">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color w:val="auto"/>
                <w:kern w:val="0"/>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330" w:type="pct"/>
            <w:tcBorders>
              <w:top w:val="single" w:color="auto" w:sz="4" w:space="0"/>
              <w:left w:val="single" w:color="auto" w:sz="4" w:space="0"/>
              <w:bottom w:val="single" w:color="auto" w:sz="4" w:space="0"/>
              <w:right w:val="single" w:color="auto" w:sz="4" w:space="0"/>
            </w:tcBorders>
            <w:vAlign w:val="center"/>
          </w:tcPr>
          <w:p w14:paraId="20BDC8ED">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color w:val="auto"/>
                <w:kern w:val="0"/>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370" w:type="pct"/>
            <w:tcBorders>
              <w:top w:val="single" w:color="auto" w:sz="4" w:space="0"/>
              <w:left w:val="single" w:color="auto" w:sz="4" w:space="0"/>
              <w:bottom w:val="single" w:color="auto" w:sz="4" w:space="0"/>
              <w:right w:val="single" w:color="auto" w:sz="4" w:space="0"/>
            </w:tcBorders>
            <w:vAlign w:val="center"/>
          </w:tcPr>
          <w:p w14:paraId="7163106C">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color w:val="auto"/>
                <w:kern w:val="0"/>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3</w:t>
            </w:r>
          </w:p>
        </w:tc>
        <w:tc>
          <w:tcPr>
            <w:tcW w:w="322" w:type="pct"/>
            <w:tcBorders>
              <w:top w:val="single" w:color="auto" w:sz="4" w:space="0"/>
              <w:left w:val="single" w:color="auto" w:sz="4" w:space="0"/>
              <w:bottom w:val="single" w:color="auto" w:sz="4" w:space="0"/>
              <w:right w:val="single" w:color="auto" w:sz="4" w:space="0"/>
            </w:tcBorders>
          </w:tcPr>
          <w:p w14:paraId="3B399621">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564" w:type="pct"/>
            <w:tcBorders>
              <w:top w:val="single" w:color="auto" w:sz="4" w:space="0"/>
              <w:left w:val="single" w:color="auto" w:sz="4" w:space="0"/>
              <w:bottom w:val="single" w:color="auto" w:sz="4" w:space="0"/>
              <w:right w:val="single" w:color="auto" w:sz="4" w:space="0"/>
            </w:tcBorders>
          </w:tcPr>
          <w:p w14:paraId="7F75A167">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261" w:type="pct"/>
            <w:tcBorders>
              <w:top w:val="single" w:color="auto" w:sz="4" w:space="0"/>
              <w:left w:val="single" w:color="auto" w:sz="4" w:space="0"/>
              <w:bottom w:val="single" w:color="auto" w:sz="4" w:space="0"/>
              <w:right w:val="single" w:color="auto" w:sz="4" w:space="0"/>
            </w:tcBorders>
            <w:vAlign w:val="center"/>
          </w:tcPr>
          <w:p w14:paraId="196648A6">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r>
      <w:tr w14:paraId="67083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231" w:type="pct"/>
            <w:tcBorders>
              <w:top w:val="single" w:color="auto" w:sz="4" w:space="0"/>
              <w:left w:val="single" w:color="auto" w:sz="4" w:space="0"/>
              <w:bottom w:val="single" w:color="auto" w:sz="4" w:space="0"/>
              <w:right w:val="single" w:color="auto" w:sz="4" w:space="0"/>
            </w:tcBorders>
            <w:vAlign w:val="center"/>
          </w:tcPr>
          <w:p w14:paraId="05A4FE18">
            <w:pPr>
              <w:autoSpaceDE w:val="0"/>
              <w:autoSpaceDN w:val="0"/>
              <w:adjustRightInd w:val="0"/>
              <w:snapToGrid/>
              <w:spacing w:line="400" w:lineRule="exact"/>
              <w:jc w:val="center"/>
              <w:outlineLvl w:val="9"/>
              <w:rPr>
                <w:rFonts w:hint="default" w:ascii="宋体" w:hAnsi="宋体" w:eastAsia="宋体" w:cs="宋体"/>
                <w:color w:val="auto"/>
                <w:kern w:val="0"/>
                <w:szCs w:val="21"/>
                <w:highlight w:val="none"/>
                <w:lang w:val="en-US" w:eastAsia="zh-CN"/>
              </w:rPr>
            </w:pPr>
            <w:r>
              <w:rPr>
                <w:rFonts w:hint="eastAsia" w:cs="宋体"/>
                <w:color w:val="auto"/>
                <w:kern w:val="0"/>
                <w:szCs w:val="21"/>
                <w:highlight w:val="none"/>
                <w:lang w:val="en-US" w:eastAsia="zh-CN"/>
              </w:rPr>
              <w:t>30</w:t>
            </w:r>
          </w:p>
        </w:tc>
        <w:tc>
          <w:tcPr>
            <w:tcW w:w="838" w:type="pct"/>
            <w:tcBorders>
              <w:top w:val="single" w:color="auto" w:sz="4" w:space="0"/>
              <w:left w:val="single" w:color="auto" w:sz="4" w:space="0"/>
              <w:bottom w:val="single" w:color="auto" w:sz="4" w:space="0"/>
              <w:right w:val="single" w:color="auto" w:sz="4" w:space="0"/>
            </w:tcBorders>
            <w:vAlign w:val="center"/>
          </w:tcPr>
          <w:p w14:paraId="384A5C9E">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color w:val="auto"/>
                <w:kern w:val="0"/>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法兰蝶阀</w:t>
            </w:r>
          </w:p>
        </w:tc>
        <w:tc>
          <w:tcPr>
            <w:tcW w:w="346" w:type="pct"/>
            <w:tcBorders>
              <w:top w:val="single" w:color="auto" w:sz="4" w:space="0"/>
              <w:left w:val="single" w:color="auto" w:sz="4" w:space="0"/>
              <w:bottom w:val="single" w:color="auto" w:sz="4" w:space="0"/>
              <w:right w:val="single" w:color="auto" w:sz="4" w:space="0"/>
            </w:tcBorders>
            <w:vAlign w:val="center"/>
          </w:tcPr>
          <w:p w14:paraId="45A6DF50">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395" w:type="pct"/>
            <w:tcBorders>
              <w:top w:val="single" w:color="auto" w:sz="4" w:space="0"/>
              <w:left w:val="single" w:color="auto" w:sz="4" w:space="0"/>
              <w:bottom w:val="single" w:color="auto" w:sz="4" w:space="0"/>
              <w:right w:val="single" w:color="auto" w:sz="4" w:space="0"/>
            </w:tcBorders>
            <w:vAlign w:val="center"/>
          </w:tcPr>
          <w:p w14:paraId="72763C71">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669" w:type="pct"/>
            <w:tcBorders>
              <w:top w:val="single" w:color="auto" w:sz="4" w:space="0"/>
              <w:left w:val="single" w:color="auto" w:sz="4" w:space="0"/>
              <w:bottom w:val="single" w:color="auto" w:sz="4" w:space="0"/>
              <w:right w:val="single" w:color="auto" w:sz="4" w:space="0"/>
            </w:tcBorders>
            <w:vAlign w:val="center"/>
          </w:tcPr>
          <w:p w14:paraId="67AF13BC">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color w:val="auto"/>
                <w:kern w:val="0"/>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DN750</w:t>
            </w:r>
          </w:p>
        </w:tc>
        <w:tc>
          <w:tcPr>
            <w:tcW w:w="669" w:type="pct"/>
            <w:tcBorders>
              <w:top w:val="single" w:color="auto" w:sz="4" w:space="0"/>
              <w:left w:val="single" w:color="auto" w:sz="4" w:space="0"/>
              <w:bottom w:val="single" w:color="auto" w:sz="4" w:space="0"/>
              <w:right w:val="single" w:color="auto" w:sz="4" w:space="0"/>
            </w:tcBorders>
            <w:vAlign w:val="center"/>
          </w:tcPr>
          <w:p w14:paraId="573391E0">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color w:val="auto"/>
                <w:kern w:val="0"/>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330" w:type="pct"/>
            <w:tcBorders>
              <w:top w:val="single" w:color="auto" w:sz="4" w:space="0"/>
              <w:left w:val="single" w:color="auto" w:sz="4" w:space="0"/>
              <w:bottom w:val="single" w:color="auto" w:sz="4" w:space="0"/>
              <w:right w:val="single" w:color="auto" w:sz="4" w:space="0"/>
            </w:tcBorders>
            <w:vAlign w:val="center"/>
          </w:tcPr>
          <w:p w14:paraId="01F44D9D">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color w:val="auto"/>
                <w:kern w:val="0"/>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370" w:type="pct"/>
            <w:tcBorders>
              <w:top w:val="single" w:color="auto" w:sz="4" w:space="0"/>
              <w:left w:val="single" w:color="auto" w:sz="4" w:space="0"/>
              <w:bottom w:val="single" w:color="auto" w:sz="4" w:space="0"/>
              <w:right w:val="single" w:color="auto" w:sz="4" w:space="0"/>
            </w:tcBorders>
            <w:vAlign w:val="center"/>
          </w:tcPr>
          <w:p w14:paraId="6FB0D885">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color w:val="auto"/>
                <w:kern w:val="0"/>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3</w:t>
            </w:r>
          </w:p>
        </w:tc>
        <w:tc>
          <w:tcPr>
            <w:tcW w:w="322" w:type="pct"/>
            <w:tcBorders>
              <w:top w:val="single" w:color="auto" w:sz="4" w:space="0"/>
              <w:left w:val="single" w:color="auto" w:sz="4" w:space="0"/>
              <w:bottom w:val="single" w:color="auto" w:sz="4" w:space="0"/>
              <w:right w:val="single" w:color="auto" w:sz="4" w:space="0"/>
            </w:tcBorders>
          </w:tcPr>
          <w:p w14:paraId="3301595A">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564" w:type="pct"/>
            <w:tcBorders>
              <w:top w:val="single" w:color="auto" w:sz="4" w:space="0"/>
              <w:left w:val="single" w:color="auto" w:sz="4" w:space="0"/>
              <w:bottom w:val="single" w:color="auto" w:sz="4" w:space="0"/>
              <w:right w:val="single" w:color="auto" w:sz="4" w:space="0"/>
            </w:tcBorders>
          </w:tcPr>
          <w:p w14:paraId="2AC57B18">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261" w:type="pct"/>
            <w:tcBorders>
              <w:top w:val="single" w:color="auto" w:sz="4" w:space="0"/>
              <w:left w:val="single" w:color="auto" w:sz="4" w:space="0"/>
              <w:bottom w:val="single" w:color="auto" w:sz="4" w:space="0"/>
              <w:right w:val="single" w:color="auto" w:sz="4" w:space="0"/>
            </w:tcBorders>
            <w:vAlign w:val="center"/>
          </w:tcPr>
          <w:p w14:paraId="1C51FD0F">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r>
      <w:tr w14:paraId="0C812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231" w:type="pct"/>
            <w:tcBorders>
              <w:top w:val="single" w:color="auto" w:sz="4" w:space="0"/>
              <w:left w:val="single" w:color="auto" w:sz="4" w:space="0"/>
              <w:bottom w:val="single" w:color="auto" w:sz="4" w:space="0"/>
              <w:right w:val="single" w:color="auto" w:sz="4" w:space="0"/>
            </w:tcBorders>
            <w:vAlign w:val="center"/>
          </w:tcPr>
          <w:p w14:paraId="58A73AC5">
            <w:pPr>
              <w:autoSpaceDE w:val="0"/>
              <w:autoSpaceDN w:val="0"/>
              <w:adjustRightInd w:val="0"/>
              <w:snapToGrid/>
              <w:spacing w:line="400" w:lineRule="exact"/>
              <w:jc w:val="center"/>
              <w:outlineLvl w:val="9"/>
              <w:rPr>
                <w:rFonts w:hint="default" w:ascii="宋体" w:hAnsi="宋体" w:eastAsia="宋体" w:cs="宋体"/>
                <w:color w:val="auto"/>
                <w:kern w:val="0"/>
                <w:szCs w:val="21"/>
                <w:highlight w:val="none"/>
                <w:lang w:val="en-US" w:eastAsia="zh-CN"/>
              </w:rPr>
            </w:pPr>
            <w:r>
              <w:rPr>
                <w:rFonts w:hint="eastAsia" w:cs="宋体"/>
                <w:color w:val="auto"/>
                <w:kern w:val="0"/>
                <w:szCs w:val="21"/>
                <w:highlight w:val="none"/>
                <w:lang w:val="en-US" w:eastAsia="zh-CN"/>
              </w:rPr>
              <w:t>31</w:t>
            </w:r>
          </w:p>
        </w:tc>
        <w:tc>
          <w:tcPr>
            <w:tcW w:w="838" w:type="pct"/>
            <w:tcBorders>
              <w:top w:val="single" w:color="auto" w:sz="4" w:space="0"/>
              <w:left w:val="single" w:color="auto" w:sz="4" w:space="0"/>
              <w:bottom w:val="single" w:color="auto" w:sz="4" w:space="0"/>
              <w:right w:val="single" w:color="auto" w:sz="4" w:space="0"/>
            </w:tcBorders>
            <w:vAlign w:val="center"/>
          </w:tcPr>
          <w:p w14:paraId="0B8D301F">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color w:val="auto"/>
                <w:kern w:val="0"/>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法兰蝶阀</w:t>
            </w:r>
          </w:p>
        </w:tc>
        <w:tc>
          <w:tcPr>
            <w:tcW w:w="346" w:type="pct"/>
            <w:tcBorders>
              <w:top w:val="single" w:color="auto" w:sz="4" w:space="0"/>
              <w:left w:val="single" w:color="auto" w:sz="4" w:space="0"/>
              <w:bottom w:val="single" w:color="auto" w:sz="4" w:space="0"/>
              <w:right w:val="single" w:color="auto" w:sz="4" w:space="0"/>
            </w:tcBorders>
            <w:vAlign w:val="center"/>
          </w:tcPr>
          <w:p w14:paraId="701724DE">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395" w:type="pct"/>
            <w:tcBorders>
              <w:top w:val="single" w:color="auto" w:sz="4" w:space="0"/>
              <w:left w:val="single" w:color="auto" w:sz="4" w:space="0"/>
              <w:bottom w:val="single" w:color="auto" w:sz="4" w:space="0"/>
              <w:right w:val="single" w:color="auto" w:sz="4" w:space="0"/>
            </w:tcBorders>
            <w:vAlign w:val="center"/>
          </w:tcPr>
          <w:p w14:paraId="71CBE746">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669" w:type="pct"/>
            <w:tcBorders>
              <w:top w:val="single" w:color="auto" w:sz="4" w:space="0"/>
              <w:left w:val="single" w:color="auto" w:sz="4" w:space="0"/>
              <w:bottom w:val="single" w:color="auto" w:sz="4" w:space="0"/>
              <w:right w:val="single" w:color="auto" w:sz="4" w:space="0"/>
            </w:tcBorders>
            <w:vAlign w:val="center"/>
          </w:tcPr>
          <w:p w14:paraId="55E33FD7">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color w:val="auto"/>
                <w:kern w:val="0"/>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DN800</w:t>
            </w:r>
          </w:p>
        </w:tc>
        <w:tc>
          <w:tcPr>
            <w:tcW w:w="669" w:type="pct"/>
            <w:tcBorders>
              <w:top w:val="single" w:color="auto" w:sz="4" w:space="0"/>
              <w:left w:val="single" w:color="auto" w:sz="4" w:space="0"/>
              <w:bottom w:val="single" w:color="auto" w:sz="4" w:space="0"/>
              <w:right w:val="single" w:color="auto" w:sz="4" w:space="0"/>
            </w:tcBorders>
            <w:vAlign w:val="center"/>
          </w:tcPr>
          <w:p w14:paraId="5505F54D">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color w:val="auto"/>
                <w:kern w:val="0"/>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330" w:type="pct"/>
            <w:tcBorders>
              <w:top w:val="single" w:color="auto" w:sz="4" w:space="0"/>
              <w:left w:val="single" w:color="auto" w:sz="4" w:space="0"/>
              <w:bottom w:val="single" w:color="auto" w:sz="4" w:space="0"/>
              <w:right w:val="single" w:color="auto" w:sz="4" w:space="0"/>
            </w:tcBorders>
            <w:vAlign w:val="center"/>
          </w:tcPr>
          <w:p w14:paraId="198C1F57">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color w:val="auto"/>
                <w:kern w:val="0"/>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370" w:type="pct"/>
            <w:tcBorders>
              <w:top w:val="single" w:color="auto" w:sz="4" w:space="0"/>
              <w:left w:val="single" w:color="auto" w:sz="4" w:space="0"/>
              <w:bottom w:val="single" w:color="auto" w:sz="4" w:space="0"/>
              <w:right w:val="single" w:color="auto" w:sz="4" w:space="0"/>
            </w:tcBorders>
            <w:vAlign w:val="center"/>
          </w:tcPr>
          <w:p w14:paraId="117904C1">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color w:val="auto"/>
                <w:kern w:val="0"/>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3</w:t>
            </w:r>
          </w:p>
        </w:tc>
        <w:tc>
          <w:tcPr>
            <w:tcW w:w="322" w:type="pct"/>
            <w:tcBorders>
              <w:top w:val="single" w:color="auto" w:sz="4" w:space="0"/>
              <w:left w:val="single" w:color="auto" w:sz="4" w:space="0"/>
              <w:bottom w:val="single" w:color="auto" w:sz="4" w:space="0"/>
              <w:right w:val="single" w:color="auto" w:sz="4" w:space="0"/>
            </w:tcBorders>
          </w:tcPr>
          <w:p w14:paraId="3A2CE39E">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564" w:type="pct"/>
            <w:tcBorders>
              <w:top w:val="single" w:color="auto" w:sz="4" w:space="0"/>
              <w:left w:val="single" w:color="auto" w:sz="4" w:space="0"/>
              <w:bottom w:val="single" w:color="auto" w:sz="4" w:space="0"/>
              <w:right w:val="single" w:color="auto" w:sz="4" w:space="0"/>
            </w:tcBorders>
          </w:tcPr>
          <w:p w14:paraId="0438000A">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261" w:type="pct"/>
            <w:tcBorders>
              <w:top w:val="single" w:color="auto" w:sz="4" w:space="0"/>
              <w:left w:val="single" w:color="auto" w:sz="4" w:space="0"/>
              <w:bottom w:val="single" w:color="auto" w:sz="4" w:space="0"/>
              <w:right w:val="single" w:color="auto" w:sz="4" w:space="0"/>
            </w:tcBorders>
            <w:vAlign w:val="center"/>
          </w:tcPr>
          <w:p w14:paraId="1B0F73B3">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r>
      <w:tr w14:paraId="7AEE8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231" w:type="pct"/>
            <w:tcBorders>
              <w:top w:val="single" w:color="auto" w:sz="4" w:space="0"/>
              <w:left w:val="single" w:color="auto" w:sz="4" w:space="0"/>
              <w:bottom w:val="single" w:color="auto" w:sz="4" w:space="0"/>
              <w:right w:val="single" w:color="auto" w:sz="4" w:space="0"/>
            </w:tcBorders>
            <w:vAlign w:val="center"/>
          </w:tcPr>
          <w:p w14:paraId="2F6B5BC4">
            <w:pPr>
              <w:autoSpaceDE w:val="0"/>
              <w:autoSpaceDN w:val="0"/>
              <w:adjustRightInd w:val="0"/>
              <w:snapToGrid/>
              <w:spacing w:line="400" w:lineRule="exact"/>
              <w:jc w:val="center"/>
              <w:outlineLvl w:val="9"/>
              <w:rPr>
                <w:rFonts w:hint="default" w:ascii="宋体" w:hAnsi="宋体" w:eastAsia="宋体" w:cs="宋体"/>
                <w:color w:val="auto"/>
                <w:kern w:val="0"/>
                <w:szCs w:val="21"/>
                <w:highlight w:val="none"/>
                <w:lang w:val="en-US" w:eastAsia="zh-CN"/>
              </w:rPr>
            </w:pPr>
            <w:r>
              <w:rPr>
                <w:rFonts w:hint="eastAsia" w:cs="宋体"/>
                <w:color w:val="auto"/>
                <w:kern w:val="0"/>
                <w:szCs w:val="21"/>
                <w:highlight w:val="none"/>
                <w:lang w:val="en-US" w:eastAsia="zh-CN"/>
              </w:rPr>
              <w:t>32</w:t>
            </w:r>
          </w:p>
        </w:tc>
        <w:tc>
          <w:tcPr>
            <w:tcW w:w="838" w:type="pct"/>
            <w:tcBorders>
              <w:top w:val="single" w:color="auto" w:sz="4" w:space="0"/>
              <w:left w:val="single" w:color="auto" w:sz="4" w:space="0"/>
              <w:bottom w:val="single" w:color="auto" w:sz="4" w:space="0"/>
              <w:right w:val="single" w:color="auto" w:sz="4" w:space="0"/>
            </w:tcBorders>
            <w:vAlign w:val="center"/>
          </w:tcPr>
          <w:p w14:paraId="55319FFE">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color w:val="auto"/>
                <w:kern w:val="0"/>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法兰蝶阀</w:t>
            </w:r>
          </w:p>
        </w:tc>
        <w:tc>
          <w:tcPr>
            <w:tcW w:w="346" w:type="pct"/>
            <w:tcBorders>
              <w:top w:val="single" w:color="auto" w:sz="4" w:space="0"/>
              <w:left w:val="single" w:color="auto" w:sz="4" w:space="0"/>
              <w:bottom w:val="single" w:color="auto" w:sz="4" w:space="0"/>
              <w:right w:val="single" w:color="auto" w:sz="4" w:space="0"/>
            </w:tcBorders>
            <w:vAlign w:val="center"/>
          </w:tcPr>
          <w:p w14:paraId="0A083C30">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395" w:type="pct"/>
            <w:tcBorders>
              <w:top w:val="single" w:color="auto" w:sz="4" w:space="0"/>
              <w:left w:val="single" w:color="auto" w:sz="4" w:space="0"/>
              <w:bottom w:val="single" w:color="auto" w:sz="4" w:space="0"/>
              <w:right w:val="single" w:color="auto" w:sz="4" w:space="0"/>
            </w:tcBorders>
            <w:vAlign w:val="center"/>
          </w:tcPr>
          <w:p w14:paraId="5F75C517">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669" w:type="pct"/>
            <w:tcBorders>
              <w:top w:val="single" w:color="auto" w:sz="4" w:space="0"/>
              <w:left w:val="single" w:color="auto" w:sz="4" w:space="0"/>
              <w:bottom w:val="single" w:color="auto" w:sz="4" w:space="0"/>
              <w:right w:val="single" w:color="auto" w:sz="4" w:space="0"/>
            </w:tcBorders>
            <w:vAlign w:val="center"/>
          </w:tcPr>
          <w:p w14:paraId="6DD383EE">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color w:val="auto"/>
                <w:kern w:val="0"/>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DN900</w:t>
            </w:r>
          </w:p>
        </w:tc>
        <w:tc>
          <w:tcPr>
            <w:tcW w:w="669" w:type="pct"/>
            <w:tcBorders>
              <w:top w:val="single" w:color="auto" w:sz="4" w:space="0"/>
              <w:left w:val="single" w:color="auto" w:sz="4" w:space="0"/>
              <w:bottom w:val="single" w:color="auto" w:sz="4" w:space="0"/>
              <w:right w:val="single" w:color="auto" w:sz="4" w:space="0"/>
            </w:tcBorders>
            <w:vAlign w:val="center"/>
          </w:tcPr>
          <w:p w14:paraId="4902625E">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color w:val="auto"/>
                <w:kern w:val="0"/>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330" w:type="pct"/>
            <w:tcBorders>
              <w:top w:val="single" w:color="auto" w:sz="4" w:space="0"/>
              <w:left w:val="single" w:color="auto" w:sz="4" w:space="0"/>
              <w:bottom w:val="single" w:color="auto" w:sz="4" w:space="0"/>
              <w:right w:val="single" w:color="auto" w:sz="4" w:space="0"/>
            </w:tcBorders>
            <w:vAlign w:val="center"/>
          </w:tcPr>
          <w:p w14:paraId="3F545B33">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color w:val="auto"/>
                <w:kern w:val="0"/>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370" w:type="pct"/>
            <w:tcBorders>
              <w:top w:val="single" w:color="auto" w:sz="4" w:space="0"/>
              <w:left w:val="single" w:color="auto" w:sz="4" w:space="0"/>
              <w:bottom w:val="single" w:color="auto" w:sz="4" w:space="0"/>
              <w:right w:val="single" w:color="auto" w:sz="4" w:space="0"/>
            </w:tcBorders>
            <w:vAlign w:val="center"/>
          </w:tcPr>
          <w:p w14:paraId="1FDE6CDA">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color w:val="auto"/>
                <w:kern w:val="0"/>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3</w:t>
            </w:r>
          </w:p>
        </w:tc>
        <w:tc>
          <w:tcPr>
            <w:tcW w:w="322" w:type="pct"/>
            <w:tcBorders>
              <w:top w:val="single" w:color="auto" w:sz="4" w:space="0"/>
              <w:left w:val="single" w:color="auto" w:sz="4" w:space="0"/>
              <w:bottom w:val="single" w:color="auto" w:sz="4" w:space="0"/>
              <w:right w:val="single" w:color="auto" w:sz="4" w:space="0"/>
            </w:tcBorders>
          </w:tcPr>
          <w:p w14:paraId="19B30C8B">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564" w:type="pct"/>
            <w:tcBorders>
              <w:top w:val="single" w:color="auto" w:sz="4" w:space="0"/>
              <w:left w:val="single" w:color="auto" w:sz="4" w:space="0"/>
              <w:bottom w:val="single" w:color="auto" w:sz="4" w:space="0"/>
              <w:right w:val="single" w:color="auto" w:sz="4" w:space="0"/>
            </w:tcBorders>
          </w:tcPr>
          <w:p w14:paraId="7410E4B4">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261" w:type="pct"/>
            <w:tcBorders>
              <w:top w:val="single" w:color="auto" w:sz="4" w:space="0"/>
              <w:left w:val="single" w:color="auto" w:sz="4" w:space="0"/>
              <w:bottom w:val="single" w:color="auto" w:sz="4" w:space="0"/>
              <w:right w:val="single" w:color="auto" w:sz="4" w:space="0"/>
            </w:tcBorders>
            <w:vAlign w:val="center"/>
          </w:tcPr>
          <w:p w14:paraId="3287536C">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r>
      <w:tr w14:paraId="4222B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231" w:type="pct"/>
            <w:tcBorders>
              <w:top w:val="single" w:color="auto" w:sz="4" w:space="0"/>
              <w:left w:val="single" w:color="auto" w:sz="4" w:space="0"/>
              <w:bottom w:val="single" w:color="auto" w:sz="4" w:space="0"/>
              <w:right w:val="single" w:color="auto" w:sz="4" w:space="0"/>
            </w:tcBorders>
            <w:vAlign w:val="center"/>
          </w:tcPr>
          <w:p w14:paraId="78E63824">
            <w:pPr>
              <w:autoSpaceDE w:val="0"/>
              <w:autoSpaceDN w:val="0"/>
              <w:adjustRightInd w:val="0"/>
              <w:snapToGrid/>
              <w:spacing w:line="400" w:lineRule="exact"/>
              <w:jc w:val="center"/>
              <w:outlineLvl w:val="9"/>
              <w:rPr>
                <w:rFonts w:hint="default" w:ascii="宋体" w:hAnsi="宋体" w:eastAsia="宋体" w:cs="宋体"/>
                <w:color w:val="auto"/>
                <w:kern w:val="0"/>
                <w:szCs w:val="21"/>
                <w:highlight w:val="none"/>
                <w:lang w:val="en-US" w:eastAsia="zh-CN"/>
              </w:rPr>
            </w:pPr>
            <w:r>
              <w:rPr>
                <w:rFonts w:hint="eastAsia" w:cs="宋体"/>
                <w:color w:val="auto"/>
                <w:kern w:val="0"/>
                <w:szCs w:val="21"/>
                <w:highlight w:val="none"/>
                <w:lang w:val="en-US" w:eastAsia="zh-CN"/>
              </w:rPr>
              <w:t>33</w:t>
            </w:r>
          </w:p>
        </w:tc>
        <w:tc>
          <w:tcPr>
            <w:tcW w:w="838" w:type="pct"/>
            <w:tcBorders>
              <w:top w:val="single" w:color="auto" w:sz="4" w:space="0"/>
              <w:left w:val="single" w:color="auto" w:sz="4" w:space="0"/>
              <w:bottom w:val="single" w:color="auto" w:sz="4" w:space="0"/>
              <w:right w:val="single" w:color="auto" w:sz="4" w:space="0"/>
            </w:tcBorders>
            <w:vAlign w:val="center"/>
          </w:tcPr>
          <w:p w14:paraId="62A381B5">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color w:val="auto"/>
                <w:kern w:val="0"/>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法兰蝶阀</w:t>
            </w:r>
          </w:p>
        </w:tc>
        <w:tc>
          <w:tcPr>
            <w:tcW w:w="346" w:type="pct"/>
            <w:tcBorders>
              <w:top w:val="single" w:color="auto" w:sz="4" w:space="0"/>
              <w:left w:val="single" w:color="auto" w:sz="4" w:space="0"/>
              <w:bottom w:val="single" w:color="auto" w:sz="4" w:space="0"/>
              <w:right w:val="single" w:color="auto" w:sz="4" w:space="0"/>
            </w:tcBorders>
            <w:vAlign w:val="center"/>
          </w:tcPr>
          <w:p w14:paraId="6104CDEE">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395" w:type="pct"/>
            <w:tcBorders>
              <w:top w:val="single" w:color="auto" w:sz="4" w:space="0"/>
              <w:left w:val="single" w:color="auto" w:sz="4" w:space="0"/>
              <w:bottom w:val="single" w:color="auto" w:sz="4" w:space="0"/>
              <w:right w:val="single" w:color="auto" w:sz="4" w:space="0"/>
            </w:tcBorders>
            <w:vAlign w:val="center"/>
          </w:tcPr>
          <w:p w14:paraId="41020E80">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669" w:type="pct"/>
            <w:tcBorders>
              <w:top w:val="single" w:color="auto" w:sz="4" w:space="0"/>
              <w:left w:val="single" w:color="auto" w:sz="4" w:space="0"/>
              <w:bottom w:val="single" w:color="auto" w:sz="4" w:space="0"/>
              <w:right w:val="single" w:color="auto" w:sz="4" w:space="0"/>
            </w:tcBorders>
            <w:vAlign w:val="center"/>
          </w:tcPr>
          <w:p w14:paraId="7B43CF94">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color w:val="auto"/>
                <w:kern w:val="0"/>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DN1000</w:t>
            </w:r>
          </w:p>
        </w:tc>
        <w:tc>
          <w:tcPr>
            <w:tcW w:w="669" w:type="pct"/>
            <w:tcBorders>
              <w:top w:val="single" w:color="auto" w:sz="4" w:space="0"/>
              <w:left w:val="single" w:color="auto" w:sz="4" w:space="0"/>
              <w:bottom w:val="single" w:color="auto" w:sz="4" w:space="0"/>
              <w:right w:val="single" w:color="auto" w:sz="4" w:space="0"/>
            </w:tcBorders>
            <w:vAlign w:val="center"/>
          </w:tcPr>
          <w:p w14:paraId="0F3B7F4E">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color w:val="auto"/>
                <w:kern w:val="0"/>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330" w:type="pct"/>
            <w:tcBorders>
              <w:top w:val="single" w:color="auto" w:sz="4" w:space="0"/>
              <w:left w:val="single" w:color="auto" w:sz="4" w:space="0"/>
              <w:bottom w:val="single" w:color="auto" w:sz="4" w:space="0"/>
              <w:right w:val="single" w:color="auto" w:sz="4" w:space="0"/>
            </w:tcBorders>
            <w:vAlign w:val="center"/>
          </w:tcPr>
          <w:p w14:paraId="79D35565">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color w:val="auto"/>
                <w:kern w:val="0"/>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370" w:type="pct"/>
            <w:tcBorders>
              <w:top w:val="single" w:color="auto" w:sz="4" w:space="0"/>
              <w:left w:val="single" w:color="auto" w:sz="4" w:space="0"/>
              <w:bottom w:val="single" w:color="auto" w:sz="4" w:space="0"/>
              <w:right w:val="single" w:color="auto" w:sz="4" w:space="0"/>
            </w:tcBorders>
            <w:vAlign w:val="center"/>
          </w:tcPr>
          <w:p w14:paraId="44895B8C">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color w:val="auto"/>
                <w:kern w:val="0"/>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11</w:t>
            </w:r>
          </w:p>
        </w:tc>
        <w:tc>
          <w:tcPr>
            <w:tcW w:w="322" w:type="pct"/>
            <w:tcBorders>
              <w:top w:val="single" w:color="auto" w:sz="4" w:space="0"/>
              <w:left w:val="single" w:color="auto" w:sz="4" w:space="0"/>
              <w:bottom w:val="single" w:color="auto" w:sz="4" w:space="0"/>
              <w:right w:val="single" w:color="auto" w:sz="4" w:space="0"/>
            </w:tcBorders>
          </w:tcPr>
          <w:p w14:paraId="5B7253CC">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564" w:type="pct"/>
            <w:tcBorders>
              <w:top w:val="single" w:color="auto" w:sz="4" w:space="0"/>
              <w:left w:val="single" w:color="auto" w:sz="4" w:space="0"/>
              <w:bottom w:val="single" w:color="auto" w:sz="4" w:space="0"/>
              <w:right w:val="single" w:color="auto" w:sz="4" w:space="0"/>
            </w:tcBorders>
          </w:tcPr>
          <w:p w14:paraId="6D85F82C">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261" w:type="pct"/>
            <w:tcBorders>
              <w:top w:val="single" w:color="auto" w:sz="4" w:space="0"/>
              <w:left w:val="single" w:color="auto" w:sz="4" w:space="0"/>
              <w:bottom w:val="single" w:color="auto" w:sz="4" w:space="0"/>
              <w:right w:val="single" w:color="auto" w:sz="4" w:space="0"/>
            </w:tcBorders>
            <w:vAlign w:val="center"/>
          </w:tcPr>
          <w:p w14:paraId="77C6E7F6">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r>
      <w:tr w14:paraId="236FD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231" w:type="pct"/>
            <w:tcBorders>
              <w:top w:val="single" w:color="auto" w:sz="4" w:space="0"/>
              <w:left w:val="single" w:color="auto" w:sz="4" w:space="0"/>
              <w:bottom w:val="single" w:color="auto" w:sz="4" w:space="0"/>
              <w:right w:val="single" w:color="auto" w:sz="4" w:space="0"/>
            </w:tcBorders>
            <w:vAlign w:val="center"/>
          </w:tcPr>
          <w:p w14:paraId="0C41A5EA">
            <w:pPr>
              <w:autoSpaceDE w:val="0"/>
              <w:autoSpaceDN w:val="0"/>
              <w:adjustRightInd w:val="0"/>
              <w:snapToGrid/>
              <w:spacing w:line="400" w:lineRule="exact"/>
              <w:jc w:val="center"/>
              <w:outlineLvl w:val="9"/>
              <w:rPr>
                <w:rFonts w:hint="default" w:ascii="宋体" w:hAnsi="宋体" w:eastAsia="宋体" w:cs="宋体"/>
                <w:color w:val="auto"/>
                <w:kern w:val="0"/>
                <w:szCs w:val="21"/>
                <w:highlight w:val="none"/>
                <w:lang w:val="en-US" w:eastAsia="zh-CN"/>
              </w:rPr>
            </w:pPr>
            <w:r>
              <w:rPr>
                <w:rFonts w:hint="eastAsia" w:cs="宋体"/>
                <w:color w:val="auto"/>
                <w:kern w:val="0"/>
                <w:szCs w:val="21"/>
                <w:highlight w:val="none"/>
                <w:lang w:val="en-US" w:eastAsia="zh-CN"/>
              </w:rPr>
              <w:t>34</w:t>
            </w:r>
          </w:p>
        </w:tc>
        <w:tc>
          <w:tcPr>
            <w:tcW w:w="838" w:type="pct"/>
            <w:tcBorders>
              <w:top w:val="single" w:color="auto" w:sz="4" w:space="0"/>
              <w:left w:val="single" w:color="auto" w:sz="4" w:space="0"/>
              <w:bottom w:val="single" w:color="auto" w:sz="4" w:space="0"/>
              <w:right w:val="single" w:color="auto" w:sz="4" w:space="0"/>
            </w:tcBorders>
            <w:vAlign w:val="center"/>
          </w:tcPr>
          <w:p w14:paraId="7DBA9D3D">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color w:val="auto"/>
                <w:kern w:val="0"/>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法兰蝶阀</w:t>
            </w:r>
          </w:p>
        </w:tc>
        <w:tc>
          <w:tcPr>
            <w:tcW w:w="346" w:type="pct"/>
            <w:tcBorders>
              <w:top w:val="single" w:color="auto" w:sz="4" w:space="0"/>
              <w:left w:val="single" w:color="auto" w:sz="4" w:space="0"/>
              <w:bottom w:val="single" w:color="auto" w:sz="4" w:space="0"/>
              <w:right w:val="single" w:color="auto" w:sz="4" w:space="0"/>
            </w:tcBorders>
            <w:vAlign w:val="center"/>
          </w:tcPr>
          <w:p w14:paraId="3888DDC7">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395" w:type="pct"/>
            <w:tcBorders>
              <w:top w:val="single" w:color="auto" w:sz="4" w:space="0"/>
              <w:left w:val="single" w:color="auto" w:sz="4" w:space="0"/>
              <w:bottom w:val="single" w:color="auto" w:sz="4" w:space="0"/>
              <w:right w:val="single" w:color="auto" w:sz="4" w:space="0"/>
            </w:tcBorders>
            <w:vAlign w:val="center"/>
          </w:tcPr>
          <w:p w14:paraId="1ED3B403">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669" w:type="pct"/>
            <w:tcBorders>
              <w:top w:val="single" w:color="auto" w:sz="4" w:space="0"/>
              <w:left w:val="single" w:color="auto" w:sz="4" w:space="0"/>
              <w:bottom w:val="single" w:color="auto" w:sz="4" w:space="0"/>
              <w:right w:val="single" w:color="auto" w:sz="4" w:space="0"/>
            </w:tcBorders>
            <w:vAlign w:val="center"/>
          </w:tcPr>
          <w:p w14:paraId="71353083">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color w:val="auto"/>
                <w:kern w:val="0"/>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DN1200</w:t>
            </w:r>
          </w:p>
        </w:tc>
        <w:tc>
          <w:tcPr>
            <w:tcW w:w="669" w:type="pct"/>
            <w:tcBorders>
              <w:top w:val="single" w:color="auto" w:sz="4" w:space="0"/>
              <w:left w:val="single" w:color="auto" w:sz="4" w:space="0"/>
              <w:bottom w:val="single" w:color="auto" w:sz="4" w:space="0"/>
              <w:right w:val="single" w:color="auto" w:sz="4" w:space="0"/>
            </w:tcBorders>
            <w:vAlign w:val="center"/>
          </w:tcPr>
          <w:p w14:paraId="1AEF86B0">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color w:val="auto"/>
                <w:kern w:val="0"/>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330" w:type="pct"/>
            <w:tcBorders>
              <w:top w:val="single" w:color="auto" w:sz="4" w:space="0"/>
              <w:left w:val="single" w:color="auto" w:sz="4" w:space="0"/>
              <w:bottom w:val="single" w:color="auto" w:sz="4" w:space="0"/>
              <w:right w:val="single" w:color="auto" w:sz="4" w:space="0"/>
            </w:tcBorders>
            <w:vAlign w:val="center"/>
          </w:tcPr>
          <w:p w14:paraId="42442787">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color w:val="auto"/>
                <w:kern w:val="0"/>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370" w:type="pct"/>
            <w:tcBorders>
              <w:top w:val="single" w:color="auto" w:sz="4" w:space="0"/>
              <w:left w:val="single" w:color="auto" w:sz="4" w:space="0"/>
              <w:bottom w:val="single" w:color="auto" w:sz="4" w:space="0"/>
              <w:right w:val="single" w:color="auto" w:sz="4" w:space="0"/>
            </w:tcBorders>
            <w:vAlign w:val="center"/>
          </w:tcPr>
          <w:p w14:paraId="23361CD3">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color w:val="auto"/>
                <w:kern w:val="0"/>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5</w:t>
            </w:r>
          </w:p>
        </w:tc>
        <w:tc>
          <w:tcPr>
            <w:tcW w:w="322" w:type="pct"/>
            <w:tcBorders>
              <w:top w:val="single" w:color="auto" w:sz="4" w:space="0"/>
              <w:left w:val="single" w:color="auto" w:sz="4" w:space="0"/>
              <w:bottom w:val="single" w:color="auto" w:sz="4" w:space="0"/>
              <w:right w:val="single" w:color="auto" w:sz="4" w:space="0"/>
            </w:tcBorders>
          </w:tcPr>
          <w:p w14:paraId="3125BF43">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564" w:type="pct"/>
            <w:tcBorders>
              <w:top w:val="single" w:color="auto" w:sz="4" w:space="0"/>
              <w:left w:val="single" w:color="auto" w:sz="4" w:space="0"/>
              <w:bottom w:val="single" w:color="auto" w:sz="4" w:space="0"/>
              <w:right w:val="single" w:color="auto" w:sz="4" w:space="0"/>
            </w:tcBorders>
          </w:tcPr>
          <w:p w14:paraId="278AC38E">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261" w:type="pct"/>
            <w:tcBorders>
              <w:top w:val="single" w:color="auto" w:sz="4" w:space="0"/>
              <w:left w:val="single" w:color="auto" w:sz="4" w:space="0"/>
              <w:bottom w:val="single" w:color="auto" w:sz="4" w:space="0"/>
              <w:right w:val="single" w:color="auto" w:sz="4" w:space="0"/>
            </w:tcBorders>
            <w:vAlign w:val="center"/>
          </w:tcPr>
          <w:p w14:paraId="480C1DED">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r>
      <w:tr w14:paraId="0581B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231" w:type="pct"/>
            <w:tcBorders>
              <w:top w:val="single" w:color="auto" w:sz="4" w:space="0"/>
              <w:left w:val="single" w:color="auto" w:sz="4" w:space="0"/>
              <w:bottom w:val="single" w:color="auto" w:sz="4" w:space="0"/>
              <w:right w:val="single" w:color="auto" w:sz="4" w:space="0"/>
            </w:tcBorders>
            <w:vAlign w:val="center"/>
          </w:tcPr>
          <w:p w14:paraId="62093948">
            <w:pPr>
              <w:autoSpaceDE w:val="0"/>
              <w:autoSpaceDN w:val="0"/>
              <w:adjustRightInd w:val="0"/>
              <w:snapToGrid/>
              <w:spacing w:line="400" w:lineRule="exact"/>
              <w:jc w:val="center"/>
              <w:outlineLvl w:val="9"/>
              <w:rPr>
                <w:rFonts w:hint="default" w:ascii="宋体" w:hAnsi="宋体" w:eastAsia="宋体" w:cs="宋体"/>
                <w:color w:val="auto"/>
                <w:kern w:val="0"/>
                <w:szCs w:val="21"/>
                <w:highlight w:val="none"/>
                <w:lang w:val="en-US" w:eastAsia="zh-CN"/>
              </w:rPr>
            </w:pPr>
            <w:r>
              <w:rPr>
                <w:rFonts w:hint="eastAsia" w:cs="宋体"/>
                <w:color w:val="auto"/>
                <w:kern w:val="0"/>
                <w:szCs w:val="21"/>
                <w:highlight w:val="none"/>
                <w:lang w:val="en-US" w:eastAsia="zh-CN"/>
              </w:rPr>
              <w:t>35</w:t>
            </w:r>
          </w:p>
        </w:tc>
        <w:tc>
          <w:tcPr>
            <w:tcW w:w="838" w:type="pct"/>
            <w:tcBorders>
              <w:top w:val="single" w:color="auto" w:sz="4" w:space="0"/>
              <w:left w:val="single" w:color="auto" w:sz="4" w:space="0"/>
              <w:bottom w:val="single" w:color="auto" w:sz="4" w:space="0"/>
              <w:right w:val="single" w:color="auto" w:sz="4" w:space="0"/>
            </w:tcBorders>
            <w:vAlign w:val="center"/>
          </w:tcPr>
          <w:p w14:paraId="47A86050">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color w:val="auto"/>
                <w:kern w:val="0"/>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法兰蝶阀</w:t>
            </w:r>
          </w:p>
        </w:tc>
        <w:tc>
          <w:tcPr>
            <w:tcW w:w="346" w:type="pct"/>
            <w:tcBorders>
              <w:top w:val="single" w:color="auto" w:sz="4" w:space="0"/>
              <w:left w:val="single" w:color="auto" w:sz="4" w:space="0"/>
              <w:bottom w:val="single" w:color="auto" w:sz="4" w:space="0"/>
              <w:right w:val="single" w:color="auto" w:sz="4" w:space="0"/>
            </w:tcBorders>
            <w:vAlign w:val="center"/>
          </w:tcPr>
          <w:p w14:paraId="1F3ECA7D">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395" w:type="pct"/>
            <w:tcBorders>
              <w:top w:val="single" w:color="auto" w:sz="4" w:space="0"/>
              <w:left w:val="single" w:color="auto" w:sz="4" w:space="0"/>
              <w:bottom w:val="single" w:color="auto" w:sz="4" w:space="0"/>
              <w:right w:val="single" w:color="auto" w:sz="4" w:space="0"/>
            </w:tcBorders>
            <w:vAlign w:val="center"/>
          </w:tcPr>
          <w:p w14:paraId="636B5854">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669" w:type="pct"/>
            <w:tcBorders>
              <w:top w:val="single" w:color="auto" w:sz="4" w:space="0"/>
              <w:left w:val="single" w:color="auto" w:sz="4" w:space="0"/>
              <w:bottom w:val="single" w:color="auto" w:sz="4" w:space="0"/>
              <w:right w:val="single" w:color="auto" w:sz="4" w:space="0"/>
            </w:tcBorders>
            <w:vAlign w:val="center"/>
          </w:tcPr>
          <w:p w14:paraId="2B486309">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color w:val="auto"/>
                <w:kern w:val="0"/>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DN1400</w:t>
            </w:r>
          </w:p>
        </w:tc>
        <w:tc>
          <w:tcPr>
            <w:tcW w:w="669" w:type="pct"/>
            <w:tcBorders>
              <w:top w:val="single" w:color="auto" w:sz="4" w:space="0"/>
              <w:left w:val="single" w:color="auto" w:sz="4" w:space="0"/>
              <w:bottom w:val="single" w:color="auto" w:sz="4" w:space="0"/>
              <w:right w:val="single" w:color="auto" w:sz="4" w:space="0"/>
            </w:tcBorders>
            <w:vAlign w:val="center"/>
          </w:tcPr>
          <w:p w14:paraId="2C70D8CD">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color w:val="auto"/>
                <w:kern w:val="0"/>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330" w:type="pct"/>
            <w:tcBorders>
              <w:top w:val="single" w:color="auto" w:sz="4" w:space="0"/>
              <w:left w:val="single" w:color="auto" w:sz="4" w:space="0"/>
              <w:bottom w:val="single" w:color="auto" w:sz="4" w:space="0"/>
              <w:right w:val="single" w:color="auto" w:sz="4" w:space="0"/>
            </w:tcBorders>
            <w:vAlign w:val="center"/>
          </w:tcPr>
          <w:p w14:paraId="65D95BAE">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color w:val="auto"/>
                <w:kern w:val="0"/>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370" w:type="pct"/>
            <w:tcBorders>
              <w:top w:val="single" w:color="auto" w:sz="4" w:space="0"/>
              <w:left w:val="single" w:color="auto" w:sz="4" w:space="0"/>
              <w:bottom w:val="single" w:color="auto" w:sz="4" w:space="0"/>
              <w:right w:val="single" w:color="auto" w:sz="4" w:space="0"/>
            </w:tcBorders>
            <w:vAlign w:val="center"/>
          </w:tcPr>
          <w:p w14:paraId="4A650E73">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color w:val="auto"/>
                <w:kern w:val="0"/>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3</w:t>
            </w:r>
          </w:p>
        </w:tc>
        <w:tc>
          <w:tcPr>
            <w:tcW w:w="322" w:type="pct"/>
            <w:tcBorders>
              <w:top w:val="single" w:color="auto" w:sz="4" w:space="0"/>
              <w:left w:val="single" w:color="auto" w:sz="4" w:space="0"/>
              <w:bottom w:val="single" w:color="auto" w:sz="4" w:space="0"/>
              <w:right w:val="single" w:color="auto" w:sz="4" w:space="0"/>
            </w:tcBorders>
          </w:tcPr>
          <w:p w14:paraId="3C220510">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564" w:type="pct"/>
            <w:tcBorders>
              <w:top w:val="single" w:color="auto" w:sz="4" w:space="0"/>
              <w:left w:val="single" w:color="auto" w:sz="4" w:space="0"/>
              <w:bottom w:val="single" w:color="auto" w:sz="4" w:space="0"/>
              <w:right w:val="single" w:color="auto" w:sz="4" w:space="0"/>
            </w:tcBorders>
          </w:tcPr>
          <w:p w14:paraId="4E08C65B">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261" w:type="pct"/>
            <w:tcBorders>
              <w:top w:val="single" w:color="auto" w:sz="4" w:space="0"/>
              <w:left w:val="single" w:color="auto" w:sz="4" w:space="0"/>
              <w:bottom w:val="single" w:color="auto" w:sz="4" w:space="0"/>
              <w:right w:val="single" w:color="auto" w:sz="4" w:space="0"/>
            </w:tcBorders>
            <w:vAlign w:val="center"/>
          </w:tcPr>
          <w:p w14:paraId="42241F5B">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r>
      <w:tr w14:paraId="0D61A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231" w:type="pct"/>
            <w:tcBorders>
              <w:top w:val="single" w:color="auto" w:sz="4" w:space="0"/>
              <w:left w:val="single" w:color="auto" w:sz="4" w:space="0"/>
              <w:bottom w:val="single" w:color="auto" w:sz="4" w:space="0"/>
              <w:right w:val="single" w:color="auto" w:sz="4" w:space="0"/>
            </w:tcBorders>
            <w:vAlign w:val="center"/>
          </w:tcPr>
          <w:p w14:paraId="39081FA8">
            <w:pPr>
              <w:autoSpaceDE w:val="0"/>
              <w:autoSpaceDN w:val="0"/>
              <w:adjustRightInd w:val="0"/>
              <w:snapToGrid/>
              <w:spacing w:line="400" w:lineRule="exact"/>
              <w:jc w:val="center"/>
              <w:outlineLvl w:val="9"/>
              <w:rPr>
                <w:rFonts w:hint="default" w:ascii="宋体" w:hAnsi="宋体" w:eastAsia="宋体" w:cs="宋体"/>
                <w:color w:val="auto"/>
                <w:kern w:val="0"/>
                <w:szCs w:val="21"/>
                <w:highlight w:val="none"/>
                <w:lang w:val="en-US" w:eastAsia="zh-CN"/>
              </w:rPr>
            </w:pPr>
            <w:r>
              <w:rPr>
                <w:rFonts w:hint="eastAsia" w:cs="宋体"/>
                <w:color w:val="auto"/>
                <w:kern w:val="0"/>
                <w:szCs w:val="21"/>
                <w:highlight w:val="none"/>
                <w:lang w:val="en-US" w:eastAsia="zh-CN"/>
              </w:rPr>
              <w:t>36</w:t>
            </w:r>
          </w:p>
        </w:tc>
        <w:tc>
          <w:tcPr>
            <w:tcW w:w="838" w:type="pct"/>
            <w:tcBorders>
              <w:top w:val="single" w:color="auto" w:sz="4" w:space="0"/>
              <w:left w:val="single" w:color="auto" w:sz="4" w:space="0"/>
              <w:bottom w:val="single" w:color="auto" w:sz="4" w:space="0"/>
              <w:right w:val="single" w:color="auto" w:sz="4" w:space="0"/>
            </w:tcBorders>
            <w:vAlign w:val="center"/>
          </w:tcPr>
          <w:p w14:paraId="4BCED361">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color w:val="auto"/>
                <w:kern w:val="0"/>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法兰蝶阀</w:t>
            </w:r>
          </w:p>
        </w:tc>
        <w:tc>
          <w:tcPr>
            <w:tcW w:w="346" w:type="pct"/>
            <w:tcBorders>
              <w:top w:val="single" w:color="auto" w:sz="4" w:space="0"/>
              <w:left w:val="single" w:color="auto" w:sz="4" w:space="0"/>
              <w:bottom w:val="single" w:color="auto" w:sz="4" w:space="0"/>
              <w:right w:val="single" w:color="auto" w:sz="4" w:space="0"/>
            </w:tcBorders>
            <w:vAlign w:val="center"/>
          </w:tcPr>
          <w:p w14:paraId="5DD95002">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395" w:type="pct"/>
            <w:tcBorders>
              <w:top w:val="single" w:color="auto" w:sz="4" w:space="0"/>
              <w:left w:val="single" w:color="auto" w:sz="4" w:space="0"/>
              <w:bottom w:val="single" w:color="auto" w:sz="4" w:space="0"/>
              <w:right w:val="single" w:color="auto" w:sz="4" w:space="0"/>
            </w:tcBorders>
            <w:vAlign w:val="center"/>
          </w:tcPr>
          <w:p w14:paraId="7687CB7E">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669" w:type="pct"/>
            <w:tcBorders>
              <w:top w:val="single" w:color="auto" w:sz="4" w:space="0"/>
              <w:left w:val="single" w:color="auto" w:sz="4" w:space="0"/>
              <w:bottom w:val="single" w:color="auto" w:sz="4" w:space="0"/>
              <w:right w:val="single" w:color="auto" w:sz="4" w:space="0"/>
            </w:tcBorders>
            <w:vAlign w:val="center"/>
          </w:tcPr>
          <w:p w14:paraId="4611E3D5">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color w:val="auto"/>
                <w:kern w:val="0"/>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DN1600</w:t>
            </w:r>
          </w:p>
        </w:tc>
        <w:tc>
          <w:tcPr>
            <w:tcW w:w="669" w:type="pct"/>
            <w:tcBorders>
              <w:top w:val="single" w:color="auto" w:sz="4" w:space="0"/>
              <w:left w:val="single" w:color="auto" w:sz="4" w:space="0"/>
              <w:bottom w:val="single" w:color="auto" w:sz="4" w:space="0"/>
              <w:right w:val="single" w:color="auto" w:sz="4" w:space="0"/>
            </w:tcBorders>
            <w:vAlign w:val="center"/>
          </w:tcPr>
          <w:p w14:paraId="02195550">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color w:val="auto"/>
                <w:kern w:val="0"/>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330" w:type="pct"/>
            <w:tcBorders>
              <w:top w:val="single" w:color="auto" w:sz="4" w:space="0"/>
              <w:left w:val="single" w:color="auto" w:sz="4" w:space="0"/>
              <w:bottom w:val="single" w:color="auto" w:sz="4" w:space="0"/>
              <w:right w:val="single" w:color="auto" w:sz="4" w:space="0"/>
            </w:tcBorders>
            <w:vAlign w:val="center"/>
          </w:tcPr>
          <w:p w14:paraId="5689DC18">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color w:val="auto"/>
                <w:kern w:val="0"/>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370" w:type="pct"/>
            <w:tcBorders>
              <w:top w:val="single" w:color="auto" w:sz="4" w:space="0"/>
              <w:left w:val="single" w:color="auto" w:sz="4" w:space="0"/>
              <w:bottom w:val="single" w:color="auto" w:sz="4" w:space="0"/>
              <w:right w:val="single" w:color="auto" w:sz="4" w:space="0"/>
            </w:tcBorders>
            <w:vAlign w:val="center"/>
          </w:tcPr>
          <w:p w14:paraId="2B2FD7E4">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color w:val="auto"/>
                <w:kern w:val="0"/>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3</w:t>
            </w:r>
          </w:p>
        </w:tc>
        <w:tc>
          <w:tcPr>
            <w:tcW w:w="322" w:type="pct"/>
            <w:tcBorders>
              <w:top w:val="single" w:color="auto" w:sz="4" w:space="0"/>
              <w:left w:val="single" w:color="auto" w:sz="4" w:space="0"/>
              <w:bottom w:val="single" w:color="auto" w:sz="4" w:space="0"/>
              <w:right w:val="single" w:color="auto" w:sz="4" w:space="0"/>
            </w:tcBorders>
          </w:tcPr>
          <w:p w14:paraId="4CA3D027">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564" w:type="pct"/>
            <w:tcBorders>
              <w:top w:val="single" w:color="auto" w:sz="4" w:space="0"/>
              <w:left w:val="single" w:color="auto" w:sz="4" w:space="0"/>
              <w:bottom w:val="single" w:color="auto" w:sz="4" w:space="0"/>
              <w:right w:val="single" w:color="auto" w:sz="4" w:space="0"/>
            </w:tcBorders>
          </w:tcPr>
          <w:p w14:paraId="4741E829">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261" w:type="pct"/>
            <w:tcBorders>
              <w:top w:val="single" w:color="auto" w:sz="4" w:space="0"/>
              <w:left w:val="single" w:color="auto" w:sz="4" w:space="0"/>
              <w:bottom w:val="single" w:color="auto" w:sz="4" w:space="0"/>
              <w:right w:val="single" w:color="auto" w:sz="4" w:space="0"/>
            </w:tcBorders>
            <w:vAlign w:val="center"/>
          </w:tcPr>
          <w:p w14:paraId="1F1B86D3">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r>
      <w:tr w14:paraId="30544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231" w:type="pct"/>
            <w:tcBorders>
              <w:top w:val="single" w:color="auto" w:sz="4" w:space="0"/>
              <w:left w:val="single" w:color="auto" w:sz="4" w:space="0"/>
              <w:bottom w:val="single" w:color="auto" w:sz="4" w:space="0"/>
              <w:right w:val="single" w:color="auto" w:sz="4" w:space="0"/>
            </w:tcBorders>
            <w:vAlign w:val="center"/>
          </w:tcPr>
          <w:p w14:paraId="6D5B28F9">
            <w:pPr>
              <w:autoSpaceDE w:val="0"/>
              <w:autoSpaceDN w:val="0"/>
              <w:adjustRightInd w:val="0"/>
              <w:snapToGrid/>
              <w:spacing w:line="400" w:lineRule="exact"/>
              <w:jc w:val="center"/>
              <w:outlineLvl w:val="9"/>
              <w:rPr>
                <w:rFonts w:hint="default" w:ascii="宋体" w:hAnsi="宋体" w:eastAsia="宋体" w:cs="宋体"/>
                <w:color w:val="auto"/>
                <w:kern w:val="0"/>
                <w:szCs w:val="21"/>
                <w:highlight w:val="none"/>
                <w:lang w:val="en-US" w:eastAsia="zh-CN"/>
              </w:rPr>
            </w:pPr>
            <w:r>
              <w:rPr>
                <w:rFonts w:hint="eastAsia" w:cs="宋体"/>
                <w:color w:val="auto"/>
                <w:kern w:val="0"/>
                <w:szCs w:val="21"/>
                <w:highlight w:val="none"/>
                <w:lang w:val="en-US" w:eastAsia="zh-CN"/>
              </w:rPr>
              <w:t>37</w:t>
            </w:r>
          </w:p>
        </w:tc>
        <w:tc>
          <w:tcPr>
            <w:tcW w:w="838" w:type="pct"/>
            <w:tcBorders>
              <w:top w:val="single" w:color="auto" w:sz="4" w:space="0"/>
              <w:left w:val="single" w:color="auto" w:sz="4" w:space="0"/>
              <w:bottom w:val="single" w:color="auto" w:sz="4" w:space="0"/>
              <w:right w:val="single" w:color="auto" w:sz="4" w:space="0"/>
            </w:tcBorders>
            <w:vAlign w:val="center"/>
          </w:tcPr>
          <w:p w14:paraId="69BC784D">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color w:val="auto"/>
                <w:kern w:val="0"/>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对夹式蝶阀</w:t>
            </w:r>
          </w:p>
        </w:tc>
        <w:tc>
          <w:tcPr>
            <w:tcW w:w="346" w:type="pct"/>
            <w:tcBorders>
              <w:top w:val="single" w:color="auto" w:sz="4" w:space="0"/>
              <w:left w:val="single" w:color="auto" w:sz="4" w:space="0"/>
              <w:bottom w:val="single" w:color="auto" w:sz="4" w:space="0"/>
              <w:right w:val="single" w:color="auto" w:sz="4" w:space="0"/>
            </w:tcBorders>
            <w:vAlign w:val="center"/>
          </w:tcPr>
          <w:p w14:paraId="6758F781">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395" w:type="pct"/>
            <w:tcBorders>
              <w:top w:val="single" w:color="auto" w:sz="4" w:space="0"/>
              <w:left w:val="single" w:color="auto" w:sz="4" w:space="0"/>
              <w:bottom w:val="single" w:color="auto" w:sz="4" w:space="0"/>
              <w:right w:val="single" w:color="auto" w:sz="4" w:space="0"/>
            </w:tcBorders>
            <w:vAlign w:val="center"/>
          </w:tcPr>
          <w:p w14:paraId="0B5F28D1">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669" w:type="pct"/>
            <w:tcBorders>
              <w:top w:val="single" w:color="auto" w:sz="4" w:space="0"/>
              <w:left w:val="single" w:color="auto" w:sz="4" w:space="0"/>
              <w:bottom w:val="single" w:color="auto" w:sz="4" w:space="0"/>
              <w:right w:val="single" w:color="auto" w:sz="4" w:space="0"/>
            </w:tcBorders>
            <w:vAlign w:val="center"/>
          </w:tcPr>
          <w:p w14:paraId="22A8F160">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color w:val="auto"/>
                <w:kern w:val="0"/>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DN50</w:t>
            </w:r>
          </w:p>
        </w:tc>
        <w:tc>
          <w:tcPr>
            <w:tcW w:w="669" w:type="pct"/>
            <w:tcBorders>
              <w:top w:val="single" w:color="auto" w:sz="4" w:space="0"/>
              <w:left w:val="single" w:color="auto" w:sz="4" w:space="0"/>
              <w:bottom w:val="single" w:color="auto" w:sz="4" w:space="0"/>
              <w:right w:val="single" w:color="auto" w:sz="4" w:space="0"/>
            </w:tcBorders>
            <w:vAlign w:val="center"/>
          </w:tcPr>
          <w:p w14:paraId="680555AC">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color w:val="auto"/>
                <w:kern w:val="0"/>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330" w:type="pct"/>
            <w:tcBorders>
              <w:top w:val="single" w:color="auto" w:sz="4" w:space="0"/>
              <w:left w:val="single" w:color="auto" w:sz="4" w:space="0"/>
              <w:bottom w:val="single" w:color="auto" w:sz="4" w:space="0"/>
              <w:right w:val="single" w:color="auto" w:sz="4" w:space="0"/>
            </w:tcBorders>
            <w:vAlign w:val="center"/>
          </w:tcPr>
          <w:p w14:paraId="0B657A06">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color w:val="auto"/>
                <w:kern w:val="0"/>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370" w:type="pct"/>
            <w:tcBorders>
              <w:top w:val="single" w:color="auto" w:sz="4" w:space="0"/>
              <w:left w:val="single" w:color="auto" w:sz="4" w:space="0"/>
              <w:bottom w:val="single" w:color="auto" w:sz="4" w:space="0"/>
              <w:right w:val="single" w:color="auto" w:sz="4" w:space="0"/>
            </w:tcBorders>
            <w:vAlign w:val="center"/>
          </w:tcPr>
          <w:p w14:paraId="2C44D006">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color w:val="auto"/>
                <w:kern w:val="0"/>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3</w:t>
            </w:r>
          </w:p>
        </w:tc>
        <w:tc>
          <w:tcPr>
            <w:tcW w:w="322" w:type="pct"/>
            <w:tcBorders>
              <w:top w:val="single" w:color="auto" w:sz="4" w:space="0"/>
              <w:left w:val="single" w:color="auto" w:sz="4" w:space="0"/>
              <w:bottom w:val="single" w:color="auto" w:sz="4" w:space="0"/>
              <w:right w:val="single" w:color="auto" w:sz="4" w:space="0"/>
            </w:tcBorders>
          </w:tcPr>
          <w:p w14:paraId="72E440CF">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564" w:type="pct"/>
            <w:tcBorders>
              <w:top w:val="single" w:color="auto" w:sz="4" w:space="0"/>
              <w:left w:val="single" w:color="auto" w:sz="4" w:space="0"/>
              <w:bottom w:val="single" w:color="auto" w:sz="4" w:space="0"/>
              <w:right w:val="single" w:color="auto" w:sz="4" w:space="0"/>
            </w:tcBorders>
          </w:tcPr>
          <w:p w14:paraId="6717507C">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261" w:type="pct"/>
            <w:tcBorders>
              <w:top w:val="single" w:color="auto" w:sz="4" w:space="0"/>
              <w:left w:val="single" w:color="auto" w:sz="4" w:space="0"/>
              <w:bottom w:val="single" w:color="auto" w:sz="4" w:space="0"/>
              <w:right w:val="single" w:color="auto" w:sz="4" w:space="0"/>
            </w:tcBorders>
            <w:vAlign w:val="center"/>
          </w:tcPr>
          <w:p w14:paraId="71C8D59B">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r>
      <w:tr w14:paraId="5C459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231" w:type="pct"/>
            <w:tcBorders>
              <w:top w:val="single" w:color="auto" w:sz="4" w:space="0"/>
              <w:left w:val="single" w:color="auto" w:sz="4" w:space="0"/>
              <w:bottom w:val="single" w:color="auto" w:sz="4" w:space="0"/>
              <w:right w:val="single" w:color="auto" w:sz="4" w:space="0"/>
            </w:tcBorders>
            <w:vAlign w:val="center"/>
          </w:tcPr>
          <w:p w14:paraId="6E04C922">
            <w:pPr>
              <w:autoSpaceDE w:val="0"/>
              <w:autoSpaceDN w:val="0"/>
              <w:adjustRightInd w:val="0"/>
              <w:snapToGrid/>
              <w:spacing w:line="400" w:lineRule="exact"/>
              <w:jc w:val="center"/>
              <w:outlineLvl w:val="9"/>
              <w:rPr>
                <w:rFonts w:hint="default" w:ascii="宋体" w:hAnsi="宋体" w:eastAsia="宋体" w:cs="宋体"/>
                <w:color w:val="auto"/>
                <w:kern w:val="0"/>
                <w:szCs w:val="21"/>
                <w:highlight w:val="none"/>
                <w:lang w:val="en-US" w:eastAsia="zh-CN"/>
              </w:rPr>
            </w:pPr>
            <w:r>
              <w:rPr>
                <w:rFonts w:hint="eastAsia" w:cs="宋体"/>
                <w:color w:val="auto"/>
                <w:kern w:val="0"/>
                <w:szCs w:val="21"/>
                <w:highlight w:val="none"/>
                <w:lang w:val="en-US" w:eastAsia="zh-CN"/>
              </w:rPr>
              <w:t>38</w:t>
            </w:r>
          </w:p>
        </w:tc>
        <w:tc>
          <w:tcPr>
            <w:tcW w:w="838" w:type="pct"/>
            <w:tcBorders>
              <w:top w:val="single" w:color="auto" w:sz="4" w:space="0"/>
              <w:left w:val="single" w:color="auto" w:sz="4" w:space="0"/>
              <w:bottom w:val="single" w:color="auto" w:sz="4" w:space="0"/>
              <w:right w:val="single" w:color="auto" w:sz="4" w:space="0"/>
            </w:tcBorders>
            <w:vAlign w:val="center"/>
          </w:tcPr>
          <w:p w14:paraId="1C6A59E2">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color w:val="auto"/>
                <w:kern w:val="0"/>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对夹式蝶阀</w:t>
            </w:r>
          </w:p>
        </w:tc>
        <w:tc>
          <w:tcPr>
            <w:tcW w:w="346" w:type="pct"/>
            <w:tcBorders>
              <w:top w:val="single" w:color="auto" w:sz="4" w:space="0"/>
              <w:left w:val="single" w:color="auto" w:sz="4" w:space="0"/>
              <w:bottom w:val="single" w:color="auto" w:sz="4" w:space="0"/>
              <w:right w:val="single" w:color="auto" w:sz="4" w:space="0"/>
            </w:tcBorders>
            <w:vAlign w:val="center"/>
          </w:tcPr>
          <w:p w14:paraId="6F5C6FED">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395" w:type="pct"/>
            <w:tcBorders>
              <w:top w:val="single" w:color="auto" w:sz="4" w:space="0"/>
              <w:left w:val="single" w:color="auto" w:sz="4" w:space="0"/>
              <w:bottom w:val="single" w:color="auto" w:sz="4" w:space="0"/>
              <w:right w:val="single" w:color="auto" w:sz="4" w:space="0"/>
            </w:tcBorders>
            <w:vAlign w:val="center"/>
          </w:tcPr>
          <w:p w14:paraId="2839541B">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669" w:type="pct"/>
            <w:tcBorders>
              <w:top w:val="single" w:color="auto" w:sz="4" w:space="0"/>
              <w:left w:val="single" w:color="auto" w:sz="4" w:space="0"/>
              <w:bottom w:val="single" w:color="auto" w:sz="4" w:space="0"/>
              <w:right w:val="single" w:color="auto" w:sz="4" w:space="0"/>
            </w:tcBorders>
            <w:vAlign w:val="center"/>
          </w:tcPr>
          <w:p w14:paraId="431565D1">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color w:val="auto"/>
                <w:kern w:val="0"/>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DN65</w:t>
            </w:r>
          </w:p>
        </w:tc>
        <w:tc>
          <w:tcPr>
            <w:tcW w:w="669" w:type="pct"/>
            <w:tcBorders>
              <w:top w:val="single" w:color="auto" w:sz="4" w:space="0"/>
              <w:left w:val="single" w:color="auto" w:sz="4" w:space="0"/>
              <w:bottom w:val="single" w:color="auto" w:sz="4" w:space="0"/>
              <w:right w:val="single" w:color="auto" w:sz="4" w:space="0"/>
            </w:tcBorders>
            <w:vAlign w:val="center"/>
          </w:tcPr>
          <w:p w14:paraId="23B86BE0">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color w:val="auto"/>
                <w:kern w:val="0"/>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330" w:type="pct"/>
            <w:tcBorders>
              <w:top w:val="single" w:color="auto" w:sz="4" w:space="0"/>
              <w:left w:val="single" w:color="auto" w:sz="4" w:space="0"/>
              <w:bottom w:val="single" w:color="auto" w:sz="4" w:space="0"/>
              <w:right w:val="single" w:color="auto" w:sz="4" w:space="0"/>
            </w:tcBorders>
            <w:vAlign w:val="center"/>
          </w:tcPr>
          <w:p w14:paraId="30F16ABD">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color w:val="auto"/>
                <w:kern w:val="0"/>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370" w:type="pct"/>
            <w:tcBorders>
              <w:top w:val="single" w:color="auto" w:sz="4" w:space="0"/>
              <w:left w:val="single" w:color="auto" w:sz="4" w:space="0"/>
              <w:bottom w:val="single" w:color="auto" w:sz="4" w:space="0"/>
              <w:right w:val="single" w:color="auto" w:sz="4" w:space="0"/>
            </w:tcBorders>
            <w:vAlign w:val="center"/>
          </w:tcPr>
          <w:p w14:paraId="16F54F7A">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color w:val="auto"/>
                <w:kern w:val="0"/>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3</w:t>
            </w:r>
          </w:p>
        </w:tc>
        <w:tc>
          <w:tcPr>
            <w:tcW w:w="322" w:type="pct"/>
            <w:tcBorders>
              <w:top w:val="single" w:color="auto" w:sz="4" w:space="0"/>
              <w:left w:val="single" w:color="auto" w:sz="4" w:space="0"/>
              <w:bottom w:val="single" w:color="auto" w:sz="4" w:space="0"/>
              <w:right w:val="single" w:color="auto" w:sz="4" w:space="0"/>
            </w:tcBorders>
          </w:tcPr>
          <w:p w14:paraId="4E48FBC1">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564" w:type="pct"/>
            <w:tcBorders>
              <w:top w:val="single" w:color="auto" w:sz="4" w:space="0"/>
              <w:left w:val="single" w:color="auto" w:sz="4" w:space="0"/>
              <w:bottom w:val="single" w:color="auto" w:sz="4" w:space="0"/>
              <w:right w:val="single" w:color="auto" w:sz="4" w:space="0"/>
            </w:tcBorders>
          </w:tcPr>
          <w:p w14:paraId="1607484E">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261" w:type="pct"/>
            <w:tcBorders>
              <w:top w:val="single" w:color="auto" w:sz="4" w:space="0"/>
              <w:left w:val="single" w:color="auto" w:sz="4" w:space="0"/>
              <w:bottom w:val="single" w:color="auto" w:sz="4" w:space="0"/>
              <w:right w:val="single" w:color="auto" w:sz="4" w:space="0"/>
            </w:tcBorders>
            <w:vAlign w:val="center"/>
          </w:tcPr>
          <w:p w14:paraId="59080B22">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r>
      <w:tr w14:paraId="0FAB6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231" w:type="pct"/>
            <w:tcBorders>
              <w:top w:val="single" w:color="auto" w:sz="4" w:space="0"/>
              <w:left w:val="single" w:color="auto" w:sz="4" w:space="0"/>
              <w:bottom w:val="single" w:color="auto" w:sz="4" w:space="0"/>
              <w:right w:val="single" w:color="auto" w:sz="4" w:space="0"/>
            </w:tcBorders>
            <w:vAlign w:val="center"/>
          </w:tcPr>
          <w:p w14:paraId="1DF8BAED">
            <w:pPr>
              <w:autoSpaceDE w:val="0"/>
              <w:autoSpaceDN w:val="0"/>
              <w:adjustRightInd w:val="0"/>
              <w:snapToGrid/>
              <w:spacing w:line="400" w:lineRule="exact"/>
              <w:jc w:val="center"/>
              <w:outlineLvl w:val="9"/>
              <w:rPr>
                <w:rFonts w:hint="default" w:ascii="宋体" w:hAnsi="宋体" w:eastAsia="宋体" w:cs="宋体"/>
                <w:color w:val="auto"/>
                <w:kern w:val="0"/>
                <w:szCs w:val="21"/>
                <w:highlight w:val="none"/>
                <w:lang w:val="en-US" w:eastAsia="zh-CN"/>
              </w:rPr>
            </w:pPr>
            <w:r>
              <w:rPr>
                <w:rFonts w:hint="eastAsia" w:cs="宋体"/>
                <w:color w:val="auto"/>
                <w:kern w:val="0"/>
                <w:szCs w:val="21"/>
                <w:highlight w:val="none"/>
                <w:lang w:val="en-US" w:eastAsia="zh-CN"/>
              </w:rPr>
              <w:t>39</w:t>
            </w:r>
          </w:p>
        </w:tc>
        <w:tc>
          <w:tcPr>
            <w:tcW w:w="838" w:type="pct"/>
            <w:tcBorders>
              <w:top w:val="single" w:color="auto" w:sz="4" w:space="0"/>
              <w:left w:val="single" w:color="auto" w:sz="4" w:space="0"/>
              <w:bottom w:val="single" w:color="auto" w:sz="4" w:space="0"/>
              <w:right w:val="single" w:color="auto" w:sz="4" w:space="0"/>
            </w:tcBorders>
            <w:vAlign w:val="center"/>
          </w:tcPr>
          <w:p w14:paraId="2C911C6E">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color w:val="auto"/>
                <w:kern w:val="0"/>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对夹式蝶阀</w:t>
            </w:r>
          </w:p>
        </w:tc>
        <w:tc>
          <w:tcPr>
            <w:tcW w:w="346" w:type="pct"/>
            <w:tcBorders>
              <w:top w:val="single" w:color="auto" w:sz="4" w:space="0"/>
              <w:left w:val="single" w:color="auto" w:sz="4" w:space="0"/>
              <w:bottom w:val="single" w:color="auto" w:sz="4" w:space="0"/>
              <w:right w:val="single" w:color="auto" w:sz="4" w:space="0"/>
            </w:tcBorders>
            <w:vAlign w:val="center"/>
          </w:tcPr>
          <w:p w14:paraId="4C340D00">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395" w:type="pct"/>
            <w:tcBorders>
              <w:top w:val="single" w:color="auto" w:sz="4" w:space="0"/>
              <w:left w:val="single" w:color="auto" w:sz="4" w:space="0"/>
              <w:bottom w:val="single" w:color="auto" w:sz="4" w:space="0"/>
              <w:right w:val="single" w:color="auto" w:sz="4" w:space="0"/>
            </w:tcBorders>
            <w:vAlign w:val="center"/>
          </w:tcPr>
          <w:p w14:paraId="063B60B9">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669" w:type="pct"/>
            <w:tcBorders>
              <w:top w:val="single" w:color="auto" w:sz="4" w:space="0"/>
              <w:left w:val="single" w:color="auto" w:sz="4" w:space="0"/>
              <w:bottom w:val="single" w:color="auto" w:sz="4" w:space="0"/>
              <w:right w:val="single" w:color="auto" w:sz="4" w:space="0"/>
            </w:tcBorders>
            <w:vAlign w:val="center"/>
          </w:tcPr>
          <w:p w14:paraId="217BC431">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color w:val="auto"/>
                <w:kern w:val="0"/>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DN80</w:t>
            </w:r>
          </w:p>
        </w:tc>
        <w:tc>
          <w:tcPr>
            <w:tcW w:w="669" w:type="pct"/>
            <w:tcBorders>
              <w:top w:val="single" w:color="auto" w:sz="4" w:space="0"/>
              <w:left w:val="single" w:color="auto" w:sz="4" w:space="0"/>
              <w:bottom w:val="single" w:color="auto" w:sz="4" w:space="0"/>
              <w:right w:val="single" w:color="auto" w:sz="4" w:space="0"/>
            </w:tcBorders>
            <w:vAlign w:val="center"/>
          </w:tcPr>
          <w:p w14:paraId="16D14134">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color w:val="auto"/>
                <w:kern w:val="0"/>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330" w:type="pct"/>
            <w:tcBorders>
              <w:top w:val="single" w:color="auto" w:sz="4" w:space="0"/>
              <w:left w:val="single" w:color="auto" w:sz="4" w:space="0"/>
              <w:bottom w:val="single" w:color="auto" w:sz="4" w:space="0"/>
              <w:right w:val="single" w:color="auto" w:sz="4" w:space="0"/>
            </w:tcBorders>
            <w:vAlign w:val="center"/>
          </w:tcPr>
          <w:p w14:paraId="6933ABA6">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color w:val="auto"/>
                <w:kern w:val="0"/>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370" w:type="pct"/>
            <w:tcBorders>
              <w:top w:val="single" w:color="auto" w:sz="4" w:space="0"/>
              <w:left w:val="single" w:color="auto" w:sz="4" w:space="0"/>
              <w:bottom w:val="single" w:color="auto" w:sz="4" w:space="0"/>
              <w:right w:val="single" w:color="auto" w:sz="4" w:space="0"/>
            </w:tcBorders>
            <w:vAlign w:val="center"/>
          </w:tcPr>
          <w:p w14:paraId="6EE94961">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color w:val="auto"/>
                <w:kern w:val="0"/>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9</w:t>
            </w:r>
          </w:p>
        </w:tc>
        <w:tc>
          <w:tcPr>
            <w:tcW w:w="322" w:type="pct"/>
            <w:tcBorders>
              <w:top w:val="single" w:color="auto" w:sz="4" w:space="0"/>
              <w:left w:val="single" w:color="auto" w:sz="4" w:space="0"/>
              <w:bottom w:val="single" w:color="auto" w:sz="4" w:space="0"/>
              <w:right w:val="single" w:color="auto" w:sz="4" w:space="0"/>
            </w:tcBorders>
          </w:tcPr>
          <w:p w14:paraId="1CE23EB6">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564" w:type="pct"/>
            <w:tcBorders>
              <w:top w:val="single" w:color="auto" w:sz="4" w:space="0"/>
              <w:left w:val="single" w:color="auto" w:sz="4" w:space="0"/>
              <w:bottom w:val="single" w:color="auto" w:sz="4" w:space="0"/>
              <w:right w:val="single" w:color="auto" w:sz="4" w:space="0"/>
            </w:tcBorders>
          </w:tcPr>
          <w:p w14:paraId="535575A3">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261" w:type="pct"/>
            <w:tcBorders>
              <w:top w:val="single" w:color="auto" w:sz="4" w:space="0"/>
              <w:left w:val="single" w:color="auto" w:sz="4" w:space="0"/>
              <w:bottom w:val="single" w:color="auto" w:sz="4" w:space="0"/>
              <w:right w:val="single" w:color="auto" w:sz="4" w:space="0"/>
            </w:tcBorders>
            <w:vAlign w:val="center"/>
          </w:tcPr>
          <w:p w14:paraId="497805B1">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r>
      <w:tr w14:paraId="07EF7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231" w:type="pct"/>
            <w:tcBorders>
              <w:top w:val="single" w:color="auto" w:sz="4" w:space="0"/>
              <w:left w:val="single" w:color="auto" w:sz="4" w:space="0"/>
              <w:bottom w:val="single" w:color="auto" w:sz="4" w:space="0"/>
              <w:right w:val="single" w:color="auto" w:sz="4" w:space="0"/>
            </w:tcBorders>
            <w:vAlign w:val="center"/>
          </w:tcPr>
          <w:p w14:paraId="5DB3AF94">
            <w:pPr>
              <w:autoSpaceDE w:val="0"/>
              <w:autoSpaceDN w:val="0"/>
              <w:adjustRightInd w:val="0"/>
              <w:snapToGrid/>
              <w:spacing w:line="400" w:lineRule="exact"/>
              <w:jc w:val="center"/>
              <w:outlineLvl w:val="9"/>
              <w:rPr>
                <w:rFonts w:hint="default" w:ascii="宋体" w:hAnsi="宋体" w:eastAsia="宋体" w:cs="宋体"/>
                <w:color w:val="auto"/>
                <w:kern w:val="0"/>
                <w:szCs w:val="21"/>
                <w:highlight w:val="none"/>
                <w:lang w:val="en-US" w:eastAsia="zh-CN"/>
              </w:rPr>
            </w:pPr>
            <w:r>
              <w:rPr>
                <w:rFonts w:hint="eastAsia" w:cs="宋体"/>
                <w:color w:val="auto"/>
                <w:kern w:val="0"/>
                <w:szCs w:val="21"/>
                <w:highlight w:val="none"/>
                <w:lang w:val="en-US" w:eastAsia="zh-CN"/>
              </w:rPr>
              <w:t>40</w:t>
            </w:r>
          </w:p>
        </w:tc>
        <w:tc>
          <w:tcPr>
            <w:tcW w:w="838" w:type="pct"/>
            <w:tcBorders>
              <w:top w:val="single" w:color="auto" w:sz="4" w:space="0"/>
              <w:left w:val="single" w:color="auto" w:sz="4" w:space="0"/>
              <w:bottom w:val="single" w:color="auto" w:sz="4" w:space="0"/>
              <w:right w:val="single" w:color="auto" w:sz="4" w:space="0"/>
            </w:tcBorders>
            <w:vAlign w:val="center"/>
          </w:tcPr>
          <w:p w14:paraId="250CDEA9">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color w:val="auto"/>
                <w:kern w:val="0"/>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对夹式蝶阀</w:t>
            </w:r>
          </w:p>
        </w:tc>
        <w:tc>
          <w:tcPr>
            <w:tcW w:w="346" w:type="pct"/>
            <w:tcBorders>
              <w:top w:val="single" w:color="auto" w:sz="4" w:space="0"/>
              <w:left w:val="single" w:color="auto" w:sz="4" w:space="0"/>
              <w:bottom w:val="single" w:color="auto" w:sz="4" w:space="0"/>
              <w:right w:val="single" w:color="auto" w:sz="4" w:space="0"/>
            </w:tcBorders>
            <w:vAlign w:val="center"/>
          </w:tcPr>
          <w:p w14:paraId="600FE789">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395" w:type="pct"/>
            <w:tcBorders>
              <w:top w:val="single" w:color="auto" w:sz="4" w:space="0"/>
              <w:left w:val="single" w:color="auto" w:sz="4" w:space="0"/>
              <w:bottom w:val="single" w:color="auto" w:sz="4" w:space="0"/>
              <w:right w:val="single" w:color="auto" w:sz="4" w:space="0"/>
            </w:tcBorders>
            <w:vAlign w:val="center"/>
          </w:tcPr>
          <w:p w14:paraId="088E8538">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669" w:type="pct"/>
            <w:tcBorders>
              <w:top w:val="single" w:color="auto" w:sz="4" w:space="0"/>
              <w:left w:val="single" w:color="auto" w:sz="4" w:space="0"/>
              <w:bottom w:val="single" w:color="auto" w:sz="4" w:space="0"/>
              <w:right w:val="single" w:color="auto" w:sz="4" w:space="0"/>
            </w:tcBorders>
            <w:vAlign w:val="center"/>
          </w:tcPr>
          <w:p w14:paraId="79CB3277">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color w:val="auto"/>
                <w:kern w:val="0"/>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DN100</w:t>
            </w:r>
          </w:p>
        </w:tc>
        <w:tc>
          <w:tcPr>
            <w:tcW w:w="669" w:type="pct"/>
            <w:tcBorders>
              <w:top w:val="single" w:color="auto" w:sz="4" w:space="0"/>
              <w:left w:val="single" w:color="auto" w:sz="4" w:space="0"/>
              <w:bottom w:val="single" w:color="auto" w:sz="4" w:space="0"/>
              <w:right w:val="single" w:color="auto" w:sz="4" w:space="0"/>
            </w:tcBorders>
            <w:vAlign w:val="center"/>
          </w:tcPr>
          <w:p w14:paraId="31835B83">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color w:val="auto"/>
                <w:kern w:val="0"/>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330" w:type="pct"/>
            <w:tcBorders>
              <w:top w:val="single" w:color="auto" w:sz="4" w:space="0"/>
              <w:left w:val="single" w:color="auto" w:sz="4" w:space="0"/>
              <w:bottom w:val="single" w:color="auto" w:sz="4" w:space="0"/>
              <w:right w:val="single" w:color="auto" w:sz="4" w:space="0"/>
            </w:tcBorders>
            <w:vAlign w:val="center"/>
          </w:tcPr>
          <w:p w14:paraId="0AE67096">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color w:val="auto"/>
                <w:kern w:val="0"/>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370" w:type="pct"/>
            <w:tcBorders>
              <w:top w:val="single" w:color="auto" w:sz="4" w:space="0"/>
              <w:left w:val="single" w:color="auto" w:sz="4" w:space="0"/>
              <w:bottom w:val="single" w:color="auto" w:sz="4" w:space="0"/>
              <w:right w:val="single" w:color="auto" w:sz="4" w:space="0"/>
            </w:tcBorders>
            <w:vAlign w:val="center"/>
          </w:tcPr>
          <w:p w14:paraId="7D7D4E56">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color w:val="auto"/>
                <w:kern w:val="0"/>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30</w:t>
            </w:r>
          </w:p>
        </w:tc>
        <w:tc>
          <w:tcPr>
            <w:tcW w:w="322" w:type="pct"/>
            <w:tcBorders>
              <w:top w:val="single" w:color="auto" w:sz="4" w:space="0"/>
              <w:left w:val="single" w:color="auto" w:sz="4" w:space="0"/>
              <w:bottom w:val="single" w:color="auto" w:sz="4" w:space="0"/>
              <w:right w:val="single" w:color="auto" w:sz="4" w:space="0"/>
            </w:tcBorders>
          </w:tcPr>
          <w:p w14:paraId="3AAF61BA">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564" w:type="pct"/>
            <w:tcBorders>
              <w:top w:val="single" w:color="auto" w:sz="4" w:space="0"/>
              <w:left w:val="single" w:color="auto" w:sz="4" w:space="0"/>
              <w:bottom w:val="single" w:color="auto" w:sz="4" w:space="0"/>
              <w:right w:val="single" w:color="auto" w:sz="4" w:space="0"/>
            </w:tcBorders>
          </w:tcPr>
          <w:p w14:paraId="4B1AD7E5">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261" w:type="pct"/>
            <w:tcBorders>
              <w:top w:val="single" w:color="auto" w:sz="4" w:space="0"/>
              <w:left w:val="single" w:color="auto" w:sz="4" w:space="0"/>
              <w:bottom w:val="single" w:color="auto" w:sz="4" w:space="0"/>
              <w:right w:val="single" w:color="auto" w:sz="4" w:space="0"/>
            </w:tcBorders>
            <w:vAlign w:val="center"/>
          </w:tcPr>
          <w:p w14:paraId="43BC3858">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r>
      <w:tr w14:paraId="5B87F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231" w:type="pct"/>
            <w:tcBorders>
              <w:top w:val="single" w:color="auto" w:sz="4" w:space="0"/>
              <w:left w:val="single" w:color="auto" w:sz="4" w:space="0"/>
              <w:bottom w:val="single" w:color="auto" w:sz="4" w:space="0"/>
              <w:right w:val="single" w:color="auto" w:sz="4" w:space="0"/>
            </w:tcBorders>
            <w:vAlign w:val="center"/>
          </w:tcPr>
          <w:p w14:paraId="4F3088E2">
            <w:pPr>
              <w:autoSpaceDE w:val="0"/>
              <w:autoSpaceDN w:val="0"/>
              <w:adjustRightInd w:val="0"/>
              <w:snapToGrid/>
              <w:spacing w:line="400" w:lineRule="exact"/>
              <w:jc w:val="center"/>
              <w:outlineLvl w:val="9"/>
              <w:rPr>
                <w:rFonts w:hint="default" w:ascii="宋体" w:hAnsi="宋体" w:eastAsia="宋体" w:cs="宋体"/>
                <w:color w:val="auto"/>
                <w:kern w:val="0"/>
                <w:szCs w:val="21"/>
                <w:highlight w:val="none"/>
                <w:lang w:val="en-US" w:eastAsia="zh-CN"/>
              </w:rPr>
            </w:pPr>
            <w:r>
              <w:rPr>
                <w:rFonts w:hint="eastAsia" w:cs="宋体"/>
                <w:color w:val="auto"/>
                <w:kern w:val="0"/>
                <w:szCs w:val="21"/>
                <w:highlight w:val="none"/>
                <w:lang w:val="en-US" w:eastAsia="zh-CN"/>
              </w:rPr>
              <w:t>41</w:t>
            </w:r>
          </w:p>
        </w:tc>
        <w:tc>
          <w:tcPr>
            <w:tcW w:w="838" w:type="pct"/>
            <w:tcBorders>
              <w:top w:val="single" w:color="auto" w:sz="4" w:space="0"/>
              <w:left w:val="single" w:color="auto" w:sz="4" w:space="0"/>
              <w:bottom w:val="single" w:color="auto" w:sz="4" w:space="0"/>
              <w:right w:val="single" w:color="auto" w:sz="4" w:space="0"/>
            </w:tcBorders>
            <w:vAlign w:val="center"/>
          </w:tcPr>
          <w:p w14:paraId="1A3603DB">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color w:val="auto"/>
                <w:kern w:val="0"/>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对夹式蝶阀</w:t>
            </w:r>
          </w:p>
        </w:tc>
        <w:tc>
          <w:tcPr>
            <w:tcW w:w="346" w:type="pct"/>
            <w:tcBorders>
              <w:top w:val="single" w:color="auto" w:sz="4" w:space="0"/>
              <w:left w:val="single" w:color="auto" w:sz="4" w:space="0"/>
              <w:bottom w:val="single" w:color="auto" w:sz="4" w:space="0"/>
              <w:right w:val="single" w:color="auto" w:sz="4" w:space="0"/>
            </w:tcBorders>
            <w:vAlign w:val="center"/>
          </w:tcPr>
          <w:p w14:paraId="2C898287">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395" w:type="pct"/>
            <w:tcBorders>
              <w:top w:val="single" w:color="auto" w:sz="4" w:space="0"/>
              <w:left w:val="single" w:color="auto" w:sz="4" w:space="0"/>
              <w:bottom w:val="single" w:color="auto" w:sz="4" w:space="0"/>
              <w:right w:val="single" w:color="auto" w:sz="4" w:space="0"/>
            </w:tcBorders>
            <w:vAlign w:val="center"/>
          </w:tcPr>
          <w:p w14:paraId="040BE61B">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669" w:type="pct"/>
            <w:tcBorders>
              <w:top w:val="single" w:color="auto" w:sz="4" w:space="0"/>
              <w:left w:val="single" w:color="auto" w:sz="4" w:space="0"/>
              <w:bottom w:val="single" w:color="auto" w:sz="4" w:space="0"/>
              <w:right w:val="single" w:color="auto" w:sz="4" w:space="0"/>
            </w:tcBorders>
            <w:vAlign w:val="center"/>
          </w:tcPr>
          <w:p w14:paraId="0F2B16AE">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color w:val="auto"/>
                <w:kern w:val="0"/>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DN150</w:t>
            </w:r>
          </w:p>
        </w:tc>
        <w:tc>
          <w:tcPr>
            <w:tcW w:w="669" w:type="pct"/>
            <w:tcBorders>
              <w:top w:val="single" w:color="auto" w:sz="4" w:space="0"/>
              <w:left w:val="single" w:color="auto" w:sz="4" w:space="0"/>
              <w:bottom w:val="single" w:color="auto" w:sz="4" w:space="0"/>
              <w:right w:val="single" w:color="auto" w:sz="4" w:space="0"/>
            </w:tcBorders>
            <w:vAlign w:val="center"/>
          </w:tcPr>
          <w:p w14:paraId="4BF84B6D">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color w:val="auto"/>
                <w:kern w:val="0"/>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330" w:type="pct"/>
            <w:tcBorders>
              <w:top w:val="single" w:color="auto" w:sz="4" w:space="0"/>
              <w:left w:val="single" w:color="auto" w:sz="4" w:space="0"/>
              <w:bottom w:val="single" w:color="auto" w:sz="4" w:space="0"/>
              <w:right w:val="single" w:color="auto" w:sz="4" w:space="0"/>
            </w:tcBorders>
            <w:vAlign w:val="center"/>
          </w:tcPr>
          <w:p w14:paraId="649C6C10">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color w:val="auto"/>
                <w:kern w:val="0"/>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370" w:type="pct"/>
            <w:tcBorders>
              <w:top w:val="single" w:color="auto" w:sz="4" w:space="0"/>
              <w:left w:val="single" w:color="auto" w:sz="4" w:space="0"/>
              <w:bottom w:val="single" w:color="auto" w:sz="4" w:space="0"/>
              <w:right w:val="single" w:color="auto" w:sz="4" w:space="0"/>
            </w:tcBorders>
            <w:vAlign w:val="center"/>
          </w:tcPr>
          <w:p w14:paraId="0D7715FB">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color w:val="auto"/>
                <w:kern w:val="0"/>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11</w:t>
            </w:r>
          </w:p>
        </w:tc>
        <w:tc>
          <w:tcPr>
            <w:tcW w:w="322" w:type="pct"/>
            <w:tcBorders>
              <w:top w:val="single" w:color="auto" w:sz="4" w:space="0"/>
              <w:left w:val="single" w:color="auto" w:sz="4" w:space="0"/>
              <w:bottom w:val="single" w:color="auto" w:sz="4" w:space="0"/>
              <w:right w:val="single" w:color="auto" w:sz="4" w:space="0"/>
            </w:tcBorders>
          </w:tcPr>
          <w:p w14:paraId="6B469006">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564" w:type="pct"/>
            <w:tcBorders>
              <w:top w:val="single" w:color="auto" w:sz="4" w:space="0"/>
              <w:left w:val="single" w:color="auto" w:sz="4" w:space="0"/>
              <w:bottom w:val="single" w:color="auto" w:sz="4" w:space="0"/>
              <w:right w:val="single" w:color="auto" w:sz="4" w:space="0"/>
            </w:tcBorders>
          </w:tcPr>
          <w:p w14:paraId="7FAF09C8">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261" w:type="pct"/>
            <w:tcBorders>
              <w:top w:val="single" w:color="auto" w:sz="4" w:space="0"/>
              <w:left w:val="single" w:color="auto" w:sz="4" w:space="0"/>
              <w:bottom w:val="single" w:color="auto" w:sz="4" w:space="0"/>
              <w:right w:val="single" w:color="auto" w:sz="4" w:space="0"/>
            </w:tcBorders>
            <w:vAlign w:val="center"/>
          </w:tcPr>
          <w:p w14:paraId="5EE89ABF">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r>
      <w:tr w14:paraId="2C71D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231" w:type="pct"/>
            <w:tcBorders>
              <w:top w:val="single" w:color="auto" w:sz="4" w:space="0"/>
              <w:left w:val="single" w:color="auto" w:sz="4" w:space="0"/>
              <w:bottom w:val="single" w:color="auto" w:sz="4" w:space="0"/>
              <w:right w:val="single" w:color="auto" w:sz="4" w:space="0"/>
            </w:tcBorders>
            <w:vAlign w:val="center"/>
          </w:tcPr>
          <w:p w14:paraId="0B9BFEDF">
            <w:pPr>
              <w:autoSpaceDE w:val="0"/>
              <w:autoSpaceDN w:val="0"/>
              <w:adjustRightInd w:val="0"/>
              <w:snapToGrid/>
              <w:spacing w:line="400" w:lineRule="exact"/>
              <w:jc w:val="center"/>
              <w:outlineLvl w:val="9"/>
              <w:rPr>
                <w:rFonts w:hint="default" w:ascii="宋体" w:hAnsi="宋体" w:eastAsia="宋体" w:cs="宋体"/>
                <w:color w:val="auto"/>
                <w:kern w:val="0"/>
                <w:szCs w:val="21"/>
                <w:highlight w:val="none"/>
                <w:lang w:val="en-US" w:eastAsia="zh-CN"/>
              </w:rPr>
            </w:pPr>
            <w:r>
              <w:rPr>
                <w:rFonts w:hint="eastAsia" w:cs="宋体"/>
                <w:color w:val="auto"/>
                <w:kern w:val="0"/>
                <w:szCs w:val="21"/>
                <w:highlight w:val="none"/>
                <w:lang w:val="en-US" w:eastAsia="zh-CN"/>
              </w:rPr>
              <w:t>42</w:t>
            </w:r>
          </w:p>
        </w:tc>
        <w:tc>
          <w:tcPr>
            <w:tcW w:w="838" w:type="pct"/>
            <w:tcBorders>
              <w:top w:val="single" w:color="auto" w:sz="4" w:space="0"/>
              <w:left w:val="single" w:color="auto" w:sz="4" w:space="0"/>
              <w:bottom w:val="single" w:color="auto" w:sz="4" w:space="0"/>
              <w:right w:val="single" w:color="auto" w:sz="4" w:space="0"/>
            </w:tcBorders>
            <w:vAlign w:val="center"/>
          </w:tcPr>
          <w:p w14:paraId="3A7ABA83">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color w:val="auto"/>
                <w:kern w:val="0"/>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对夹式蝶阀</w:t>
            </w:r>
          </w:p>
        </w:tc>
        <w:tc>
          <w:tcPr>
            <w:tcW w:w="346" w:type="pct"/>
            <w:tcBorders>
              <w:top w:val="single" w:color="auto" w:sz="4" w:space="0"/>
              <w:left w:val="single" w:color="auto" w:sz="4" w:space="0"/>
              <w:bottom w:val="single" w:color="auto" w:sz="4" w:space="0"/>
              <w:right w:val="single" w:color="auto" w:sz="4" w:space="0"/>
            </w:tcBorders>
            <w:vAlign w:val="center"/>
          </w:tcPr>
          <w:p w14:paraId="4933C1A6">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395" w:type="pct"/>
            <w:tcBorders>
              <w:top w:val="single" w:color="auto" w:sz="4" w:space="0"/>
              <w:left w:val="single" w:color="auto" w:sz="4" w:space="0"/>
              <w:bottom w:val="single" w:color="auto" w:sz="4" w:space="0"/>
              <w:right w:val="single" w:color="auto" w:sz="4" w:space="0"/>
            </w:tcBorders>
            <w:vAlign w:val="center"/>
          </w:tcPr>
          <w:p w14:paraId="4DDA7C99">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669" w:type="pct"/>
            <w:tcBorders>
              <w:top w:val="single" w:color="auto" w:sz="4" w:space="0"/>
              <w:left w:val="single" w:color="auto" w:sz="4" w:space="0"/>
              <w:bottom w:val="single" w:color="auto" w:sz="4" w:space="0"/>
              <w:right w:val="single" w:color="auto" w:sz="4" w:space="0"/>
            </w:tcBorders>
            <w:vAlign w:val="center"/>
          </w:tcPr>
          <w:p w14:paraId="45DE1D61">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color w:val="auto"/>
                <w:kern w:val="0"/>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DN200</w:t>
            </w:r>
          </w:p>
        </w:tc>
        <w:tc>
          <w:tcPr>
            <w:tcW w:w="669" w:type="pct"/>
            <w:tcBorders>
              <w:top w:val="single" w:color="auto" w:sz="4" w:space="0"/>
              <w:left w:val="single" w:color="auto" w:sz="4" w:space="0"/>
              <w:bottom w:val="single" w:color="auto" w:sz="4" w:space="0"/>
              <w:right w:val="single" w:color="auto" w:sz="4" w:space="0"/>
            </w:tcBorders>
            <w:vAlign w:val="center"/>
          </w:tcPr>
          <w:p w14:paraId="6F781112">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color w:val="auto"/>
                <w:kern w:val="0"/>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330" w:type="pct"/>
            <w:tcBorders>
              <w:top w:val="single" w:color="auto" w:sz="4" w:space="0"/>
              <w:left w:val="single" w:color="auto" w:sz="4" w:space="0"/>
              <w:bottom w:val="single" w:color="auto" w:sz="4" w:space="0"/>
              <w:right w:val="single" w:color="auto" w:sz="4" w:space="0"/>
            </w:tcBorders>
            <w:vAlign w:val="center"/>
          </w:tcPr>
          <w:p w14:paraId="21366279">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color w:val="auto"/>
                <w:kern w:val="0"/>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370" w:type="pct"/>
            <w:tcBorders>
              <w:top w:val="single" w:color="auto" w:sz="4" w:space="0"/>
              <w:left w:val="single" w:color="auto" w:sz="4" w:space="0"/>
              <w:bottom w:val="single" w:color="auto" w:sz="4" w:space="0"/>
              <w:right w:val="single" w:color="auto" w:sz="4" w:space="0"/>
            </w:tcBorders>
            <w:vAlign w:val="center"/>
          </w:tcPr>
          <w:p w14:paraId="46A37EC7">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color w:val="auto"/>
                <w:kern w:val="0"/>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5</w:t>
            </w:r>
          </w:p>
        </w:tc>
        <w:tc>
          <w:tcPr>
            <w:tcW w:w="322" w:type="pct"/>
            <w:tcBorders>
              <w:top w:val="single" w:color="auto" w:sz="4" w:space="0"/>
              <w:left w:val="single" w:color="auto" w:sz="4" w:space="0"/>
              <w:bottom w:val="single" w:color="auto" w:sz="4" w:space="0"/>
              <w:right w:val="single" w:color="auto" w:sz="4" w:space="0"/>
            </w:tcBorders>
          </w:tcPr>
          <w:p w14:paraId="724531A3">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564" w:type="pct"/>
            <w:tcBorders>
              <w:top w:val="single" w:color="auto" w:sz="4" w:space="0"/>
              <w:left w:val="single" w:color="auto" w:sz="4" w:space="0"/>
              <w:bottom w:val="single" w:color="auto" w:sz="4" w:space="0"/>
              <w:right w:val="single" w:color="auto" w:sz="4" w:space="0"/>
            </w:tcBorders>
          </w:tcPr>
          <w:p w14:paraId="5DF30259">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261" w:type="pct"/>
            <w:tcBorders>
              <w:top w:val="single" w:color="auto" w:sz="4" w:space="0"/>
              <w:left w:val="single" w:color="auto" w:sz="4" w:space="0"/>
              <w:bottom w:val="single" w:color="auto" w:sz="4" w:space="0"/>
              <w:right w:val="single" w:color="auto" w:sz="4" w:space="0"/>
            </w:tcBorders>
            <w:vAlign w:val="center"/>
          </w:tcPr>
          <w:p w14:paraId="5919FAE1">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r>
      <w:tr w14:paraId="7FA82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231" w:type="pct"/>
            <w:tcBorders>
              <w:top w:val="single" w:color="auto" w:sz="4" w:space="0"/>
              <w:left w:val="single" w:color="auto" w:sz="4" w:space="0"/>
              <w:bottom w:val="single" w:color="auto" w:sz="4" w:space="0"/>
              <w:right w:val="single" w:color="auto" w:sz="4" w:space="0"/>
            </w:tcBorders>
            <w:vAlign w:val="center"/>
          </w:tcPr>
          <w:p w14:paraId="7DFE86A5">
            <w:pPr>
              <w:autoSpaceDE w:val="0"/>
              <w:autoSpaceDN w:val="0"/>
              <w:adjustRightInd w:val="0"/>
              <w:snapToGrid/>
              <w:spacing w:line="400" w:lineRule="exact"/>
              <w:jc w:val="center"/>
              <w:outlineLvl w:val="9"/>
              <w:rPr>
                <w:rFonts w:hint="default" w:ascii="宋体" w:hAnsi="宋体" w:eastAsia="宋体" w:cs="宋体"/>
                <w:color w:val="auto"/>
                <w:kern w:val="0"/>
                <w:szCs w:val="21"/>
                <w:highlight w:val="none"/>
                <w:lang w:val="en-US" w:eastAsia="zh-CN"/>
              </w:rPr>
            </w:pPr>
            <w:r>
              <w:rPr>
                <w:rFonts w:hint="eastAsia" w:cs="宋体"/>
                <w:color w:val="auto"/>
                <w:kern w:val="0"/>
                <w:szCs w:val="21"/>
                <w:highlight w:val="none"/>
                <w:lang w:val="en-US" w:eastAsia="zh-CN"/>
              </w:rPr>
              <w:t>43</w:t>
            </w:r>
          </w:p>
        </w:tc>
        <w:tc>
          <w:tcPr>
            <w:tcW w:w="838" w:type="pct"/>
            <w:tcBorders>
              <w:top w:val="single" w:color="auto" w:sz="4" w:space="0"/>
              <w:left w:val="single" w:color="auto" w:sz="4" w:space="0"/>
              <w:bottom w:val="single" w:color="auto" w:sz="4" w:space="0"/>
              <w:right w:val="single" w:color="auto" w:sz="4" w:space="0"/>
            </w:tcBorders>
            <w:vAlign w:val="center"/>
          </w:tcPr>
          <w:p w14:paraId="208C8664">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color w:val="auto"/>
                <w:kern w:val="0"/>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对夹式蝶阀</w:t>
            </w:r>
          </w:p>
        </w:tc>
        <w:tc>
          <w:tcPr>
            <w:tcW w:w="346" w:type="pct"/>
            <w:tcBorders>
              <w:top w:val="single" w:color="auto" w:sz="4" w:space="0"/>
              <w:left w:val="single" w:color="auto" w:sz="4" w:space="0"/>
              <w:bottom w:val="single" w:color="auto" w:sz="4" w:space="0"/>
              <w:right w:val="single" w:color="auto" w:sz="4" w:space="0"/>
            </w:tcBorders>
            <w:vAlign w:val="center"/>
          </w:tcPr>
          <w:p w14:paraId="72463A29">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395" w:type="pct"/>
            <w:tcBorders>
              <w:top w:val="single" w:color="auto" w:sz="4" w:space="0"/>
              <w:left w:val="single" w:color="auto" w:sz="4" w:space="0"/>
              <w:bottom w:val="single" w:color="auto" w:sz="4" w:space="0"/>
              <w:right w:val="single" w:color="auto" w:sz="4" w:space="0"/>
            </w:tcBorders>
            <w:vAlign w:val="center"/>
          </w:tcPr>
          <w:p w14:paraId="5AD80C13">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669" w:type="pct"/>
            <w:tcBorders>
              <w:top w:val="single" w:color="auto" w:sz="4" w:space="0"/>
              <w:left w:val="single" w:color="auto" w:sz="4" w:space="0"/>
              <w:bottom w:val="single" w:color="auto" w:sz="4" w:space="0"/>
              <w:right w:val="single" w:color="auto" w:sz="4" w:space="0"/>
            </w:tcBorders>
            <w:vAlign w:val="center"/>
          </w:tcPr>
          <w:p w14:paraId="5D2AA347">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color w:val="auto"/>
                <w:kern w:val="0"/>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DN250</w:t>
            </w:r>
          </w:p>
        </w:tc>
        <w:tc>
          <w:tcPr>
            <w:tcW w:w="669" w:type="pct"/>
            <w:tcBorders>
              <w:top w:val="single" w:color="auto" w:sz="4" w:space="0"/>
              <w:left w:val="single" w:color="auto" w:sz="4" w:space="0"/>
              <w:bottom w:val="single" w:color="auto" w:sz="4" w:space="0"/>
              <w:right w:val="single" w:color="auto" w:sz="4" w:space="0"/>
            </w:tcBorders>
            <w:vAlign w:val="center"/>
          </w:tcPr>
          <w:p w14:paraId="09662C29">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color w:val="auto"/>
                <w:kern w:val="0"/>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330" w:type="pct"/>
            <w:tcBorders>
              <w:top w:val="single" w:color="auto" w:sz="4" w:space="0"/>
              <w:left w:val="single" w:color="auto" w:sz="4" w:space="0"/>
              <w:bottom w:val="single" w:color="auto" w:sz="4" w:space="0"/>
              <w:right w:val="single" w:color="auto" w:sz="4" w:space="0"/>
            </w:tcBorders>
            <w:vAlign w:val="center"/>
          </w:tcPr>
          <w:p w14:paraId="6040BF27">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color w:val="auto"/>
                <w:kern w:val="0"/>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370" w:type="pct"/>
            <w:tcBorders>
              <w:top w:val="single" w:color="auto" w:sz="4" w:space="0"/>
              <w:left w:val="single" w:color="auto" w:sz="4" w:space="0"/>
              <w:bottom w:val="single" w:color="auto" w:sz="4" w:space="0"/>
              <w:right w:val="single" w:color="auto" w:sz="4" w:space="0"/>
            </w:tcBorders>
            <w:vAlign w:val="center"/>
          </w:tcPr>
          <w:p w14:paraId="50BD5C1C">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color w:val="auto"/>
                <w:kern w:val="0"/>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3</w:t>
            </w:r>
          </w:p>
        </w:tc>
        <w:tc>
          <w:tcPr>
            <w:tcW w:w="322" w:type="pct"/>
            <w:tcBorders>
              <w:top w:val="single" w:color="auto" w:sz="4" w:space="0"/>
              <w:left w:val="single" w:color="auto" w:sz="4" w:space="0"/>
              <w:bottom w:val="single" w:color="auto" w:sz="4" w:space="0"/>
              <w:right w:val="single" w:color="auto" w:sz="4" w:space="0"/>
            </w:tcBorders>
          </w:tcPr>
          <w:p w14:paraId="60D8E742">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564" w:type="pct"/>
            <w:tcBorders>
              <w:top w:val="single" w:color="auto" w:sz="4" w:space="0"/>
              <w:left w:val="single" w:color="auto" w:sz="4" w:space="0"/>
              <w:bottom w:val="single" w:color="auto" w:sz="4" w:space="0"/>
              <w:right w:val="single" w:color="auto" w:sz="4" w:space="0"/>
            </w:tcBorders>
          </w:tcPr>
          <w:p w14:paraId="563AB7ED">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261" w:type="pct"/>
            <w:tcBorders>
              <w:top w:val="single" w:color="auto" w:sz="4" w:space="0"/>
              <w:left w:val="single" w:color="auto" w:sz="4" w:space="0"/>
              <w:bottom w:val="single" w:color="auto" w:sz="4" w:space="0"/>
              <w:right w:val="single" w:color="auto" w:sz="4" w:space="0"/>
            </w:tcBorders>
            <w:vAlign w:val="center"/>
          </w:tcPr>
          <w:p w14:paraId="582F62E0">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r>
      <w:tr w14:paraId="55EB7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231" w:type="pct"/>
            <w:tcBorders>
              <w:top w:val="single" w:color="auto" w:sz="4" w:space="0"/>
              <w:left w:val="single" w:color="auto" w:sz="4" w:space="0"/>
              <w:bottom w:val="single" w:color="auto" w:sz="4" w:space="0"/>
              <w:right w:val="single" w:color="auto" w:sz="4" w:space="0"/>
            </w:tcBorders>
            <w:vAlign w:val="center"/>
          </w:tcPr>
          <w:p w14:paraId="213C1311">
            <w:pPr>
              <w:autoSpaceDE w:val="0"/>
              <w:autoSpaceDN w:val="0"/>
              <w:adjustRightInd w:val="0"/>
              <w:snapToGrid/>
              <w:spacing w:line="400" w:lineRule="exact"/>
              <w:jc w:val="center"/>
              <w:outlineLvl w:val="9"/>
              <w:rPr>
                <w:rFonts w:hint="default" w:ascii="宋体" w:hAnsi="宋体" w:eastAsia="宋体" w:cs="宋体"/>
                <w:color w:val="auto"/>
                <w:kern w:val="0"/>
                <w:szCs w:val="21"/>
                <w:highlight w:val="none"/>
                <w:lang w:val="en-US" w:eastAsia="zh-CN"/>
              </w:rPr>
            </w:pPr>
            <w:r>
              <w:rPr>
                <w:rFonts w:hint="eastAsia" w:cs="宋体"/>
                <w:color w:val="auto"/>
                <w:kern w:val="0"/>
                <w:szCs w:val="21"/>
                <w:highlight w:val="none"/>
                <w:lang w:val="en-US" w:eastAsia="zh-CN"/>
              </w:rPr>
              <w:t>44</w:t>
            </w:r>
          </w:p>
        </w:tc>
        <w:tc>
          <w:tcPr>
            <w:tcW w:w="838" w:type="pct"/>
            <w:tcBorders>
              <w:top w:val="single" w:color="auto" w:sz="4" w:space="0"/>
              <w:left w:val="single" w:color="auto" w:sz="4" w:space="0"/>
              <w:bottom w:val="single" w:color="auto" w:sz="4" w:space="0"/>
              <w:right w:val="single" w:color="auto" w:sz="4" w:space="0"/>
            </w:tcBorders>
            <w:vAlign w:val="center"/>
          </w:tcPr>
          <w:p w14:paraId="71FDD9DF">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color w:val="auto"/>
                <w:kern w:val="0"/>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对夹式蝶阀</w:t>
            </w:r>
          </w:p>
        </w:tc>
        <w:tc>
          <w:tcPr>
            <w:tcW w:w="346" w:type="pct"/>
            <w:tcBorders>
              <w:top w:val="single" w:color="auto" w:sz="4" w:space="0"/>
              <w:left w:val="single" w:color="auto" w:sz="4" w:space="0"/>
              <w:bottom w:val="single" w:color="auto" w:sz="4" w:space="0"/>
              <w:right w:val="single" w:color="auto" w:sz="4" w:space="0"/>
            </w:tcBorders>
            <w:vAlign w:val="center"/>
          </w:tcPr>
          <w:p w14:paraId="60328B0A">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395" w:type="pct"/>
            <w:tcBorders>
              <w:top w:val="single" w:color="auto" w:sz="4" w:space="0"/>
              <w:left w:val="single" w:color="auto" w:sz="4" w:space="0"/>
              <w:bottom w:val="single" w:color="auto" w:sz="4" w:space="0"/>
              <w:right w:val="single" w:color="auto" w:sz="4" w:space="0"/>
            </w:tcBorders>
            <w:vAlign w:val="center"/>
          </w:tcPr>
          <w:p w14:paraId="177D0620">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669" w:type="pct"/>
            <w:tcBorders>
              <w:top w:val="single" w:color="auto" w:sz="4" w:space="0"/>
              <w:left w:val="single" w:color="auto" w:sz="4" w:space="0"/>
              <w:bottom w:val="single" w:color="auto" w:sz="4" w:space="0"/>
              <w:right w:val="single" w:color="auto" w:sz="4" w:space="0"/>
            </w:tcBorders>
            <w:vAlign w:val="center"/>
          </w:tcPr>
          <w:p w14:paraId="3ABC6CAB">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color w:val="auto"/>
                <w:kern w:val="0"/>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DN300</w:t>
            </w:r>
          </w:p>
        </w:tc>
        <w:tc>
          <w:tcPr>
            <w:tcW w:w="669" w:type="pct"/>
            <w:tcBorders>
              <w:top w:val="single" w:color="auto" w:sz="4" w:space="0"/>
              <w:left w:val="single" w:color="auto" w:sz="4" w:space="0"/>
              <w:bottom w:val="single" w:color="auto" w:sz="4" w:space="0"/>
              <w:right w:val="single" w:color="auto" w:sz="4" w:space="0"/>
            </w:tcBorders>
            <w:vAlign w:val="center"/>
          </w:tcPr>
          <w:p w14:paraId="1154E972">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color w:val="auto"/>
                <w:kern w:val="0"/>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330" w:type="pct"/>
            <w:tcBorders>
              <w:top w:val="single" w:color="auto" w:sz="4" w:space="0"/>
              <w:left w:val="single" w:color="auto" w:sz="4" w:space="0"/>
              <w:bottom w:val="single" w:color="auto" w:sz="4" w:space="0"/>
              <w:right w:val="single" w:color="auto" w:sz="4" w:space="0"/>
            </w:tcBorders>
            <w:vAlign w:val="center"/>
          </w:tcPr>
          <w:p w14:paraId="3868C0F1">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color w:val="auto"/>
                <w:kern w:val="0"/>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370" w:type="pct"/>
            <w:tcBorders>
              <w:top w:val="single" w:color="auto" w:sz="4" w:space="0"/>
              <w:left w:val="single" w:color="auto" w:sz="4" w:space="0"/>
              <w:bottom w:val="single" w:color="auto" w:sz="4" w:space="0"/>
              <w:right w:val="single" w:color="auto" w:sz="4" w:space="0"/>
            </w:tcBorders>
            <w:vAlign w:val="center"/>
          </w:tcPr>
          <w:p w14:paraId="3C3ABE79">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color w:val="auto"/>
                <w:kern w:val="0"/>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3</w:t>
            </w:r>
          </w:p>
        </w:tc>
        <w:tc>
          <w:tcPr>
            <w:tcW w:w="322" w:type="pct"/>
            <w:tcBorders>
              <w:top w:val="single" w:color="auto" w:sz="4" w:space="0"/>
              <w:left w:val="single" w:color="auto" w:sz="4" w:space="0"/>
              <w:bottom w:val="single" w:color="auto" w:sz="4" w:space="0"/>
              <w:right w:val="single" w:color="auto" w:sz="4" w:space="0"/>
            </w:tcBorders>
          </w:tcPr>
          <w:p w14:paraId="6B59C04D">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564" w:type="pct"/>
            <w:tcBorders>
              <w:top w:val="single" w:color="auto" w:sz="4" w:space="0"/>
              <w:left w:val="single" w:color="auto" w:sz="4" w:space="0"/>
              <w:bottom w:val="single" w:color="auto" w:sz="4" w:space="0"/>
              <w:right w:val="single" w:color="auto" w:sz="4" w:space="0"/>
            </w:tcBorders>
          </w:tcPr>
          <w:p w14:paraId="148BB7A4">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261" w:type="pct"/>
            <w:tcBorders>
              <w:top w:val="single" w:color="auto" w:sz="4" w:space="0"/>
              <w:left w:val="single" w:color="auto" w:sz="4" w:space="0"/>
              <w:bottom w:val="single" w:color="auto" w:sz="4" w:space="0"/>
              <w:right w:val="single" w:color="auto" w:sz="4" w:space="0"/>
            </w:tcBorders>
            <w:vAlign w:val="center"/>
          </w:tcPr>
          <w:p w14:paraId="124E0164">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r>
      <w:tr w14:paraId="28FD9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231" w:type="pct"/>
            <w:tcBorders>
              <w:top w:val="single" w:color="auto" w:sz="4" w:space="0"/>
              <w:left w:val="single" w:color="auto" w:sz="4" w:space="0"/>
              <w:bottom w:val="single" w:color="auto" w:sz="4" w:space="0"/>
              <w:right w:val="single" w:color="auto" w:sz="4" w:space="0"/>
            </w:tcBorders>
            <w:vAlign w:val="center"/>
          </w:tcPr>
          <w:p w14:paraId="474F77A9">
            <w:pPr>
              <w:autoSpaceDE w:val="0"/>
              <w:autoSpaceDN w:val="0"/>
              <w:adjustRightInd w:val="0"/>
              <w:snapToGrid/>
              <w:spacing w:line="400" w:lineRule="exact"/>
              <w:jc w:val="center"/>
              <w:outlineLvl w:val="9"/>
              <w:rPr>
                <w:rFonts w:hint="default" w:ascii="宋体" w:hAnsi="宋体" w:eastAsia="宋体" w:cs="宋体"/>
                <w:color w:val="auto"/>
                <w:kern w:val="0"/>
                <w:szCs w:val="21"/>
                <w:highlight w:val="none"/>
                <w:lang w:val="en-US" w:eastAsia="zh-CN"/>
              </w:rPr>
            </w:pPr>
            <w:r>
              <w:rPr>
                <w:rFonts w:hint="eastAsia" w:cs="宋体"/>
                <w:color w:val="auto"/>
                <w:kern w:val="0"/>
                <w:szCs w:val="21"/>
                <w:highlight w:val="none"/>
                <w:lang w:val="en-US" w:eastAsia="zh-CN"/>
              </w:rPr>
              <w:t>45</w:t>
            </w:r>
          </w:p>
        </w:tc>
        <w:tc>
          <w:tcPr>
            <w:tcW w:w="838" w:type="pct"/>
            <w:tcBorders>
              <w:top w:val="single" w:color="auto" w:sz="4" w:space="0"/>
              <w:left w:val="single" w:color="auto" w:sz="4" w:space="0"/>
              <w:bottom w:val="single" w:color="auto" w:sz="4" w:space="0"/>
              <w:right w:val="single" w:color="auto" w:sz="4" w:space="0"/>
            </w:tcBorders>
            <w:vAlign w:val="center"/>
          </w:tcPr>
          <w:p w14:paraId="35D0E5D8">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color w:val="auto"/>
                <w:kern w:val="0"/>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对夹式蝶阀</w:t>
            </w:r>
          </w:p>
        </w:tc>
        <w:tc>
          <w:tcPr>
            <w:tcW w:w="346" w:type="pct"/>
            <w:tcBorders>
              <w:top w:val="single" w:color="auto" w:sz="4" w:space="0"/>
              <w:left w:val="single" w:color="auto" w:sz="4" w:space="0"/>
              <w:bottom w:val="single" w:color="auto" w:sz="4" w:space="0"/>
              <w:right w:val="single" w:color="auto" w:sz="4" w:space="0"/>
            </w:tcBorders>
            <w:vAlign w:val="center"/>
          </w:tcPr>
          <w:p w14:paraId="5D18C1B3">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395" w:type="pct"/>
            <w:tcBorders>
              <w:top w:val="single" w:color="auto" w:sz="4" w:space="0"/>
              <w:left w:val="single" w:color="auto" w:sz="4" w:space="0"/>
              <w:bottom w:val="single" w:color="auto" w:sz="4" w:space="0"/>
              <w:right w:val="single" w:color="auto" w:sz="4" w:space="0"/>
            </w:tcBorders>
            <w:vAlign w:val="center"/>
          </w:tcPr>
          <w:p w14:paraId="6C772D8A">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669" w:type="pct"/>
            <w:tcBorders>
              <w:top w:val="single" w:color="auto" w:sz="4" w:space="0"/>
              <w:left w:val="single" w:color="auto" w:sz="4" w:space="0"/>
              <w:bottom w:val="single" w:color="auto" w:sz="4" w:space="0"/>
              <w:right w:val="single" w:color="auto" w:sz="4" w:space="0"/>
            </w:tcBorders>
            <w:vAlign w:val="center"/>
          </w:tcPr>
          <w:p w14:paraId="14BCCEA7">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color w:val="auto"/>
                <w:kern w:val="0"/>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DN350</w:t>
            </w:r>
          </w:p>
        </w:tc>
        <w:tc>
          <w:tcPr>
            <w:tcW w:w="669" w:type="pct"/>
            <w:tcBorders>
              <w:top w:val="single" w:color="auto" w:sz="4" w:space="0"/>
              <w:left w:val="single" w:color="auto" w:sz="4" w:space="0"/>
              <w:bottom w:val="single" w:color="auto" w:sz="4" w:space="0"/>
              <w:right w:val="single" w:color="auto" w:sz="4" w:space="0"/>
            </w:tcBorders>
            <w:vAlign w:val="center"/>
          </w:tcPr>
          <w:p w14:paraId="51946D77">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color w:val="auto"/>
                <w:kern w:val="0"/>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330" w:type="pct"/>
            <w:tcBorders>
              <w:top w:val="single" w:color="auto" w:sz="4" w:space="0"/>
              <w:left w:val="single" w:color="auto" w:sz="4" w:space="0"/>
              <w:bottom w:val="single" w:color="auto" w:sz="4" w:space="0"/>
              <w:right w:val="single" w:color="auto" w:sz="4" w:space="0"/>
            </w:tcBorders>
            <w:vAlign w:val="center"/>
          </w:tcPr>
          <w:p w14:paraId="6EB61D68">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color w:val="auto"/>
                <w:kern w:val="0"/>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370" w:type="pct"/>
            <w:tcBorders>
              <w:top w:val="single" w:color="auto" w:sz="4" w:space="0"/>
              <w:left w:val="single" w:color="auto" w:sz="4" w:space="0"/>
              <w:bottom w:val="single" w:color="auto" w:sz="4" w:space="0"/>
              <w:right w:val="single" w:color="auto" w:sz="4" w:space="0"/>
            </w:tcBorders>
            <w:vAlign w:val="center"/>
          </w:tcPr>
          <w:p w14:paraId="1C658191">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color w:val="auto"/>
                <w:kern w:val="0"/>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3</w:t>
            </w:r>
          </w:p>
        </w:tc>
        <w:tc>
          <w:tcPr>
            <w:tcW w:w="322" w:type="pct"/>
            <w:tcBorders>
              <w:top w:val="single" w:color="auto" w:sz="4" w:space="0"/>
              <w:left w:val="single" w:color="auto" w:sz="4" w:space="0"/>
              <w:bottom w:val="single" w:color="auto" w:sz="4" w:space="0"/>
              <w:right w:val="single" w:color="auto" w:sz="4" w:space="0"/>
            </w:tcBorders>
          </w:tcPr>
          <w:p w14:paraId="7A7E10E6">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564" w:type="pct"/>
            <w:tcBorders>
              <w:top w:val="single" w:color="auto" w:sz="4" w:space="0"/>
              <w:left w:val="single" w:color="auto" w:sz="4" w:space="0"/>
              <w:bottom w:val="single" w:color="auto" w:sz="4" w:space="0"/>
              <w:right w:val="single" w:color="auto" w:sz="4" w:space="0"/>
            </w:tcBorders>
          </w:tcPr>
          <w:p w14:paraId="5085BCF7">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261" w:type="pct"/>
            <w:tcBorders>
              <w:top w:val="single" w:color="auto" w:sz="4" w:space="0"/>
              <w:left w:val="single" w:color="auto" w:sz="4" w:space="0"/>
              <w:bottom w:val="single" w:color="auto" w:sz="4" w:space="0"/>
              <w:right w:val="single" w:color="auto" w:sz="4" w:space="0"/>
            </w:tcBorders>
            <w:vAlign w:val="center"/>
          </w:tcPr>
          <w:p w14:paraId="1CF9BC55">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r>
      <w:tr w14:paraId="59118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231" w:type="pct"/>
            <w:tcBorders>
              <w:top w:val="single" w:color="auto" w:sz="4" w:space="0"/>
              <w:left w:val="single" w:color="auto" w:sz="4" w:space="0"/>
              <w:bottom w:val="single" w:color="auto" w:sz="4" w:space="0"/>
              <w:right w:val="single" w:color="auto" w:sz="4" w:space="0"/>
            </w:tcBorders>
            <w:vAlign w:val="center"/>
          </w:tcPr>
          <w:p w14:paraId="4AB1CDF3">
            <w:pPr>
              <w:autoSpaceDE w:val="0"/>
              <w:autoSpaceDN w:val="0"/>
              <w:adjustRightInd w:val="0"/>
              <w:snapToGrid/>
              <w:spacing w:line="400" w:lineRule="exact"/>
              <w:jc w:val="center"/>
              <w:outlineLvl w:val="9"/>
              <w:rPr>
                <w:rFonts w:hint="default" w:ascii="宋体" w:hAnsi="宋体" w:eastAsia="宋体" w:cs="宋体"/>
                <w:color w:val="auto"/>
                <w:kern w:val="0"/>
                <w:szCs w:val="21"/>
                <w:highlight w:val="none"/>
                <w:lang w:val="en-US" w:eastAsia="zh-CN"/>
              </w:rPr>
            </w:pPr>
            <w:r>
              <w:rPr>
                <w:rFonts w:hint="eastAsia" w:cs="宋体"/>
                <w:color w:val="auto"/>
                <w:kern w:val="0"/>
                <w:szCs w:val="21"/>
                <w:highlight w:val="none"/>
                <w:lang w:val="en-US" w:eastAsia="zh-CN"/>
              </w:rPr>
              <w:t>46</w:t>
            </w:r>
          </w:p>
        </w:tc>
        <w:tc>
          <w:tcPr>
            <w:tcW w:w="838" w:type="pct"/>
            <w:tcBorders>
              <w:top w:val="single" w:color="auto" w:sz="4" w:space="0"/>
              <w:left w:val="single" w:color="auto" w:sz="4" w:space="0"/>
              <w:bottom w:val="single" w:color="auto" w:sz="4" w:space="0"/>
              <w:right w:val="single" w:color="auto" w:sz="4" w:space="0"/>
            </w:tcBorders>
            <w:vAlign w:val="center"/>
          </w:tcPr>
          <w:p w14:paraId="6975E13B">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color w:val="auto"/>
                <w:kern w:val="0"/>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对夹式蝶阀</w:t>
            </w:r>
          </w:p>
        </w:tc>
        <w:tc>
          <w:tcPr>
            <w:tcW w:w="346" w:type="pct"/>
            <w:tcBorders>
              <w:top w:val="single" w:color="auto" w:sz="4" w:space="0"/>
              <w:left w:val="single" w:color="auto" w:sz="4" w:space="0"/>
              <w:bottom w:val="single" w:color="auto" w:sz="4" w:space="0"/>
              <w:right w:val="single" w:color="auto" w:sz="4" w:space="0"/>
            </w:tcBorders>
            <w:vAlign w:val="center"/>
          </w:tcPr>
          <w:p w14:paraId="11259E3E">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395" w:type="pct"/>
            <w:tcBorders>
              <w:top w:val="single" w:color="auto" w:sz="4" w:space="0"/>
              <w:left w:val="single" w:color="auto" w:sz="4" w:space="0"/>
              <w:bottom w:val="single" w:color="auto" w:sz="4" w:space="0"/>
              <w:right w:val="single" w:color="auto" w:sz="4" w:space="0"/>
            </w:tcBorders>
            <w:vAlign w:val="center"/>
          </w:tcPr>
          <w:p w14:paraId="3979B788">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669" w:type="pct"/>
            <w:tcBorders>
              <w:top w:val="single" w:color="auto" w:sz="4" w:space="0"/>
              <w:left w:val="single" w:color="auto" w:sz="4" w:space="0"/>
              <w:bottom w:val="single" w:color="auto" w:sz="4" w:space="0"/>
              <w:right w:val="single" w:color="auto" w:sz="4" w:space="0"/>
            </w:tcBorders>
            <w:vAlign w:val="center"/>
          </w:tcPr>
          <w:p w14:paraId="40C8C6E6">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color w:val="auto"/>
                <w:kern w:val="0"/>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DN400</w:t>
            </w:r>
          </w:p>
        </w:tc>
        <w:tc>
          <w:tcPr>
            <w:tcW w:w="669" w:type="pct"/>
            <w:tcBorders>
              <w:top w:val="single" w:color="auto" w:sz="4" w:space="0"/>
              <w:left w:val="single" w:color="auto" w:sz="4" w:space="0"/>
              <w:bottom w:val="single" w:color="auto" w:sz="4" w:space="0"/>
              <w:right w:val="single" w:color="auto" w:sz="4" w:space="0"/>
            </w:tcBorders>
            <w:vAlign w:val="center"/>
          </w:tcPr>
          <w:p w14:paraId="0AE1D185">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color w:val="auto"/>
                <w:kern w:val="0"/>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330" w:type="pct"/>
            <w:tcBorders>
              <w:top w:val="single" w:color="auto" w:sz="4" w:space="0"/>
              <w:left w:val="single" w:color="auto" w:sz="4" w:space="0"/>
              <w:bottom w:val="single" w:color="auto" w:sz="4" w:space="0"/>
              <w:right w:val="single" w:color="auto" w:sz="4" w:space="0"/>
            </w:tcBorders>
            <w:vAlign w:val="center"/>
          </w:tcPr>
          <w:p w14:paraId="5CA18E4F">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color w:val="auto"/>
                <w:kern w:val="0"/>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370" w:type="pct"/>
            <w:tcBorders>
              <w:top w:val="single" w:color="auto" w:sz="4" w:space="0"/>
              <w:left w:val="single" w:color="auto" w:sz="4" w:space="0"/>
              <w:bottom w:val="single" w:color="auto" w:sz="4" w:space="0"/>
              <w:right w:val="single" w:color="auto" w:sz="4" w:space="0"/>
            </w:tcBorders>
            <w:vAlign w:val="center"/>
          </w:tcPr>
          <w:p w14:paraId="39784EB0">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color w:val="auto"/>
                <w:kern w:val="0"/>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4</w:t>
            </w:r>
          </w:p>
        </w:tc>
        <w:tc>
          <w:tcPr>
            <w:tcW w:w="322" w:type="pct"/>
            <w:tcBorders>
              <w:top w:val="single" w:color="auto" w:sz="4" w:space="0"/>
              <w:left w:val="single" w:color="auto" w:sz="4" w:space="0"/>
              <w:bottom w:val="single" w:color="auto" w:sz="4" w:space="0"/>
              <w:right w:val="single" w:color="auto" w:sz="4" w:space="0"/>
            </w:tcBorders>
          </w:tcPr>
          <w:p w14:paraId="058EB1F2">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564" w:type="pct"/>
            <w:tcBorders>
              <w:top w:val="single" w:color="auto" w:sz="4" w:space="0"/>
              <w:left w:val="single" w:color="auto" w:sz="4" w:space="0"/>
              <w:bottom w:val="single" w:color="auto" w:sz="4" w:space="0"/>
              <w:right w:val="single" w:color="auto" w:sz="4" w:space="0"/>
            </w:tcBorders>
          </w:tcPr>
          <w:p w14:paraId="2356E461">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261" w:type="pct"/>
            <w:tcBorders>
              <w:top w:val="single" w:color="auto" w:sz="4" w:space="0"/>
              <w:left w:val="single" w:color="auto" w:sz="4" w:space="0"/>
              <w:bottom w:val="single" w:color="auto" w:sz="4" w:space="0"/>
              <w:right w:val="single" w:color="auto" w:sz="4" w:space="0"/>
            </w:tcBorders>
            <w:vAlign w:val="center"/>
          </w:tcPr>
          <w:p w14:paraId="7461B377">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r>
      <w:tr w14:paraId="4B16A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231" w:type="pct"/>
            <w:tcBorders>
              <w:top w:val="single" w:color="auto" w:sz="4" w:space="0"/>
              <w:left w:val="single" w:color="auto" w:sz="4" w:space="0"/>
              <w:bottom w:val="single" w:color="auto" w:sz="4" w:space="0"/>
              <w:right w:val="single" w:color="auto" w:sz="4" w:space="0"/>
            </w:tcBorders>
            <w:vAlign w:val="center"/>
          </w:tcPr>
          <w:p w14:paraId="3435FFC5">
            <w:pPr>
              <w:autoSpaceDE w:val="0"/>
              <w:autoSpaceDN w:val="0"/>
              <w:adjustRightInd w:val="0"/>
              <w:snapToGrid/>
              <w:spacing w:line="400" w:lineRule="exact"/>
              <w:jc w:val="center"/>
              <w:outlineLvl w:val="9"/>
              <w:rPr>
                <w:rFonts w:hint="default" w:ascii="宋体" w:hAnsi="宋体" w:eastAsia="宋体" w:cs="宋体"/>
                <w:color w:val="auto"/>
                <w:kern w:val="0"/>
                <w:szCs w:val="21"/>
                <w:highlight w:val="none"/>
                <w:lang w:val="en-US" w:eastAsia="zh-CN"/>
              </w:rPr>
            </w:pPr>
            <w:r>
              <w:rPr>
                <w:rFonts w:hint="eastAsia" w:cs="宋体"/>
                <w:color w:val="auto"/>
                <w:kern w:val="0"/>
                <w:szCs w:val="21"/>
                <w:highlight w:val="none"/>
                <w:lang w:val="en-US" w:eastAsia="zh-CN"/>
              </w:rPr>
              <w:t>47</w:t>
            </w:r>
          </w:p>
        </w:tc>
        <w:tc>
          <w:tcPr>
            <w:tcW w:w="838" w:type="pct"/>
            <w:tcBorders>
              <w:top w:val="single" w:color="auto" w:sz="4" w:space="0"/>
              <w:left w:val="single" w:color="auto" w:sz="4" w:space="0"/>
              <w:bottom w:val="single" w:color="auto" w:sz="4" w:space="0"/>
              <w:right w:val="single" w:color="auto" w:sz="4" w:space="0"/>
            </w:tcBorders>
            <w:vAlign w:val="center"/>
          </w:tcPr>
          <w:p w14:paraId="5DCB631B">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color w:val="auto"/>
                <w:kern w:val="0"/>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对夹式蝶阀</w:t>
            </w:r>
          </w:p>
        </w:tc>
        <w:tc>
          <w:tcPr>
            <w:tcW w:w="346" w:type="pct"/>
            <w:tcBorders>
              <w:top w:val="single" w:color="auto" w:sz="4" w:space="0"/>
              <w:left w:val="single" w:color="auto" w:sz="4" w:space="0"/>
              <w:bottom w:val="single" w:color="auto" w:sz="4" w:space="0"/>
              <w:right w:val="single" w:color="auto" w:sz="4" w:space="0"/>
            </w:tcBorders>
            <w:vAlign w:val="center"/>
          </w:tcPr>
          <w:p w14:paraId="7F9F6711">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395" w:type="pct"/>
            <w:tcBorders>
              <w:top w:val="single" w:color="auto" w:sz="4" w:space="0"/>
              <w:left w:val="single" w:color="auto" w:sz="4" w:space="0"/>
              <w:bottom w:val="single" w:color="auto" w:sz="4" w:space="0"/>
              <w:right w:val="single" w:color="auto" w:sz="4" w:space="0"/>
            </w:tcBorders>
            <w:vAlign w:val="center"/>
          </w:tcPr>
          <w:p w14:paraId="567D6D16">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669" w:type="pct"/>
            <w:tcBorders>
              <w:top w:val="single" w:color="auto" w:sz="4" w:space="0"/>
              <w:left w:val="single" w:color="auto" w:sz="4" w:space="0"/>
              <w:bottom w:val="single" w:color="auto" w:sz="4" w:space="0"/>
              <w:right w:val="single" w:color="auto" w:sz="4" w:space="0"/>
            </w:tcBorders>
            <w:vAlign w:val="center"/>
          </w:tcPr>
          <w:p w14:paraId="6D8F9C92">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color w:val="auto"/>
                <w:kern w:val="0"/>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DN500</w:t>
            </w:r>
          </w:p>
        </w:tc>
        <w:tc>
          <w:tcPr>
            <w:tcW w:w="669" w:type="pct"/>
            <w:tcBorders>
              <w:top w:val="single" w:color="auto" w:sz="4" w:space="0"/>
              <w:left w:val="single" w:color="auto" w:sz="4" w:space="0"/>
              <w:bottom w:val="single" w:color="auto" w:sz="4" w:space="0"/>
              <w:right w:val="single" w:color="auto" w:sz="4" w:space="0"/>
            </w:tcBorders>
            <w:vAlign w:val="center"/>
          </w:tcPr>
          <w:p w14:paraId="7EEF02AD">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color w:val="auto"/>
                <w:kern w:val="0"/>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330" w:type="pct"/>
            <w:tcBorders>
              <w:top w:val="single" w:color="auto" w:sz="4" w:space="0"/>
              <w:left w:val="single" w:color="auto" w:sz="4" w:space="0"/>
              <w:bottom w:val="single" w:color="auto" w:sz="4" w:space="0"/>
              <w:right w:val="single" w:color="auto" w:sz="4" w:space="0"/>
            </w:tcBorders>
            <w:vAlign w:val="center"/>
          </w:tcPr>
          <w:p w14:paraId="077E0119">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color w:val="auto"/>
                <w:kern w:val="0"/>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370" w:type="pct"/>
            <w:tcBorders>
              <w:top w:val="single" w:color="auto" w:sz="4" w:space="0"/>
              <w:left w:val="single" w:color="auto" w:sz="4" w:space="0"/>
              <w:bottom w:val="single" w:color="auto" w:sz="4" w:space="0"/>
              <w:right w:val="single" w:color="auto" w:sz="4" w:space="0"/>
            </w:tcBorders>
            <w:vAlign w:val="center"/>
          </w:tcPr>
          <w:p w14:paraId="7555218D">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color w:val="auto"/>
                <w:kern w:val="0"/>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4</w:t>
            </w:r>
          </w:p>
        </w:tc>
        <w:tc>
          <w:tcPr>
            <w:tcW w:w="322" w:type="pct"/>
            <w:tcBorders>
              <w:top w:val="single" w:color="auto" w:sz="4" w:space="0"/>
              <w:left w:val="single" w:color="auto" w:sz="4" w:space="0"/>
              <w:bottom w:val="single" w:color="auto" w:sz="4" w:space="0"/>
              <w:right w:val="single" w:color="auto" w:sz="4" w:space="0"/>
            </w:tcBorders>
          </w:tcPr>
          <w:p w14:paraId="2365CE03">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564" w:type="pct"/>
            <w:tcBorders>
              <w:top w:val="single" w:color="auto" w:sz="4" w:space="0"/>
              <w:left w:val="single" w:color="auto" w:sz="4" w:space="0"/>
              <w:bottom w:val="single" w:color="auto" w:sz="4" w:space="0"/>
              <w:right w:val="single" w:color="auto" w:sz="4" w:space="0"/>
            </w:tcBorders>
          </w:tcPr>
          <w:p w14:paraId="617F2B50">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261" w:type="pct"/>
            <w:tcBorders>
              <w:top w:val="single" w:color="auto" w:sz="4" w:space="0"/>
              <w:left w:val="single" w:color="auto" w:sz="4" w:space="0"/>
              <w:bottom w:val="single" w:color="auto" w:sz="4" w:space="0"/>
              <w:right w:val="single" w:color="auto" w:sz="4" w:space="0"/>
            </w:tcBorders>
            <w:vAlign w:val="center"/>
          </w:tcPr>
          <w:p w14:paraId="3FAA2DC1">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r>
      <w:tr w14:paraId="454CD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231" w:type="pct"/>
            <w:tcBorders>
              <w:top w:val="single" w:color="auto" w:sz="4" w:space="0"/>
              <w:left w:val="single" w:color="auto" w:sz="4" w:space="0"/>
              <w:bottom w:val="single" w:color="auto" w:sz="4" w:space="0"/>
              <w:right w:val="single" w:color="auto" w:sz="4" w:space="0"/>
            </w:tcBorders>
            <w:vAlign w:val="center"/>
          </w:tcPr>
          <w:p w14:paraId="0FAFE721">
            <w:pPr>
              <w:autoSpaceDE w:val="0"/>
              <w:autoSpaceDN w:val="0"/>
              <w:adjustRightInd w:val="0"/>
              <w:snapToGrid/>
              <w:spacing w:line="400" w:lineRule="exact"/>
              <w:jc w:val="center"/>
              <w:outlineLvl w:val="9"/>
              <w:rPr>
                <w:rFonts w:hint="default" w:ascii="宋体" w:hAnsi="宋体" w:eastAsia="宋体" w:cs="宋体"/>
                <w:color w:val="auto"/>
                <w:kern w:val="0"/>
                <w:szCs w:val="21"/>
                <w:highlight w:val="none"/>
                <w:lang w:val="en-US" w:eastAsia="zh-CN"/>
              </w:rPr>
            </w:pPr>
            <w:r>
              <w:rPr>
                <w:rFonts w:hint="eastAsia" w:cs="宋体"/>
                <w:color w:val="auto"/>
                <w:kern w:val="0"/>
                <w:szCs w:val="21"/>
                <w:highlight w:val="none"/>
                <w:lang w:val="en-US" w:eastAsia="zh-CN"/>
              </w:rPr>
              <w:t>48</w:t>
            </w:r>
          </w:p>
        </w:tc>
        <w:tc>
          <w:tcPr>
            <w:tcW w:w="838" w:type="pct"/>
            <w:tcBorders>
              <w:top w:val="single" w:color="auto" w:sz="4" w:space="0"/>
              <w:left w:val="single" w:color="auto" w:sz="4" w:space="0"/>
              <w:bottom w:val="single" w:color="auto" w:sz="4" w:space="0"/>
              <w:right w:val="single" w:color="auto" w:sz="4" w:space="0"/>
            </w:tcBorders>
            <w:vAlign w:val="center"/>
          </w:tcPr>
          <w:p w14:paraId="432F23FD">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color w:val="auto"/>
                <w:kern w:val="0"/>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对夹式蝶阀</w:t>
            </w:r>
          </w:p>
        </w:tc>
        <w:tc>
          <w:tcPr>
            <w:tcW w:w="346" w:type="pct"/>
            <w:tcBorders>
              <w:top w:val="single" w:color="auto" w:sz="4" w:space="0"/>
              <w:left w:val="single" w:color="auto" w:sz="4" w:space="0"/>
              <w:bottom w:val="single" w:color="auto" w:sz="4" w:space="0"/>
              <w:right w:val="single" w:color="auto" w:sz="4" w:space="0"/>
            </w:tcBorders>
            <w:vAlign w:val="center"/>
          </w:tcPr>
          <w:p w14:paraId="599221C0">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395" w:type="pct"/>
            <w:tcBorders>
              <w:top w:val="single" w:color="auto" w:sz="4" w:space="0"/>
              <w:left w:val="single" w:color="auto" w:sz="4" w:space="0"/>
              <w:bottom w:val="single" w:color="auto" w:sz="4" w:space="0"/>
              <w:right w:val="single" w:color="auto" w:sz="4" w:space="0"/>
            </w:tcBorders>
            <w:vAlign w:val="center"/>
          </w:tcPr>
          <w:p w14:paraId="07D4D5A0">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669" w:type="pct"/>
            <w:tcBorders>
              <w:top w:val="single" w:color="auto" w:sz="4" w:space="0"/>
              <w:left w:val="single" w:color="auto" w:sz="4" w:space="0"/>
              <w:bottom w:val="single" w:color="auto" w:sz="4" w:space="0"/>
              <w:right w:val="single" w:color="auto" w:sz="4" w:space="0"/>
            </w:tcBorders>
            <w:vAlign w:val="center"/>
          </w:tcPr>
          <w:p w14:paraId="521EB9F7">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color w:val="auto"/>
                <w:kern w:val="0"/>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DN600</w:t>
            </w:r>
          </w:p>
        </w:tc>
        <w:tc>
          <w:tcPr>
            <w:tcW w:w="669" w:type="pct"/>
            <w:tcBorders>
              <w:top w:val="single" w:color="auto" w:sz="4" w:space="0"/>
              <w:left w:val="single" w:color="auto" w:sz="4" w:space="0"/>
              <w:bottom w:val="single" w:color="auto" w:sz="4" w:space="0"/>
              <w:right w:val="single" w:color="auto" w:sz="4" w:space="0"/>
            </w:tcBorders>
            <w:vAlign w:val="center"/>
          </w:tcPr>
          <w:p w14:paraId="4E9C1B00">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color w:val="auto"/>
                <w:kern w:val="0"/>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330" w:type="pct"/>
            <w:tcBorders>
              <w:top w:val="single" w:color="auto" w:sz="4" w:space="0"/>
              <w:left w:val="single" w:color="auto" w:sz="4" w:space="0"/>
              <w:bottom w:val="single" w:color="auto" w:sz="4" w:space="0"/>
              <w:right w:val="single" w:color="auto" w:sz="4" w:space="0"/>
            </w:tcBorders>
            <w:vAlign w:val="center"/>
          </w:tcPr>
          <w:p w14:paraId="036F9A29">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color w:val="auto"/>
                <w:kern w:val="0"/>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370" w:type="pct"/>
            <w:tcBorders>
              <w:top w:val="single" w:color="auto" w:sz="4" w:space="0"/>
              <w:left w:val="single" w:color="auto" w:sz="4" w:space="0"/>
              <w:bottom w:val="single" w:color="auto" w:sz="4" w:space="0"/>
              <w:right w:val="single" w:color="auto" w:sz="4" w:space="0"/>
            </w:tcBorders>
            <w:vAlign w:val="center"/>
          </w:tcPr>
          <w:p w14:paraId="5730658F">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color w:val="auto"/>
                <w:kern w:val="0"/>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4</w:t>
            </w:r>
          </w:p>
        </w:tc>
        <w:tc>
          <w:tcPr>
            <w:tcW w:w="322" w:type="pct"/>
            <w:tcBorders>
              <w:top w:val="single" w:color="auto" w:sz="4" w:space="0"/>
              <w:left w:val="single" w:color="auto" w:sz="4" w:space="0"/>
              <w:bottom w:val="single" w:color="auto" w:sz="4" w:space="0"/>
              <w:right w:val="single" w:color="auto" w:sz="4" w:space="0"/>
            </w:tcBorders>
          </w:tcPr>
          <w:p w14:paraId="2FC1220C">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564" w:type="pct"/>
            <w:tcBorders>
              <w:top w:val="single" w:color="auto" w:sz="4" w:space="0"/>
              <w:left w:val="single" w:color="auto" w:sz="4" w:space="0"/>
              <w:bottom w:val="single" w:color="auto" w:sz="4" w:space="0"/>
              <w:right w:val="single" w:color="auto" w:sz="4" w:space="0"/>
            </w:tcBorders>
          </w:tcPr>
          <w:p w14:paraId="7C75AF35">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261" w:type="pct"/>
            <w:tcBorders>
              <w:top w:val="single" w:color="auto" w:sz="4" w:space="0"/>
              <w:left w:val="single" w:color="auto" w:sz="4" w:space="0"/>
              <w:bottom w:val="single" w:color="auto" w:sz="4" w:space="0"/>
              <w:right w:val="single" w:color="auto" w:sz="4" w:space="0"/>
            </w:tcBorders>
            <w:vAlign w:val="center"/>
          </w:tcPr>
          <w:p w14:paraId="5858DE9A">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r>
      <w:tr w14:paraId="79F47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231" w:type="pct"/>
            <w:tcBorders>
              <w:top w:val="single" w:color="auto" w:sz="4" w:space="0"/>
              <w:left w:val="single" w:color="auto" w:sz="4" w:space="0"/>
              <w:bottom w:val="single" w:color="auto" w:sz="4" w:space="0"/>
              <w:right w:val="single" w:color="auto" w:sz="4" w:space="0"/>
            </w:tcBorders>
            <w:vAlign w:val="center"/>
          </w:tcPr>
          <w:p w14:paraId="1B14E184">
            <w:pPr>
              <w:autoSpaceDE w:val="0"/>
              <w:autoSpaceDN w:val="0"/>
              <w:adjustRightInd w:val="0"/>
              <w:snapToGrid/>
              <w:spacing w:line="400" w:lineRule="exact"/>
              <w:jc w:val="center"/>
              <w:outlineLvl w:val="9"/>
              <w:rPr>
                <w:rFonts w:hint="default" w:ascii="宋体" w:hAnsi="宋体" w:eastAsia="宋体" w:cs="宋体"/>
                <w:color w:val="auto"/>
                <w:kern w:val="0"/>
                <w:szCs w:val="21"/>
                <w:highlight w:val="none"/>
                <w:lang w:val="en-US" w:eastAsia="zh-CN"/>
              </w:rPr>
            </w:pPr>
            <w:r>
              <w:rPr>
                <w:rFonts w:hint="eastAsia" w:cs="宋体"/>
                <w:color w:val="auto"/>
                <w:kern w:val="0"/>
                <w:szCs w:val="21"/>
                <w:highlight w:val="none"/>
                <w:lang w:val="en-US" w:eastAsia="zh-CN"/>
              </w:rPr>
              <w:t>49</w:t>
            </w:r>
          </w:p>
        </w:tc>
        <w:tc>
          <w:tcPr>
            <w:tcW w:w="838" w:type="pct"/>
            <w:tcBorders>
              <w:top w:val="single" w:color="auto" w:sz="4" w:space="0"/>
              <w:left w:val="single" w:color="auto" w:sz="4" w:space="0"/>
              <w:bottom w:val="single" w:color="auto" w:sz="4" w:space="0"/>
              <w:right w:val="single" w:color="auto" w:sz="4" w:space="0"/>
            </w:tcBorders>
            <w:vAlign w:val="center"/>
          </w:tcPr>
          <w:p w14:paraId="32573141">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color w:val="auto"/>
                <w:kern w:val="0"/>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法兰止回阀</w:t>
            </w:r>
          </w:p>
        </w:tc>
        <w:tc>
          <w:tcPr>
            <w:tcW w:w="346" w:type="pct"/>
            <w:tcBorders>
              <w:top w:val="single" w:color="auto" w:sz="4" w:space="0"/>
              <w:left w:val="single" w:color="auto" w:sz="4" w:space="0"/>
              <w:bottom w:val="single" w:color="auto" w:sz="4" w:space="0"/>
              <w:right w:val="single" w:color="auto" w:sz="4" w:space="0"/>
            </w:tcBorders>
            <w:vAlign w:val="center"/>
          </w:tcPr>
          <w:p w14:paraId="65CBACEF">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395" w:type="pct"/>
            <w:tcBorders>
              <w:top w:val="single" w:color="auto" w:sz="4" w:space="0"/>
              <w:left w:val="single" w:color="auto" w:sz="4" w:space="0"/>
              <w:bottom w:val="single" w:color="auto" w:sz="4" w:space="0"/>
              <w:right w:val="single" w:color="auto" w:sz="4" w:space="0"/>
            </w:tcBorders>
            <w:vAlign w:val="center"/>
          </w:tcPr>
          <w:p w14:paraId="53BE00B3">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669" w:type="pct"/>
            <w:tcBorders>
              <w:top w:val="single" w:color="auto" w:sz="4" w:space="0"/>
              <w:left w:val="single" w:color="auto" w:sz="4" w:space="0"/>
              <w:bottom w:val="single" w:color="auto" w:sz="4" w:space="0"/>
              <w:right w:val="single" w:color="auto" w:sz="4" w:space="0"/>
            </w:tcBorders>
            <w:vAlign w:val="center"/>
          </w:tcPr>
          <w:p w14:paraId="64149751">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color w:val="auto"/>
                <w:kern w:val="0"/>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DN50</w:t>
            </w:r>
          </w:p>
        </w:tc>
        <w:tc>
          <w:tcPr>
            <w:tcW w:w="669" w:type="pct"/>
            <w:tcBorders>
              <w:top w:val="single" w:color="auto" w:sz="4" w:space="0"/>
              <w:left w:val="single" w:color="auto" w:sz="4" w:space="0"/>
              <w:bottom w:val="single" w:color="auto" w:sz="4" w:space="0"/>
              <w:right w:val="single" w:color="auto" w:sz="4" w:space="0"/>
            </w:tcBorders>
            <w:vAlign w:val="center"/>
          </w:tcPr>
          <w:p w14:paraId="2221B5EE">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color w:val="auto"/>
                <w:kern w:val="0"/>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330" w:type="pct"/>
            <w:tcBorders>
              <w:top w:val="single" w:color="auto" w:sz="4" w:space="0"/>
              <w:left w:val="single" w:color="auto" w:sz="4" w:space="0"/>
              <w:bottom w:val="single" w:color="auto" w:sz="4" w:space="0"/>
              <w:right w:val="single" w:color="auto" w:sz="4" w:space="0"/>
            </w:tcBorders>
            <w:vAlign w:val="center"/>
          </w:tcPr>
          <w:p w14:paraId="142111AF">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color w:val="auto"/>
                <w:kern w:val="0"/>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370" w:type="pct"/>
            <w:tcBorders>
              <w:top w:val="single" w:color="auto" w:sz="4" w:space="0"/>
              <w:left w:val="single" w:color="auto" w:sz="4" w:space="0"/>
              <w:bottom w:val="single" w:color="auto" w:sz="4" w:space="0"/>
              <w:right w:val="single" w:color="auto" w:sz="4" w:space="0"/>
            </w:tcBorders>
            <w:vAlign w:val="center"/>
          </w:tcPr>
          <w:p w14:paraId="1A338E37">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color w:val="auto"/>
                <w:kern w:val="0"/>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4</w:t>
            </w:r>
          </w:p>
        </w:tc>
        <w:tc>
          <w:tcPr>
            <w:tcW w:w="322" w:type="pct"/>
            <w:tcBorders>
              <w:top w:val="single" w:color="auto" w:sz="4" w:space="0"/>
              <w:left w:val="single" w:color="auto" w:sz="4" w:space="0"/>
              <w:bottom w:val="single" w:color="auto" w:sz="4" w:space="0"/>
              <w:right w:val="single" w:color="auto" w:sz="4" w:space="0"/>
            </w:tcBorders>
          </w:tcPr>
          <w:p w14:paraId="03B4A111">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564" w:type="pct"/>
            <w:tcBorders>
              <w:top w:val="single" w:color="auto" w:sz="4" w:space="0"/>
              <w:left w:val="single" w:color="auto" w:sz="4" w:space="0"/>
              <w:bottom w:val="single" w:color="auto" w:sz="4" w:space="0"/>
              <w:right w:val="single" w:color="auto" w:sz="4" w:space="0"/>
            </w:tcBorders>
          </w:tcPr>
          <w:p w14:paraId="2D96D544">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261" w:type="pct"/>
            <w:tcBorders>
              <w:top w:val="single" w:color="auto" w:sz="4" w:space="0"/>
              <w:left w:val="single" w:color="auto" w:sz="4" w:space="0"/>
              <w:bottom w:val="single" w:color="auto" w:sz="4" w:space="0"/>
              <w:right w:val="single" w:color="auto" w:sz="4" w:space="0"/>
            </w:tcBorders>
            <w:vAlign w:val="center"/>
          </w:tcPr>
          <w:p w14:paraId="00E942BE">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r>
      <w:tr w14:paraId="0681C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231" w:type="pct"/>
            <w:tcBorders>
              <w:top w:val="single" w:color="auto" w:sz="4" w:space="0"/>
              <w:left w:val="single" w:color="auto" w:sz="4" w:space="0"/>
              <w:bottom w:val="single" w:color="auto" w:sz="4" w:space="0"/>
              <w:right w:val="single" w:color="auto" w:sz="4" w:space="0"/>
            </w:tcBorders>
            <w:vAlign w:val="center"/>
          </w:tcPr>
          <w:p w14:paraId="50E7E7B7">
            <w:pPr>
              <w:autoSpaceDE w:val="0"/>
              <w:autoSpaceDN w:val="0"/>
              <w:adjustRightInd w:val="0"/>
              <w:snapToGrid/>
              <w:spacing w:line="400" w:lineRule="exact"/>
              <w:jc w:val="center"/>
              <w:outlineLvl w:val="9"/>
              <w:rPr>
                <w:rFonts w:hint="default" w:ascii="宋体" w:hAnsi="宋体" w:eastAsia="宋体" w:cs="宋体"/>
                <w:color w:val="auto"/>
                <w:kern w:val="0"/>
                <w:szCs w:val="21"/>
                <w:highlight w:val="none"/>
                <w:lang w:val="en-US" w:eastAsia="zh-CN"/>
              </w:rPr>
            </w:pPr>
            <w:r>
              <w:rPr>
                <w:rFonts w:hint="eastAsia" w:cs="宋体"/>
                <w:color w:val="auto"/>
                <w:kern w:val="0"/>
                <w:szCs w:val="21"/>
                <w:highlight w:val="none"/>
                <w:lang w:val="en-US" w:eastAsia="zh-CN"/>
              </w:rPr>
              <w:t>50</w:t>
            </w:r>
          </w:p>
        </w:tc>
        <w:tc>
          <w:tcPr>
            <w:tcW w:w="838" w:type="pct"/>
            <w:tcBorders>
              <w:top w:val="single" w:color="auto" w:sz="4" w:space="0"/>
              <w:left w:val="single" w:color="auto" w:sz="4" w:space="0"/>
              <w:bottom w:val="single" w:color="auto" w:sz="4" w:space="0"/>
              <w:right w:val="single" w:color="auto" w:sz="4" w:space="0"/>
            </w:tcBorders>
            <w:vAlign w:val="center"/>
          </w:tcPr>
          <w:p w14:paraId="64B60B22">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color w:val="auto"/>
                <w:kern w:val="0"/>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法兰止回阀</w:t>
            </w:r>
          </w:p>
        </w:tc>
        <w:tc>
          <w:tcPr>
            <w:tcW w:w="346" w:type="pct"/>
            <w:tcBorders>
              <w:top w:val="single" w:color="auto" w:sz="4" w:space="0"/>
              <w:left w:val="single" w:color="auto" w:sz="4" w:space="0"/>
              <w:bottom w:val="single" w:color="auto" w:sz="4" w:space="0"/>
              <w:right w:val="single" w:color="auto" w:sz="4" w:space="0"/>
            </w:tcBorders>
            <w:vAlign w:val="center"/>
          </w:tcPr>
          <w:p w14:paraId="5615F7AE">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395" w:type="pct"/>
            <w:tcBorders>
              <w:top w:val="single" w:color="auto" w:sz="4" w:space="0"/>
              <w:left w:val="single" w:color="auto" w:sz="4" w:space="0"/>
              <w:bottom w:val="single" w:color="auto" w:sz="4" w:space="0"/>
              <w:right w:val="single" w:color="auto" w:sz="4" w:space="0"/>
            </w:tcBorders>
            <w:vAlign w:val="center"/>
          </w:tcPr>
          <w:p w14:paraId="7B383280">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669" w:type="pct"/>
            <w:tcBorders>
              <w:top w:val="single" w:color="auto" w:sz="4" w:space="0"/>
              <w:left w:val="single" w:color="auto" w:sz="4" w:space="0"/>
              <w:bottom w:val="single" w:color="auto" w:sz="4" w:space="0"/>
              <w:right w:val="single" w:color="auto" w:sz="4" w:space="0"/>
            </w:tcBorders>
            <w:vAlign w:val="center"/>
          </w:tcPr>
          <w:p w14:paraId="767D4453">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color w:val="auto"/>
                <w:kern w:val="0"/>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DN65</w:t>
            </w:r>
          </w:p>
        </w:tc>
        <w:tc>
          <w:tcPr>
            <w:tcW w:w="669" w:type="pct"/>
            <w:tcBorders>
              <w:top w:val="single" w:color="auto" w:sz="4" w:space="0"/>
              <w:left w:val="single" w:color="auto" w:sz="4" w:space="0"/>
              <w:bottom w:val="single" w:color="auto" w:sz="4" w:space="0"/>
              <w:right w:val="single" w:color="auto" w:sz="4" w:space="0"/>
            </w:tcBorders>
            <w:vAlign w:val="center"/>
          </w:tcPr>
          <w:p w14:paraId="119AA854">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color w:val="auto"/>
                <w:kern w:val="0"/>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330" w:type="pct"/>
            <w:tcBorders>
              <w:top w:val="single" w:color="auto" w:sz="4" w:space="0"/>
              <w:left w:val="single" w:color="auto" w:sz="4" w:space="0"/>
              <w:bottom w:val="single" w:color="auto" w:sz="4" w:space="0"/>
              <w:right w:val="single" w:color="auto" w:sz="4" w:space="0"/>
            </w:tcBorders>
            <w:vAlign w:val="center"/>
          </w:tcPr>
          <w:p w14:paraId="7580D69A">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color w:val="auto"/>
                <w:kern w:val="0"/>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370" w:type="pct"/>
            <w:tcBorders>
              <w:top w:val="single" w:color="auto" w:sz="4" w:space="0"/>
              <w:left w:val="single" w:color="auto" w:sz="4" w:space="0"/>
              <w:bottom w:val="single" w:color="auto" w:sz="4" w:space="0"/>
              <w:right w:val="single" w:color="auto" w:sz="4" w:space="0"/>
            </w:tcBorders>
            <w:vAlign w:val="center"/>
          </w:tcPr>
          <w:p w14:paraId="2A151C6A">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color w:val="auto"/>
                <w:kern w:val="0"/>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4</w:t>
            </w:r>
          </w:p>
        </w:tc>
        <w:tc>
          <w:tcPr>
            <w:tcW w:w="322" w:type="pct"/>
            <w:tcBorders>
              <w:top w:val="single" w:color="auto" w:sz="4" w:space="0"/>
              <w:left w:val="single" w:color="auto" w:sz="4" w:space="0"/>
              <w:bottom w:val="single" w:color="auto" w:sz="4" w:space="0"/>
              <w:right w:val="single" w:color="auto" w:sz="4" w:space="0"/>
            </w:tcBorders>
          </w:tcPr>
          <w:p w14:paraId="52F454B5">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564" w:type="pct"/>
            <w:tcBorders>
              <w:top w:val="single" w:color="auto" w:sz="4" w:space="0"/>
              <w:left w:val="single" w:color="auto" w:sz="4" w:space="0"/>
              <w:bottom w:val="single" w:color="auto" w:sz="4" w:space="0"/>
              <w:right w:val="single" w:color="auto" w:sz="4" w:space="0"/>
            </w:tcBorders>
          </w:tcPr>
          <w:p w14:paraId="05C7BC84">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261" w:type="pct"/>
            <w:tcBorders>
              <w:top w:val="single" w:color="auto" w:sz="4" w:space="0"/>
              <w:left w:val="single" w:color="auto" w:sz="4" w:space="0"/>
              <w:bottom w:val="single" w:color="auto" w:sz="4" w:space="0"/>
              <w:right w:val="single" w:color="auto" w:sz="4" w:space="0"/>
            </w:tcBorders>
            <w:vAlign w:val="center"/>
          </w:tcPr>
          <w:p w14:paraId="48E1DABC">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r>
      <w:tr w14:paraId="5BC09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231" w:type="pct"/>
            <w:tcBorders>
              <w:top w:val="single" w:color="auto" w:sz="4" w:space="0"/>
              <w:left w:val="single" w:color="auto" w:sz="4" w:space="0"/>
              <w:bottom w:val="single" w:color="auto" w:sz="4" w:space="0"/>
              <w:right w:val="single" w:color="auto" w:sz="4" w:space="0"/>
            </w:tcBorders>
            <w:vAlign w:val="center"/>
          </w:tcPr>
          <w:p w14:paraId="3322DCC0">
            <w:pPr>
              <w:autoSpaceDE w:val="0"/>
              <w:autoSpaceDN w:val="0"/>
              <w:adjustRightInd w:val="0"/>
              <w:snapToGrid/>
              <w:spacing w:line="400" w:lineRule="exact"/>
              <w:jc w:val="center"/>
              <w:outlineLvl w:val="9"/>
              <w:rPr>
                <w:rFonts w:hint="default" w:ascii="宋体" w:hAnsi="宋体" w:eastAsia="宋体" w:cs="宋体"/>
                <w:color w:val="auto"/>
                <w:kern w:val="0"/>
                <w:szCs w:val="21"/>
                <w:highlight w:val="none"/>
                <w:lang w:val="en-US" w:eastAsia="zh-CN"/>
              </w:rPr>
            </w:pPr>
            <w:r>
              <w:rPr>
                <w:rFonts w:hint="eastAsia" w:cs="宋体"/>
                <w:color w:val="auto"/>
                <w:kern w:val="0"/>
                <w:szCs w:val="21"/>
                <w:highlight w:val="none"/>
                <w:lang w:val="en-US" w:eastAsia="zh-CN"/>
              </w:rPr>
              <w:t>51</w:t>
            </w:r>
          </w:p>
        </w:tc>
        <w:tc>
          <w:tcPr>
            <w:tcW w:w="838" w:type="pct"/>
            <w:tcBorders>
              <w:top w:val="single" w:color="auto" w:sz="4" w:space="0"/>
              <w:left w:val="single" w:color="auto" w:sz="4" w:space="0"/>
              <w:bottom w:val="single" w:color="auto" w:sz="4" w:space="0"/>
              <w:right w:val="single" w:color="auto" w:sz="4" w:space="0"/>
            </w:tcBorders>
            <w:vAlign w:val="center"/>
          </w:tcPr>
          <w:p w14:paraId="62873165">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color w:val="auto"/>
                <w:kern w:val="0"/>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法兰止回阀</w:t>
            </w:r>
          </w:p>
        </w:tc>
        <w:tc>
          <w:tcPr>
            <w:tcW w:w="346" w:type="pct"/>
            <w:tcBorders>
              <w:top w:val="single" w:color="auto" w:sz="4" w:space="0"/>
              <w:left w:val="single" w:color="auto" w:sz="4" w:space="0"/>
              <w:bottom w:val="single" w:color="auto" w:sz="4" w:space="0"/>
              <w:right w:val="single" w:color="auto" w:sz="4" w:space="0"/>
            </w:tcBorders>
            <w:vAlign w:val="center"/>
          </w:tcPr>
          <w:p w14:paraId="00FCA97E">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395" w:type="pct"/>
            <w:tcBorders>
              <w:top w:val="single" w:color="auto" w:sz="4" w:space="0"/>
              <w:left w:val="single" w:color="auto" w:sz="4" w:space="0"/>
              <w:bottom w:val="single" w:color="auto" w:sz="4" w:space="0"/>
              <w:right w:val="single" w:color="auto" w:sz="4" w:space="0"/>
            </w:tcBorders>
            <w:vAlign w:val="center"/>
          </w:tcPr>
          <w:p w14:paraId="2BB0B24F">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669" w:type="pct"/>
            <w:tcBorders>
              <w:top w:val="single" w:color="auto" w:sz="4" w:space="0"/>
              <w:left w:val="single" w:color="auto" w:sz="4" w:space="0"/>
              <w:bottom w:val="single" w:color="auto" w:sz="4" w:space="0"/>
              <w:right w:val="single" w:color="auto" w:sz="4" w:space="0"/>
            </w:tcBorders>
            <w:vAlign w:val="center"/>
          </w:tcPr>
          <w:p w14:paraId="335AA7D8">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color w:val="auto"/>
                <w:kern w:val="0"/>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DN80</w:t>
            </w:r>
          </w:p>
        </w:tc>
        <w:tc>
          <w:tcPr>
            <w:tcW w:w="669" w:type="pct"/>
            <w:tcBorders>
              <w:top w:val="single" w:color="auto" w:sz="4" w:space="0"/>
              <w:left w:val="single" w:color="auto" w:sz="4" w:space="0"/>
              <w:bottom w:val="single" w:color="auto" w:sz="4" w:space="0"/>
              <w:right w:val="single" w:color="auto" w:sz="4" w:space="0"/>
            </w:tcBorders>
            <w:vAlign w:val="center"/>
          </w:tcPr>
          <w:p w14:paraId="5C4CD2A3">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color w:val="auto"/>
                <w:kern w:val="0"/>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330" w:type="pct"/>
            <w:tcBorders>
              <w:top w:val="single" w:color="auto" w:sz="4" w:space="0"/>
              <w:left w:val="single" w:color="auto" w:sz="4" w:space="0"/>
              <w:bottom w:val="single" w:color="auto" w:sz="4" w:space="0"/>
              <w:right w:val="single" w:color="auto" w:sz="4" w:space="0"/>
            </w:tcBorders>
            <w:vAlign w:val="center"/>
          </w:tcPr>
          <w:p w14:paraId="4234D5F6">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color w:val="auto"/>
                <w:kern w:val="0"/>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370" w:type="pct"/>
            <w:tcBorders>
              <w:top w:val="single" w:color="auto" w:sz="4" w:space="0"/>
              <w:left w:val="single" w:color="auto" w:sz="4" w:space="0"/>
              <w:bottom w:val="single" w:color="auto" w:sz="4" w:space="0"/>
              <w:right w:val="single" w:color="auto" w:sz="4" w:space="0"/>
            </w:tcBorders>
            <w:vAlign w:val="center"/>
          </w:tcPr>
          <w:p w14:paraId="7FE9FC2D">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color w:val="auto"/>
                <w:kern w:val="0"/>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38</w:t>
            </w:r>
          </w:p>
        </w:tc>
        <w:tc>
          <w:tcPr>
            <w:tcW w:w="322" w:type="pct"/>
            <w:tcBorders>
              <w:top w:val="single" w:color="auto" w:sz="4" w:space="0"/>
              <w:left w:val="single" w:color="auto" w:sz="4" w:space="0"/>
              <w:bottom w:val="single" w:color="auto" w:sz="4" w:space="0"/>
              <w:right w:val="single" w:color="auto" w:sz="4" w:space="0"/>
            </w:tcBorders>
          </w:tcPr>
          <w:p w14:paraId="6B9E205E">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564" w:type="pct"/>
            <w:tcBorders>
              <w:top w:val="single" w:color="auto" w:sz="4" w:space="0"/>
              <w:left w:val="single" w:color="auto" w:sz="4" w:space="0"/>
              <w:bottom w:val="single" w:color="auto" w:sz="4" w:space="0"/>
              <w:right w:val="single" w:color="auto" w:sz="4" w:space="0"/>
            </w:tcBorders>
          </w:tcPr>
          <w:p w14:paraId="6FE5B791">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261" w:type="pct"/>
            <w:tcBorders>
              <w:top w:val="single" w:color="auto" w:sz="4" w:space="0"/>
              <w:left w:val="single" w:color="auto" w:sz="4" w:space="0"/>
              <w:bottom w:val="single" w:color="auto" w:sz="4" w:space="0"/>
              <w:right w:val="single" w:color="auto" w:sz="4" w:space="0"/>
            </w:tcBorders>
            <w:vAlign w:val="center"/>
          </w:tcPr>
          <w:p w14:paraId="77860592">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r>
      <w:tr w14:paraId="34D5F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231" w:type="pct"/>
            <w:tcBorders>
              <w:top w:val="single" w:color="auto" w:sz="4" w:space="0"/>
              <w:left w:val="single" w:color="auto" w:sz="4" w:space="0"/>
              <w:bottom w:val="single" w:color="auto" w:sz="4" w:space="0"/>
              <w:right w:val="single" w:color="auto" w:sz="4" w:space="0"/>
            </w:tcBorders>
            <w:vAlign w:val="center"/>
          </w:tcPr>
          <w:p w14:paraId="235A1AFF">
            <w:pPr>
              <w:autoSpaceDE w:val="0"/>
              <w:autoSpaceDN w:val="0"/>
              <w:adjustRightInd w:val="0"/>
              <w:snapToGrid/>
              <w:spacing w:line="400" w:lineRule="exact"/>
              <w:jc w:val="center"/>
              <w:outlineLvl w:val="9"/>
              <w:rPr>
                <w:rFonts w:hint="default" w:ascii="宋体" w:hAnsi="宋体" w:eastAsia="宋体" w:cs="宋体"/>
                <w:color w:val="auto"/>
                <w:kern w:val="0"/>
                <w:szCs w:val="21"/>
                <w:highlight w:val="none"/>
                <w:lang w:val="en-US" w:eastAsia="zh-CN"/>
              </w:rPr>
            </w:pPr>
            <w:r>
              <w:rPr>
                <w:rFonts w:hint="eastAsia" w:cs="宋体"/>
                <w:color w:val="auto"/>
                <w:kern w:val="0"/>
                <w:szCs w:val="21"/>
                <w:highlight w:val="none"/>
                <w:lang w:val="en-US" w:eastAsia="zh-CN"/>
              </w:rPr>
              <w:t>52</w:t>
            </w:r>
          </w:p>
        </w:tc>
        <w:tc>
          <w:tcPr>
            <w:tcW w:w="838" w:type="pct"/>
            <w:tcBorders>
              <w:top w:val="single" w:color="auto" w:sz="4" w:space="0"/>
              <w:left w:val="single" w:color="auto" w:sz="4" w:space="0"/>
              <w:bottom w:val="single" w:color="auto" w:sz="4" w:space="0"/>
              <w:right w:val="single" w:color="auto" w:sz="4" w:space="0"/>
            </w:tcBorders>
            <w:vAlign w:val="center"/>
          </w:tcPr>
          <w:p w14:paraId="256A6694">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color w:val="auto"/>
                <w:kern w:val="0"/>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法兰止回阀</w:t>
            </w:r>
          </w:p>
        </w:tc>
        <w:tc>
          <w:tcPr>
            <w:tcW w:w="346" w:type="pct"/>
            <w:tcBorders>
              <w:top w:val="single" w:color="auto" w:sz="4" w:space="0"/>
              <w:left w:val="single" w:color="auto" w:sz="4" w:space="0"/>
              <w:bottom w:val="single" w:color="auto" w:sz="4" w:space="0"/>
              <w:right w:val="single" w:color="auto" w:sz="4" w:space="0"/>
            </w:tcBorders>
            <w:vAlign w:val="center"/>
          </w:tcPr>
          <w:p w14:paraId="576EC1C3">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395" w:type="pct"/>
            <w:tcBorders>
              <w:top w:val="single" w:color="auto" w:sz="4" w:space="0"/>
              <w:left w:val="single" w:color="auto" w:sz="4" w:space="0"/>
              <w:bottom w:val="single" w:color="auto" w:sz="4" w:space="0"/>
              <w:right w:val="single" w:color="auto" w:sz="4" w:space="0"/>
            </w:tcBorders>
            <w:vAlign w:val="center"/>
          </w:tcPr>
          <w:p w14:paraId="7DBF67C9">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669" w:type="pct"/>
            <w:tcBorders>
              <w:top w:val="single" w:color="auto" w:sz="4" w:space="0"/>
              <w:left w:val="single" w:color="auto" w:sz="4" w:space="0"/>
              <w:bottom w:val="single" w:color="auto" w:sz="4" w:space="0"/>
              <w:right w:val="single" w:color="auto" w:sz="4" w:space="0"/>
            </w:tcBorders>
            <w:vAlign w:val="center"/>
          </w:tcPr>
          <w:p w14:paraId="37675189">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color w:val="auto"/>
                <w:kern w:val="0"/>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DN100</w:t>
            </w:r>
          </w:p>
        </w:tc>
        <w:tc>
          <w:tcPr>
            <w:tcW w:w="669" w:type="pct"/>
            <w:tcBorders>
              <w:top w:val="single" w:color="auto" w:sz="4" w:space="0"/>
              <w:left w:val="single" w:color="auto" w:sz="4" w:space="0"/>
              <w:bottom w:val="single" w:color="auto" w:sz="4" w:space="0"/>
              <w:right w:val="single" w:color="auto" w:sz="4" w:space="0"/>
            </w:tcBorders>
            <w:vAlign w:val="center"/>
          </w:tcPr>
          <w:p w14:paraId="3961DD0B">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color w:val="auto"/>
                <w:kern w:val="0"/>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330" w:type="pct"/>
            <w:tcBorders>
              <w:top w:val="single" w:color="auto" w:sz="4" w:space="0"/>
              <w:left w:val="single" w:color="auto" w:sz="4" w:space="0"/>
              <w:bottom w:val="single" w:color="auto" w:sz="4" w:space="0"/>
              <w:right w:val="single" w:color="auto" w:sz="4" w:space="0"/>
            </w:tcBorders>
            <w:vAlign w:val="center"/>
          </w:tcPr>
          <w:p w14:paraId="26169ACD">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color w:val="auto"/>
                <w:kern w:val="0"/>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370" w:type="pct"/>
            <w:tcBorders>
              <w:top w:val="single" w:color="auto" w:sz="4" w:space="0"/>
              <w:left w:val="single" w:color="auto" w:sz="4" w:space="0"/>
              <w:bottom w:val="single" w:color="auto" w:sz="4" w:space="0"/>
              <w:right w:val="single" w:color="auto" w:sz="4" w:space="0"/>
            </w:tcBorders>
            <w:vAlign w:val="center"/>
          </w:tcPr>
          <w:p w14:paraId="5D9CAC29">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color w:val="auto"/>
                <w:kern w:val="0"/>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70</w:t>
            </w:r>
          </w:p>
        </w:tc>
        <w:tc>
          <w:tcPr>
            <w:tcW w:w="322" w:type="pct"/>
            <w:tcBorders>
              <w:top w:val="single" w:color="auto" w:sz="4" w:space="0"/>
              <w:left w:val="single" w:color="auto" w:sz="4" w:space="0"/>
              <w:bottom w:val="single" w:color="auto" w:sz="4" w:space="0"/>
              <w:right w:val="single" w:color="auto" w:sz="4" w:space="0"/>
            </w:tcBorders>
          </w:tcPr>
          <w:p w14:paraId="1FDFE09C">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564" w:type="pct"/>
            <w:tcBorders>
              <w:top w:val="single" w:color="auto" w:sz="4" w:space="0"/>
              <w:left w:val="single" w:color="auto" w:sz="4" w:space="0"/>
              <w:bottom w:val="single" w:color="auto" w:sz="4" w:space="0"/>
              <w:right w:val="single" w:color="auto" w:sz="4" w:space="0"/>
            </w:tcBorders>
          </w:tcPr>
          <w:p w14:paraId="7C0118FF">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261" w:type="pct"/>
            <w:tcBorders>
              <w:top w:val="single" w:color="auto" w:sz="4" w:space="0"/>
              <w:left w:val="single" w:color="auto" w:sz="4" w:space="0"/>
              <w:bottom w:val="single" w:color="auto" w:sz="4" w:space="0"/>
              <w:right w:val="single" w:color="auto" w:sz="4" w:space="0"/>
            </w:tcBorders>
            <w:vAlign w:val="center"/>
          </w:tcPr>
          <w:p w14:paraId="5ECFA8CF">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r>
      <w:tr w14:paraId="133A2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231" w:type="pct"/>
            <w:tcBorders>
              <w:top w:val="single" w:color="auto" w:sz="4" w:space="0"/>
              <w:left w:val="single" w:color="auto" w:sz="4" w:space="0"/>
              <w:bottom w:val="single" w:color="auto" w:sz="4" w:space="0"/>
              <w:right w:val="single" w:color="auto" w:sz="4" w:space="0"/>
            </w:tcBorders>
            <w:vAlign w:val="center"/>
          </w:tcPr>
          <w:p w14:paraId="5E84E5AE">
            <w:pPr>
              <w:autoSpaceDE w:val="0"/>
              <w:autoSpaceDN w:val="0"/>
              <w:adjustRightInd w:val="0"/>
              <w:snapToGrid/>
              <w:spacing w:line="400" w:lineRule="exact"/>
              <w:jc w:val="center"/>
              <w:outlineLvl w:val="9"/>
              <w:rPr>
                <w:rFonts w:hint="default" w:ascii="宋体" w:hAnsi="宋体" w:eastAsia="宋体" w:cs="宋体"/>
                <w:color w:val="auto"/>
                <w:kern w:val="0"/>
                <w:szCs w:val="21"/>
                <w:highlight w:val="none"/>
                <w:lang w:val="en-US" w:eastAsia="zh-CN"/>
              </w:rPr>
            </w:pPr>
            <w:r>
              <w:rPr>
                <w:rFonts w:hint="eastAsia" w:cs="宋体"/>
                <w:color w:val="auto"/>
                <w:kern w:val="0"/>
                <w:szCs w:val="21"/>
                <w:highlight w:val="none"/>
                <w:lang w:val="en-US" w:eastAsia="zh-CN"/>
              </w:rPr>
              <w:t>53</w:t>
            </w:r>
          </w:p>
        </w:tc>
        <w:tc>
          <w:tcPr>
            <w:tcW w:w="838" w:type="pct"/>
            <w:tcBorders>
              <w:top w:val="single" w:color="auto" w:sz="4" w:space="0"/>
              <w:left w:val="single" w:color="auto" w:sz="4" w:space="0"/>
              <w:bottom w:val="single" w:color="auto" w:sz="4" w:space="0"/>
              <w:right w:val="single" w:color="auto" w:sz="4" w:space="0"/>
            </w:tcBorders>
            <w:vAlign w:val="center"/>
          </w:tcPr>
          <w:p w14:paraId="23C5D1C0">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color w:val="auto"/>
                <w:kern w:val="0"/>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法兰止回阀</w:t>
            </w:r>
          </w:p>
        </w:tc>
        <w:tc>
          <w:tcPr>
            <w:tcW w:w="346" w:type="pct"/>
            <w:tcBorders>
              <w:top w:val="single" w:color="auto" w:sz="4" w:space="0"/>
              <w:left w:val="single" w:color="auto" w:sz="4" w:space="0"/>
              <w:bottom w:val="single" w:color="auto" w:sz="4" w:space="0"/>
              <w:right w:val="single" w:color="auto" w:sz="4" w:space="0"/>
            </w:tcBorders>
            <w:vAlign w:val="center"/>
          </w:tcPr>
          <w:p w14:paraId="70058229">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395" w:type="pct"/>
            <w:tcBorders>
              <w:top w:val="single" w:color="auto" w:sz="4" w:space="0"/>
              <w:left w:val="single" w:color="auto" w:sz="4" w:space="0"/>
              <w:bottom w:val="single" w:color="auto" w:sz="4" w:space="0"/>
              <w:right w:val="single" w:color="auto" w:sz="4" w:space="0"/>
            </w:tcBorders>
            <w:vAlign w:val="center"/>
          </w:tcPr>
          <w:p w14:paraId="546FAB4E">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669" w:type="pct"/>
            <w:tcBorders>
              <w:top w:val="single" w:color="auto" w:sz="4" w:space="0"/>
              <w:left w:val="single" w:color="auto" w:sz="4" w:space="0"/>
              <w:bottom w:val="single" w:color="auto" w:sz="4" w:space="0"/>
              <w:right w:val="single" w:color="auto" w:sz="4" w:space="0"/>
            </w:tcBorders>
            <w:vAlign w:val="center"/>
          </w:tcPr>
          <w:p w14:paraId="67A0175B">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color w:val="auto"/>
                <w:kern w:val="0"/>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DN125</w:t>
            </w:r>
          </w:p>
        </w:tc>
        <w:tc>
          <w:tcPr>
            <w:tcW w:w="669" w:type="pct"/>
            <w:tcBorders>
              <w:top w:val="single" w:color="auto" w:sz="4" w:space="0"/>
              <w:left w:val="single" w:color="auto" w:sz="4" w:space="0"/>
              <w:bottom w:val="single" w:color="auto" w:sz="4" w:space="0"/>
              <w:right w:val="single" w:color="auto" w:sz="4" w:space="0"/>
            </w:tcBorders>
            <w:vAlign w:val="center"/>
          </w:tcPr>
          <w:p w14:paraId="232376FE">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color w:val="auto"/>
                <w:kern w:val="0"/>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330" w:type="pct"/>
            <w:tcBorders>
              <w:top w:val="single" w:color="auto" w:sz="4" w:space="0"/>
              <w:left w:val="single" w:color="auto" w:sz="4" w:space="0"/>
              <w:bottom w:val="single" w:color="auto" w:sz="4" w:space="0"/>
              <w:right w:val="single" w:color="auto" w:sz="4" w:space="0"/>
            </w:tcBorders>
            <w:vAlign w:val="center"/>
          </w:tcPr>
          <w:p w14:paraId="502FE379">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color w:val="auto"/>
                <w:kern w:val="0"/>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370" w:type="pct"/>
            <w:tcBorders>
              <w:top w:val="single" w:color="auto" w:sz="4" w:space="0"/>
              <w:left w:val="single" w:color="auto" w:sz="4" w:space="0"/>
              <w:bottom w:val="single" w:color="auto" w:sz="4" w:space="0"/>
              <w:right w:val="single" w:color="auto" w:sz="4" w:space="0"/>
            </w:tcBorders>
            <w:vAlign w:val="center"/>
          </w:tcPr>
          <w:p w14:paraId="4CE24B40">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color w:val="auto"/>
                <w:kern w:val="0"/>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4</w:t>
            </w:r>
          </w:p>
        </w:tc>
        <w:tc>
          <w:tcPr>
            <w:tcW w:w="322" w:type="pct"/>
            <w:tcBorders>
              <w:top w:val="single" w:color="auto" w:sz="4" w:space="0"/>
              <w:left w:val="single" w:color="auto" w:sz="4" w:space="0"/>
              <w:bottom w:val="single" w:color="auto" w:sz="4" w:space="0"/>
              <w:right w:val="single" w:color="auto" w:sz="4" w:space="0"/>
            </w:tcBorders>
          </w:tcPr>
          <w:p w14:paraId="4D68D9E9">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564" w:type="pct"/>
            <w:tcBorders>
              <w:top w:val="single" w:color="auto" w:sz="4" w:space="0"/>
              <w:left w:val="single" w:color="auto" w:sz="4" w:space="0"/>
              <w:bottom w:val="single" w:color="auto" w:sz="4" w:space="0"/>
              <w:right w:val="single" w:color="auto" w:sz="4" w:space="0"/>
            </w:tcBorders>
          </w:tcPr>
          <w:p w14:paraId="216D7FB9">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261" w:type="pct"/>
            <w:tcBorders>
              <w:top w:val="single" w:color="auto" w:sz="4" w:space="0"/>
              <w:left w:val="single" w:color="auto" w:sz="4" w:space="0"/>
              <w:bottom w:val="single" w:color="auto" w:sz="4" w:space="0"/>
              <w:right w:val="single" w:color="auto" w:sz="4" w:space="0"/>
            </w:tcBorders>
            <w:vAlign w:val="center"/>
          </w:tcPr>
          <w:p w14:paraId="0053DBCB">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r>
      <w:tr w14:paraId="448E8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231" w:type="pct"/>
            <w:tcBorders>
              <w:top w:val="single" w:color="auto" w:sz="4" w:space="0"/>
              <w:left w:val="single" w:color="auto" w:sz="4" w:space="0"/>
              <w:bottom w:val="single" w:color="auto" w:sz="4" w:space="0"/>
              <w:right w:val="single" w:color="auto" w:sz="4" w:space="0"/>
            </w:tcBorders>
            <w:vAlign w:val="center"/>
          </w:tcPr>
          <w:p w14:paraId="5AB59814">
            <w:pPr>
              <w:autoSpaceDE w:val="0"/>
              <w:autoSpaceDN w:val="0"/>
              <w:adjustRightInd w:val="0"/>
              <w:snapToGrid/>
              <w:spacing w:line="400" w:lineRule="exact"/>
              <w:jc w:val="center"/>
              <w:outlineLvl w:val="9"/>
              <w:rPr>
                <w:rFonts w:hint="default" w:ascii="宋体" w:hAnsi="宋体" w:eastAsia="宋体" w:cs="宋体"/>
                <w:color w:val="auto"/>
                <w:kern w:val="0"/>
                <w:szCs w:val="21"/>
                <w:highlight w:val="none"/>
                <w:lang w:val="en-US" w:eastAsia="zh-CN"/>
              </w:rPr>
            </w:pPr>
            <w:r>
              <w:rPr>
                <w:rFonts w:hint="eastAsia" w:cs="宋体"/>
                <w:color w:val="auto"/>
                <w:kern w:val="0"/>
                <w:szCs w:val="21"/>
                <w:highlight w:val="none"/>
                <w:lang w:val="en-US" w:eastAsia="zh-CN"/>
              </w:rPr>
              <w:t>54</w:t>
            </w:r>
          </w:p>
        </w:tc>
        <w:tc>
          <w:tcPr>
            <w:tcW w:w="838" w:type="pct"/>
            <w:tcBorders>
              <w:top w:val="single" w:color="auto" w:sz="4" w:space="0"/>
              <w:left w:val="single" w:color="auto" w:sz="4" w:space="0"/>
              <w:bottom w:val="single" w:color="auto" w:sz="4" w:space="0"/>
              <w:right w:val="single" w:color="auto" w:sz="4" w:space="0"/>
            </w:tcBorders>
            <w:vAlign w:val="center"/>
          </w:tcPr>
          <w:p w14:paraId="07FCD86A">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color w:val="auto"/>
                <w:kern w:val="0"/>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法兰止回阀</w:t>
            </w:r>
          </w:p>
        </w:tc>
        <w:tc>
          <w:tcPr>
            <w:tcW w:w="346" w:type="pct"/>
            <w:tcBorders>
              <w:top w:val="single" w:color="auto" w:sz="4" w:space="0"/>
              <w:left w:val="single" w:color="auto" w:sz="4" w:space="0"/>
              <w:bottom w:val="single" w:color="auto" w:sz="4" w:space="0"/>
              <w:right w:val="single" w:color="auto" w:sz="4" w:space="0"/>
            </w:tcBorders>
            <w:vAlign w:val="center"/>
          </w:tcPr>
          <w:p w14:paraId="4755C4B2">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395" w:type="pct"/>
            <w:tcBorders>
              <w:top w:val="single" w:color="auto" w:sz="4" w:space="0"/>
              <w:left w:val="single" w:color="auto" w:sz="4" w:space="0"/>
              <w:bottom w:val="single" w:color="auto" w:sz="4" w:space="0"/>
              <w:right w:val="single" w:color="auto" w:sz="4" w:space="0"/>
            </w:tcBorders>
            <w:vAlign w:val="center"/>
          </w:tcPr>
          <w:p w14:paraId="18E79A35">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669" w:type="pct"/>
            <w:tcBorders>
              <w:top w:val="single" w:color="auto" w:sz="4" w:space="0"/>
              <w:left w:val="single" w:color="auto" w:sz="4" w:space="0"/>
              <w:bottom w:val="single" w:color="auto" w:sz="4" w:space="0"/>
              <w:right w:val="single" w:color="auto" w:sz="4" w:space="0"/>
            </w:tcBorders>
            <w:vAlign w:val="center"/>
          </w:tcPr>
          <w:p w14:paraId="78CE06C2">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color w:val="auto"/>
                <w:kern w:val="0"/>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DN150</w:t>
            </w:r>
          </w:p>
        </w:tc>
        <w:tc>
          <w:tcPr>
            <w:tcW w:w="669" w:type="pct"/>
            <w:tcBorders>
              <w:top w:val="single" w:color="auto" w:sz="4" w:space="0"/>
              <w:left w:val="single" w:color="auto" w:sz="4" w:space="0"/>
              <w:bottom w:val="single" w:color="auto" w:sz="4" w:space="0"/>
              <w:right w:val="single" w:color="auto" w:sz="4" w:space="0"/>
            </w:tcBorders>
            <w:vAlign w:val="center"/>
          </w:tcPr>
          <w:p w14:paraId="31D7A7C9">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color w:val="auto"/>
                <w:kern w:val="0"/>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330" w:type="pct"/>
            <w:tcBorders>
              <w:top w:val="single" w:color="auto" w:sz="4" w:space="0"/>
              <w:left w:val="single" w:color="auto" w:sz="4" w:space="0"/>
              <w:bottom w:val="single" w:color="auto" w:sz="4" w:space="0"/>
              <w:right w:val="single" w:color="auto" w:sz="4" w:space="0"/>
            </w:tcBorders>
            <w:vAlign w:val="center"/>
          </w:tcPr>
          <w:p w14:paraId="51E4F561">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color w:val="auto"/>
                <w:kern w:val="0"/>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370" w:type="pct"/>
            <w:tcBorders>
              <w:top w:val="single" w:color="auto" w:sz="4" w:space="0"/>
              <w:left w:val="single" w:color="auto" w:sz="4" w:space="0"/>
              <w:bottom w:val="single" w:color="auto" w:sz="4" w:space="0"/>
              <w:right w:val="single" w:color="auto" w:sz="4" w:space="0"/>
            </w:tcBorders>
            <w:vAlign w:val="center"/>
          </w:tcPr>
          <w:p w14:paraId="77E618A2">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color w:val="auto"/>
                <w:kern w:val="0"/>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150</w:t>
            </w:r>
          </w:p>
        </w:tc>
        <w:tc>
          <w:tcPr>
            <w:tcW w:w="322" w:type="pct"/>
            <w:tcBorders>
              <w:top w:val="single" w:color="auto" w:sz="4" w:space="0"/>
              <w:left w:val="single" w:color="auto" w:sz="4" w:space="0"/>
              <w:bottom w:val="single" w:color="auto" w:sz="4" w:space="0"/>
              <w:right w:val="single" w:color="auto" w:sz="4" w:space="0"/>
            </w:tcBorders>
          </w:tcPr>
          <w:p w14:paraId="511C02A9">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564" w:type="pct"/>
            <w:tcBorders>
              <w:top w:val="single" w:color="auto" w:sz="4" w:space="0"/>
              <w:left w:val="single" w:color="auto" w:sz="4" w:space="0"/>
              <w:bottom w:val="single" w:color="auto" w:sz="4" w:space="0"/>
              <w:right w:val="single" w:color="auto" w:sz="4" w:space="0"/>
            </w:tcBorders>
          </w:tcPr>
          <w:p w14:paraId="24153AEF">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261" w:type="pct"/>
            <w:tcBorders>
              <w:top w:val="single" w:color="auto" w:sz="4" w:space="0"/>
              <w:left w:val="single" w:color="auto" w:sz="4" w:space="0"/>
              <w:bottom w:val="single" w:color="auto" w:sz="4" w:space="0"/>
              <w:right w:val="single" w:color="auto" w:sz="4" w:space="0"/>
            </w:tcBorders>
            <w:vAlign w:val="center"/>
          </w:tcPr>
          <w:p w14:paraId="69FD0BD6">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r>
      <w:tr w14:paraId="3E5E5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231" w:type="pct"/>
            <w:tcBorders>
              <w:top w:val="single" w:color="auto" w:sz="4" w:space="0"/>
              <w:left w:val="single" w:color="auto" w:sz="4" w:space="0"/>
              <w:bottom w:val="single" w:color="auto" w:sz="4" w:space="0"/>
              <w:right w:val="single" w:color="auto" w:sz="4" w:space="0"/>
            </w:tcBorders>
            <w:vAlign w:val="center"/>
          </w:tcPr>
          <w:p w14:paraId="18A7B43F">
            <w:pPr>
              <w:autoSpaceDE w:val="0"/>
              <w:autoSpaceDN w:val="0"/>
              <w:adjustRightInd w:val="0"/>
              <w:snapToGrid/>
              <w:spacing w:line="400" w:lineRule="exact"/>
              <w:jc w:val="center"/>
              <w:outlineLvl w:val="9"/>
              <w:rPr>
                <w:rFonts w:hint="default" w:ascii="宋体" w:hAnsi="宋体" w:eastAsia="宋体" w:cs="宋体"/>
                <w:color w:val="auto"/>
                <w:kern w:val="0"/>
                <w:szCs w:val="21"/>
                <w:highlight w:val="none"/>
                <w:lang w:val="en-US" w:eastAsia="zh-CN"/>
              </w:rPr>
            </w:pPr>
            <w:r>
              <w:rPr>
                <w:rFonts w:hint="eastAsia" w:cs="宋体"/>
                <w:color w:val="auto"/>
                <w:kern w:val="0"/>
                <w:szCs w:val="21"/>
                <w:highlight w:val="none"/>
                <w:lang w:val="en-US" w:eastAsia="zh-CN"/>
              </w:rPr>
              <w:t>55</w:t>
            </w:r>
          </w:p>
        </w:tc>
        <w:tc>
          <w:tcPr>
            <w:tcW w:w="838" w:type="pct"/>
            <w:tcBorders>
              <w:top w:val="single" w:color="auto" w:sz="4" w:space="0"/>
              <w:left w:val="single" w:color="auto" w:sz="4" w:space="0"/>
              <w:bottom w:val="single" w:color="auto" w:sz="4" w:space="0"/>
              <w:right w:val="single" w:color="auto" w:sz="4" w:space="0"/>
            </w:tcBorders>
            <w:vAlign w:val="center"/>
          </w:tcPr>
          <w:p w14:paraId="64801043">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color w:val="auto"/>
                <w:kern w:val="0"/>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法兰止回阀</w:t>
            </w:r>
          </w:p>
        </w:tc>
        <w:tc>
          <w:tcPr>
            <w:tcW w:w="346" w:type="pct"/>
            <w:tcBorders>
              <w:top w:val="single" w:color="auto" w:sz="4" w:space="0"/>
              <w:left w:val="single" w:color="auto" w:sz="4" w:space="0"/>
              <w:bottom w:val="single" w:color="auto" w:sz="4" w:space="0"/>
              <w:right w:val="single" w:color="auto" w:sz="4" w:space="0"/>
            </w:tcBorders>
            <w:vAlign w:val="center"/>
          </w:tcPr>
          <w:p w14:paraId="1578403E">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395" w:type="pct"/>
            <w:tcBorders>
              <w:top w:val="single" w:color="auto" w:sz="4" w:space="0"/>
              <w:left w:val="single" w:color="auto" w:sz="4" w:space="0"/>
              <w:bottom w:val="single" w:color="auto" w:sz="4" w:space="0"/>
              <w:right w:val="single" w:color="auto" w:sz="4" w:space="0"/>
            </w:tcBorders>
            <w:vAlign w:val="center"/>
          </w:tcPr>
          <w:p w14:paraId="6B73CF53">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669" w:type="pct"/>
            <w:tcBorders>
              <w:top w:val="single" w:color="auto" w:sz="4" w:space="0"/>
              <w:left w:val="single" w:color="auto" w:sz="4" w:space="0"/>
              <w:bottom w:val="single" w:color="auto" w:sz="4" w:space="0"/>
              <w:right w:val="single" w:color="auto" w:sz="4" w:space="0"/>
            </w:tcBorders>
            <w:vAlign w:val="center"/>
          </w:tcPr>
          <w:p w14:paraId="4F856582">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color w:val="auto"/>
                <w:kern w:val="0"/>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DN200</w:t>
            </w:r>
          </w:p>
        </w:tc>
        <w:tc>
          <w:tcPr>
            <w:tcW w:w="669" w:type="pct"/>
            <w:tcBorders>
              <w:top w:val="single" w:color="auto" w:sz="4" w:space="0"/>
              <w:left w:val="single" w:color="auto" w:sz="4" w:space="0"/>
              <w:bottom w:val="single" w:color="auto" w:sz="4" w:space="0"/>
              <w:right w:val="single" w:color="auto" w:sz="4" w:space="0"/>
            </w:tcBorders>
            <w:vAlign w:val="center"/>
          </w:tcPr>
          <w:p w14:paraId="4AC39939">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color w:val="auto"/>
                <w:kern w:val="0"/>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330" w:type="pct"/>
            <w:tcBorders>
              <w:top w:val="single" w:color="auto" w:sz="4" w:space="0"/>
              <w:left w:val="single" w:color="auto" w:sz="4" w:space="0"/>
              <w:bottom w:val="single" w:color="auto" w:sz="4" w:space="0"/>
              <w:right w:val="single" w:color="auto" w:sz="4" w:space="0"/>
            </w:tcBorders>
            <w:vAlign w:val="center"/>
          </w:tcPr>
          <w:p w14:paraId="6A639F0C">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color w:val="auto"/>
                <w:kern w:val="0"/>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370" w:type="pct"/>
            <w:tcBorders>
              <w:top w:val="single" w:color="auto" w:sz="4" w:space="0"/>
              <w:left w:val="single" w:color="auto" w:sz="4" w:space="0"/>
              <w:bottom w:val="single" w:color="auto" w:sz="4" w:space="0"/>
              <w:right w:val="single" w:color="auto" w:sz="4" w:space="0"/>
            </w:tcBorders>
            <w:vAlign w:val="center"/>
          </w:tcPr>
          <w:p w14:paraId="0AFCEC67">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color w:val="auto"/>
                <w:kern w:val="0"/>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8</w:t>
            </w:r>
          </w:p>
        </w:tc>
        <w:tc>
          <w:tcPr>
            <w:tcW w:w="322" w:type="pct"/>
            <w:tcBorders>
              <w:top w:val="single" w:color="auto" w:sz="4" w:space="0"/>
              <w:left w:val="single" w:color="auto" w:sz="4" w:space="0"/>
              <w:bottom w:val="single" w:color="auto" w:sz="4" w:space="0"/>
              <w:right w:val="single" w:color="auto" w:sz="4" w:space="0"/>
            </w:tcBorders>
          </w:tcPr>
          <w:p w14:paraId="4CEEACA1">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564" w:type="pct"/>
            <w:tcBorders>
              <w:top w:val="single" w:color="auto" w:sz="4" w:space="0"/>
              <w:left w:val="single" w:color="auto" w:sz="4" w:space="0"/>
              <w:bottom w:val="single" w:color="auto" w:sz="4" w:space="0"/>
              <w:right w:val="single" w:color="auto" w:sz="4" w:space="0"/>
            </w:tcBorders>
          </w:tcPr>
          <w:p w14:paraId="3B9018A9">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261" w:type="pct"/>
            <w:tcBorders>
              <w:top w:val="single" w:color="auto" w:sz="4" w:space="0"/>
              <w:left w:val="single" w:color="auto" w:sz="4" w:space="0"/>
              <w:bottom w:val="single" w:color="auto" w:sz="4" w:space="0"/>
              <w:right w:val="single" w:color="auto" w:sz="4" w:space="0"/>
            </w:tcBorders>
            <w:vAlign w:val="center"/>
          </w:tcPr>
          <w:p w14:paraId="265F6A6F">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r>
      <w:tr w14:paraId="60AEC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231" w:type="pct"/>
            <w:tcBorders>
              <w:top w:val="single" w:color="auto" w:sz="4" w:space="0"/>
              <w:left w:val="single" w:color="auto" w:sz="4" w:space="0"/>
              <w:bottom w:val="single" w:color="auto" w:sz="4" w:space="0"/>
              <w:right w:val="single" w:color="auto" w:sz="4" w:space="0"/>
            </w:tcBorders>
            <w:vAlign w:val="center"/>
          </w:tcPr>
          <w:p w14:paraId="50334D83">
            <w:pPr>
              <w:autoSpaceDE w:val="0"/>
              <w:autoSpaceDN w:val="0"/>
              <w:adjustRightInd w:val="0"/>
              <w:snapToGrid/>
              <w:spacing w:line="400" w:lineRule="exact"/>
              <w:jc w:val="center"/>
              <w:outlineLvl w:val="9"/>
              <w:rPr>
                <w:rFonts w:hint="default" w:ascii="宋体" w:hAnsi="宋体" w:eastAsia="宋体" w:cs="宋体"/>
                <w:color w:val="auto"/>
                <w:kern w:val="0"/>
                <w:szCs w:val="21"/>
                <w:highlight w:val="none"/>
                <w:lang w:val="en-US" w:eastAsia="zh-CN"/>
              </w:rPr>
            </w:pPr>
            <w:r>
              <w:rPr>
                <w:rFonts w:hint="eastAsia" w:cs="宋体"/>
                <w:color w:val="auto"/>
                <w:kern w:val="0"/>
                <w:szCs w:val="21"/>
                <w:highlight w:val="none"/>
                <w:lang w:val="en-US" w:eastAsia="zh-CN"/>
              </w:rPr>
              <w:t>56</w:t>
            </w:r>
          </w:p>
        </w:tc>
        <w:tc>
          <w:tcPr>
            <w:tcW w:w="838" w:type="pct"/>
            <w:tcBorders>
              <w:top w:val="single" w:color="auto" w:sz="4" w:space="0"/>
              <w:left w:val="single" w:color="auto" w:sz="4" w:space="0"/>
              <w:bottom w:val="single" w:color="auto" w:sz="4" w:space="0"/>
              <w:right w:val="single" w:color="auto" w:sz="4" w:space="0"/>
            </w:tcBorders>
            <w:vAlign w:val="center"/>
          </w:tcPr>
          <w:p w14:paraId="4BA2772F">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color w:val="auto"/>
                <w:kern w:val="0"/>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法兰止回阀</w:t>
            </w:r>
          </w:p>
        </w:tc>
        <w:tc>
          <w:tcPr>
            <w:tcW w:w="346" w:type="pct"/>
            <w:tcBorders>
              <w:top w:val="single" w:color="auto" w:sz="4" w:space="0"/>
              <w:left w:val="single" w:color="auto" w:sz="4" w:space="0"/>
              <w:bottom w:val="single" w:color="auto" w:sz="4" w:space="0"/>
              <w:right w:val="single" w:color="auto" w:sz="4" w:space="0"/>
            </w:tcBorders>
            <w:vAlign w:val="center"/>
          </w:tcPr>
          <w:p w14:paraId="2A52B288">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395" w:type="pct"/>
            <w:tcBorders>
              <w:top w:val="single" w:color="auto" w:sz="4" w:space="0"/>
              <w:left w:val="single" w:color="auto" w:sz="4" w:space="0"/>
              <w:bottom w:val="single" w:color="auto" w:sz="4" w:space="0"/>
              <w:right w:val="single" w:color="auto" w:sz="4" w:space="0"/>
            </w:tcBorders>
            <w:vAlign w:val="center"/>
          </w:tcPr>
          <w:p w14:paraId="1F1D68B9">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669" w:type="pct"/>
            <w:tcBorders>
              <w:top w:val="single" w:color="auto" w:sz="4" w:space="0"/>
              <w:left w:val="single" w:color="auto" w:sz="4" w:space="0"/>
              <w:bottom w:val="single" w:color="auto" w:sz="4" w:space="0"/>
              <w:right w:val="single" w:color="auto" w:sz="4" w:space="0"/>
            </w:tcBorders>
            <w:vAlign w:val="center"/>
          </w:tcPr>
          <w:p w14:paraId="237294A3">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color w:val="auto"/>
                <w:kern w:val="0"/>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DN250</w:t>
            </w:r>
          </w:p>
        </w:tc>
        <w:tc>
          <w:tcPr>
            <w:tcW w:w="669" w:type="pct"/>
            <w:tcBorders>
              <w:top w:val="single" w:color="auto" w:sz="4" w:space="0"/>
              <w:left w:val="single" w:color="auto" w:sz="4" w:space="0"/>
              <w:bottom w:val="single" w:color="auto" w:sz="4" w:space="0"/>
              <w:right w:val="single" w:color="auto" w:sz="4" w:space="0"/>
            </w:tcBorders>
            <w:vAlign w:val="center"/>
          </w:tcPr>
          <w:p w14:paraId="6B213164">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color w:val="auto"/>
                <w:kern w:val="0"/>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330" w:type="pct"/>
            <w:tcBorders>
              <w:top w:val="single" w:color="auto" w:sz="4" w:space="0"/>
              <w:left w:val="single" w:color="auto" w:sz="4" w:space="0"/>
              <w:bottom w:val="single" w:color="auto" w:sz="4" w:space="0"/>
              <w:right w:val="single" w:color="auto" w:sz="4" w:space="0"/>
            </w:tcBorders>
            <w:vAlign w:val="center"/>
          </w:tcPr>
          <w:p w14:paraId="76B07897">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color w:val="auto"/>
                <w:kern w:val="0"/>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370" w:type="pct"/>
            <w:tcBorders>
              <w:top w:val="single" w:color="auto" w:sz="4" w:space="0"/>
              <w:left w:val="single" w:color="auto" w:sz="4" w:space="0"/>
              <w:bottom w:val="single" w:color="auto" w:sz="4" w:space="0"/>
              <w:right w:val="single" w:color="auto" w:sz="4" w:space="0"/>
            </w:tcBorders>
            <w:vAlign w:val="center"/>
          </w:tcPr>
          <w:p w14:paraId="7526688B">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color w:val="auto"/>
                <w:kern w:val="0"/>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4</w:t>
            </w:r>
          </w:p>
        </w:tc>
        <w:tc>
          <w:tcPr>
            <w:tcW w:w="322" w:type="pct"/>
            <w:tcBorders>
              <w:top w:val="single" w:color="auto" w:sz="4" w:space="0"/>
              <w:left w:val="single" w:color="auto" w:sz="4" w:space="0"/>
              <w:bottom w:val="single" w:color="auto" w:sz="4" w:space="0"/>
              <w:right w:val="single" w:color="auto" w:sz="4" w:space="0"/>
            </w:tcBorders>
          </w:tcPr>
          <w:p w14:paraId="7F2246C1">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564" w:type="pct"/>
            <w:tcBorders>
              <w:top w:val="single" w:color="auto" w:sz="4" w:space="0"/>
              <w:left w:val="single" w:color="auto" w:sz="4" w:space="0"/>
              <w:bottom w:val="single" w:color="auto" w:sz="4" w:space="0"/>
              <w:right w:val="single" w:color="auto" w:sz="4" w:space="0"/>
            </w:tcBorders>
          </w:tcPr>
          <w:p w14:paraId="075644D1">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261" w:type="pct"/>
            <w:tcBorders>
              <w:top w:val="single" w:color="auto" w:sz="4" w:space="0"/>
              <w:left w:val="single" w:color="auto" w:sz="4" w:space="0"/>
              <w:bottom w:val="single" w:color="auto" w:sz="4" w:space="0"/>
              <w:right w:val="single" w:color="auto" w:sz="4" w:space="0"/>
            </w:tcBorders>
            <w:vAlign w:val="center"/>
          </w:tcPr>
          <w:p w14:paraId="400A5C8C">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r>
      <w:tr w14:paraId="5B4C9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231" w:type="pct"/>
            <w:tcBorders>
              <w:top w:val="single" w:color="auto" w:sz="4" w:space="0"/>
              <w:left w:val="single" w:color="auto" w:sz="4" w:space="0"/>
              <w:bottom w:val="single" w:color="auto" w:sz="4" w:space="0"/>
              <w:right w:val="single" w:color="auto" w:sz="4" w:space="0"/>
            </w:tcBorders>
            <w:vAlign w:val="center"/>
          </w:tcPr>
          <w:p w14:paraId="5E7FD9E9">
            <w:pPr>
              <w:autoSpaceDE w:val="0"/>
              <w:autoSpaceDN w:val="0"/>
              <w:adjustRightInd w:val="0"/>
              <w:snapToGrid/>
              <w:spacing w:line="400" w:lineRule="exact"/>
              <w:jc w:val="center"/>
              <w:outlineLvl w:val="9"/>
              <w:rPr>
                <w:rFonts w:hint="default" w:ascii="宋体" w:hAnsi="宋体" w:eastAsia="宋体" w:cs="宋体"/>
                <w:color w:val="auto"/>
                <w:kern w:val="0"/>
                <w:szCs w:val="21"/>
                <w:highlight w:val="none"/>
                <w:lang w:val="en-US" w:eastAsia="zh-CN"/>
              </w:rPr>
            </w:pPr>
            <w:r>
              <w:rPr>
                <w:rFonts w:hint="eastAsia" w:cs="宋体"/>
                <w:color w:val="auto"/>
                <w:kern w:val="0"/>
                <w:szCs w:val="21"/>
                <w:highlight w:val="none"/>
                <w:lang w:val="en-US" w:eastAsia="zh-CN"/>
              </w:rPr>
              <w:t>57</w:t>
            </w:r>
          </w:p>
        </w:tc>
        <w:tc>
          <w:tcPr>
            <w:tcW w:w="838" w:type="pct"/>
            <w:tcBorders>
              <w:top w:val="single" w:color="auto" w:sz="4" w:space="0"/>
              <w:left w:val="single" w:color="auto" w:sz="4" w:space="0"/>
              <w:bottom w:val="single" w:color="auto" w:sz="4" w:space="0"/>
              <w:right w:val="single" w:color="auto" w:sz="4" w:space="0"/>
            </w:tcBorders>
            <w:vAlign w:val="center"/>
          </w:tcPr>
          <w:p w14:paraId="708B5D2F">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color w:val="auto"/>
                <w:kern w:val="0"/>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法兰止回阀</w:t>
            </w:r>
          </w:p>
        </w:tc>
        <w:tc>
          <w:tcPr>
            <w:tcW w:w="346" w:type="pct"/>
            <w:tcBorders>
              <w:top w:val="single" w:color="auto" w:sz="4" w:space="0"/>
              <w:left w:val="single" w:color="auto" w:sz="4" w:space="0"/>
              <w:bottom w:val="single" w:color="auto" w:sz="4" w:space="0"/>
              <w:right w:val="single" w:color="auto" w:sz="4" w:space="0"/>
            </w:tcBorders>
            <w:vAlign w:val="center"/>
          </w:tcPr>
          <w:p w14:paraId="0B17B82B">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395" w:type="pct"/>
            <w:tcBorders>
              <w:top w:val="single" w:color="auto" w:sz="4" w:space="0"/>
              <w:left w:val="single" w:color="auto" w:sz="4" w:space="0"/>
              <w:bottom w:val="single" w:color="auto" w:sz="4" w:space="0"/>
              <w:right w:val="single" w:color="auto" w:sz="4" w:space="0"/>
            </w:tcBorders>
            <w:vAlign w:val="center"/>
          </w:tcPr>
          <w:p w14:paraId="2EFE2386">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669" w:type="pct"/>
            <w:tcBorders>
              <w:top w:val="single" w:color="auto" w:sz="4" w:space="0"/>
              <w:left w:val="single" w:color="auto" w:sz="4" w:space="0"/>
              <w:bottom w:val="single" w:color="auto" w:sz="4" w:space="0"/>
              <w:right w:val="single" w:color="auto" w:sz="4" w:space="0"/>
            </w:tcBorders>
            <w:vAlign w:val="center"/>
          </w:tcPr>
          <w:p w14:paraId="148BBF3A">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color w:val="auto"/>
                <w:kern w:val="0"/>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DN300</w:t>
            </w:r>
          </w:p>
        </w:tc>
        <w:tc>
          <w:tcPr>
            <w:tcW w:w="669" w:type="pct"/>
            <w:tcBorders>
              <w:top w:val="single" w:color="auto" w:sz="4" w:space="0"/>
              <w:left w:val="single" w:color="auto" w:sz="4" w:space="0"/>
              <w:bottom w:val="single" w:color="auto" w:sz="4" w:space="0"/>
              <w:right w:val="single" w:color="auto" w:sz="4" w:space="0"/>
            </w:tcBorders>
            <w:vAlign w:val="center"/>
          </w:tcPr>
          <w:p w14:paraId="79946955">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color w:val="auto"/>
                <w:kern w:val="0"/>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330" w:type="pct"/>
            <w:tcBorders>
              <w:top w:val="single" w:color="auto" w:sz="4" w:space="0"/>
              <w:left w:val="single" w:color="auto" w:sz="4" w:space="0"/>
              <w:bottom w:val="single" w:color="auto" w:sz="4" w:space="0"/>
              <w:right w:val="single" w:color="auto" w:sz="4" w:space="0"/>
            </w:tcBorders>
            <w:vAlign w:val="center"/>
          </w:tcPr>
          <w:p w14:paraId="20BA44DB">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color w:val="auto"/>
                <w:kern w:val="0"/>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370" w:type="pct"/>
            <w:tcBorders>
              <w:top w:val="single" w:color="auto" w:sz="4" w:space="0"/>
              <w:left w:val="single" w:color="auto" w:sz="4" w:space="0"/>
              <w:bottom w:val="single" w:color="auto" w:sz="4" w:space="0"/>
              <w:right w:val="single" w:color="auto" w:sz="4" w:space="0"/>
            </w:tcBorders>
            <w:vAlign w:val="center"/>
          </w:tcPr>
          <w:p w14:paraId="06D60A84">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color w:val="auto"/>
                <w:kern w:val="0"/>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4</w:t>
            </w:r>
          </w:p>
        </w:tc>
        <w:tc>
          <w:tcPr>
            <w:tcW w:w="322" w:type="pct"/>
            <w:tcBorders>
              <w:top w:val="single" w:color="auto" w:sz="4" w:space="0"/>
              <w:left w:val="single" w:color="auto" w:sz="4" w:space="0"/>
              <w:bottom w:val="single" w:color="auto" w:sz="4" w:space="0"/>
              <w:right w:val="single" w:color="auto" w:sz="4" w:space="0"/>
            </w:tcBorders>
          </w:tcPr>
          <w:p w14:paraId="687BC3A8">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564" w:type="pct"/>
            <w:tcBorders>
              <w:top w:val="single" w:color="auto" w:sz="4" w:space="0"/>
              <w:left w:val="single" w:color="auto" w:sz="4" w:space="0"/>
              <w:bottom w:val="single" w:color="auto" w:sz="4" w:space="0"/>
              <w:right w:val="single" w:color="auto" w:sz="4" w:space="0"/>
            </w:tcBorders>
          </w:tcPr>
          <w:p w14:paraId="4DCF5462">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261" w:type="pct"/>
            <w:tcBorders>
              <w:top w:val="single" w:color="auto" w:sz="4" w:space="0"/>
              <w:left w:val="single" w:color="auto" w:sz="4" w:space="0"/>
              <w:bottom w:val="single" w:color="auto" w:sz="4" w:space="0"/>
              <w:right w:val="single" w:color="auto" w:sz="4" w:space="0"/>
            </w:tcBorders>
            <w:vAlign w:val="center"/>
          </w:tcPr>
          <w:p w14:paraId="64ECA3A2">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r>
      <w:tr w14:paraId="77E85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231" w:type="pct"/>
            <w:tcBorders>
              <w:top w:val="single" w:color="auto" w:sz="4" w:space="0"/>
              <w:left w:val="single" w:color="auto" w:sz="4" w:space="0"/>
              <w:bottom w:val="single" w:color="auto" w:sz="4" w:space="0"/>
              <w:right w:val="single" w:color="auto" w:sz="4" w:space="0"/>
            </w:tcBorders>
            <w:vAlign w:val="center"/>
          </w:tcPr>
          <w:p w14:paraId="04812458">
            <w:pPr>
              <w:autoSpaceDE w:val="0"/>
              <w:autoSpaceDN w:val="0"/>
              <w:adjustRightInd w:val="0"/>
              <w:snapToGrid/>
              <w:spacing w:line="400" w:lineRule="exact"/>
              <w:jc w:val="center"/>
              <w:outlineLvl w:val="9"/>
              <w:rPr>
                <w:rFonts w:hint="default" w:ascii="宋体" w:hAnsi="宋体" w:eastAsia="宋体" w:cs="宋体"/>
                <w:color w:val="auto"/>
                <w:kern w:val="0"/>
                <w:szCs w:val="21"/>
                <w:highlight w:val="none"/>
                <w:lang w:val="en-US" w:eastAsia="zh-CN"/>
              </w:rPr>
            </w:pPr>
            <w:r>
              <w:rPr>
                <w:rFonts w:hint="eastAsia" w:cs="宋体"/>
                <w:color w:val="auto"/>
                <w:kern w:val="0"/>
                <w:szCs w:val="21"/>
                <w:highlight w:val="none"/>
                <w:lang w:val="en-US" w:eastAsia="zh-CN"/>
              </w:rPr>
              <w:t>58</w:t>
            </w:r>
          </w:p>
        </w:tc>
        <w:tc>
          <w:tcPr>
            <w:tcW w:w="838" w:type="pct"/>
            <w:tcBorders>
              <w:top w:val="single" w:color="auto" w:sz="4" w:space="0"/>
              <w:left w:val="single" w:color="auto" w:sz="4" w:space="0"/>
              <w:bottom w:val="single" w:color="auto" w:sz="4" w:space="0"/>
              <w:right w:val="single" w:color="auto" w:sz="4" w:space="0"/>
            </w:tcBorders>
            <w:vAlign w:val="center"/>
          </w:tcPr>
          <w:p w14:paraId="5502DF18">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color w:val="auto"/>
                <w:kern w:val="0"/>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法兰止回阀</w:t>
            </w:r>
          </w:p>
        </w:tc>
        <w:tc>
          <w:tcPr>
            <w:tcW w:w="346" w:type="pct"/>
            <w:tcBorders>
              <w:top w:val="single" w:color="auto" w:sz="4" w:space="0"/>
              <w:left w:val="single" w:color="auto" w:sz="4" w:space="0"/>
              <w:bottom w:val="single" w:color="auto" w:sz="4" w:space="0"/>
              <w:right w:val="single" w:color="auto" w:sz="4" w:space="0"/>
            </w:tcBorders>
            <w:vAlign w:val="center"/>
          </w:tcPr>
          <w:p w14:paraId="6E48746F">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395" w:type="pct"/>
            <w:tcBorders>
              <w:top w:val="single" w:color="auto" w:sz="4" w:space="0"/>
              <w:left w:val="single" w:color="auto" w:sz="4" w:space="0"/>
              <w:bottom w:val="single" w:color="auto" w:sz="4" w:space="0"/>
              <w:right w:val="single" w:color="auto" w:sz="4" w:space="0"/>
            </w:tcBorders>
            <w:vAlign w:val="center"/>
          </w:tcPr>
          <w:p w14:paraId="56F860E6">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669" w:type="pct"/>
            <w:tcBorders>
              <w:top w:val="single" w:color="auto" w:sz="4" w:space="0"/>
              <w:left w:val="single" w:color="auto" w:sz="4" w:space="0"/>
              <w:bottom w:val="single" w:color="auto" w:sz="4" w:space="0"/>
              <w:right w:val="single" w:color="auto" w:sz="4" w:space="0"/>
            </w:tcBorders>
            <w:vAlign w:val="center"/>
          </w:tcPr>
          <w:p w14:paraId="07C601BC">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color w:val="auto"/>
                <w:kern w:val="0"/>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DN350</w:t>
            </w:r>
          </w:p>
        </w:tc>
        <w:tc>
          <w:tcPr>
            <w:tcW w:w="669" w:type="pct"/>
            <w:tcBorders>
              <w:top w:val="single" w:color="auto" w:sz="4" w:space="0"/>
              <w:left w:val="single" w:color="auto" w:sz="4" w:space="0"/>
              <w:bottom w:val="single" w:color="auto" w:sz="4" w:space="0"/>
              <w:right w:val="single" w:color="auto" w:sz="4" w:space="0"/>
            </w:tcBorders>
            <w:vAlign w:val="center"/>
          </w:tcPr>
          <w:p w14:paraId="6C894C03">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color w:val="auto"/>
                <w:kern w:val="0"/>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330" w:type="pct"/>
            <w:tcBorders>
              <w:top w:val="single" w:color="auto" w:sz="4" w:space="0"/>
              <w:left w:val="single" w:color="auto" w:sz="4" w:space="0"/>
              <w:bottom w:val="single" w:color="auto" w:sz="4" w:space="0"/>
              <w:right w:val="single" w:color="auto" w:sz="4" w:space="0"/>
            </w:tcBorders>
            <w:vAlign w:val="center"/>
          </w:tcPr>
          <w:p w14:paraId="0BF5A312">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color w:val="auto"/>
                <w:kern w:val="0"/>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370" w:type="pct"/>
            <w:tcBorders>
              <w:top w:val="single" w:color="auto" w:sz="4" w:space="0"/>
              <w:left w:val="single" w:color="auto" w:sz="4" w:space="0"/>
              <w:bottom w:val="single" w:color="auto" w:sz="4" w:space="0"/>
              <w:right w:val="single" w:color="auto" w:sz="4" w:space="0"/>
            </w:tcBorders>
            <w:vAlign w:val="center"/>
          </w:tcPr>
          <w:p w14:paraId="2E2C96D8">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color w:val="auto"/>
                <w:kern w:val="0"/>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4</w:t>
            </w:r>
          </w:p>
        </w:tc>
        <w:tc>
          <w:tcPr>
            <w:tcW w:w="322" w:type="pct"/>
            <w:tcBorders>
              <w:top w:val="single" w:color="auto" w:sz="4" w:space="0"/>
              <w:left w:val="single" w:color="auto" w:sz="4" w:space="0"/>
              <w:bottom w:val="single" w:color="auto" w:sz="4" w:space="0"/>
              <w:right w:val="single" w:color="auto" w:sz="4" w:space="0"/>
            </w:tcBorders>
          </w:tcPr>
          <w:p w14:paraId="1101415A">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564" w:type="pct"/>
            <w:tcBorders>
              <w:top w:val="single" w:color="auto" w:sz="4" w:space="0"/>
              <w:left w:val="single" w:color="auto" w:sz="4" w:space="0"/>
              <w:bottom w:val="single" w:color="auto" w:sz="4" w:space="0"/>
              <w:right w:val="single" w:color="auto" w:sz="4" w:space="0"/>
            </w:tcBorders>
          </w:tcPr>
          <w:p w14:paraId="7732BA1C">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261" w:type="pct"/>
            <w:tcBorders>
              <w:top w:val="single" w:color="auto" w:sz="4" w:space="0"/>
              <w:left w:val="single" w:color="auto" w:sz="4" w:space="0"/>
              <w:bottom w:val="single" w:color="auto" w:sz="4" w:space="0"/>
              <w:right w:val="single" w:color="auto" w:sz="4" w:space="0"/>
            </w:tcBorders>
            <w:vAlign w:val="center"/>
          </w:tcPr>
          <w:p w14:paraId="527B0226">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r>
      <w:tr w14:paraId="31B63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231" w:type="pct"/>
            <w:tcBorders>
              <w:top w:val="single" w:color="auto" w:sz="4" w:space="0"/>
              <w:left w:val="single" w:color="auto" w:sz="4" w:space="0"/>
              <w:bottom w:val="single" w:color="auto" w:sz="4" w:space="0"/>
              <w:right w:val="single" w:color="auto" w:sz="4" w:space="0"/>
            </w:tcBorders>
            <w:vAlign w:val="center"/>
          </w:tcPr>
          <w:p w14:paraId="6E5D8047">
            <w:pPr>
              <w:autoSpaceDE w:val="0"/>
              <w:autoSpaceDN w:val="0"/>
              <w:adjustRightInd w:val="0"/>
              <w:snapToGrid/>
              <w:spacing w:line="400" w:lineRule="exact"/>
              <w:jc w:val="center"/>
              <w:outlineLvl w:val="9"/>
              <w:rPr>
                <w:rFonts w:hint="default" w:ascii="宋体" w:hAnsi="宋体" w:eastAsia="宋体" w:cs="宋体"/>
                <w:color w:val="auto"/>
                <w:kern w:val="0"/>
                <w:szCs w:val="21"/>
                <w:highlight w:val="none"/>
                <w:lang w:val="en-US" w:eastAsia="zh-CN"/>
              </w:rPr>
            </w:pPr>
            <w:r>
              <w:rPr>
                <w:rFonts w:hint="eastAsia" w:cs="宋体"/>
                <w:color w:val="auto"/>
                <w:kern w:val="0"/>
                <w:szCs w:val="21"/>
                <w:highlight w:val="none"/>
                <w:lang w:val="en-US" w:eastAsia="zh-CN"/>
              </w:rPr>
              <w:t>59</w:t>
            </w:r>
          </w:p>
        </w:tc>
        <w:tc>
          <w:tcPr>
            <w:tcW w:w="838" w:type="pct"/>
            <w:tcBorders>
              <w:top w:val="single" w:color="auto" w:sz="4" w:space="0"/>
              <w:left w:val="single" w:color="auto" w:sz="4" w:space="0"/>
              <w:bottom w:val="single" w:color="auto" w:sz="4" w:space="0"/>
              <w:right w:val="single" w:color="auto" w:sz="4" w:space="0"/>
            </w:tcBorders>
            <w:vAlign w:val="center"/>
          </w:tcPr>
          <w:p w14:paraId="18FA9696">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color w:val="auto"/>
                <w:kern w:val="0"/>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法兰止回阀</w:t>
            </w:r>
          </w:p>
        </w:tc>
        <w:tc>
          <w:tcPr>
            <w:tcW w:w="346" w:type="pct"/>
            <w:tcBorders>
              <w:top w:val="single" w:color="auto" w:sz="4" w:space="0"/>
              <w:left w:val="single" w:color="auto" w:sz="4" w:space="0"/>
              <w:bottom w:val="single" w:color="auto" w:sz="4" w:space="0"/>
              <w:right w:val="single" w:color="auto" w:sz="4" w:space="0"/>
            </w:tcBorders>
            <w:vAlign w:val="center"/>
          </w:tcPr>
          <w:p w14:paraId="02802357">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395" w:type="pct"/>
            <w:tcBorders>
              <w:top w:val="single" w:color="auto" w:sz="4" w:space="0"/>
              <w:left w:val="single" w:color="auto" w:sz="4" w:space="0"/>
              <w:bottom w:val="single" w:color="auto" w:sz="4" w:space="0"/>
              <w:right w:val="single" w:color="auto" w:sz="4" w:space="0"/>
            </w:tcBorders>
            <w:vAlign w:val="center"/>
          </w:tcPr>
          <w:p w14:paraId="480D2659">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669" w:type="pct"/>
            <w:tcBorders>
              <w:top w:val="single" w:color="auto" w:sz="4" w:space="0"/>
              <w:left w:val="single" w:color="auto" w:sz="4" w:space="0"/>
              <w:bottom w:val="single" w:color="auto" w:sz="4" w:space="0"/>
              <w:right w:val="single" w:color="auto" w:sz="4" w:space="0"/>
            </w:tcBorders>
            <w:vAlign w:val="center"/>
          </w:tcPr>
          <w:p w14:paraId="429A8314">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color w:val="auto"/>
                <w:kern w:val="0"/>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DN400</w:t>
            </w:r>
          </w:p>
        </w:tc>
        <w:tc>
          <w:tcPr>
            <w:tcW w:w="669" w:type="pct"/>
            <w:tcBorders>
              <w:top w:val="single" w:color="auto" w:sz="4" w:space="0"/>
              <w:left w:val="single" w:color="auto" w:sz="4" w:space="0"/>
              <w:bottom w:val="single" w:color="auto" w:sz="4" w:space="0"/>
              <w:right w:val="single" w:color="auto" w:sz="4" w:space="0"/>
            </w:tcBorders>
            <w:vAlign w:val="center"/>
          </w:tcPr>
          <w:p w14:paraId="79D483D4">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color w:val="auto"/>
                <w:kern w:val="0"/>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330" w:type="pct"/>
            <w:tcBorders>
              <w:top w:val="single" w:color="auto" w:sz="4" w:space="0"/>
              <w:left w:val="single" w:color="auto" w:sz="4" w:space="0"/>
              <w:bottom w:val="single" w:color="auto" w:sz="4" w:space="0"/>
              <w:right w:val="single" w:color="auto" w:sz="4" w:space="0"/>
            </w:tcBorders>
            <w:vAlign w:val="center"/>
          </w:tcPr>
          <w:p w14:paraId="294B12A9">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color w:val="auto"/>
                <w:kern w:val="0"/>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370" w:type="pct"/>
            <w:tcBorders>
              <w:top w:val="single" w:color="auto" w:sz="4" w:space="0"/>
              <w:left w:val="single" w:color="auto" w:sz="4" w:space="0"/>
              <w:bottom w:val="single" w:color="auto" w:sz="4" w:space="0"/>
              <w:right w:val="single" w:color="auto" w:sz="4" w:space="0"/>
            </w:tcBorders>
            <w:vAlign w:val="center"/>
          </w:tcPr>
          <w:p w14:paraId="4304BD3E">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color w:val="auto"/>
                <w:kern w:val="0"/>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4</w:t>
            </w:r>
          </w:p>
        </w:tc>
        <w:tc>
          <w:tcPr>
            <w:tcW w:w="322" w:type="pct"/>
            <w:tcBorders>
              <w:top w:val="single" w:color="auto" w:sz="4" w:space="0"/>
              <w:left w:val="single" w:color="auto" w:sz="4" w:space="0"/>
              <w:bottom w:val="single" w:color="auto" w:sz="4" w:space="0"/>
              <w:right w:val="single" w:color="auto" w:sz="4" w:space="0"/>
            </w:tcBorders>
          </w:tcPr>
          <w:p w14:paraId="084638A0">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564" w:type="pct"/>
            <w:tcBorders>
              <w:top w:val="single" w:color="auto" w:sz="4" w:space="0"/>
              <w:left w:val="single" w:color="auto" w:sz="4" w:space="0"/>
              <w:bottom w:val="single" w:color="auto" w:sz="4" w:space="0"/>
              <w:right w:val="single" w:color="auto" w:sz="4" w:space="0"/>
            </w:tcBorders>
          </w:tcPr>
          <w:p w14:paraId="2FF46ACB">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261" w:type="pct"/>
            <w:tcBorders>
              <w:top w:val="single" w:color="auto" w:sz="4" w:space="0"/>
              <w:left w:val="single" w:color="auto" w:sz="4" w:space="0"/>
              <w:bottom w:val="single" w:color="auto" w:sz="4" w:space="0"/>
              <w:right w:val="single" w:color="auto" w:sz="4" w:space="0"/>
            </w:tcBorders>
            <w:vAlign w:val="center"/>
          </w:tcPr>
          <w:p w14:paraId="6FA93F54">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r>
      <w:tr w14:paraId="1CC40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231" w:type="pct"/>
            <w:tcBorders>
              <w:top w:val="single" w:color="auto" w:sz="4" w:space="0"/>
              <w:left w:val="single" w:color="auto" w:sz="4" w:space="0"/>
              <w:bottom w:val="single" w:color="auto" w:sz="4" w:space="0"/>
              <w:right w:val="single" w:color="auto" w:sz="4" w:space="0"/>
            </w:tcBorders>
            <w:vAlign w:val="center"/>
          </w:tcPr>
          <w:p w14:paraId="03026A06">
            <w:pPr>
              <w:autoSpaceDE w:val="0"/>
              <w:autoSpaceDN w:val="0"/>
              <w:adjustRightInd w:val="0"/>
              <w:snapToGrid/>
              <w:spacing w:line="400" w:lineRule="exact"/>
              <w:jc w:val="center"/>
              <w:outlineLvl w:val="9"/>
              <w:rPr>
                <w:rFonts w:hint="default" w:ascii="宋体" w:hAnsi="宋体" w:eastAsia="宋体" w:cs="宋体"/>
                <w:color w:val="auto"/>
                <w:kern w:val="0"/>
                <w:szCs w:val="21"/>
                <w:highlight w:val="none"/>
                <w:lang w:val="en-US" w:eastAsia="zh-CN"/>
              </w:rPr>
            </w:pPr>
            <w:r>
              <w:rPr>
                <w:rFonts w:hint="eastAsia" w:cs="宋体"/>
                <w:color w:val="auto"/>
                <w:kern w:val="0"/>
                <w:szCs w:val="21"/>
                <w:highlight w:val="none"/>
                <w:lang w:val="en-US" w:eastAsia="zh-CN"/>
              </w:rPr>
              <w:t>60</w:t>
            </w:r>
          </w:p>
        </w:tc>
        <w:tc>
          <w:tcPr>
            <w:tcW w:w="838" w:type="pct"/>
            <w:tcBorders>
              <w:top w:val="single" w:color="auto" w:sz="4" w:space="0"/>
              <w:left w:val="single" w:color="auto" w:sz="4" w:space="0"/>
              <w:bottom w:val="single" w:color="auto" w:sz="4" w:space="0"/>
              <w:right w:val="single" w:color="auto" w:sz="4" w:space="0"/>
            </w:tcBorders>
            <w:vAlign w:val="center"/>
          </w:tcPr>
          <w:p w14:paraId="19232D59">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color w:val="auto"/>
                <w:kern w:val="0"/>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法兰止回阀</w:t>
            </w:r>
          </w:p>
        </w:tc>
        <w:tc>
          <w:tcPr>
            <w:tcW w:w="346" w:type="pct"/>
            <w:tcBorders>
              <w:top w:val="single" w:color="auto" w:sz="4" w:space="0"/>
              <w:left w:val="single" w:color="auto" w:sz="4" w:space="0"/>
              <w:bottom w:val="single" w:color="auto" w:sz="4" w:space="0"/>
              <w:right w:val="single" w:color="auto" w:sz="4" w:space="0"/>
            </w:tcBorders>
            <w:vAlign w:val="center"/>
          </w:tcPr>
          <w:p w14:paraId="1C5FF917">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395" w:type="pct"/>
            <w:tcBorders>
              <w:top w:val="single" w:color="auto" w:sz="4" w:space="0"/>
              <w:left w:val="single" w:color="auto" w:sz="4" w:space="0"/>
              <w:bottom w:val="single" w:color="auto" w:sz="4" w:space="0"/>
              <w:right w:val="single" w:color="auto" w:sz="4" w:space="0"/>
            </w:tcBorders>
            <w:vAlign w:val="center"/>
          </w:tcPr>
          <w:p w14:paraId="03B924FD">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669" w:type="pct"/>
            <w:tcBorders>
              <w:top w:val="single" w:color="auto" w:sz="4" w:space="0"/>
              <w:left w:val="single" w:color="auto" w:sz="4" w:space="0"/>
              <w:bottom w:val="single" w:color="auto" w:sz="4" w:space="0"/>
              <w:right w:val="single" w:color="auto" w:sz="4" w:space="0"/>
            </w:tcBorders>
            <w:vAlign w:val="center"/>
          </w:tcPr>
          <w:p w14:paraId="330CF223">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color w:val="auto"/>
                <w:kern w:val="0"/>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DN500</w:t>
            </w:r>
          </w:p>
        </w:tc>
        <w:tc>
          <w:tcPr>
            <w:tcW w:w="669" w:type="pct"/>
            <w:tcBorders>
              <w:top w:val="single" w:color="auto" w:sz="4" w:space="0"/>
              <w:left w:val="single" w:color="auto" w:sz="4" w:space="0"/>
              <w:bottom w:val="single" w:color="auto" w:sz="4" w:space="0"/>
              <w:right w:val="single" w:color="auto" w:sz="4" w:space="0"/>
            </w:tcBorders>
            <w:vAlign w:val="center"/>
          </w:tcPr>
          <w:p w14:paraId="39950B21">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color w:val="auto"/>
                <w:kern w:val="0"/>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330" w:type="pct"/>
            <w:tcBorders>
              <w:top w:val="single" w:color="auto" w:sz="4" w:space="0"/>
              <w:left w:val="single" w:color="auto" w:sz="4" w:space="0"/>
              <w:bottom w:val="single" w:color="auto" w:sz="4" w:space="0"/>
              <w:right w:val="single" w:color="auto" w:sz="4" w:space="0"/>
            </w:tcBorders>
            <w:vAlign w:val="center"/>
          </w:tcPr>
          <w:p w14:paraId="0E52CA8F">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color w:val="auto"/>
                <w:kern w:val="0"/>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370" w:type="pct"/>
            <w:tcBorders>
              <w:top w:val="single" w:color="auto" w:sz="4" w:space="0"/>
              <w:left w:val="single" w:color="auto" w:sz="4" w:space="0"/>
              <w:bottom w:val="single" w:color="auto" w:sz="4" w:space="0"/>
              <w:right w:val="single" w:color="auto" w:sz="4" w:space="0"/>
            </w:tcBorders>
            <w:vAlign w:val="center"/>
          </w:tcPr>
          <w:p w14:paraId="0FC327F3">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color w:val="auto"/>
                <w:kern w:val="0"/>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4</w:t>
            </w:r>
          </w:p>
        </w:tc>
        <w:tc>
          <w:tcPr>
            <w:tcW w:w="322" w:type="pct"/>
            <w:tcBorders>
              <w:top w:val="single" w:color="auto" w:sz="4" w:space="0"/>
              <w:left w:val="single" w:color="auto" w:sz="4" w:space="0"/>
              <w:bottom w:val="single" w:color="auto" w:sz="4" w:space="0"/>
              <w:right w:val="single" w:color="auto" w:sz="4" w:space="0"/>
            </w:tcBorders>
          </w:tcPr>
          <w:p w14:paraId="6FB93561">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564" w:type="pct"/>
            <w:tcBorders>
              <w:top w:val="single" w:color="auto" w:sz="4" w:space="0"/>
              <w:left w:val="single" w:color="auto" w:sz="4" w:space="0"/>
              <w:bottom w:val="single" w:color="auto" w:sz="4" w:space="0"/>
              <w:right w:val="single" w:color="auto" w:sz="4" w:space="0"/>
            </w:tcBorders>
          </w:tcPr>
          <w:p w14:paraId="5796E02B">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261" w:type="pct"/>
            <w:tcBorders>
              <w:top w:val="single" w:color="auto" w:sz="4" w:space="0"/>
              <w:left w:val="single" w:color="auto" w:sz="4" w:space="0"/>
              <w:bottom w:val="single" w:color="auto" w:sz="4" w:space="0"/>
              <w:right w:val="single" w:color="auto" w:sz="4" w:space="0"/>
            </w:tcBorders>
            <w:vAlign w:val="center"/>
          </w:tcPr>
          <w:p w14:paraId="58BFD30F">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r>
      <w:tr w14:paraId="3376F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231" w:type="pct"/>
            <w:tcBorders>
              <w:top w:val="single" w:color="auto" w:sz="4" w:space="0"/>
              <w:left w:val="single" w:color="auto" w:sz="4" w:space="0"/>
              <w:bottom w:val="single" w:color="auto" w:sz="4" w:space="0"/>
              <w:right w:val="single" w:color="auto" w:sz="4" w:space="0"/>
            </w:tcBorders>
            <w:vAlign w:val="center"/>
          </w:tcPr>
          <w:p w14:paraId="3FD2193B">
            <w:pPr>
              <w:autoSpaceDE w:val="0"/>
              <w:autoSpaceDN w:val="0"/>
              <w:adjustRightInd w:val="0"/>
              <w:snapToGrid/>
              <w:spacing w:line="400" w:lineRule="exact"/>
              <w:jc w:val="center"/>
              <w:outlineLvl w:val="9"/>
              <w:rPr>
                <w:rFonts w:hint="default" w:ascii="宋体" w:hAnsi="宋体" w:eastAsia="宋体" w:cs="宋体"/>
                <w:color w:val="auto"/>
                <w:kern w:val="0"/>
                <w:szCs w:val="21"/>
                <w:highlight w:val="none"/>
                <w:lang w:val="en-US" w:eastAsia="zh-CN"/>
              </w:rPr>
            </w:pPr>
            <w:r>
              <w:rPr>
                <w:rFonts w:hint="eastAsia" w:cs="宋体"/>
                <w:color w:val="auto"/>
                <w:kern w:val="0"/>
                <w:szCs w:val="21"/>
                <w:highlight w:val="none"/>
                <w:lang w:val="en-US" w:eastAsia="zh-CN"/>
              </w:rPr>
              <w:t>61</w:t>
            </w:r>
          </w:p>
        </w:tc>
        <w:tc>
          <w:tcPr>
            <w:tcW w:w="838" w:type="pct"/>
            <w:tcBorders>
              <w:top w:val="single" w:color="auto" w:sz="4" w:space="0"/>
              <w:left w:val="single" w:color="auto" w:sz="4" w:space="0"/>
              <w:bottom w:val="single" w:color="auto" w:sz="4" w:space="0"/>
              <w:right w:val="single" w:color="auto" w:sz="4" w:space="0"/>
            </w:tcBorders>
            <w:vAlign w:val="center"/>
          </w:tcPr>
          <w:p w14:paraId="07A3C8C9">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color w:val="auto"/>
                <w:kern w:val="0"/>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法兰止回阀</w:t>
            </w:r>
          </w:p>
        </w:tc>
        <w:tc>
          <w:tcPr>
            <w:tcW w:w="346" w:type="pct"/>
            <w:tcBorders>
              <w:top w:val="single" w:color="auto" w:sz="4" w:space="0"/>
              <w:left w:val="single" w:color="auto" w:sz="4" w:space="0"/>
              <w:bottom w:val="single" w:color="auto" w:sz="4" w:space="0"/>
              <w:right w:val="single" w:color="auto" w:sz="4" w:space="0"/>
            </w:tcBorders>
            <w:vAlign w:val="center"/>
          </w:tcPr>
          <w:p w14:paraId="15FEE119">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395" w:type="pct"/>
            <w:tcBorders>
              <w:top w:val="single" w:color="auto" w:sz="4" w:space="0"/>
              <w:left w:val="single" w:color="auto" w:sz="4" w:space="0"/>
              <w:bottom w:val="single" w:color="auto" w:sz="4" w:space="0"/>
              <w:right w:val="single" w:color="auto" w:sz="4" w:space="0"/>
            </w:tcBorders>
            <w:vAlign w:val="center"/>
          </w:tcPr>
          <w:p w14:paraId="1933A664">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669" w:type="pct"/>
            <w:tcBorders>
              <w:top w:val="single" w:color="auto" w:sz="4" w:space="0"/>
              <w:left w:val="single" w:color="auto" w:sz="4" w:space="0"/>
              <w:bottom w:val="single" w:color="auto" w:sz="4" w:space="0"/>
              <w:right w:val="single" w:color="auto" w:sz="4" w:space="0"/>
            </w:tcBorders>
            <w:vAlign w:val="center"/>
          </w:tcPr>
          <w:p w14:paraId="10D63FFA">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color w:val="auto"/>
                <w:kern w:val="0"/>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DN600</w:t>
            </w:r>
          </w:p>
        </w:tc>
        <w:tc>
          <w:tcPr>
            <w:tcW w:w="669" w:type="pct"/>
            <w:tcBorders>
              <w:top w:val="single" w:color="auto" w:sz="4" w:space="0"/>
              <w:left w:val="single" w:color="auto" w:sz="4" w:space="0"/>
              <w:bottom w:val="single" w:color="auto" w:sz="4" w:space="0"/>
              <w:right w:val="single" w:color="auto" w:sz="4" w:space="0"/>
            </w:tcBorders>
            <w:vAlign w:val="center"/>
          </w:tcPr>
          <w:p w14:paraId="77B67C66">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color w:val="auto"/>
                <w:kern w:val="0"/>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330" w:type="pct"/>
            <w:tcBorders>
              <w:top w:val="single" w:color="auto" w:sz="4" w:space="0"/>
              <w:left w:val="single" w:color="auto" w:sz="4" w:space="0"/>
              <w:bottom w:val="single" w:color="auto" w:sz="4" w:space="0"/>
              <w:right w:val="single" w:color="auto" w:sz="4" w:space="0"/>
            </w:tcBorders>
            <w:vAlign w:val="center"/>
          </w:tcPr>
          <w:p w14:paraId="65E59DA6">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color w:val="auto"/>
                <w:kern w:val="0"/>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370" w:type="pct"/>
            <w:tcBorders>
              <w:top w:val="single" w:color="auto" w:sz="4" w:space="0"/>
              <w:left w:val="single" w:color="auto" w:sz="4" w:space="0"/>
              <w:bottom w:val="single" w:color="auto" w:sz="4" w:space="0"/>
              <w:right w:val="single" w:color="auto" w:sz="4" w:space="0"/>
            </w:tcBorders>
            <w:vAlign w:val="center"/>
          </w:tcPr>
          <w:p w14:paraId="344F996C">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color w:val="auto"/>
                <w:kern w:val="0"/>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4</w:t>
            </w:r>
          </w:p>
        </w:tc>
        <w:tc>
          <w:tcPr>
            <w:tcW w:w="322" w:type="pct"/>
            <w:tcBorders>
              <w:top w:val="single" w:color="auto" w:sz="4" w:space="0"/>
              <w:left w:val="single" w:color="auto" w:sz="4" w:space="0"/>
              <w:bottom w:val="single" w:color="auto" w:sz="4" w:space="0"/>
              <w:right w:val="single" w:color="auto" w:sz="4" w:space="0"/>
            </w:tcBorders>
          </w:tcPr>
          <w:p w14:paraId="73E88F4D">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564" w:type="pct"/>
            <w:tcBorders>
              <w:top w:val="single" w:color="auto" w:sz="4" w:space="0"/>
              <w:left w:val="single" w:color="auto" w:sz="4" w:space="0"/>
              <w:bottom w:val="single" w:color="auto" w:sz="4" w:space="0"/>
              <w:right w:val="single" w:color="auto" w:sz="4" w:space="0"/>
            </w:tcBorders>
          </w:tcPr>
          <w:p w14:paraId="1857F716">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261" w:type="pct"/>
            <w:tcBorders>
              <w:top w:val="single" w:color="auto" w:sz="4" w:space="0"/>
              <w:left w:val="single" w:color="auto" w:sz="4" w:space="0"/>
              <w:bottom w:val="single" w:color="auto" w:sz="4" w:space="0"/>
              <w:right w:val="single" w:color="auto" w:sz="4" w:space="0"/>
            </w:tcBorders>
            <w:vAlign w:val="center"/>
          </w:tcPr>
          <w:p w14:paraId="2CADF626">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r>
      <w:tr w14:paraId="00DBA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231" w:type="pct"/>
            <w:tcBorders>
              <w:top w:val="single" w:color="auto" w:sz="4" w:space="0"/>
              <w:left w:val="single" w:color="auto" w:sz="4" w:space="0"/>
              <w:bottom w:val="single" w:color="auto" w:sz="4" w:space="0"/>
              <w:right w:val="single" w:color="auto" w:sz="4" w:space="0"/>
            </w:tcBorders>
            <w:vAlign w:val="center"/>
          </w:tcPr>
          <w:p w14:paraId="2BA5F465">
            <w:pPr>
              <w:autoSpaceDE w:val="0"/>
              <w:autoSpaceDN w:val="0"/>
              <w:adjustRightInd w:val="0"/>
              <w:snapToGrid/>
              <w:spacing w:line="400" w:lineRule="exact"/>
              <w:jc w:val="center"/>
              <w:outlineLvl w:val="9"/>
              <w:rPr>
                <w:rFonts w:hint="default" w:ascii="宋体" w:hAnsi="宋体" w:eastAsia="宋体" w:cs="宋体"/>
                <w:color w:val="auto"/>
                <w:kern w:val="0"/>
                <w:szCs w:val="21"/>
                <w:highlight w:val="none"/>
                <w:lang w:val="en-US" w:eastAsia="zh-CN"/>
              </w:rPr>
            </w:pPr>
            <w:r>
              <w:rPr>
                <w:rFonts w:hint="eastAsia" w:cs="宋体"/>
                <w:color w:val="auto"/>
                <w:kern w:val="0"/>
                <w:szCs w:val="21"/>
                <w:highlight w:val="none"/>
                <w:lang w:val="en-US" w:eastAsia="zh-CN"/>
              </w:rPr>
              <w:t>62</w:t>
            </w:r>
          </w:p>
        </w:tc>
        <w:tc>
          <w:tcPr>
            <w:tcW w:w="838" w:type="pct"/>
            <w:tcBorders>
              <w:top w:val="single" w:color="auto" w:sz="4" w:space="0"/>
              <w:left w:val="single" w:color="auto" w:sz="4" w:space="0"/>
              <w:bottom w:val="single" w:color="auto" w:sz="4" w:space="0"/>
              <w:right w:val="single" w:color="auto" w:sz="4" w:space="0"/>
            </w:tcBorders>
            <w:vAlign w:val="center"/>
          </w:tcPr>
          <w:p w14:paraId="6044FB01">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color w:val="auto"/>
                <w:kern w:val="0"/>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复合式排气阀</w:t>
            </w:r>
          </w:p>
        </w:tc>
        <w:tc>
          <w:tcPr>
            <w:tcW w:w="346" w:type="pct"/>
            <w:tcBorders>
              <w:top w:val="single" w:color="auto" w:sz="4" w:space="0"/>
              <w:left w:val="single" w:color="auto" w:sz="4" w:space="0"/>
              <w:bottom w:val="single" w:color="auto" w:sz="4" w:space="0"/>
              <w:right w:val="single" w:color="auto" w:sz="4" w:space="0"/>
            </w:tcBorders>
            <w:vAlign w:val="center"/>
          </w:tcPr>
          <w:p w14:paraId="4DC85704">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395" w:type="pct"/>
            <w:tcBorders>
              <w:top w:val="single" w:color="auto" w:sz="4" w:space="0"/>
              <w:left w:val="single" w:color="auto" w:sz="4" w:space="0"/>
              <w:bottom w:val="single" w:color="auto" w:sz="4" w:space="0"/>
              <w:right w:val="single" w:color="auto" w:sz="4" w:space="0"/>
            </w:tcBorders>
            <w:vAlign w:val="center"/>
          </w:tcPr>
          <w:p w14:paraId="78EF65C0">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669" w:type="pct"/>
            <w:tcBorders>
              <w:top w:val="single" w:color="auto" w:sz="4" w:space="0"/>
              <w:left w:val="single" w:color="auto" w:sz="4" w:space="0"/>
              <w:bottom w:val="single" w:color="auto" w:sz="4" w:space="0"/>
              <w:right w:val="single" w:color="auto" w:sz="4" w:space="0"/>
            </w:tcBorders>
            <w:vAlign w:val="center"/>
          </w:tcPr>
          <w:p w14:paraId="5093F1A1">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color w:val="auto"/>
                <w:kern w:val="0"/>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DN50</w:t>
            </w:r>
          </w:p>
        </w:tc>
        <w:tc>
          <w:tcPr>
            <w:tcW w:w="669" w:type="pct"/>
            <w:tcBorders>
              <w:top w:val="single" w:color="auto" w:sz="4" w:space="0"/>
              <w:left w:val="single" w:color="auto" w:sz="4" w:space="0"/>
              <w:bottom w:val="single" w:color="auto" w:sz="4" w:space="0"/>
              <w:right w:val="single" w:color="auto" w:sz="4" w:space="0"/>
            </w:tcBorders>
            <w:vAlign w:val="center"/>
          </w:tcPr>
          <w:p w14:paraId="45C5CF2F">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color w:val="auto"/>
                <w:kern w:val="0"/>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330" w:type="pct"/>
            <w:tcBorders>
              <w:top w:val="single" w:color="auto" w:sz="4" w:space="0"/>
              <w:left w:val="single" w:color="auto" w:sz="4" w:space="0"/>
              <w:bottom w:val="single" w:color="auto" w:sz="4" w:space="0"/>
              <w:right w:val="single" w:color="auto" w:sz="4" w:space="0"/>
            </w:tcBorders>
            <w:vAlign w:val="center"/>
          </w:tcPr>
          <w:p w14:paraId="4A0EF545">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color w:val="auto"/>
                <w:kern w:val="0"/>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370" w:type="pct"/>
            <w:tcBorders>
              <w:top w:val="single" w:color="auto" w:sz="4" w:space="0"/>
              <w:left w:val="single" w:color="auto" w:sz="4" w:space="0"/>
              <w:bottom w:val="single" w:color="auto" w:sz="4" w:space="0"/>
              <w:right w:val="single" w:color="auto" w:sz="4" w:space="0"/>
            </w:tcBorders>
            <w:vAlign w:val="center"/>
          </w:tcPr>
          <w:p w14:paraId="32175492">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color w:val="auto"/>
                <w:kern w:val="0"/>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25</w:t>
            </w:r>
          </w:p>
        </w:tc>
        <w:tc>
          <w:tcPr>
            <w:tcW w:w="322" w:type="pct"/>
            <w:tcBorders>
              <w:top w:val="single" w:color="auto" w:sz="4" w:space="0"/>
              <w:left w:val="single" w:color="auto" w:sz="4" w:space="0"/>
              <w:bottom w:val="single" w:color="auto" w:sz="4" w:space="0"/>
              <w:right w:val="single" w:color="auto" w:sz="4" w:space="0"/>
            </w:tcBorders>
          </w:tcPr>
          <w:p w14:paraId="4428D064">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564" w:type="pct"/>
            <w:tcBorders>
              <w:top w:val="single" w:color="auto" w:sz="4" w:space="0"/>
              <w:left w:val="single" w:color="auto" w:sz="4" w:space="0"/>
              <w:bottom w:val="single" w:color="auto" w:sz="4" w:space="0"/>
              <w:right w:val="single" w:color="auto" w:sz="4" w:space="0"/>
            </w:tcBorders>
          </w:tcPr>
          <w:p w14:paraId="7A68107A">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261" w:type="pct"/>
            <w:tcBorders>
              <w:top w:val="single" w:color="auto" w:sz="4" w:space="0"/>
              <w:left w:val="single" w:color="auto" w:sz="4" w:space="0"/>
              <w:bottom w:val="single" w:color="auto" w:sz="4" w:space="0"/>
              <w:right w:val="single" w:color="auto" w:sz="4" w:space="0"/>
            </w:tcBorders>
            <w:vAlign w:val="center"/>
          </w:tcPr>
          <w:p w14:paraId="1739C1F5">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r>
      <w:tr w14:paraId="589BD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231" w:type="pct"/>
            <w:tcBorders>
              <w:top w:val="single" w:color="auto" w:sz="4" w:space="0"/>
              <w:left w:val="single" w:color="auto" w:sz="4" w:space="0"/>
              <w:bottom w:val="single" w:color="auto" w:sz="4" w:space="0"/>
              <w:right w:val="single" w:color="auto" w:sz="4" w:space="0"/>
            </w:tcBorders>
            <w:vAlign w:val="center"/>
          </w:tcPr>
          <w:p w14:paraId="164D41BB">
            <w:pPr>
              <w:autoSpaceDE w:val="0"/>
              <w:autoSpaceDN w:val="0"/>
              <w:adjustRightInd w:val="0"/>
              <w:snapToGrid/>
              <w:spacing w:line="400" w:lineRule="exact"/>
              <w:jc w:val="center"/>
              <w:outlineLvl w:val="9"/>
              <w:rPr>
                <w:rFonts w:hint="default" w:ascii="宋体" w:hAnsi="宋体" w:eastAsia="宋体" w:cs="宋体"/>
                <w:color w:val="auto"/>
                <w:kern w:val="0"/>
                <w:szCs w:val="21"/>
                <w:highlight w:val="none"/>
                <w:lang w:val="en-US" w:eastAsia="zh-CN"/>
              </w:rPr>
            </w:pPr>
            <w:r>
              <w:rPr>
                <w:rFonts w:hint="eastAsia" w:cs="宋体"/>
                <w:color w:val="auto"/>
                <w:kern w:val="0"/>
                <w:szCs w:val="21"/>
                <w:highlight w:val="none"/>
                <w:lang w:val="en-US" w:eastAsia="zh-CN"/>
              </w:rPr>
              <w:t>63</w:t>
            </w:r>
          </w:p>
        </w:tc>
        <w:tc>
          <w:tcPr>
            <w:tcW w:w="838" w:type="pct"/>
            <w:tcBorders>
              <w:top w:val="single" w:color="auto" w:sz="4" w:space="0"/>
              <w:left w:val="single" w:color="auto" w:sz="4" w:space="0"/>
              <w:bottom w:val="single" w:color="auto" w:sz="4" w:space="0"/>
              <w:right w:val="single" w:color="auto" w:sz="4" w:space="0"/>
            </w:tcBorders>
            <w:vAlign w:val="center"/>
          </w:tcPr>
          <w:p w14:paraId="1E667F06">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color w:val="auto"/>
                <w:kern w:val="0"/>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复合式排气阀</w:t>
            </w:r>
          </w:p>
        </w:tc>
        <w:tc>
          <w:tcPr>
            <w:tcW w:w="346" w:type="pct"/>
            <w:tcBorders>
              <w:top w:val="single" w:color="auto" w:sz="4" w:space="0"/>
              <w:left w:val="single" w:color="auto" w:sz="4" w:space="0"/>
              <w:bottom w:val="single" w:color="auto" w:sz="4" w:space="0"/>
              <w:right w:val="single" w:color="auto" w:sz="4" w:space="0"/>
            </w:tcBorders>
            <w:vAlign w:val="center"/>
          </w:tcPr>
          <w:p w14:paraId="3E35265C">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395" w:type="pct"/>
            <w:tcBorders>
              <w:top w:val="single" w:color="auto" w:sz="4" w:space="0"/>
              <w:left w:val="single" w:color="auto" w:sz="4" w:space="0"/>
              <w:bottom w:val="single" w:color="auto" w:sz="4" w:space="0"/>
              <w:right w:val="single" w:color="auto" w:sz="4" w:space="0"/>
            </w:tcBorders>
            <w:vAlign w:val="center"/>
          </w:tcPr>
          <w:p w14:paraId="21F4ABB9">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669" w:type="pct"/>
            <w:tcBorders>
              <w:top w:val="single" w:color="auto" w:sz="4" w:space="0"/>
              <w:left w:val="single" w:color="auto" w:sz="4" w:space="0"/>
              <w:bottom w:val="single" w:color="auto" w:sz="4" w:space="0"/>
              <w:right w:val="single" w:color="auto" w:sz="4" w:space="0"/>
            </w:tcBorders>
            <w:vAlign w:val="center"/>
          </w:tcPr>
          <w:p w14:paraId="04C54374">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color w:val="auto"/>
                <w:kern w:val="0"/>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DN80</w:t>
            </w:r>
          </w:p>
        </w:tc>
        <w:tc>
          <w:tcPr>
            <w:tcW w:w="669" w:type="pct"/>
            <w:tcBorders>
              <w:top w:val="single" w:color="auto" w:sz="4" w:space="0"/>
              <w:left w:val="single" w:color="auto" w:sz="4" w:space="0"/>
              <w:bottom w:val="single" w:color="auto" w:sz="4" w:space="0"/>
              <w:right w:val="single" w:color="auto" w:sz="4" w:space="0"/>
            </w:tcBorders>
            <w:vAlign w:val="center"/>
          </w:tcPr>
          <w:p w14:paraId="19DC9541">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color w:val="auto"/>
                <w:kern w:val="0"/>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330" w:type="pct"/>
            <w:tcBorders>
              <w:top w:val="single" w:color="auto" w:sz="4" w:space="0"/>
              <w:left w:val="single" w:color="auto" w:sz="4" w:space="0"/>
              <w:bottom w:val="single" w:color="auto" w:sz="4" w:space="0"/>
              <w:right w:val="single" w:color="auto" w:sz="4" w:space="0"/>
            </w:tcBorders>
            <w:vAlign w:val="center"/>
          </w:tcPr>
          <w:p w14:paraId="25719682">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color w:val="auto"/>
                <w:kern w:val="0"/>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370" w:type="pct"/>
            <w:tcBorders>
              <w:top w:val="single" w:color="auto" w:sz="4" w:space="0"/>
              <w:left w:val="single" w:color="auto" w:sz="4" w:space="0"/>
              <w:bottom w:val="single" w:color="auto" w:sz="4" w:space="0"/>
              <w:right w:val="single" w:color="auto" w:sz="4" w:space="0"/>
            </w:tcBorders>
            <w:vAlign w:val="center"/>
          </w:tcPr>
          <w:p w14:paraId="3F55831C">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color w:val="auto"/>
                <w:kern w:val="0"/>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12</w:t>
            </w:r>
          </w:p>
        </w:tc>
        <w:tc>
          <w:tcPr>
            <w:tcW w:w="322" w:type="pct"/>
            <w:tcBorders>
              <w:top w:val="single" w:color="auto" w:sz="4" w:space="0"/>
              <w:left w:val="single" w:color="auto" w:sz="4" w:space="0"/>
              <w:bottom w:val="single" w:color="auto" w:sz="4" w:space="0"/>
              <w:right w:val="single" w:color="auto" w:sz="4" w:space="0"/>
            </w:tcBorders>
          </w:tcPr>
          <w:p w14:paraId="69509269">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564" w:type="pct"/>
            <w:tcBorders>
              <w:top w:val="single" w:color="auto" w:sz="4" w:space="0"/>
              <w:left w:val="single" w:color="auto" w:sz="4" w:space="0"/>
              <w:bottom w:val="single" w:color="auto" w:sz="4" w:space="0"/>
              <w:right w:val="single" w:color="auto" w:sz="4" w:space="0"/>
            </w:tcBorders>
          </w:tcPr>
          <w:p w14:paraId="5A9DF6A1">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261" w:type="pct"/>
            <w:tcBorders>
              <w:top w:val="single" w:color="auto" w:sz="4" w:space="0"/>
              <w:left w:val="single" w:color="auto" w:sz="4" w:space="0"/>
              <w:bottom w:val="single" w:color="auto" w:sz="4" w:space="0"/>
              <w:right w:val="single" w:color="auto" w:sz="4" w:space="0"/>
            </w:tcBorders>
            <w:vAlign w:val="center"/>
          </w:tcPr>
          <w:p w14:paraId="25F3E1E6">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r>
      <w:tr w14:paraId="2C3E7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231" w:type="pct"/>
            <w:tcBorders>
              <w:top w:val="single" w:color="auto" w:sz="4" w:space="0"/>
              <w:left w:val="single" w:color="auto" w:sz="4" w:space="0"/>
              <w:bottom w:val="single" w:color="auto" w:sz="4" w:space="0"/>
              <w:right w:val="single" w:color="auto" w:sz="4" w:space="0"/>
            </w:tcBorders>
            <w:vAlign w:val="center"/>
          </w:tcPr>
          <w:p w14:paraId="5B57C4B3">
            <w:pPr>
              <w:autoSpaceDE w:val="0"/>
              <w:autoSpaceDN w:val="0"/>
              <w:adjustRightInd w:val="0"/>
              <w:snapToGrid/>
              <w:spacing w:line="400" w:lineRule="exact"/>
              <w:jc w:val="center"/>
              <w:outlineLvl w:val="9"/>
              <w:rPr>
                <w:rFonts w:hint="default" w:ascii="宋体" w:hAnsi="宋体" w:eastAsia="宋体" w:cs="宋体"/>
                <w:color w:val="auto"/>
                <w:kern w:val="0"/>
                <w:szCs w:val="21"/>
                <w:highlight w:val="none"/>
                <w:lang w:val="en-US" w:eastAsia="zh-CN"/>
              </w:rPr>
            </w:pPr>
            <w:r>
              <w:rPr>
                <w:rFonts w:hint="eastAsia" w:cs="宋体"/>
                <w:color w:val="auto"/>
                <w:kern w:val="0"/>
                <w:szCs w:val="21"/>
                <w:highlight w:val="none"/>
                <w:lang w:val="en-US" w:eastAsia="zh-CN"/>
              </w:rPr>
              <w:t>64</w:t>
            </w:r>
          </w:p>
        </w:tc>
        <w:tc>
          <w:tcPr>
            <w:tcW w:w="838" w:type="pct"/>
            <w:tcBorders>
              <w:top w:val="single" w:color="auto" w:sz="4" w:space="0"/>
              <w:left w:val="single" w:color="auto" w:sz="4" w:space="0"/>
              <w:bottom w:val="single" w:color="auto" w:sz="4" w:space="0"/>
              <w:right w:val="single" w:color="auto" w:sz="4" w:space="0"/>
            </w:tcBorders>
            <w:vAlign w:val="center"/>
          </w:tcPr>
          <w:p w14:paraId="6AD7DF28">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color w:val="auto"/>
                <w:kern w:val="0"/>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复合式排气阀</w:t>
            </w:r>
          </w:p>
        </w:tc>
        <w:tc>
          <w:tcPr>
            <w:tcW w:w="346" w:type="pct"/>
            <w:tcBorders>
              <w:top w:val="single" w:color="auto" w:sz="4" w:space="0"/>
              <w:left w:val="single" w:color="auto" w:sz="4" w:space="0"/>
              <w:bottom w:val="single" w:color="auto" w:sz="4" w:space="0"/>
              <w:right w:val="single" w:color="auto" w:sz="4" w:space="0"/>
            </w:tcBorders>
            <w:vAlign w:val="center"/>
          </w:tcPr>
          <w:p w14:paraId="6BDEC0DF">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395" w:type="pct"/>
            <w:tcBorders>
              <w:top w:val="single" w:color="auto" w:sz="4" w:space="0"/>
              <w:left w:val="single" w:color="auto" w:sz="4" w:space="0"/>
              <w:bottom w:val="single" w:color="auto" w:sz="4" w:space="0"/>
              <w:right w:val="single" w:color="auto" w:sz="4" w:space="0"/>
            </w:tcBorders>
            <w:vAlign w:val="center"/>
          </w:tcPr>
          <w:p w14:paraId="53B51C4C">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669" w:type="pct"/>
            <w:tcBorders>
              <w:top w:val="single" w:color="auto" w:sz="4" w:space="0"/>
              <w:left w:val="single" w:color="auto" w:sz="4" w:space="0"/>
              <w:bottom w:val="single" w:color="auto" w:sz="4" w:space="0"/>
              <w:right w:val="single" w:color="auto" w:sz="4" w:space="0"/>
            </w:tcBorders>
            <w:vAlign w:val="center"/>
          </w:tcPr>
          <w:p w14:paraId="67E2157A">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color w:val="auto"/>
                <w:kern w:val="0"/>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DN100</w:t>
            </w:r>
          </w:p>
        </w:tc>
        <w:tc>
          <w:tcPr>
            <w:tcW w:w="669" w:type="pct"/>
            <w:tcBorders>
              <w:top w:val="single" w:color="auto" w:sz="4" w:space="0"/>
              <w:left w:val="single" w:color="auto" w:sz="4" w:space="0"/>
              <w:bottom w:val="single" w:color="auto" w:sz="4" w:space="0"/>
              <w:right w:val="single" w:color="auto" w:sz="4" w:space="0"/>
            </w:tcBorders>
            <w:vAlign w:val="center"/>
          </w:tcPr>
          <w:p w14:paraId="1C2CEBFC">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color w:val="auto"/>
                <w:kern w:val="0"/>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330" w:type="pct"/>
            <w:tcBorders>
              <w:top w:val="single" w:color="auto" w:sz="4" w:space="0"/>
              <w:left w:val="single" w:color="auto" w:sz="4" w:space="0"/>
              <w:bottom w:val="single" w:color="auto" w:sz="4" w:space="0"/>
              <w:right w:val="single" w:color="auto" w:sz="4" w:space="0"/>
            </w:tcBorders>
            <w:vAlign w:val="center"/>
          </w:tcPr>
          <w:p w14:paraId="113F3706">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color w:val="auto"/>
                <w:kern w:val="0"/>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370" w:type="pct"/>
            <w:tcBorders>
              <w:top w:val="single" w:color="auto" w:sz="4" w:space="0"/>
              <w:left w:val="single" w:color="auto" w:sz="4" w:space="0"/>
              <w:bottom w:val="single" w:color="auto" w:sz="4" w:space="0"/>
              <w:right w:val="single" w:color="auto" w:sz="4" w:space="0"/>
            </w:tcBorders>
            <w:vAlign w:val="center"/>
          </w:tcPr>
          <w:p w14:paraId="215B27EE">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color w:val="auto"/>
                <w:kern w:val="0"/>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6</w:t>
            </w:r>
          </w:p>
        </w:tc>
        <w:tc>
          <w:tcPr>
            <w:tcW w:w="322" w:type="pct"/>
            <w:tcBorders>
              <w:top w:val="single" w:color="auto" w:sz="4" w:space="0"/>
              <w:left w:val="single" w:color="auto" w:sz="4" w:space="0"/>
              <w:bottom w:val="single" w:color="auto" w:sz="4" w:space="0"/>
              <w:right w:val="single" w:color="auto" w:sz="4" w:space="0"/>
            </w:tcBorders>
          </w:tcPr>
          <w:p w14:paraId="4B5CE895">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564" w:type="pct"/>
            <w:tcBorders>
              <w:top w:val="single" w:color="auto" w:sz="4" w:space="0"/>
              <w:left w:val="single" w:color="auto" w:sz="4" w:space="0"/>
              <w:bottom w:val="single" w:color="auto" w:sz="4" w:space="0"/>
              <w:right w:val="single" w:color="auto" w:sz="4" w:space="0"/>
            </w:tcBorders>
          </w:tcPr>
          <w:p w14:paraId="602350EC">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261" w:type="pct"/>
            <w:tcBorders>
              <w:top w:val="single" w:color="auto" w:sz="4" w:space="0"/>
              <w:left w:val="single" w:color="auto" w:sz="4" w:space="0"/>
              <w:bottom w:val="single" w:color="auto" w:sz="4" w:space="0"/>
              <w:right w:val="single" w:color="auto" w:sz="4" w:space="0"/>
            </w:tcBorders>
            <w:vAlign w:val="center"/>
          </w:tcPr>
          <w:p w14:paraId="465236CA">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r>
      <w:tr w14:paraId="7CE96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231" w:type="pct"/>
            <w:tcBorders>
              <w:top w:val="single" w:color="auto" w:sz="4" w:space="0"/>
              <w:left w:val="single" w:color="auto" w:sz="4" w:space="0"/>
              <w:bottom w:val="single" w:color="auto" w:sz="4" w:space="0"/>
              <w:right w:val="single" w:color="auto" w:sz="4" w:space="0"/>
            </w:tcBorders>
            <w:vAlign w:val="center"/>
          </w:tcPr>
          <w:p w14:paraId="7B058658">
            <w:pPr>
              <w:autoSpaceDE w:val="0"/>
              <w:autoSpaceDN w:val="0"/>
              <w:adjustRightInd w:val="0"/>
              <w:snapToGrid/>
              <w:spacing w:line="400" w:lineRule="exact"/>
              <w:jc w:val="center"/>
              <w:outlineLvl w:val="9"/>
              <w:rPr>
                <w:rFonts w:hint="default" w:ascii="宋体" w:hAnsi="宋体" w:eastAsia="宋体" w:cs="宋体"/>
                <w:color w:val="auto"/>
                <w:kern w:val="0"/>
                <w:szCs w:val="21"/>
                <w:highlight w:val="none"/>
                <w:lang w:val="en-US" w:eastAsia="zh-CN"/>
              </w:rPr>
            </w:pPr>
            <w:r>
              <w:rPr>
                <w:rFonts w:hint="eastAsia" w:cs="宋体"/>
                <w:color w:val="auto"/>
                <w:kern w:val="0"/>
                <w:szCs w:val="21"/>
                <w:highlight w:val="none"/>
                <w:lang w:val="en-US" w:eastAsia="zh-CN"/>
              </w:rPr>
              <w:t>65</w:t>
            </w:r>
          </w:p>
        </w:tc>
        <w:tc>
          <w:tcPr>
            <w:tcW w:w="838" w:type="pct"/>
            <w:tcBorders>
              <w:top w:val="single" w:color="auto" w:sz="4" w:space="0"/>
              <w:left w:val="single" w:color="auto" w:sz="4" w:space="0"/>
              <w:bottom w:val="single" w:color="auto" w:sz="4" w:space="0"/>
              <w:right w:val="single" w:color="auto" w:sz="4" w:space="0"/>
            </w:tcBorders>
            <w:vAlign w:val="center"/>
          </w:tcPr>
          <w:p w14:paraId="7145C1C3">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color w:val="auto"/>
                <w:kern w:val="0"/>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复合式排气阀</w:t>
            </w:r>
          </w:p>
        </w:tc>
        <w:tc>
          <w:tcPr>
            <w:tcW w:w="346" w:type="pct"/>
            <w:tcBorders>
              <w:top w:val="single" w:color="auto" w:sz="4" w:space="0"/>
              <w:left w:val="single" w:color="auto" w:sz="4" w:space="0"/>
              <w:bottom w:val="single" w:color="auto" w:sz="4" w:space="0"/>
              <w:right w:val="single" w:color="auto" w:sz="4" w:space="0"/>
            </w:tcBorders>
            <w:vAlign w:val="center"/>
          </w:tcPr>
          <w:p w14:paraId="020DEF7A">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395" w:type="pct"/>
            <w:tcBorders>
              <w:top w:val="single" w:color="auto" w:sz="4" w:space="0"/>
              <w:left w:val="single" w:color="auto" w:sz="4" w:space="0"/>
              <w:bottom w:val="single" w:color="auto" w:sz="4" w:space="0"/>
              <w:right w:val="single" w:color="auto" w:sz="4" w:space="0"/>
            </w:tcBorders>
            <w:vAlign w:val="center"/>
          </w:tcPr>
          <w:p w14:paraId="26FA41AD">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669" w:type="pct"/>
            <w:tcBorders>
              <w:top w:val="single" w:color="auto" w:sz="4" w:space="0"/>
              <w:left w:val="single" w:color="auto" w:sz="4" w:space="0"/>
              <w:bottom w:val="single" w:color="auto" w:sz="4" w:space="0"/>
              <w:right w:val="single" w:color="auto" w:sz="4" w:space="0"/>
            </w:tcBorders>
            <w:vAlign w:val="center"/>
          </w:tcPr>
          <w:p w14:paraId="65B2EE82">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color w:val="auto"/>
                <w:kern w:val="0"/>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DN150</w:t>
            </w:r>
          </w:p>
        </w:tc>
        <w:tc>
          <w:tcPr>
            <w:tcW w:w="669" w:type="pct"/>
            <w:tcBorders>
              <w:top w:val="single" w:color="auto" w:sz="4" w:space="0"/>
              <w:left w:val="single" w:color="auto" w:sz="4" w:space="0"/>
              <w:bottom w:val="single" w:color="auto" w:sz="4" w:space="0"/>
              <w:right w:val="single" w:color="auto" w:sz="4" w:space="0"/>
            </w:tcBorders>
            <w:vAlign w:val="center"/>
          </w:tcPr>
          <w:p w14:paraId="10780DDF">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color w:val="auto"/>
                <w:kern w:val="0"/>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330" w:type="pct"/>
            <w:tcBorders>
              <w:top w:val="single" w:color="auto" w:sz="4" w:space="0"/>
              <w:left w:val="single" w:color="auto" w:sz="4" w:space="0"/>
              <w:bottom w:val="single" w:color="auto" w:sz="4" w:space="0"/>
              <w:right w:val="single" w:color="auto" w:sz="4" w:space="0"/>
            </w:tcBorders>
            <w:vAlign w:val="center"/>
          </w:tcPr>
          <w:p w14:paraId="46450D0D">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color w:val="auto"/>
                <w:kern w:val="0"/>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370" w:type="pct"/>
            <w:tcBorders>
              <w:top w:val="single" w:color="auto" w:sz="4" w:space="0"/>
              <w:left w:val="single" w:color="auto" w:sz="4" w:space="0"/>
              <w:bottom w:val="single" w:color="auto" w:sz="4" w:space="0"/>
              <w:right w:val="single" w:color="auto" w:sz="4" w:space="0"/>
            </w:tcBorders>
            <w:vAlign w:val="center"/>
          </w:tcPr>
          <w:p w14:paraId="23D57D76">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color w:val="auto"/>
                <w:kern w:val="0"/>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12</w:t>
            </w:r>
          </w:p>
        </w:tc>
        <w:tc>
          <w:tcPr>
            <w:tcW w:w="322" w:type="pct"/>
            <w:tcBorders>
              <w:top w:val="single" w:color="auto" w:sz="4" w:space="0"/>
              <w:left w:val="single" w:color="auto" w:sz="4" w:space="0"/>
              <w:bottom w:val="single" w:color="auto" w:sz="4" w:space="0"/>
              <w:right w:val="single" w:color="auto" w:sz="4" w:space="0"/>
            </w:tcBorders>
          </w:tcPr>
          <w:p w14:paraId="5E3E6DEE">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564" w:type="pct"/>
            <w:tcBorders>
              <w:top w:val="single" w:color="auto" w:sz="4" w:space="0"/>
              <w:left w:val="single" w:color="auto" w:sz="4" w:space="0"/>
              <w:bottom w:val="single" w:color="auto" w:sz="4" w:space="0"/>
              <w:right w:val="single" w:color="auto" w:sz="4" w:space="0"/>
            </w:tcBorders>
          </w:tcPr>
          <w:p w14:paraId="5B74F498">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261" w:type="pct"/>
            <w:tcBorders>
              <w:top w:val="single" w:color="auto" w:sz="4" w:space="0"/>
              <w:left w:val="single" w:color="auto" w:sz="4" w:space="0"/>
              <w:bottom w:val="single" w:color="auto" w:sz="4" w:space="0"/>
              <w:right w:val="single" w:color="auto" w:sz="4" w:space="0"/>
            </w:tcBorders>
            <w:vAlign w:val="center"/>
          </w:tcPr>
          <w:p w14:paraId="7F12FA93">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r>
      <w:tr w14:paraId="43E35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231" w:type="pct"/>
            <w:tcBorders>
              <w:top w:val="single" w:color="auto" w:sz="4" w:space="0"/>
              <w:left w:val="single" w:color="auto" w:sz="4" w:space="0"/>
              <w:bottom w:val="single" w:color="auto" w:sz="4" w:space="0"/>
              <w:right w:val="single" w:color="auto" w:sz="4" w:space="0"/>
            </w:tcBorders>
            <w:vAlign w:val="center"/>
          </w:tcPr>
          <w:p w14:paraId="604D9F73">
            <w:pPr>
              <w:autoSpaceDE w:val="0"/>
              <w:autoSpaceDN w:val="0"/>
              <w:adjustRightInd w:val="0"/>
              <w:snapToGrid/>
              <w:spacing w:line="400" w:lineRule="exact"/>
              <w:jc w:val="center"/>
              <w:outlineLvl w:val="9"/>
              <w:rPr>
                <w:rFonts w:hint="default" w:ascii="宋体" w:hAnsi="宋体" w:eastAsia="宋体" w:cs="宋体"/>
                <w:color w:val="auto"/>
                <w:kern w:val="0"/>
                <w:szCs w:val="21"/>
                <w:highlight w:val="none"/>
                <w:lang w:val="en-US" w:eastAsia="zh-CN"/>
              </w:rPr>
            </w:pPr>
            <w:r>
              <w:rPr>
                <w:rFonts w:hint="eastAsia" w:cs="宋体"/>
                <w:color w:val="auto"/>
                <w:kern w:val="0"/>
                <w:szCs w:val="21"/>
                <w:highlight w:val="none"/>
                <w:lang w:val="en-US" w:eastAsia="zh-CN"/>
              </w:rPr>
              <w:t>66</w:t>
            </w:r>
          </w:p>
        </w:tc>
        <w:tc>
          <w:tcPr>
            <w:tcW w:w="838" w:type="pct"/>
            <w:tcBorders>
              <w:top w:val="single" w:color="auto" w:sz="4" w:space="0"/>
              <w:left w:val="single" w:color="auto" w:sz="4" w:space="0"/>
              <w:bottom w:val="single" w:color="auto" w:sz="4" w:space="0"/>
              <w:right w:val="single" w:color="auto" w:sz="4" w:space="0"/>
            </w:tcBorders>
            <w:vAlign w:val="center"/>
          </w:tcPr>
          <w:p w14:paraId="646736A5">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color w:val="auto"/>
                <w:kern w:val="0"/>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复合式排气阀</w:t>
            </w:r>
          </w:p>
        </w:tc>
        <w:tc>
          <w:tcPr>
            <w:tcW w:w="346" w:type="pct"/>
            <w:tcBorders>
              <w:top w:val="single" w:color="auto" w:sz="4" w:space="0"/>
              <w:left w:val="single" w:color="auto" w:sz="4" w:space="0"/>
              <w:bottom w:val="single" w:color="auto" w:sz="4" w:space="0"/>
              <w:right w:val="single" w:color="auto" w:sz="4" w:space="0"/>
            </w:tcBorders>
            <w:vAlign w:val="center"/>
          </w:tcPr>
          <w:p w14:paraId="434D6BC9">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395" w:type="pct"/>
            <w:tcBorders>
              <w:top w:val="single" w:color="auto" w:sz="4" w:space="0"/>
              <w:left w:val="single" w:color="auto" w:sz="4" w:space="0"/>
              <w:bottom w:val="single" w:color="auto" w:sz="4" w:space="0"/>
              <w:right w:val="single" w:color="auto" w:sz="4" w:space="0"/>
            </w:tcBorders>
            <w:vAlign w:val="center"/>
          </w:tcPr>
          <w:p w14:paraId="21668BCA">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669" w:type="pct"/>
            <w:tcBorders>
              <w:top w:val="single" w:color="auto" w:sz="4" w:space="0"/>
              <w:left w:val="single" w:color="auto" w:sz="4" w:space="0"/>
              <w:bottom w:val="single" w:color="auto" w:sz="4" w:space="0"/>
              <w:right w:val="single" w:color="auto" w:sz="4" w:space="0"/>
            </w:tcBorders>
            <w:vAlign w:val="center"/>
          </w:tcPr>
          <w:p w14:paraId="67373947">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color w:val="auto"/>
                <w:kern w:val="0"/>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DN200</w:t>
            </w:r>
          </w:p>
        </w:tc>
        <w:tc>
          <w:tcPr>
            <w:tcW w:w="669" w:type="pct"/>
            <w:tcBorders>
              <w:top w:val="single" w:color="auto" w:sz="4" w:space="0"/>
              <w:left w:val="single" w:color="auto" w:sz="4" w:space="0"/>
              <w:bottom w:val="single" w:color="auto" w:sz="4" w:space="0"/>
              <w:right w:val="single" w:color="auto" w:sz="4" w:space="0"/>
            </w:tcBorders>
            <w:vAlign w:val="center"/>
          </w:tcPr>
          <w:p w14:paraId="0E663B52">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color w:val="auto"/>
                <w:kern w:val="0"/>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330" w:type="pct"/>
            <w:tcBorders>
              <w:top w:val="single" w:color="auto" w:sz="4" w:space="0"/>
              <w:left w:val="single" w:color="auto" w:sz="4" w:space="0"/>
              <w:bottom w:val="single" w:color="auto" w:sz="4" w:space="0"/>
              <w:right w:val="single" w:color="auto" w:sz="4" w:space="0"/>
            </w:tcBorders>
            <w:vAlign w:val="center"/>
          </w:tcPr>
          <w:p w14:paraId="08676BB9">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color w:val="auto"/>
                <w:kern w:val="0"/>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370" w:type="pct"/>
            <w:tcBorders>
              <w:top w:val="single" w:color="auto" w:sz="4" w:space="0"/>
              <w:left w:val="single" w:color="auto" w:sz="4" w:space="0"/>
              <w:bottom w:val="single" w:color="auto" w:sz="4" w:space="0"/>
              <w:right w:val="single" w:color="auto" w:sz="4" w:space="0"/>
            </w:tcBorders>
            <w:vAlign w:val="center"/>
          </w:tcPr>
          <w:p w14:paraId="712C2BC4">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color w:val="auto"/>
                <w:kern w:val="0"/>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12</w:t>
            </w:r>
          </w:p>
        </w:tc>
        <w:tc>
          <w:tcPr>
            <w:tcW w:w="322" w:type="pct"/>
            <w:tcBorders>
              <w:top w:val="single" w:color="auto" w:sz="4" w:space="0"/>
              <w:left w:val="single" w:color="auto" w:sz="4" w:space="0"/>
              <w:bottom w:val="single" w:color="auto" w:sz="4" w:space="0"/>
              <w:right w:val="single" w:color="auto" w:sz="4" w:space="0"/>
            </w:tcBorders>
          </w:tcPr>
          <w:p w14:paraId="12B898B4">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564" w:type="pct"/>
            <w:tcBorders>
              <w:top w:val="single" w:color="auto" w:sz="4" w:space="0"/>
              <w:left w:val="single" w:color="auto" w:sz="4" w:space="0"/>
              <w:bottom w:val="single" w:color="auto" w:sz="4" w:space="0"/>
              <w:right w:val="single" w:color="auto" w:sz="4" w:space="0"/>
            </w:tcBorders>
          </w:tcPr>
          <w:p w14:paraId="5EF32DEA">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261" w:type="pct"/>
            <w:tcBorders>
              <w:top w:val="single" w:color="auto" w:sz="4" w:space="0"/>
              <w:left w:val="single" w:color="auto" w:sz="4" w:space="0"/>
              <w:bottom w:val="single" w:color="auto" w:sz="4" w:space="0"/>
              <w:right w:val="single" w:color="auto" w:sz="4" w:space="0"/>
            </w:tcBorders>
            <w:vAlign w:val="center"/>
          </w:tcPr>
          <w:p w14:paraId="2A370FA6">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r>
      <w:tr w14:paraId="4E93D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231" w:type="pct"/>
            <w:tcBorders>
              <w:top w:val="single" w:color="auto" w:sz="4" w:space="0"/>
              <w:left w:val="single" w:color="auto" w:sz="4" w:space="0"/>
              <w:bottom w:val="single" w:color="auto" w:sz="4" w:space="0"/>
              <w:right w:val="single" w:color="auto" w:sz="4" w:space="0"/>
            </w:tcBorders>
            <w:vAlign w:val="center"/>
          </w:tcPr>
          <w:p w14:paraId="0012A502">
            <w:pPr>
              <w:autoSpaceDE w:val="0"/>
              <w:autoSpaceDN w:val="0"/>
              <w:adjustRightInd w:val="0"/>
              <w:snapToGrid/>
              <w:spacing w:line="400" w:lineRule="exact"/>
              <w:jc w:val="center"/>
              <w:outlineLvl w:val="9"/>
              <w:rPr>
                <w:rFonts w:hint="default" w:ascii="宋体" w:hAnsi="宋体" w:eastAsia="宋体" w:cs="宋体"/>
                <w:color w:val="auto"/>
                <w:kern w:val="0"/>
                <w:szCs w:val="21"/>
                <w:highlight w:val="none"/>
                <w:lang w:val="en-US" w:eastAsia="zh-CN"/>
              </w:rPr>
            </w:pPr>
            <w:r>
              <w:rPr>
                <w:rFonts w:hint="eastAsia" w:cs="宋体"/>
                <w:color w:val="auto"/>
                <w:kern w:val="0"/>
                <w:szCs w:val="21"/>
                <w:highlight w:val="none"/>
                <w:lang w:val="en-US" w:eastAsia="zh-CN"/>
              </w:rPr>
              <w:t>67</w:t>
            </w:r>
          </w:p>
        </w:tc>
        <w:tc>
          <w:tcPr>
            <w:tcW w:w="838" w:type="pct"/>
            <w:tcBorders>
              <w:top w:val="single" w:color="auto" w:sz="4" w:space="0"/>
              <w:left w:val="single" w:color="auto" w:sz="4" w:space="0"/>
              <w:bottom w:val="single" w:color="auto" w:sz="4" w:space="0"/>
              <w:right w:val="single" w:color="auto" w:sz="4" w:space="0"/>
            </w:tcBorders>
            <w:vAlign w:val="center"/>
          </w:tcPr>
          <w:p w14:paraId="04849AAA">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color w:val="auto"/>
                <w:kern w:val="0"/>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复合式排气阀</w:t>
            </w:r>
          </w:p>
        </w:tc>
        <w:tc>
          <w:tcPr>
            <w:tcW w:w="346" w:type="pct"/>
            <w:tcBorders>
              <w:top w:val="single" w:color="auto" w:sz="4" w:space="0"/>
              <w:left w:val="single" w:color="auto" w:sz="4" w:space="0"/>
              <w:bottom w:val="single" w:color="auto" w:sz="4" w:space="0"/>
              <w:right w:val="single" w:color="auto" w:sz="4" w:space="0"/>
            </w:tcBorders>
            <w:vAlign w:val="center"/>
          </w:tcPr>
          <w:p w14:paraId="72EF7BAC">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395" w:type="pct"/>
            <w:tcBorders>
              <w:top w:val="single" w:color="auto" w:sz="4" w:space="0"/>
              <w:left w:val="single" w:color="auto" w:sz="4" w:space="0"/>
              <w:bottom w:val="single" w:color="auto" w:sz="4" w:space="0"/>
              <w:right w:val="single" w:color="auto" w:sz="4" w:space="0"/>
            </w:tcBorders>
            <w:vAlign w:val="center"/>
          </w:tcPr>
          <w:p w14:paraId="5F73214D">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669" w:type="pct"/>
            <w:tcBorders>
              <w:top w:val="single" w:color="auto" w:sz="4" w:space="0"/>
              <w:left w:val="single" w:color="auto" w:sz="4" w:space="0"/>
              <w:bottom w:val="single" w:color="auto" w:sz="4" w:space="0"/>
              <w:right w:val="single" w:color="auto" w:sz="4" w:space="0"/>
            </w:tcBorders>
            <w:vAlign w:val="center"/>
          </w:tcPr>
          <w:p w14:paraId="67339E86">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color w:val="auto"/>
                <w:kern w:val="0"/>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DN250</w:t>
            </w:r>
          </w:p>
        </w:tc>
        <w:tc>
          <w:tcPr>
            <w:tcW w:w="669" w:type="pct"/>
            <w:tcBorders>
              <w:top w:val="single" w:color="auto" w:sz="4" w:space="0"/>
              <w:left w:val="single" w:color="auto" w:sz="4" w:space="0"/>
              <w:bottom w:val="single" w:color="auto" w:sz="4" w:space="0"/>
              <w:right w:val="single" w:color="auto" w:sz="4" w:space="0"/>
            </w:tcBorders>
            <w:vAlign w:val="center"/>
          </w:tcPr>
          <w:p w14:paraId="7F2D9D2B">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color w:val="auto"/>
                <w:kern w:val="0"/>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330" w:type="pct"/>
            <w:tcBorders>
              <w:top w:val="single" w:color="auto" w:sz="4" w:space="0"/>
              <w:left w:val="single" w:color="auto" w:sz="4" w:space="0"/>
              <w:bottom w:val="single" w:color="auto" w:sz="4" w:space="0"/>
              <w:right w:val="single" w:color="auto" w:sz="4" w:space="0"/>
            </w:tcBorders>
            <w:vAlign w:val="center"/>
          </w:tcPr>
          <w:p w14:paraId="3D587F82">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color w:val="auto"/>
                <w:kern w:val="0"/>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370" w:type="pct"/>
            <w:tcBorders>
              <w:top w:val="single" w:color="auto" w:sz="4" w:space="0"/>
              <w:left w:val="single" w:color="auto" w:sz="4" w:space="0"/>
              <w:bottom w:val="single" w:color="auto" w:sz="4" w:space="0"/>
              <w:right w:val="single" w:color="auto" w:sz="4" w:space="0"/>
            </w:tcBorders>
            <w:vAlign w:val="center"/>
          </w:tcPr>
          <w:p w14:paraId="31A2DFFA">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color w:val="auto"/>
                <w:kern w:val="0"/>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6</w:t>
            </w:r>
          </w:p>
        </w:tc>
        <w:tc>
          <w:tcPr>
            <w:tcW w:w="322" w:type="pct"/>
            <w:tcBorders>
              <w:top w:val="single" w:color="auto" w:sz="4" w:space="0"/>
              <w:left w:val="single" w:color="auto" w:sz="4" w:space="0"/>
              <w:bottom w:val="single" w:color="auto" w:sz="4" w:space="0"/>
              <w:right w:val="single" w:color="auto" w:sz="4" w:space="0"/>
            </w:tcBorders>
          </w:tcPr>
          <w:p w14:paraId="75B5AF45">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564" w:type="pct"/>
            <w:tcBorders>
              <w:top w:val="single" w:color="auto" w:sz="4" w:space="0"/>
              <w:left w:val="single" w:color="auto" w:sz="4" w:space="0"/>
              <w:bottom w:val="single" w:color="auto" w:sz="4" w:space="0"/>
              <w:right w:val="single" w:color="auto" w:sz="4" w:space="0"/>
            </w:tcBorders>
          </w:tcPr>
          <w:p w14:paraId="4FD01C62">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261" w:type="pct"/>
            <w:tcBorders>
              <w:top w:val="single" w:color="auto" w:sz="4" w:space="0"/>
              <w:left w:val="single" w:color="auto" w:sz="4" w:space="0"/>
              <w:bottom w:val="single" w:color="auto" w:sz="4" w:space="0"/>
              <w:right w:val="single" w:color="auto" w:sz="4" w:space="0"/>
            </w:tcBorders>
            <w:vAlign w:val="center"/>
          </w:tcPr>
          <w:p w14:paraId="6107A605">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r>
      <w:tr w14:paraId="260E9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231" w:type="pct"/>
            <w:tcBorders>
              <w:top w:val="single" w:color="auto" w:sz="4" w:space="0"/>
              <w:left w:val="single" w:color="auto" w:sz="4" w:space="0"/>
              <w:bottom w:val="single" w:color="auto" w:sz="4" w:space="0"/>
              <w:right w:val="single" w:color="auto" w:sz="4" w:space="0"/>
            </w:tcBorders>
            <w:vAlign w:val="center"/>
          </w:tcPr>
          <w:p w14:paraId="2AC0DD8F">
            <w:pPr>
              <w:autoSpaceDE w:val="0"/>
              <w:autoSpaceDN w:val="0"/>
              <w:adjustRightInd w:val="0"/>
              <w:snapToGrid/>
              <w:spacing w:line="400" w:lineRule="exact"/>
              <w:jc w:val="center"/>
              <w:outlineLvl w:val="9"/>
              <w:rPr>
                <w:rFonts w:hint="default" w:ascii="宋体" w:hAnsi="宋体" w:eastAsia="宋体" w:cs="宋体"/>
                <w:color w:val="auto"/>
                <w:kern w:val="0"/>
                <w:szCs w:val="21"/>
                <w:highlight w:val="none"/>
                <w:lang w:val="en-US" w:eastAsia="zh-CN"/>
              </w:rPr>
            </w:pPr>
            <w:r>
              <w:rPr>
                <w:rFonts w:hint="eastAsia" w:cs="宋体"/>
                <w:color w:val="auto"/>
                <w:kern w:val="0"/>
                <w:szCs w:val="21"/>
                <w:highlight w:val="none"/>
                <w:lang w:val="en-US" w:eastAsia="zh-CN"/>
              </w:rPr>
              <w:t>68</w:t>
            </w:r>
          </w:p>
        </w:tc>
        <w:tc>
          <w:tcPr>
            <w:tcW w:w="838" w:type="pct"/>
            <w:tcBorders>
              <w:top w:val="single" w:color="auto" w:sz="4" w:space="0"/>
              <w:left w:val="single" w:color="auto" w:sz="4" w:space="0"/>
              <w:bottom w:val="single" w:color="auto" w:sz="4" w:space="0"/>
              <w:right w:val="single" w:color="auto" w:sz="4" w:space="0"/>
            </w:tcBorders>
            <w:vAlign w:val="center"/>
          </w:tcPr>
          <w:p w14:paraId="222C3A95">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color w:val="auto"/>
                <w:kern w:val="0"/>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复合式排气阀</w:t>
            </w:r>
          </w:p>
        </w:tc>
        <w:tc>
          <w:tcPr>
            <w:tcW w:w="346" w:type="pct"/>
            <w:tcBorders>
              <w:top w:val="single" w:color="auto" w:sz="4" w:space="0"/>
              <w:left w:val="single" w:color="auto" w:sz="4" w:space="0"/>
              <w:bottom w:val="single" w:color="auto" w:sz="4" w:space="0"/>
              <w:right w:val="single" w:color="auto" w:sz="4" w:space="0"/>
            </w:tcBorders>
            <w:vAlign w:val="center"/>
          </w:tcPr>
          <w:p w14:paraId="262AEC21">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395" w:type="pct"/>
            <w:tcBorders>
              <w:top w:val="single" w:color="auto" w:sz="4" w:space="0"/>
              <w:left w:val="single" w:color="auto" w:sz="4" w:space="0"/>
              <w:bottom w:val="single" w:color="auto" w:sz="4" w:space="0"/>
              <w:right w:val="single" w:color="auto" w:sz="4" w:space="0"/>
            </w:tcBorders>
            <w:vAlign w:val="center"/>
          </w:tcPr>
          <w:p w14:paraId="7F77B253">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669" w:type="pct"/>
            <w:tcBorders>
              <w:top w:val="single" w:color="auto" w:sz="4" w:space="0"/>
              <w:left w:val="single" w:color="auto" w:sz="4" w:space="0"/>
              <w:bottom w:val="single" w:color="auto" w:sz="4" w:space="0"/>
              <w:right w:val="single" w:color="auto" w:sz="4" w:space="0"/>
            </w:tcBorders>
            <w:vAlign w:val="center"/>
          </w:tcPr>
          <w:p w14:paraId="3D0A4C8F">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color w:val="auto"/>
                <w:kern w:val="0"/>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DN300</w:t>
            </w:r>
          </w:p>
        </w:tc>
        <w:tc>
          <w:tcPr>
            <w:tcW w:w="669" w:type="pct"/>
            <w:tcBorders>
              <w:top w:val="single" w:color="auto" w:sz="4" w:space="0"/>
              <w:left w:val="single" w:color="auto" w:sz="4" w:space="0"/>
              <w:bottom w:val="single" w:color="auto" w:sz="4" w:space="0"/>
              <w:right w:val="single" w:color="auto" w:sz="4" w:space="0"/>
            </w:tcBorders>
            <w:vAlign w:val="center"/>
          </w:tcPr>
          <w:p w14:paraId="146CE4F5">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color w:val="auto"/>
                <w:kern w:val="0"/>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330" w:type="pct"/>
            <w:tcBorders>
              <w:top w:val="single" w:color="auto" w:sz="4" w:space="0"/>
              <w:left w:val="single" w:color="auto" w:sz="4" w:space="0"/>
              <w:bottom w:val="single" w:color="auto" w:sz="4" w:space="0"/>
              <w:right w:val="single" w:color="auto" w:sz="4" w:space="0"/>
            </w:tcBorders>
            <w:vAlign w:val="center"/>
          </w:tcPr>
          <w:p w14:paraId="7C813B8C">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color w:val="auto"/>
                <w:kern w:val="0"/>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370" w:type="pct"/>
            <w:tcBorders>
              <w:top w:val="single" w:color="auto" w:sz="4" w:space="0"/>
              <w:left w:val="single" w:color="auto" w:sz="4" w:space="0"/>
              <w:bottom w:val="single" w:color="auto" w:sz="4" w:space="0"/>
              <w:right w:val="single" w:color="auto" w:sz="4" w:space="0"/>
            </w:tcBorders>
            <w:vAlign w:val="center"/>
          </w:tcPr>
          <w:p w14:paraId="13CE3A0D">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color w:val="auto"/>
                <w:kern w:val="0"/>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6</w:t>
            </w:r>
          </w:p>
        </w:tc>
        <w:tc>
          <w:tcPr>
            <w:tcW w:w="322" w:type="pct"/>
            <w:tcBorders>
              <w:top w:val="single" w:color="auto" w:sz="4" w:space="0"/>
              <w:left w:val="single" w:color="auto" w:sz="4" w:space="0"/>
              <w:bottom w:val="single" w:color="auto" w:sz="4" w:space="0"/>
              <w:right w:val="single" w:color="auto" w:sz="4" w:space="0"/>
            </w:tcBorders>
          </w:tcPr>
          <w:p w14:paraId="7F98211D">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564" w:type="pct"/>
            <w:tcBorders>
              <w:top w:val="single" w:color="auto" w:sz="4" w:space="0"/>
              <w:left w:val="single" w:color="auto" w:sz="4" w:space="0"/>
              <w:bottom w:val="single" w:color="auto" w:sz="4" w:space="0"/>
              <w:right w:val="single" w:color="auto" w:sz="4" w:space="0"/>
            </w:tcBorders>
          </w:tcPr>
          <w:p w14:paraId="4DE4BD07">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261" w:type="pct"/>
            <w:tcBorders>
              <w:top w:val="single" w:color="auto" w:sz="4" w:space="0"/>
              <w:left w:val="single" w:color="auto" w:sz="4" w:space="0"/>
              <w:bottom w:val="single" w:color="auto" w:sz="4" w:space="0"/>
              <w:right w:val="single" w:color="auto" w:sz="4" w:space="0"/>
            </w:tcBorders>
            <w:vAlign w:val="center"/>
          </w:tcPr>
          <w:p w14:paraId="2D448798">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r>
      <w:tr w14:paraId="27C8D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231" w:type="pct"/>
            <w:tcBorders>
              <w:top w:val="single" w:color="auto" w:sz="4" w:space="0"/>
              <w:left w:val="single" w:color="auto" w:sz="4" w:space="0"/>
              <w:bottom w:val="single" w:color="auto" w:sz="4" w:space="0"/>
              <w:right w:val="single" w:color="auto" w:sz="4" w:space="0"/>
            </w:tcBorders>
            <w:vAlign w:val="center"/>
          </w:tcPr>
          <w:p w14:paraId="79F7417F">
            <w:pPr>
              <w:autoSpaceDE w:val="0"/>
              <w:autoSpaceDN w:val="0"/>
              <w:adjustRightInd w:val="0"/>
              <w:snapToGrid/>
              <w:spacing w:line="400" w:lineRule="exact"/>
              <w:jc w:val="center"/>
              <w:outlineLvl w:val="9"/>
              <w:rPr>
                <w:rFonts w:hint="default" w:ascii="宋体" w:hAnsi="宋体" w:eastAsia="宋体" w:cs="宋体"/>
                <w:color w:val="auto"/>
                <w:kern w:val="0"/>
                <w:szCs w:val="21"/>
                <w:highlight w:val="none"/>
                <w:lang w:val="en-US" w:eastAsia="zh-CN"/>
              </w:rPr>
            </w:pPr>
            <w:r>
              <w:rPr>
                <w:rFonts w:hint="eastAsia" w:cs="宋体"/>
                <w:color w:val="auto"/>
                <w:kern w:val="0"/>
                <w:szCs w:val="21"/>
                <w:highlight w:val="none"/>
                <w:lang w:val="en-US" w:eastAsia="zh-CN"/>
              </w:rPr>
              <w:t>69</w:t>
            </w:r>
          </w:p>
        </w:tc>
        <w:tc>
          <w:tcPr>
            <w:tcW w:w="838" w:type="pct"/>
            <w:tcBorders>
              <w:top w:val="single" w:color="auto" w:sz="4" w:space="0"/>
              <w:left w:val="single" w:color="auto" w:sz="4" w:space="0"/>
              <w:bottom w:val="single" w:color="auto" w:sz="4" w:space="0"/>
              <w:right w:val="single" w:color="auto" w:sz="4" w:space="0"/>
            </w:tcBorders>
            <w:vAlign w:val="center"/>
          </w:tcPr>
          <w:p w14:paraId="614950B1">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color w:val="auto"/>
                <w:kern w:val="0"/>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先导式减压阀</w:t>
            </w:r>
          </w:p>
        </w:tc>
        <w:tc>
          <w:tcPr>
            <w:tcW w:w="346" w:type="pct"/>
            <w:tcBorders>
              <w:top w:val="single" w:color="auto" w:sz="4" w:space="0"/>
              <w:left w:val="single" w:color="auto" w:sz="4" w:space="0"/>
              <w:bottom w:val="single" w:color="auto" w:sz="4" w:space="0"/>
              <w:right w:val="single" w:color="auto" w:sz="4" w:space="0"/>
            </w:tcBorders>
            <w:vAlign w:val="center"/>
          </w:tcPr>
          <w:p w14:paraId="74430605">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395" w:type="pct"/>
            <w:tcBorders>
              <w:top w:val="single" w:color="auto" w:sz="4" w:space="0"/>
              <w:left w:val="single" w:color="auto" w:sz="4" w:space="0"/>
              <w:bottom w:val="single" w:color="auto" w:sz="4" w:space="0"/>
              <w:right w:val="single" w:color="auto" w:sz="4" w:space="0"/>
            </w:tcBorders>
            <w:vAlign w:val="center"/>
          </w:tcPr>
          <w:p w14:paraId="667D8B51">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669" w:type="pct"/>
            <w:tcBorders>
              <w:top w:val="single" w:color="auto" w:sz="4" w:space="0"/>
              <w:left w:val="single" w:color="auto" w:sz="4" w:space="0"/>
              <w:bottom w:val="single" w:color="auto" w:sz="4" w:space="0"/>
              <w:right w:val="single" w:color="auto" w:sz="4" w:space="0"/>
            </w:tcBorders>
            <w:vAlign w:val="center"/>
          </w:tcPr>
          <w:p w14:paraId="6BF63AEA">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color w:val="auto"/>
                <w:kern w:val="0"/>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DN50</w:t>
            </w:r>
          </w:p>
        </w:tc>
        <w:tc>
          <w:tcPr>
            <w:tcW w:w="669" w:type="pct"/>
            <w:tcBorders>
              <w:top w:val="single" w:color="auto" w:sz="4" w:space="0"/>
              <w:left w:val="single" w:color="auto" w:sz="4" w:space="0"/>
              <w:bottom w:val="single" w:color="auto" w:sz="4" w:space="0"/>
              <w:right w:val="single" w:color="auto" w:sz="4" w:space="0"/>
            </w:tcBorders>
            <w:vAlign w:val="center"/>
          </w:tcPr>
          <w:p w14:paraId="68AD322B">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color w:val="auto"/>
                <w:kern w:val="0"/>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330" w:type="pct"/>
            <w:tcBorders>
              <w:top w:val="single" w:color="auto" w:sz="4" w:space="0"/>
              <w:left w:val="single" w:color="auto" w:sz="4" w:space="0"/>
              <w:bottom w:val="single" w:color="auto" w:sz="4" w:space="0"/>
              <w:right w:val="single" w:color="auto" w:sz="4" w:space="0"/>
            </w:tcBorders>
            <w:vAlign w:val="center"/>
          </w:tcPr>
          <w:p w14:paraId="234823DC">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color w:val="auto"/>
                <w:kern w:val="0"/>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370" w:type="pct"/>
            <w:tcBorders>
              <w:top w:val="single" w:color="auto" w:sz="4" w:space="0"/>
              <w:left w:val="single" w:color="auto" w:sz="4" w:space="0"/>
              <w:bottom w:val="single" w:color="auto" w:sz="4" w:space="0"/>
              <w:right w:val="single" w:color="auto" w:sz="4" w:space="0"/>
            </w:tcBorders>
            <w:vAlign w:val="center"/>
          </w:tcPr>
          <w:p w14:paraId="73EA4B05">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color w:val="auto"/>
                <w:kern w:val="0"/>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6</w:t>
            </w:r>
          </w:p>
        </w:tc>
        <w:tc>
          <w:tcPr>
            <w:tcW w:w="322" w:type="pct"/>
            <w:tcBorders>
              <w:top w:val="single" w:color="auto" w:sz="4" w:space="0"/>
              <w:left w:val="single" w:color="auto" w:sz="4" w:space="0"/>
              <w:bottom w:val="single" w:color="auto" w:sz="4" w:space="0"/>
              <w:right w:val="single" w:color="auto" w:sz="4" w:space="0"/>
            </w:tcBorders>
          </w:tcPr>
          <w:p w14:paraId="4BD30F0B">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564" w:type="pct"/>
            <w:tcBorders>
              <w:top w:val="single" w:color="auto" w:sz="4" w:space="0"/>
              <w:left w:val="single" w:color="auto" w:sz="4" w:space="0"/>
              <w:bottom w:val="single" w:color="auto" w:sz="4" w:space="0"/>
              <w:right w:val="single" w:color="auto" w:sz="4" w:space="0"/>
            </w:tcBorders>
          </w:tcPr>
          <w:p w14:paraId="42826E7F">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261" w:type="pct"/>
            <w:tcBorders>
              <w:top w:val="single" w:color="auto" w:sz="4" w:space="0"/>
              <w:left w:val="single" w:color="auto" w:sz="4" w:space="0"/>
              <w:bottom w:val="single" w:color="auto" w:sz="4" w:space="0"/>
              <w:right w:val="single" w:color="auto" w:sz="4" w:space="0"/>
            </w:tcBorders>
            <w:vAlign w:val="center"/>
          </w:tcPr>
          <w:p w14:paraId="628DF614">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r>
      <w:tr w14:paraId="1730A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4" w:hRule="atLeast"/>
        </w:trPr>
        <w:tc>
          <w:tcPr>
            <w:tcW w:w="231" w:type="pct"/>
            <w:tcBorders>
              <w:top w:val="single" w:color="auto" w:sz="4" w:space="0"/>
              <w:left w:val="single" w:color="auto" w:sz="4" w:space="0"/>
              <w:bottom w:val="single" w:color="auto" w:sz="4" w:space="0"/>
              <w:right w:val="single" w:color="auto" w:sz="4" w:space="0"/>
            </w:tcBorders>
            <w:vAlign w:val="center"/>
          </w:tcPr>
          <w:p w14:paraId="3A73C0FA">
            <w:pPr>
              <w:autoSpaceDE w:val="0"/>
              <w:autoSpaceDN w:val="0"/>
              <w:adjustRightInd w:val="0"/>
              <w:snapToGrid/>
              <w:spacing w:line="400" w:lineRule="exact"/>
              <w:jc w:val="center"/>
              <w:outlineLvl w:val="9"/>
              <w:rPr>
                <w:rFonts w:hint="default" w:ascii="宋体" w:hAnsi="宋体" w:eastAsia="宋体" w:cs="宋体"/>
                <w:color w:val="auto"/>
                <w:kern w:val="0"/>
                <w:szCs w:val="21"/>
                <w:highlight w:val="none"/>
                <w:lang w:val="en-US" w:eastAsia="zh-CN"/>
              </w:rPr>
            </w:pPr>
            <w:r>
              <w:rPr>
                <w:rFonts w:hint="eastAsia" w:cs="宋体"/>
                <w:color w:val="auto"/>
                <w:kern w:val="0"/>
                <w:szCs w:val="21"/>
                <w:highlight w:val="none"/>
                <w:lang w:val="en-US" w:eastAsia="zh-CN"/>
              </w:rPr>
              <w:t>70</w:t>
            </w:r>
          </w:p>
        </w:tc>
        <w:tc>
          <w:tcPr>
            <w:tcW w:w="838" w:type="pct"/>
            <w:tcBorders>
              <w:top w:val="single" w:color="auto" w:sz="4" w:space="0"/>
              <w:left w:val="single" w:color="auto" w:sz="4" w:space="0"/>
              <w:bottom w:val="single" w:color="auto" w:sz="4" w:space="0"/>
              <w:right w:val="single" w:color="auto" w:sz="4" w:space="0"/>
            </w:tcBorders>
            <w:vAlign w:val="center"/>
          </w:tcPr>
          <w:p w14:paraId="6A7493A1">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color w:val="auto"/>
                <w:kern w:val="0"/>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先导式减压阀</w:t>
            </w:r>
          </w:p>
        </w:tc>
        <w:tc>
          <w:tcPr>
            <w:tcW w:w="346" w:type="pct"/>
            <w:tcBorders>
              <w:top w:val="single" w:color="auto" w:sz="4" w:space="0"/>
              <w:left w:val="single" w:color="auto" w:sz="4" w:space="0"/>
              <w:bottom w:val="single" w:color="auto" w:sz="4" w:space="0"/>
              <w:right w:val="single" w:color="auto" w:sz="4" w:space="0"/>
            </w:tcBorders>
            <w:vAlign w:val="center"/>
          </w:tcPr>
          <w:p w14:paraId="0A650BDB">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395" w:type="pct"/>
            <w:tcBorders>
              <w:top w:val="single" w:color="auto" w:sz="4" w:space="0"/>
              <w:left w:val="single" w:color="auto" w:sz="4" w:space="0"/>
              <w:bottom w:val="single" w:color="auto" w:sz="4" w:space="0"/>
              <w:right w:val="single" w:color="auto" w:sz="4" w:space="0"/>
            </w:tcBorders>
            <w:vAlign w:val="center"/>
          </w:tcPr>
          <w:p w14:paraId="589A9D31">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669" w:type="pct"/>
            <w:tcBorders>
              <w:top w:val="single" w:color="auto" w:sz="4" w:space="0"/>
              <w:left w:val="single" w:color="auto" w:sz="4" w:space="0"/>
              <w:bottom w:val="single" w:color="auto" w:sz="4" w:space="0"/>
              <w:right w:val="single" w:color="auto" w:sz="4" w:space="0"/>
            </w:tcBorders>
            <w:vAlign w:val="center"/>
          </w:tcPr>
          <w:p w14:paraId="0A9F75ED">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color w:val="auto"/>
                <w:kern w:val="0"/>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DN65</w:t>
            </w:r>
          </w:p>
        </w:tc>
        <w:tc>
          <w:tcPr>
            <w:tcW w:w="669" w:type="pct"/>
            <w:tcBorders>
              <w:top w:val="single" w:color="auto" w:sz="4" w:space="0"/>
              <w:left w:val="single" w:color="auto" w:sz="4" w:space="0"/>
              <w:bottom w:val="single" w:color="auto" w:sz="4" w:space="0"/>
              <w:right w:val="single" w:color="auto" w:sz="4" w:space="0"/>
            </w:tcBorders>
            <w:vAlign w:val="center"/>
          </w:tcPr>
          <w:p w14:paraId="0027A94A">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color w:val="auto"/>
                <w:kern w:val="0"/>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330" w:type="pct"/>
            <w:tcBorders>
              <w:top w:val="single" w:color="auto" w:sz="4" w:space="0"/>
              <w:left w:val="single" w:color="auto" w:sz="4" w:space="0"/>
              <w:bottom w:val="single" w:color="auto" w:sz="4" w:space="0"/>
              <w:right w:val="single" w:color="auto" w:sz="4" w:space="0"/>
            </w:tcBorders>
            <w:vAlign w:val="center"/>
          </w:tcPr>
          <w:p w14:paraId="2844F267">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color w:val="auto"/>
                <w:kern w:val="0"/>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370" w:type="pct"/>
            <w:tcBorders>
              <w:top w:val="single" w:color="auto" w:sz="4" w:space="0"/>
              <w:left w:val="single" w:color="auto" w:sz="4" w:space="0"/>
              <w:bottom w:val="single" w:color="auto" w:sz="4" w:space="0"/>
              <w:right w:val="single" w:color="auto" w:sz="4" w:space="0"/>
            </w:tcBorders>
            <w:vAlign w:val="center"/>
          </w:tcPr>
          <w:p w14:paraId="3752B3F5">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color w:val="auto"/>
                <w:kern w:val="0"/>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6</w:t>
            </w:r>
          </w:p>
        </w:tc>
        <w:tc>
          <w:tcPr>
            <w:tcW w:w="322" w:type="pct"/>
            <w:tcBorders>
              <w:top w:val="single" w:color="auto" w:sz="4" w:space="0"/>
              <w:left w:val="single" w:color="auto" w:sz="4" w:space="0"/>
              <w:bottom w:val="single" w:color="auto" w:sz="4" w:space="0"/>
              <w:right w:val="single" w:color="auto" w:sz="4" w:space="0"/>
            </w:tcBorders>
          </w:tcPr>
          <w:p w14:paraId="1E00A730">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564" w:type="pct"/>
            <w:tcBorders>
              <w:top w:val="single" w:color="auto" w:sz="4" w:space="0"/>
              <w:left w:val="single" w:color="auto" w:sz="4" w:space="0"/>
              <w:bottom w:val="single" w:color="auto" w:sz="4" w:space="0"/>
              <w:right w:val="single" w:color="auto" w:sz="4" w:space="0"/>
            </w:tcBorders>
          </w:tcPr>
          <w:p w14:paraId="28262637">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261" w:type="pct"/>
            <w:tcBorders>
              <w:top w:val="single" w:color="auto" w:sz="4" w:space="0"/>
              <w:left w:val="single" w:color="auto" w:sz="4" w:space="0"/>
              <w:bottom w:val="single" w:color="auto" w:sz="4" w:space="0"/>
              <w:right w:val="single" w:color="auto" w:sz="4" w:space="0"/>
            </w:tcBorders>
            <w:vAlign w:val="center"/>
          </w:tcPr>
          <w:p w14:paraId="583AC476">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r>
      <w:tr w14:paraId="408A8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231" w:type="pct"/>
            <w:tcBorders>
              <w:top w:val="single" w:color="auto" w:sz="4" w:space="0"/>
              <w:left w:val="single" w:color="auto" w:sz="4" w:space="0"/>
              <w:bottom w:val="single" w:color="auto" w:sz="4" w:space="0"/>
              <w:right w:val="single" w:color="auto" w:sz="4" w:space="0"/>
            </w:tcBorders>
            <w:vAlign w:val="center"/>
          </w:tcPr>
          <w:p w14:paraId="45213DA4">
            <w:pPr>
              <w:autoSpaceDE w:val="0"/>
              <w:autoSpaceDN w:val="0"/>
              <w:adjustRightInd w:val="0"/>
              <w:snapToGrid/>
              <w:spacing w:line="400" w:lineRule="exact"/>
              <w:jc w:val="center"/>
              <w:outlineLvl w:val="9"/>
              <w:rPr>
                <w:rFonts w:hint="default" w:ascii="宋体" w:hAnsi="宋体" w:eastAsia="宋体" w:cs="宋体"/>
                <w:color w:val="auto"/>
                <w:kern w:val="0"/>
                <w:szCs w:val="21"/>
                <w:highlight w:val="none"/>
                <w:lang w:val="en-US" w:eastAsia="zh-CN"/>
              </w:rPr>
            </w:pPr>
            <w:r>
              <w:rPr>
                <w:rFonts w:hint="eastAsia" w:cs="宋体"/>
                <w:color w:val="auto"/>
                <w:kern w:val="0"/>
                <w:szCs w:val="21"/>
                <w:highlight w:val="none"/>
                <w:lang w:val="en-US" w:eastAsia="zh-CN"/>
              </w:rPr>
              <w:t>71</w:t>
            </w:r>
          </w:p>
        </w:tc>
        <w:tc>
          <w:tcPr>
            <w:tcW w:w="838" w:type="pct"/>
            <w:tcBorders>
              <w:top w:val="single" w:color="auto" w:sz="4" w:space="0"/>
              <w:left w:val="single" w:color="auto" w:sz="4" w:space="0"/>
              <w:bottom w:val="single" w:color="auto" w:sz="4" w:space="0"/>
              <w:right w:val="single" w:color="auto" w:sz="4" w:space="0"/>
            </w:tcBorders>
            <w:vAlign w:val="center"/>
          </w:tcPr>
          <w:p w14:paraId="02EF381C">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color w:val="auto"/>
                <w:kern w:val="0"/>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先导式减压阀</w:t>
            </w:r>
          </w:p>
        </w:tc>
        <w:tc>
          <w:tcPr>
            <w:tcW w:w="346" w:type="pct"/>
            <w:tcBorders>
              <w:top w:val="single" w:color="auto" w:sz="4" w:space="0"/>
              <w:left w:val="single" w:color="auto" w:sz="4" w:space="0"/>
              <w:bottom w:val="single" w:color="auto" w:sz="4" w:space="0"/>
              <w:right w:val="single" w:color="auto" w:sz="4" w:space="0"/>
            </w:tcBorders>
            <w:vAlign w:val="center"/>
          </w:tcPr>
          <w:p w14:paraId="297217F6">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395" w:type="pct"/>
            <w:tcBorders>
              <w:top w:val="single" w:color="auto" w:sz="4" w:space="0"/>
              <w:left w:val="single" w:color="auto" w:sz="4" w:space="0"/>
              <w:bottom w:val="single" w:color="auto" w:sz="4" w:space="0"/>
              <w:right w:val="single" w:color="auto" w:sz="4" w:space="0"/>
            </w:tcBorders>
            <w:vAlign w:val="center"/>
          </w:tcPr>
          <w:p w14:paraId="4A35DC86">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669" w:type="pct"/>
            <w:tcBorders>
              <w:top w:val="single" w:color="auto" w:sz="4" w:space="0"/>
              <w:left w:val="single" w:color="auto" w:sz="4" w:space="0"/>
              <w:bottom w:val="single" w:color="auto" w:sz="4" w:space="0"/>
              <w:right w:val="single" w:color="auto" w:sz="4" w:space="0"/>
            </w:tcBorders>
            <w:vAlign w:val="center"/>
          </w:tcPr>
          <w:p w14:paraId="2A2152BD">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color w:val="auto"/>
                <w:kern w:val="0"/>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DN80</w:t>
            </w:r>
          </w:p>
        </w:tc>
        <w:tc>
          <w:tcPr>
            <w:tcW w:w="669" w:type="pct"/>
            <w:tcBorders>
              <w:top w:val="single" w:color="auto" w:sz="4" w:space="0"/>
              <w:left w:val="single" w:color="auto" w:sz="4" w:space="0"/>
              <w:bottom w:val="single" w:color="auto" w:sz="4" w:space="0"/>
              <w:right w:val="single" w:color="auto" w:sz="4" w:space="0"/>
            </w:tcBorders>
            <w:vAlign w:val="center"/>
          </w:tcPr>
          <w:p w14:paraId="42DEA8ED">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color w:val="auto"/>
                <w:kern w:val="0"/>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330" w:type="pct"/>
            <w:tcBorders>
              <w:top w:val="single" w:color="auto" w:sz="4" w:space="0"/>
              <w:left w:val="single" w:color="auto" w:sz="4" w:space="0"/>
              <w:bottom w:val="single" w:color="auto" w:sz="4" w:space="0"/>
              <w:right w:val="single" w:color="auto" w:sz="4" w:space="0"/>
            </w:tcBorders>
            <w:vAlign w:val="center"/>
          </w:tcPr>
          <w:p w14:paraId="03999841">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color w:val="auto"/>
                <w:kern w:val="0"/>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370" w:type="pct"/>
            <w:tcBorders>
              <w:top w:val="single" w:color="auto" w:sz="4" w:space="0"/>
              <w:left w:val="single" w:color="auto" w:sz="4" w:space="0"/>
              <w:bottom w:val="single" w:color="auto" w:sz="4" w:space="0"/>
              <w:right w:val="single" w:color="auto" w:sz="4" w:space="0"/>
            </w:tcBorders>
            <w:vAlign w:val="center"/>
          </w:tcPr>
          <w:p w14:paraId="523A2F2D">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color w:val="auto"/>
                <w:kern w:val="0"/>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6</w:t>
            </w:r>
          </w:p>
        </w:tc>
        <w:tc>
          <w:tcPr>
            <w:tcW w:w="322" w:type="pct"/>
            <w:tcBorders>
              <w:top w:val="single" w:color="auto" w:sz="4" w:space="0"/>
              <w:left w:val="single" w:color="auto" w:sz="4" w:space="0"/>
              <w:bottom w:val="single" w:color="auto" w:sz="4" w:space="0"/>
              <w:right w:val="single" w:color="auto" w:sz="4" w:space="0"/>
            </w:tcBorders>
          </w:tcPr>
          <w:p w14:paraId="220E87B2">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564" w:type="pct"/>
            <w:tcBorders>
              <w:top w:val="single" w:color="auto" w:sz="4" w:space="0"/>
              <w:left w:val="single" w:color="auto" w:sz="4" w:space="0"/>
              <w:bottom w:val="single" w:color="auto" w:sz="4" w:space="0"/>
              <w:right w:val="single" w:color="auto" w:sz="4" w:space="0"/>
            </w:tcBorders>
          </w:tcPr>
          <w:p w14:paraId="2084CC97">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261" w:type="pct"/>
            <w:tcBorders>
              <w:top w:val="single" w:color="auto" w:sz="4" w:space="0"/>
              <w:left w:val="single" w:color="auto" w:sz="4" w:space="0"/>
              <w:bottom w:val="single" w:color="auto" w:sz="4" w:space="0"/>
              <w:right w:val="single" w:color="auto" w:sz="4" w:space="0"/>
            </w:tcBorders>
            <w:vAlign w:val="center"/>
          </w:tcPr>
          <w:p w14:paraId="7134DB40">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r>
      <w:tr w14:paraId="335DD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231" w:type="pct"/>
            <w:tcBorders>
              <w:top w:val="single" w:color="auto" w:sz="4" w:space="0"/>
              <w:left w:val="single" w:color="auto" w:sz="4" w:space="0"/>
              <w:bottom w:val="single" w:color="auto" w:sz="4" w:space="0"/>
              <w:right w:val="single" w:color="auto" w:sz="4" w:space="0"/>
            </w:tcBorders>
            <w:vAlign w:val="center"/>
          </w:tcPr>
          <w:p w14:paraId="3ED2479A">
            <w:pPr>
              <w:autoSpaceDE w:val="0"/>
              <w:autoSpaceDN w:val="0"/>
              <w:adjustRightInd w:val="0"/>
              <w:snapToGrid/>
              <w:spacing w:line="400" w:lineRule="exact"/>
              <w:jc w:val="center"/>
              <w:outlineLvl w:val="9"/>
              <w:rPr>
                <w:rFonts w:hint="default" w:ascii="宋体" w:hAnsi="宋体" w:eastAsia="宋体" w:cs="宋体"/>
                <w:color w:val="auto"/>
                <w:kern w:val="0"/>
                <w:szCs w:val="21"/>
                <w:highlight w:val="none"/>
                <w:lang w:val="en-US" w:eastAsia="zh-CN"/>
              </w:rPr>
            </w:pPr>
            <w:r>
              <w:rPr>
                <w:rFonts w:hint="eastAsia" w:cs="宋体"/>
                <w:color w:val="auto"/>
                <w:kern w:val="0"/>
                <w:szCs w:val="21"/>
                <w:highlight w:val="none"/>
                <w:lang w:val="en-US" w:eastAsia="zh-CN"/>
              </w:rPr>
              <w:t>72</w:t>
            </w:r>
          </w:p>
        </w:tc>
        <w:tc>
          <w:tcPr>
            <w:tcW w:w="838" w:type="pct"/>
            <w:tcBorders>
              <w:top w:val="single" w:color="auto" w:sz="4" w:space="0"/>
              <w:left w:val="single" w:color="auto" w:sz="4" w:space="0"/>
              <w:bottom w:val="single" w:color="auto" w:sz="4" w:space="0"/>
              <w:right w:val="single" w:color="auto" w:sz="4" w:space="0"/>
            </w:tcBorders>
            <w:vAlign w:val="center"/>
          </w:tcPr>
          <w:p w14:paraId="64FD8E38">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color w:val="auto"/>
                <w:kern w:val="0"/>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先导式减压阀</w:t>
            </w:r>
          </w:p>
        </w:tc>
        <w:tc>
          <w:tcPr>
            <w:tcW w:w="346" w:type="pct"/>
            <w:tcBorders>
              <w:top w:val="single" w:color="auto" w:sz="4" w:space="0"/>
              <w:left w:val="single" w:color="auto" w:sz="4" w:space="0"/>
              <w:bottom w:val="single" w:color="auto" w:sz="4" w:space="0"/>
              <w:right w:val="single" w:color="auto" w:sz="4" w:space="0"/>
            </w:tcBorders>
            <w:vAlign w:val="center"/>
          </w:tcPr>
          <w:p w14:paraId="37CB4751">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395" w:type="pct"/>
            <w:tcBorders>
              <w:top w:val="single" w:color="auto" w:sz="4" w:space="0"/>
              <w:left w:val="single" w:color="auto" w:sz="4" w:space="0"/>
              <w:bottom w:val="single" w:color="auto" w:sz="4" w:space="0"/>
              <w:right w:val="single" w:color="auto" w:sz="4" w:space="0"/>
            </w:tcBorders>
            <w:vAlign w:val="center"/>
          </w:tcPr>
          <w:p w14:paraId="191CD917">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669" w:type="pct"/>
            <w:tcBorders>
              <w:top w:val="single" w:color="auto" w:sz="4" w:space="0"/>
              <w:left w:val="single" w:color="auto" w:sz="4" w:space="0"/>
              <w:bottom w:val="single" w:color="auto" w:sz="4" w:space="0"/>
              <w:right w:val="single" w:color="auto" w:sz="4" w:space="0"/>
            </w:tcBorders>
            <w:vAlign w:val="center"/>
          </w:tcPr>
          <w:p w14:paraId="60A0FC64">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color w:val="auto"/>
                <w:kern w:val="0"/>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DN100</w:t>
            </w:r>
          </w:p>
        </w:tc>
        <w:tc>
          <w:tcPr>
            <w:tcW w:w="669" w:type="pct"/>
            <w:tcBorders>
              <w:top w:val="single" w:color="auto" w:sz="4" w:space="0"/>
              <w:left w:val="single" w:color="auto" w:sz="4" w:space="0"/>
              <w:bottom w:val="single" w:color="auto" w:sz="4" w:space="0"/>
              <w:right w:val="single" w:color="auto" w:sz="4" w:space="0"/>
            </w:tcBorders>
            <w:vAlign w:val="center"/>
          </w:tcPr>
          <w:p w14:paraId="5D17CC25">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color w:val="auto"/>
                <w:kern w:val="0"/>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330" w:type="pct"/>
            <w:tcBorders>
              <w:top w:val="single" w:color="auto" w:sz="4" w:space="0"/>
              <w:left w:val="single" w:color="auto" w:sz="4" w:space="0"/>
              <w:bottom w:val="single" w:color="auto" w:sz="4" w:space="0"/>
              <w:right w:val="single" w:color="auto" w:sz="4" w:space="0"/>
            </w:tcBorders>
            <w:vAlign w:val="center"/>
          </w:tcPr>
          <w:p w14:paraId="23D26458">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color w:val="auto"/>
                <w:kern w:val="0"/>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370" w:type="pct"/>
            <w:tcBorders>
              <w:top w:val="single" w:color="auto" w:sz="4" w:space="0"/>
              <w:left w:val="single" w:color="auto" w:sz="4" w:space="0"/>
              <w:bottom w:val="single" w:color="auto" w:sz="4" w:space="0"/>
              <w:right w:val="single" w:color="auto" w:sz="4" w:space="0"/>
            </w:tcBorders>
            <w:vAlign w:val="center"/>
          </w:tcPr>
          <w:p w14:paraId="5F24D6BC">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color w:val="auto"/>
                <w:kern w:val="0"/>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6</w:t>
            </w:r>
          </w:p>
        </w:tc>
        <w:tc>
          <w:tcPr>
            <w:tcW w:w="322" w:type="pct"/>
            <w:tcBorders>
              <w:top w:val="single" w:color="auto" w:sz="4" w:space="0"/>
              <w:left w:val="single" w:color="auto" w:sz="4" w:space="0"/>
              <w:bottom w:val="single" w:color="auto" w:sz="4" w:space="0"/>
              <w:right w:val="single" w:color="auto" w:sz="4" w:space="0"/>
            </w:tcBorders>
          </w:tcPr>
          <w:p w14:paraId="3BF97565">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564" w:type="pct"/>
            <w:tcBorders>
              <w:top w:val="single" w:color="auto" w:sz="4" w:space="0"/>
              <w:left w:val="single" w:color="auto" w:sz="4" w:space="0"/>
              <w:bottom w:val="single" w:color="auto" w:sz="4" w:space="0"/>
              <w:right w:val="single" w:color="auto" w:sz="4" w:space="0"/>
            </w:tcBorders>
          </w:tcPr>
          <w:p w14:paraId="3EB7D58C">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261" w:type="pct"/>
            <w:tcBorders>
              <w:top w:val="single" w:color="auto" w:sz="4" w:space="0"/>
              <w:left w:val="single" w:color="auto" w:sz="4" w:space="0"/>
              <w:bottom w:val="single" w:color="auto" w:sz="4" w:space="0"/>
              <w:right w:val="single" w:color="auto" w:sz="4" w:space="0"/>
            </w:tcBorders>
            <w:vAlign w:val="center"/>
          </w:tcPr>
          <w:p w14:paraId="10DA5ECA">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r>
      <w:tr w14:paraId="69100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231" w:type="pct"/>
            <w:tcBorders>
              <w:top w:val="single" w:color="auto" w:sz="4" w:space="0"/>
              <w:left w:val="single" w:color="auto" w:sz="4" w:space="0"/>
              <w:bottom w:val="single" w:color="auto" w:sz="4" w:space="0"/>
              <w:right w:val="single" w:color="auto" w:sz="4" w:space="0"/>
            </w:tcBorders>
            <w:vAlign w:val="center"/>
          </w:tcPr>
          <w:p w14:paraId="0874A7BE">
            <w:pPr>
              <w:autoSpaceDE w:val="0"/>
              <w:autoSpaceDN w:val="0"/>
              <w:adjustRightInd w:val="0"/>
              <w:snapToGrid/>
              <w:spacing w:line="400" w:lineRule="exact"/>
              <w:jc w:val="center"/>
              <w:outlineLvl w:val="9"/>
              <w:rPr>
                <w:rFonts w:hint="default" w:ascii="宋体" w:hAnsi="宋体" w:eastAsia="宋体" w:cs="宋体"/>
                <w:color w:val="auto"/>
                <w:kern w:val="0"/>
                <w:szCs w:val="21"/>
                <w:highlight w:val="none"/>
                <w:lang w:val="en-US" w:eastAsia="zh-CN"/>
              </w:rPr>
            </w:pPr>
            <w:r>
              <w:rPr>
                <w:rFonts w:hint="eastAsia" w:cs="宋体"/>
                <w:color w:val="auto"/>
                <w:kern w:val="0"/>
                <w:szCs w:val="21"/>
                <w:highlight w:val="none"/>
                <w:lang w:val="en-US" w:eastAsia="zh-CN"/>
              </w:rPr>
              <w:t>73</w:t>
            </w:r>
          </w:p>
        </w:tc>
        <w:tc>
          <w:tcPr>
            <w:tcW w:w="838" w:type="pct"/>
            <w:tcBorders>
              <w:top w:val="single" w:color="auto" w:sz="4" w:space="0"/>
              <w:left w:val="single" w:color="auto" w:sz="4" w:space="0"/>
              <w:bottom w:val="single" w:color="auto" w:sz="4" w:space="0"/>
              <w:right w:val="single" w:color="auto" w:sz="4" w:space="0"/>
            </w:tcBorders>
            <w:vAlign w:val="center"/>
          </w:tcPr>
          <w:p w14:paraId="241A0DBF">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color w:val="auto"/>
                <w:kern w:val="0"/>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加密法兰闸阀</w:t>
            </w:r>
          </w:p>
        </w:tc>
        <w:tc>
          <w:tcPr>
            <w:tcW w:w="346" w:type="pct"/>
            <w:tcBorders>
              <w:top w:val="single" w:color="auto" w:sz="4" w:space="0"/>
              <w:left w:val="single" w:color="auto" w:sz="4" w:space="0"/>
              <w:bottom w:val="single" w:color="auto" w:sz="4" w:space="0"/>
              <w:right w:val="single" w:color="auto" w:sz="4" w:space="0"/>
            </w:tcBorders>
            <w:vAlign w:val="center"/>
          </w:tcPr>
          <w:p w14:paraId="71B220AA">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395" w:type="pct"/>
            <w:tcBorders>
              <w:top w:val="single" w:color="auto" w:sz="4" w:space="0"/>
              <w:left w:val="single" w:color="auto" w:sz="4" w:space="0"/>
              <w:bottom w:val="single" w:color="auto" w:sz="4" w:space="0"/>
              <w:right w:val="single" w:color="auto" w:sz="4" w:space="0"/>
            </w:tcBorders>
            <w:vAlign w:val="center"/>
          </w:tcPr>
          <w:p w14:paraId="06462206">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669" w:type="pct"/>
            <w:tcBorders>
              <w:top w:val="single" w:color="auto" w:sz="4" w:space="0"/>
              <w:left w:val="single" w:color="auto" w:sz="4" w:space="0"/>
              <w:bottom w:val="single" w:color="auto" w:sz="4" w:space="0"/>
              <w:right w:val="single" w:color="auto" w:sz="4" w:space="0"/>
            </w:tcBorders>
            <w:vAlign w:val="center"/>
          </w:tcPr>
          <w:p w14:paraId="63D0166E">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color w:val="auto"/>
                <w:kern w:val="0"/>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DN50</w:t>
            </w:r>
          </w:p>
        </w:tc>
        <w:tc>
          <w:tcPr>
            <w:tcW w:w="669" w:type="pct"/>
            <w:tcBorders>
              <w:top w:val="single" w:color="auto" w:sz="4" w:space="0"/>
              <w:left w:val="single" w:color="auto" w:sz="4" w:space="0"/>
              <w:bottom w:val="single" w:color="auto" w:sz="4" w:space="0"/>
              <w:right w:val="single" w:color="auto" w:sz="4" w:space="0"/>
            </w:tcBorders>
            <w:vAlign w:val="center"/>
          </w:tcPr>
          <w:p w14:paraId="702DE60B">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color w:val="auto"/>
                <w:kern w:val="0"/>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330" w:type="pct"/>
            <w:tcBorders>
              <w:top w:val="single" w:color="auto" w:sz="4" w:space="0"/>
              <w:left w:val="single" w:color="auto" w:sz="4" w:space="0"/>
              <w:bottom w:val="single" w:color="auto" w:sz="4" w:space="0"/>
              <w:right w:val="single" w:color="auto" w:sz="4" w:space="0"/>
            </w:tcBorders>
            <w:vAlign w:val="center"/>
          </w:tcPr>
          <w:p w14:paraId="28924598">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color w:val="auto"/>
                <w:kern w:val="0"/>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370" w:type="pct"/>
            <w:tcBorders>
              <w:top w:val="single" w:color="auto" w:sz="4" w:space="0"/>
              <w:left w:val="single" w:color="auto" w:sz="4" w:space="0"/>
              <w:bottom w:val="single" w:color="auto" w:sz="4" w:space="0"/>
              <w:right w:val="single" w:color="auto" w:sz="4" w:space="0"/>
            </w:tcBorders>
            <w:vAlign w:val="center"/>
          </w:tcPr>
          <w:p w14:paraId="15A3EA49">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color w:val="auto"/>
                <w:kern w:val="0"/>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6</w:t>
            </w:r>
          </w:p>
        </w:tc>
        <w:tc>
          <w:tcPr>
            <w:tcW w:w="322" w:type="pct"/>
            <w:tcBorders>
              <w:top w:val="single" w:color="auto" w:sz="4" w:space="0"/>
              <w:left w:val="single" w:color="auto" w:sz="4" w:space="0"/>
              <w:bottom w:val="single" w:color="auto" w:sz="4" w:space="0"/>
              <w:right w:val="single" w:color="auto" w:sz="4" w:space="0"/>
            </w:tcBorders>
          </w:tcPr>
          <w:p w14:paraId="1FA98BE6">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564" w:type="pct"/>
            <w:tcBorders>
              <w:top w:val="single" w:color="auto" w:sz="4" w:space="0"/>
              <w:left w:val="single" w:color="auto" w:sz="4" w:space="0"/>
              <w:bottom w:val="single" w:color="auto" w:sz="4" w:space="0"/>
              <w:right w:val="single" w:color="auto" w:sz="4" w:space="0"/>
            </w:tcBorders>
          </w:tcPr>
          <w:p w14:paraId="48BE16F6">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261" w:type="pct"/>
            <w:tcBorders>
              <w:top w:val="single" w:color="auto" w:sz="4" w:space="0"/>
              <w:left w:val="single" w:color="auto" w:sz="4" w:space="0"/>
              <w:bottom w:val="single" w:color="auto" w:sz="4" w:space="0"/>
              <w:right w:val="single" w:color="auto" w:sz="4" w:space="0"/>
            </w:tcBorders>
            <w:vAlign w:val="center"/>
          </w:tcPr>
          <w:p w14:paraId="39BB7276">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r>
      <w:tr w14:paraId="41FE8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231" w:type="pct"/>
            <w:tcBorders>
              <w:top w:val="single" w:color="auto" w:sz="4" w:space="0"/>
              <w:left w:val="single" w:color="auto" w:sz="4" w:space="0"/>
              <w:bottom w:val="single" w:color="auto" w:sz="4" w:space="0"/>
              <w:right w:val="single" w:color="auto" w:sz="4" w:space="0"/>
            </w:tcBorders>
            <w:vAlign w:val="center"/>
          </w:tcPr>
          <w:p w14:paraId="218B5867">
            <w:pPr>
              <w:autoSpaceDE w:val="0"/>
              <w:autoSpaceDN w:val="0"/>
              <w:adjustRightInd w:val="0"/>
              <w:snapToGrid/>
              <w:spacing w:line="400" w:lineRule="exact"/>
              <w:jc w:val="center"/>
              <w:outlineLvl w:val="9"/>
              <w:rPr>
                <w:rFonts w:hint="default" w:ascii="宋体" w:hAnsi="宋体" w:eastAsia="宋体" w:cs="宋体"/>
                <w:color w:val="auto"/>
                <w:kern w:val="0"/>
                <w:szCs w:val="21"/>
                <w:highlight w:val="none"/>
                <w:lang w:val="en-US" w:eastAsia="zh-CN"/>
              </w:rPr>
            </w:pPr>
            <w:r>
              <w:rPr>
                <w:rFonts w:hint="eastAsia" w:cs="宋体"/>
                <w:color w:val="auto"/>
                <w:kern w:val="0"/>
                <w:szCs w:val="21"/>
                <w:highlight w:val="none"/>
                <w:lang w:val="en-US" w:eastAsia="zh-CN"/>
              </w:rPr>
              <w:t>74</w:t>
            </w:r>
          </w:p>
        </w:tc>
        <w:tc>
          <w:tcPr>
            <w:tcW w:w="838" w:type="pct"/>
            <w:tcBorders>
              <w:top w:val="single" w:color="auto" w:sz="4" w:space="0"/>
              <w:left w:val="single" w:color="auto" w:sz="4" w:space="0"/>
              <w:bottom w:val="single" w:color="auto" w:sz="4" w:space="0"/>
              <w:right w:val="single" w:color="auto" w:sz="4" w:space="0"/>
            </w:tcBorders>
            <w:vAlign w:val="center"/>
          </w:tcPr>
          <w:p w14:paraId="00CB5439">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color w:val="auto"/>
                <w:kern w:val="0"/>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加密法兰闸阀</w:t>
            </w:r>
          </w:p>
        </w:tc>
        <w:tc>
          <w:tcPr>
            <w:tcW w:w="346" w:type="pct"/>
            <w:tcBorders>
              <w:top w:val="single" w:color="auto" w:sz="4" w:space="0"/>
              <w:left w:val="single" w:color="auto" w:sz="4" w:space="0"/>
              <w:bottom w:val="single" w:color="auto" w:sz="4" w:space="0"/>
              <w:right w:val="single" w:color="auto" w:sz="4" w:space="0"/>
            </w:tcBorders>
            <w:vAlign w:val="center"/>
          </w:tcPr>
          <w:p w14:paraId="5EADB4B0">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395" w:type="pct"/>
            <w:tcBorders>
              <w:top w:val="single" w:color="auto" w:sz="4" w:space="0"/>
              <w:left w:val="single" w:color="auto" w:sz="4" w:space="0"/>
              <w:bottom w:val="single" w:color="auto" w:sz="4" w:space="0"/>
              <w:right w:val="single" w:color="auto" w:sz="4" w:space="0"/>
            </w:tcBorders>
            <w:vAlign w:val="center"/>
          </w:tcPr>
          <w:p w14:paraId="49AEA86E">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669" w:type="pct"/>
            <w:tcBorders>
              <w:top w:val="single" w:color="auto" w:sz="4" w:space="0"/>
              <w:left w:val="single" w:color="auto" w:sz="4" w:space="0"/>
              <w:bottom w:val="single" w:color="auto" w:sz="4" w:space="0"/>
              <w:right w:val="single" w:color="auto" w:sz="4" w:space="0"/>
            </w:tcBorders>
            <w:vAlign w:val="center"/>
          </w:tcPr>
          <w:p w14:paraId="6B083511">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color w:val="auto"/>
                <w:kern w:val="0"/>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DN65</w:t>
            </w:r>
          </w:p>
        </w:tc>
        <w:tc>
          <w:tcPr>
            <w:tcW w:w="669" w:type="pct"/>
            <w:tcBorders>
              <w:top w:val="single" w:color="auto" w:sz="4" w:space="0"/>
              <w:left w:val="single" w:color="auto" w:sz="4" w:space="0"/>
              <w:bottom w:val="single" w:color="auto" w:sz="4" w:space="0"/>
              <w:right w:val="single" w:color="auto" w:sz="4" w:space="0"/>
            </w:tcBorders>
            <w:vAlign w:val="center"/>
          </w:tcPr>
          <w:p w14:paraId="3AEF7EA6">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color w:val="auto"/>
                <w:kern w:val="0"/>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330" w:type="pct"/>
            <w:tcBorders>
              <w:top w:val="single" w:color="auto" w:sz="4" w:space="0"/>
              <w:left w:val="single" w:color="auto" w:sz="4" w:space="0"/>
              <w:bottom w:val="single" w:color="auto" w:sz="4" w:space="0"/>
              <w:right w:val="single" w:color="auto" w:sz="4" w:space="0"/>
            </w:tcBorders>
            <w:vAlign w:val="center"/>
          </w:tcPr>
          <w:p w14:paraId="77AA3F58">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color w:val="auto"/>
                <w:kern w:val="0"/>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370" w:type="pct"/>
            <w:tcBorders>
              <w:top w:val="single" w:color="auto" w:sz="4" w:space="0"/>
              <w:left w:val="single" w:color="auto" w:sz="4" w:space="0"/>
              <w:bottom w:val="single" w:color="auto" w:sz="4" w:space="0"/>
              <w:right w:val="single" w:color="auto" w:sz="4" w:space="0"/>
            </w:tcBorders>
            <w:vAlign w:val="center"/>
          </w:tcPr>
          <w:p w14:paraId="2FE16074">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color w:val="auto"/>
                <w:kern w:val="0"/>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6</w:t>
            </w:r>
          </w:p>
        </w:tc>
        <w:tc>
          <w:tcPr>
            <w:tcW w:w="322" w:type="pct"/>
            <w:tcBorders>
              <w:top w:val="single" w:color="auto" w:sz="4" w:space="0"/>
              <w:left w:val="single" w:color="auto" w:sz="4" w:space="0"/>
              <w:bottom w:val="single" w:color="auto" w:sz="4" w:space="0"/>
              <w:right w:val="single" w:color="auto" w:sz="4" w:space="0"/>
            </w:tcBorders>
          </w:tcPr>
          <w:p w14:paraId="0680FC12">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564" w:type="pct"/>
            <w:tcBorders>
              <w:top w:val="single" w:color="auto" w:sz="4" w:space="0"/>
              <w:left w:val="single" w:color="auto" w:sz="4" w:space="0"/>
              <w:bottom w:val="single" w:color="auto" w:sz="4" w:space="0"/>
              <w:right w:val="single" w:color="auto" w:sz="4" w:space="0"/>
            </w:tcBorders>
          </w:tcPr>
          <w:p w14:paraId="41D788A6">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261" w:type="pct"/>
            <w:tcBorders>
              <w:top w:val="single" w:color="auto" w:sz="4" w:space="0"/>
              <w:left w:val="single" w:color="auto" w:sz="4" w:space="0"/>
              <w:bottom w:val="single" w:color="auto" w:sz="4" w:space="0"/>
              <w:right w:val="single" w:color="auto" w:sz="4" w:space="0"/>
            </w:tcBorders>
            <w:vAlign w:val="center"/>
          </w:tcPr>
          <w:p w14:paraId="7D29AC9E">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r>
      <w:tr w14:paraId="04CA9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231" w:type="pct"/>
            <w:tcBorders>
              <w:top w:val="single" w:color="auto" w:sz="4" w:space="0"/>
              <w:left w:val="single" w:color="auto" w:sz="4" w:space="0"/>
              <w:bottom w:val="single" w:color="auto" w:sz="4" w:space="0"/>
              <w:right w:val="single" w:color="auto" w:sz="4" w:space="0"/>
            </w:tcBorders>
            <w:vAlign w:val="center"/>
          </w:tcPr>
          <w:p w14:paraId="0ACF69AC">
            <w:pPr>
              <w:autoSpaceDE w:val="0"/>
              <w:autoSpaceDN w:val="0"/>
              <w:adjustRightInd w:val="0"/>
              <w:snapToGrid/>
              <w:spacing w:line="400" w:lineRule="exact"/>
              <w:jc w:val="center"/>
              <w:outlineLvl w:val="9"/>
              <w:rPr>
                <w:rFonts w:hint="default" w:ascii="宋体" w:hAnsi="宋体" w:eastAsia="宋体" w:cs="宋体"/>
                <w:color w:val="auto"/>
                <w:kern w:val="0"/>
                <w:szCs w:val="21"/>
                <w:highlight w:val="none"/>
                <w:lang w:val="en-US" w:eastAsia="zh-CN"/>
              </w:rPr>
            </w:pPr>
            <w:r>
              <w:rPr>
                <w:rFonts w:hint="eastAsia" w:cs="宋体"/>
                <w:color w:val="auto"/>
                <w:kern w:val="0"/>
                <w:szCs w:val="21"/>
                <w:highlight w:val="none"/>
                <w:lang w:val="en-US" w:eastAsia="zh-CN"/>
              </w:rPr>
              <w:t>75</w:t>
            </w:r>
          </w:p>
        </w:tc>
        <w:tc>
          <w:tcPr>
            <w:tcW w:w="838" w:type="pct"/>
            <w:tcBorders>
              <w:top w:val="single" w:color="auto" w:sz="4" w:space="0"/>
              <w:left w:val="single" w:color="auto" w:sz="4" w:space="0"/>
              <w:bottom w:val="single" w:color="auto" w:sz="4" w:space="0"/>
              <w:right w:val="single" w:color="auto" w:sz="4" w:space="0"/>
            </w:tcBorders>
            <w:vAlign w:val="center"/>
          </w:tcPr>
          <w:p w14:paraId="1974808B">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color w:val="auto"/>
                <w:kern w:val="0"/>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加密法兰闸阀</w:t>
            </w:r>
          </w:p>
        </w:tc>
        <w:tc>
          <w:tcPr>
            <w:tcW w:w="346" w:type="pct"/>
            <w:tcBorders>
              <w:top w:val="single" w:color="auto" w:sz="4" w:space="0"/>
              <w:left w:val="single" w:color="auto" w:sz="4" w:space="0"/>
              <w:bottom w:val="single" w:color="auto" w:sz="4" w:space="0"/>
              <w:right w:val="single" w:color="auto" w:sz="4" w:space="0"/>
            </w:tcBorders>
            <w:vAlign w:val="center"/>
          </w:tcPr>
          <w:p w14:paraId="5D4B6CAD">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395" w:type="pct"/>
            <w:tcBorders>
              <w:top w:val="single" w:color="auto" w:sz="4" w:space="0"/>
              <w:left w:val="single" w:color="auto" w:sz="4" w:space="0"/>
              <w:bottom w:val="single" w:color="auto" w:sz="4" w:space="0"/>
              <w:right w:val="single" w:color="auto" w:sz="4" w:space="0"/>
            </w:tcBorders>
            <w:vAlign w:val="center"/>
          </w:tcPr>
          <w:p w14:paraId="09A0CD9D">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669" w:type="pct"/>
            <w:tcBorders>
              <w:top w:val="single" w:color="auto" w:sz="4" w:space="0"/>
              <w:left w:val="single" w:color="auto" w:sz="4" w:space="0"/>
              <w:bottom w:val="single" w:color="auto" w:sz="4" w:space="0"/>
              <w:right w:val="single" w:color="auto" w:sz="4" w:space="0"/>
            </w:tcBorders>
            <w:vAlign w:val="center"/>
          </w:tcPr>
          <w:p w14:paraId="34BC7113">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color w:val="auto"/>
                <w:kern w:val="0"/>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DN80</w:t>
            </w:r>
          </w:p>
        </w:tc>
        <w:tc>
          <w:tcPr>
            <w:tcW w:w="669" w:type="pct"/>
            <w:tcBorders>
              <w:top w:val="single" w:color="auto" w:sz="4" w:space="0"/>
              <w:left w:val="single" w:color="auto" w:sz="4" w:space="0"/>
              <w:bottom w:val="single" w:color="auto" w:sz="4" w:space="0"/>
              <w:right w:val="single" w:color="auto" w:sz="4" w:space="0"/>
            </w:tcBorders>
            <w:vAlign w:val="center"/>
          </w:tcPr>
          <w:p w14:paraId="3115B64C">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color w:val="auto"/>
                <w:kern w:val="0"/>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330" w:type="pct"/>
            <w:tcBorders>
              <w:top w:val="single" w:color="auto" w:sz="4" w:space="0"/>
              <w:left w:val="single" w:color="auto" w:sz="4" w:space="0"/>
              <w:bottom w:val="single" w:color="auto" w:sz="4" w:space="0"/>
              <w:right w:val="single" w:color="auto" w:sz="4" w:space="0"/>
            </w:tcBorders>
            <w:vAlign w:val="center"/>
          </w:tcPr>
          <w:p w14:paraId="0056849D">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color w:val="auto"/>
                <w:kern w:val="0"/>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370" w:type="pct"/>
            <w:tcBorders>
              <w:top w:val="single" w:color="auto" w:sz="4" w:space="0"/>
              <w:left w:val="single" w:color="auto" w:sz="4" w:space="0"/>
              <w:bottom w:val="single" w:color="auto" w:sz="4" w:space="0"/>
              <w:right w:val="single" w:color="auto" w:sz="4" w:space="0"/>
            </w:tcBorders>
            <w:vAlign w:val="center"/>
          </w:tcPr>
          <w:p w14:paraId="03894B08">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color w:val="auto"/>
                <w:kern w:val="0"/>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6</w:t>
            </w:r>
          </w:p>
        </w:tc>
        <w:tc>
          <w:tcPr>
            <w:tcW w:w="322" w:type="pct"/>
            <w:tcBorders>
              <w:top w:val="single" w:color="auto" w:sz="4" w:space="0"/>
              <w:left w:val="single" w:color="auto" w:sz="4" w:space="0"/>
              <w:bottom w:val="single" w:color="auto" w:sz="4" w:space="0"/>
              <w:right w:val="single" w:color="auto" w:sz="4" w:space="0"/>
            </w:tcBorders>
          </w:tcPr>
          <w:p w14:paraId="6F26A1B8">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564" w:type="pct"/>
            <w:tcBorders>
              <w:top w:val="single" w:color="auto" w:sz="4" w:space="0"/>
              <w:left w:val="single" w:color="auto" w:sz="4" w:space="0"/>
              <w:bottom w:val="single" w:color="auto" w:sz="4" w:space="0"/>
              <w:right w:val="single" w:color="auto" w:sz="4" w:space="0"/>
            </w:tcBorders>
          </w:tcPr>
          <w:p w14:paraId="10127E8D">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261" w:type="pct"/>
            <w:tcBorders>
              <w:top w:val="single" w:color="auto" w:sz="4" w:space="0"/>
              <w:left w:val="single" w:color="auto" w:sz="4" w:space="0"/>
              <w:bottom w:val="single" w:color="auto" w:sz="4" w:space="0"/>
              <w:right w:val="single" w:color="auto" w:sz="4" w:space="0"/>
            </w:tcBorders>
            <w:vAlign w:val="center"/>
          </w:tcPr>
          <w:p w14:paraId="0EB160B1">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r>
      <w:tr w14:paraId="65AB9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231" w:type="pct"/>
            <w:tcBorders>
              <w:top w:val="single" w:color="auto" w:sz="4" w:space="0"/>
              <w:left w:val="single" w:color="auto" w:sz="4" w:space="0"/>
              <w:bottom w:val="single" w:color="auto" w:sz="4" w:space="0"/>
              <w:right w:val="single" w:color="auto" w:sz="4" w:space="0"/>
            </w:tcBorders>
            <w:vAlign w:val="center"/>
          </w:tcPr>
          <w:p w14:paraId="7B8DE0F5">
            <w:pPr>
              <w:autoSpaceDE w:val="0"/>
              <w:autoSpaceDN w:val="0"/>
              <w:adjustRightInd w:val="0"/>
              <w:snapToGrid/>
              <w:spacing w:line="400" w:lineRule="exact"/>
              <w:jc w:val="center"/>
              <w:outlineLvl w:val="9"/>
              <w:rPr>
                <w:rFonts w:hint="default" w:ascii="宋体" w:hAnsi="宋体" w:eastAsia="宋体" w:cs="宋体"/>
                <w:color w:val="auto"/>
                <w:kern w:val="0"/>
                <w:szCs w:val="21"/>
                <w:highlight w:val="none"/>
                <w:lang w:val="en-US" w:eastAsia="zh-CN"/>
              </w:rPr>
            </w:pPr>
            <w:r>
              <w:rPr>
                <w:rFonts w:hint="eastAsia" w:cs="宋体"/>
                <w:color w:val="auto"/>
                <w:kern w:val="0"/>
                <w:szCs w:val="21"/>
                <w:highlight w:val="none"/>
                <w:lang w:val="en-US" w:eastAsia="zh-CN"/>
              </w:rPr>
              <w:t>76</w:t>
            </w:r>
          </w:p>
        </w:tc>
        <w:tc>
          <w:tcPr>
            <w:tcW w:w="838" w:type="pct"/>
            <w:tcBorders>
              <w:top w:val="single" w:color="auto" w:sz="4" w:space="0"/>
              <w:left w:val="single" w:color="auto" w:sz="4" w:space="0"/>
              <w:bottom w:val="single" w:color="auto" w:sz="4" w:space="0"/>
              <w:right w:val="single" w:color="auto" w:sz="4" w:space="0"/>
            </w:tcBorders>
            <w:vAlign w:val="center"/>
          </w:tcPr>
          <w:p w14:paraId="6AF68BB8">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color w:val="auto"/>
                <w:kern w:val="0"/>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加密法兰闸阀</w:t>
            </w:r>
          </w:p>
        </w:tc>
        <w:tc>
          <w:tcPr>
            <w:tcW w:w="346" w:type="pct"/>
            <w:tcBorders>
              <w:top w:val="single" w:color="auto" w:sz="4" w:space="0"/>
              <w:left w:val="single" w:color="auto" w:sz="4" w:space="0"/>
              <w:bottom w:val="single" w:color="auto" w:sz="4" w:space="0"/>
              <w:right w:val="single" w:color="auto" w:sz="4" w:space="0"/>
            </w:tcBorders>
            <w:vAlign w:val="center"/>
          </w:tcPr>
          <w:p w14:paraId="2EF160CD">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395" w:type="pct"/>
            <w:tcBorders>
              <w:top w:val="single" w:color="auto" w:sz="4" w:space="0"/>
              <w:left w:val="single" w:color="auto" w:sz="4" w:space="0"/>
              <w:bottom w:val="single" w:color="auto" w:sz="4" w:space="0"/>
              <w:right w:val="single" w:color="auto" w:sz="4" w:space="0"/>
            </w:tcBorders>
            <w:vAlign w:val="center"/>
          </w:tcPr>
          <w:p w14:paraId="1D6247B8">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669" w:type="pct"/>
            <w:tcBorders>
              <w:top w:val="single" w:color="auto" w:sz="4" w:space="0"/>
              <w:left w:val="single" w:color="auto" w:sz="4" w:space="0"/>
              <w:bottom w:val="single" w:color="auto" w:sz="4" w:space="0"/>
              <w:right w:val="single" w:color="auto" w:sz="4" w:space="0"/>
            </w:tcBorders>
            <w:vAlign w:val="center"/>
          </w:tcPr>
          <w:p w14:paraId="0F23072B">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color w:val="auto"/>
                <w:kern w:val="0"/>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DN100</w:t>
            </w:r>
          </w:p>
        </w:tc>
        <w:tc>
          <w:tcPr>
            <w:tcW w:w="669" w:type="pct"/>
            <w:tcBorders>
              <w:top w:val="single" w:color="auto" w:sz="4" w:space="0"/>
              <w:left w:val="single" w:color="auto" w:sz="4" w:space="0"/>
              <w:bottom w:val="single" w:color="auto" w:sz="4" w:space="0"/>
              <w:right w:val="single" w:color="auto" w:sz="4" w:space="0"/>
            </w:tcBorders>
            <w:vAlign w:val="center"/>
          </w:tcPr>
          <w:p w14:paraId="41FD737E">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color w:val="auto"/>
                <w:kern w:val="0"/>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330" w:type="pct"/>
            <w:tcBorders>
              <w:top w:val="single" w:color="auto" w:sz="4" w:space="0"/>
              <w:left w:val="single" w:color="auto" w:sz="4" w:space="0"/>
              <w:bottom w:val="single" w:color="auto" w:sz="4" w:space="0"/>
              <w:right w:val="single" w:color="auto" w:sz="4" w:space="0"/>
            </w:tcBorders>
            <w:vAlign w:val="center"/>
          </w:tcPr>
          <w:p w14:paraId="6AA04D0E">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color w:val="auto"/>
                <w:kern w:val="0"/>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370" w:type="pct"/>
            <w:tcBorders>
              <w:top w:val="single" w:color="auto" w:sz="4" w:space="0"/>
              <w:left w:val="single" w:color="auto" w:sz="4" w:space="0"/>
              <w:bottom w:val="single" w:color="auto" w:sz="4" w:space="0"/>
              <w:right w:val="single" w:color="auto" w:sz="4" w:space="0"/>
            </w:tcBorders>
            <w:vAlign w:val="center"/>
          </w:tcPr>
          <w:p w14:paraId="63CC0ADC">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color w:val="auto"/>
                <w:kern w:val="0"/>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15</w:t>
            </w:r>
          </w:p>
        </w:tc>
        <w:tc>
          <w:tcPr>
            <w:tcW w:w="322" w:type="pct"/>
            <w:tcBorders>
              <w:top w:val="single" w:color="auto" w:sz="4" w:space="0"/>
              <w:left w:val="single" w:color="auto" w:sz="4" w:space="0"/>
              <w:bottom w:val="single" w:color="auto" w:sz="4" w:space="0"/>
              <w:right w:val="single" w:color="auto" w:sz="4" w:space="0"/>
            </w:tcBorders>
          </w:tcPr>
          <w:p w14:paraId="2D0FCFEE">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564" w:type="pct"/>
            <w:tcBorders>
              <w:top w:val="single" w:color="auto" w:sz="4" w:space="0"/>
              <w:left w:val="single" w:color="auto" w:sz="4" w:space="0"/>
              <w:bottom w:val="single" w:color="auto" w:sz="4" w:space="0"/>
              <w:right w:val="single" w:color="auto" w:sz="4" w:space="0"/>
            </w:tcBorders>
          </w:tcPr>
          <w:p w14:paraId="1779D301">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261" w:type="pct"/>
            <w:tcBorders>
              <w:top w:val="single" w:color="auto" w:sz="4" w:space="0"/>
              <w:left w:val="single" w:color="auto" w:sz="4" w:space="0"/>
              <w:bottom w:val="single" w:color="auto" w:sz="4" w:space="0"/>
              <w:right w:val="single" w:color="auto" w:sz="4" w:space="0"/>
            </w:tcBorders>
            <w:vAlign w:val="center"/>
          </w:tcPr>
          <w:p w14:paraId="612FBE15">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r>
      <w:tr w14:paraId="6571C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231" w:type="pct"/>
            <w:tcBorders>
              <w:top w:val="single" w:color="auto" w:sz="4" w:space="0"/>
              <w:left w:val="single" w:color="auto" w:sz="4" w:space="0"/>
              <w:bottom w:val="single" w:color="auto" w:sz="4" w:space="0"/>
              <w:right w:val="single" w:color="auto" w:sz="4" w:space="0"/>
            </w:tcBorders>
            <w:vAlign w:val="center"/>
          </w:tcPr>
          <w:p w14:paraId="26B59EB0">
            <w:pPr>
              <w:autoSpaceDE w:val="0"/>
              <w:autoSpaceDN w:val="0"/>
              <w:adjustRightInd w:val="0"/>
              <w:snapToGrid/>
              <w:spacing w:line="400" w:lineRule="exact"/>
              <w:jc w:val="center"/>
              <w:outlineLvl w:val="9"/>
              <w:rPr>
                <w:rFonts w:hint="default" w:ascii="宋体" w:hAnsi="宋体" w:eastAsia="宋体" w:cs="宋体"/>
                <w:color w:val="auto"/>
                <w:kern w:val="0"/>
                <w:szCs w:val="21"/>
                <w:highlight w:val="none"/>
                <w:lang w:val="en-US" w:eastAsia="zh-CN"/>
              </w:rPr>
            </w:pPr>
            <w:r>
              <w:rPr>
                <w:rFonts w:hint="eastAsia" w:cs="宋体"/>
                <w:color w:val="auto"/>
                <w:kern w:val="0"/>
                <w:szCs w:val="21"/>
                <w:highlight w:val="none"/>
                <w:lang w:val="en-US" w:eastAsia="zh-CN"/>
              </w:rPr>
              <w:t>77</w:t>
            </w:r>
          </w:p>
        </w:tc>
        <w:tc>
          <w:tcPr>
            <w:tcW w:w="838" w:type="pct"/>
            <w:tcBorders>
              <w:top w:val="single" w:color="auto" w:sz="4" w:space="0"/>
              <w:left w:val="single" w:color="auto" w:sz="4" w:space="0"/>
              <w:bottom w:val="single" w:color="auto" w:sz="4" w:space="0"/>
              <w:right w:val="single" w:color="auto" w:sz="4" w:space="0"/>
            </w:tcBorders>
            <w:vAlign w:val="center"/>
          </w:tcPr>
          <w:p w14:paraId="4D0147D2">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color w:val="auto"/>
                <w:kern w:val="0"/>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加密法兰闸阀</w:t>
            </w:r>
          </w:p>
        </w:tc>
        <w:tc>
          <w:tcPr>
            <w:tcW w:w="346" w:type="pct"/>
            <w:tcBorders>
              <w:top w:val="single" w:color="auto" w:sz="4" w:space="0"/>
              <w:left w:val="single" w:color="auto" w:sz="4" w:space="0"/>
              <w:bottom w:val="single" w:color="auto" w:sz="4" w:space="0"/>
              <w:right w:val="single" w:color="auto" w:sz="4" w:space="0"/>
            </w:tcBorders>
            <w:vAlign w:val="center"/>
          </w:tcPr>
          <w:p w14:paraId="2BB3FC8B">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395" w:type="pct"/>
            <w:tcBorders>
              <w:top w:val="single" w:color="auto" w:sz="4" w:space="0"/>
              <w:left w:val="single" w:color="auto" w:sz="4" w:space="0"/>
              <w:bottom w:val="single" w:color="auto" w:sz="4" w:space="0"/>
              <w:right w:val="single" w:color="auto" w:sz="4" w:space="0"/>
            </w:tcBorders>
            <w:vAlign w:val="center"/>
          </w:tcPr>
          <w:p w14:paraId="018D31F8">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669" w:type="pct"/>
            <w:tcBorders>
              <w:top w:val="single" w:color="auto" w:sz="4" w:space="0"/>
              <w:left w:val="single" w:color="auto" w:sz="4" w:space="0"/>
              <w:bottom w:val="single" w:color="auto" w:sz="4" w:space="0"/>
              <w:right w:val="single" w:color="auto" w:sz="4" w:space="0"/>
            </w:tcBorders>
            <w:vAlign w:val="center"/>
          </w:tcPr>
          <w:p w14:paraId="5AACC21C">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color w:val="auto"/>
                <w:kern w:val="0"/>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DN125</w:t>
            </w:r>
          </w:p>
        </w:tc>
        <w:tc>
          <w:tcPr>
            <w:tcW w:w="669" w:type="pct"/>
            <w:tcBorders>
              <w:top w:val="single" w:color="auto" w:sz="4" w:space="0"/>
              <w:left w:val="single" w:color="auto" w:sz="4" w:space="0"/>
              <w:bottom w:val="single" w:color="auto" w:sz="4" w:space="0"/>
              <w:right w:val="single" w:color="auto" w:sz="4" w:space="0"/>
            </w:tcBorders>
            <w:vAlign w:val="center"/>
          </w:tcPr>
          <w:p w14:paraId="0D066816">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color w:val="auto"/>
                <w:kern w:val="0"/>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330" w:type="pct"/>
            <w:tcBorders>
              <w:top w:val="single" w:color="auto" w:sz="4" w:space="0"/>
              <w:left w:val="single" w:color="auto" w:sz="4" w:space="0"/>
              <w:bottom w:val="single" w:color="auto" w:sz="4" w:space="0"/>
              <w:right w:val="single" w:color="auto" w:sz="4" w:space="0"/>
            </w:tcBorders>
            <w:vAlign w:val="center"/>
          </w:tcPr>
          <w:p w14:paraId="31AFAEAD">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color w:val="auto"/>
                <w:kern w:val="0"/>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370" w:type="pct"/>
            <w:tcBorders>
              <w:top w:val="single" w:color="auto" w:sz="4" w:space="0"/>
              <w:left w:val="single" w:color="auto" w:sz="4" w:space="0"/>
              <w:bottom w:val="single" w:color="auto" w:sz="4" w:space="0"/>
              <w:right w:val="single" w:color="auto" w:sz="4" w:space="0"/>
            </w:tcBorders>
            <w:vAlign w:val="center"/>
          </w:tcPr>
          <w:p w14:paraId="5A5FA97A">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color w:val="auto"/>
                <w:kern w:val="0"/>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6</w:t>
            </w:r>
          </w:p>
        </w:tc>
        <w:tc>
          <w:tcPr>
            <w:tcW w:w="322" w:type="pct"/>
            <w:tcBorders>
              <w:top w:val="single" w:color="auto" w:sz="4" w:space="0"/>
              <w:left w:val="single" w:color="auto" w:sz="4" w:space="0"/>
              <w:bottom w:val="single" w:color="auto" w:sz="4" w:space="0"/>
              <w:right w:val="single" w:color="auto" w:sz="4" w:space="0"/>
            </w:tcBorders>
          </w:tcPr>
          <w:p w14:paraId="3FA67654">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564" w:type="pct"/>
            <w:tcBorders>
              <w:top w:val="single" w:color="auto" w:sz="4" w:space="0"/>
              <w:left w:val="single" w:color="auto" w:sz="4" w:space="0"/>
              <w:bottom w:val="single" w:color="auto" w:sz="4" w:space="0"/>
              <w:right w:val="single" w:color="auto" w:sz="4" w:space="0"/>
            </w:tcBorders>
          </w:tcPr>
          <w:p w14:paraId="0924FDFE">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261" w:type="pct"/>
            <w:tcBorders>
              <w:top w:val="single" w:color="auto" w:sz="4" w:space="0"/>
              <w:left w:val="single" w:color="auto" w:sz="4" w:space="0"/>
              <w:bottom w:val="single" w:color="auto" w:sz="4" w:space="0"/>
              <w:right w:val="single" w:color="auto" w:sz="4" w:space="0"/>
            </w:tcBorders>
            <w:vAlign w:val="center"/>
          </w:tcPr>
          <w:p w14:paraId="1DFE4974">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r>
      <w:tr w14:paraId="180BA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231" w:type="pct"/>
            <w:tcBorders>
              <w:top w:val="single" w:color="auto" w:sz="4" w:space="0"/>
              <w:left w:val="single" w:color="auto" w:sz="4" w:space="0"/>
              <w:bottom w:val="single" w:color="auto" w:sz="4" w:space="0"/>
              <w:right w:val="single" w:color="auto" w:sz="4" w:space="0"/>
            </w:tcBorders>
            <w:vAlign w:val="center"/>
          </w:tcPr>
          <w:p w14:paraId="6022E059">
            <w:pPr>
              <w:autoSpaceDE w:val="0"/>
              <w:autoSpaceDN w:val="0"/>
              <w:adjustRightInd w:val="0"/>
              <w:snapToGrid/>
              <w:spacing w:line="400" w:lineRule="exact"/>
              <w:jc w:val="center"/>
              <w:outlineLvl w:val="9"/>
              <w:rPr>
                <w:rFonts w:hint="default" w:ascii="宋体" w:hAnsi="宋体" w:eastAsia="宋体" w:cs="宋体"/>
                <w:color w:val="auto"/>
                <w:kern w:val="0"/>
                <w:szCs w:val="21"/>
                <w:highlight w:val="none"/>
                <w:lang w:val="en-US" w:eastAsia="zh-CN"/>
              </w:rPr>
            </w:pPr>
            <w:r>
              <w:rPr>
                <w:rFonts w:hint="eastAsia" w:cs="宋体"/>
                <w:color w:val="auto"/>
                <w:kern w:val="0"/>
                <w:szCs w:val="21"/>
                <w:highlight w:val="none"/>
                <w:lang w:val="en-US" w:eastAsia="zh-CN"/>
              </w:rPr>
              <w:t>78</w:t>
            </w:r>
          </w:p>
        </w:tc>
        <w:tc>
          <w:tcPr>
            <w:tcW w:w="838" w:type="pct"/>
            <w:tcBorders>
              <w:top w:val="single" w:color="auto" w:sz="4" w:space="0"/>
              <w:left w:val="single" w:color="auto" w:sz="4" w:space="0"/>
              <w:bottom w:val="single" w:color="auto" w:sz="4" w:space="0"/>
              <w:right w:val="single" w:color="auto" w:sz="4" w:space="0"/>
            </w:tcBorders>
            <w:vAlign w:val="center"/>
          </w:tcPr>
          <w:p w14:paraId="5BE3AC44">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color w:val="auto"/>
                <w:kern w:val="0"/>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加密法兰闸阀</w:t>
            </w:r>
          </w:p>
        </w:tc>
        <w:tc>
          <w:tcPr>
            <w:tcW w:w="346" w:type="pct"/>
            <w:tcBorders>
              <w:top w:val="single" w:color="auto" w:sz="4" w:space="0"/>
              <w:left w:val="single" w:color="auto" w:sz="4" w:space="0"/>
              <w:bottom w:val="single" w:color="auto" w:sz="4" w:space="0"/>
              <w:right w:val="single" w:color="auto" w:sz="4" w:space="0"/>
            </w:tcBorders>
            <w:vAlign w:val="center"/>
          </w:tcPr>
          <w:p w14:paraId="3009EF1D">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395" w:type="pct"/>
            <w:tcBorders>
              <w:top w:val="single" w:color="auto" w:sz="4" w:space="0"/>
              <w:left w:val="single" w:color="auto" w:sz="4" w:space="0"/>
              <w:bottom w:val="single" w:color="auto" w:sz="4" w:space="0"/>
              <w:right w:val="single" w:color="auto" w:sz="4" w:space="0"/>
            </w:tcBorders>
            <w:vAlign w:val="center"/>
          </w:tcPr>
          <w:p w14:paraId="11F6E831">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669" w:type="pct"/>
            <w:tcBorders>
              <w:top w:val="single" w:color="auto" w:sz="4" w:space="0"/>
              <w:left w:val="single" w:color="auto" w:sz="4" w:space="0"/>
              <w:bottom w:val="single" w:color="auto" w:sz="4" w:space="0"/>
              <w:right w:val="single" w:color="auto" w:sz="4" w:space="0"/>
            </w:tcBorders>
            <w:vAlign w:val="center"/>
          </w:tcPr>
          <w:p w14:paraId="34DA2000">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color w:val="auto"/>
                <w:kern w:val="0"/>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DN150</w:t>
            </w:r>
          </w:p>
        </w:tc>
        <w:tc>
          <w:tcPr>
            <w:tcW w:w="669" w:type="pct"/>
            <w:tcBorders>
              <w:top w:val="single" w:color="auto" w:sz="4" w:space="0"/>
              <w:left w:val="single" w:color="auto" w:sz="4" w:space="0"/>
              <w:bottom w:val="single" w:color="auto" w:sz="4" w:space="0"/>
              <w:right w:val="single" w:color="auto" w:sz="4" w:space="0"/>
            </w:tcBorders>
            <w:vAlign w:val="center"/>
          </w:tcPr>
          <w:p w14:paraId="5B649E7B">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color w:val="auto"/>
                <w:kern w:val="0"/>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330" w:type="pct"/>
            <w:tcBorders>
              <w:top w:val="single" w:color="auto" w:sz="4" w:space="0"/>
              <w:left w:val="single" w:color="auto" w:sz="4" w:space="0"/>
              <w:bottom w:val="single" w:color="auto" w:sz="4" w:space="0"/>
              <w:right w:val="single" w:color="auto" w:sz="4" w:space="0"/>
            </w:tcBorders>
            <w:vAlign w:val="center"/>
          </w:tcPr>
          <w:p w14:paraId="3C56B9EA">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color w:val="auto"/>
                <w:kern w:val="0"/>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370" w:type="pct"/>
            <w:tcBorders>
              <w:top w:val="single" w:color="auto" w:sz="4" w:space="0"/>
              <w:left w:val="single" w:color="auto" w:sz="4" w:space="0"/>
              <w:bottom w:val="single" w:color="auto" w:sz="4" w:space="0"/>
              <w:right w:val="single" w:color="auto" w:sz="4" w:space="0"/>
            </w:tcBorders>
            <w:vAlign w:val="center"/>
          </w:tcPr>
          <w:p w14:paraId="7EE5486D">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color w:val="auto"/>
                <w:kern w:val="0"/>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6</w:t>
            </w:r>
          </w:p>
        </w:tc>
        <w:tc>
          <w:tcPr>
            <w:tcW w:w="322" w:type="pct"/>
            <w:tcBorders>
              <w:top w:val="single" w:color="auto" w:sz="4" w:space="0"/>
              <w:left w:val="single" w:color="auto" w:sz="4" w:space="0"/>
              <w:bottom w:val="single" w:color="auto" w:sz="4" w:space="0"/>
              <w:right w:val="single" w:color="auto" w:sz="4" w:space="0"/>
            </w:tcBorders>
          </w:tcPr>
          <w:p w14:paraId="39651ABD">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564" w:type="pct"/>
            <w:tcBorders>
              <w:top w:val="single" w:color="auto" w:sz="4" w:space="0"/>
              <w:left w:val="single" w:color="auto" w:sz="4" w:space="0"/>
              <w:bottom w:val="single" w:color="auto" w:sz="4" w:space="0"/>
              <w:right w:val="single" w:color="auto" w:sz="4" w:space="0"/>
            </w:tcBorders>
          </w:tcPr>
          <w:p w14:paraId="117749A9">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261" w:type="pct"/>
            <w:tcBorders>
              <w:top w:val="single" w:color="auto" w:sz="4" w:space="0"/>
              <w:left w:val="single" w:color="auto" w:sz="4" w:space="0"/>
              <w:bottom w:val="single" w:color="auto" w:sz="4" w:space="0"/>
              <w:right w:val="single" w:color="auto" w:sz="4" w:space="0"/>
            </w:tcBorders>
            <w:vAlign w:val="center"/>
          </w:tcPr>
          <w:p w14:paraId="36D0F90E">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r>
      <w:tr w14:paraId="017E7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231" w:type="pct"/>
            <w:tcBorders>
              <w:top w:val="single" w:color="auto" w:sz="4" w:space="0"/>
              <w:left w:val="single" w:color="auto" w:sz="4" w:space="0"/>
              <w:bottom w:val="single" w:color="auto" w:sz="4" w:space="0"/>
              <w:right w:val="single" w:color="auto" w:sz="4" w:space="0"/>
            </w:tcBorders>
            <w:vAlign w:val="center"/>
          </w:tcPr>
          <w:p w14:paraId="20ACCDE6">
            <w:pPr>
              <w:autoSpaceDE w:val="0"/>
              <w:autoSpaceDN w:val="0"/>
              <w:adjustRightInd w:val="0"/>
              <w:snapToGrid/>
              <w:spacing w:line="400" w:lineRule="exact"/>
              <w:jc w:val="center"/>
              <w:outlineLvl w:val="9"/>
              <w:rPr>
                <w:rFonts w:hint="default" w:ascii="宋体" w:hAnsi="宋体" w:eastAsia="宋体" w:cs="宋体"/>
                <w:color w:val="auto"/>
                <w:kern w:val="0"/>
                <w:szCs w:val="21"/>
                <w:highlight w:val="none"/>
                <w:lang w:val="en-US" w:eastAsia="zh-CN"/>
              </w:rPr>
            </w:pPr>
            <w:r>
              <w:rPr>
                <w:rFonts w:hint="eastAsia" w:cs="宋体"/>
                <w:color w:val="auto"/>
                <w:kern w:val="0"/>
                <w:szCs w:val="21"/>
                <w:highlight w:val="none"/>
                <w:lang w:val="en-US" w:eastAsia="zh-CN"/>
              </w:rPr>
              <w:t>79</w:t>
            </w:r>
          </w:p>
        </w:tc>
        <w:tc>
          <w:tcPr>
            <w:tcW w:w="838" w:type="pct"/>
            <w:tcBorders>
              <w:top w:val="single" w:color="auto" w:sz="4" w:space="0"/>
              <w:left w:val="single" w:color="auto" w:sz="4" w:space="0"/>
              <w:bottom w:val="single" w:color="auto" w:sz="4" w:space="0"/>
              <w:right w:val="single" w:color="auto" w:sz="4" w:space="0"/>
            </w:tcBorders>
            <w:vAlign w:val="center"/>
          </w:tcPr>
          <w:p w14:paraId="6FF46ECD">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color w:val="auto"/>
                <w:kern w:val="0"/>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加密法兰闸阀</w:t>
            </w:r>
          </w:p>
        </w:tc>
        <w:tc>
          <w:tcPr>
            <w:tcW w:w="346" w:type="pct"/>
            <w:tcBorders>
              <w:top w:val="single" w:color="auto" w:sz="4" w:space="0"/>
              <w:left w:val="single" w:color="auto" w:sz="4" w:space="0"/>
              <w:bottom w:val="single" w:color="auto" w:sz="4" w:space="0"/>
              <w:right w:val="single" w:color="auto" w:sz="4" w:space="0"/>
            </w:tcBorders>
            <w:vAlign w:val="center"/>
          </w:tcPr>
          <w:p w14:paraId="71EC11CA">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395" w:type="pct"/>
            <w:tcBorders>
              <w:top w:val="single" w:color="auto" w:sz="4" w:space="0"/>
              <w:left w:val="single" w:color="auto" w:sz="4" w:space="0"/>
              <w:bottom w:val="single" w:color="auto" w:sz="4" w:space="0"/>
              <w:right w:val="single" w:color="auto" w:sz="4" w:space="0"/>
            </w:tcBorders>
            <w:vAlign w:val="center"/>
          </w:tcPr>
          <w:p w14:paraId="7FD6320B">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669" w:type="pct"/>
            <w:tcBorders>
              <w:top w:val="single" w:color="auto" w:sz="4" w:space="0"/>
              <w:left w:val="single" w:color="auto" w:sz="4" w:space="0"/>
              <w:bottom w:val="single" w:color="auto" w:sz="4" w:space="0"/>
              <w:right w:val="single" w:color="auto" w:sz="4" w:space="0"/>
            </w:tcBorders>
            <w:vAlign w:val="center"/>
          </w:tcPr>
          <w:p w14:paraId="7B24EF12">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color w:val="auto"/>
                <w:kern w:val="0"/>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DN200</w:t>
            </w:r>
          </w:p>
        </w:tc>
        <w:tc>
          <w:tcPr>
            <w:tcW w:w="669" w:type="pct"/>
            <w:tcBorders>
              <w:top w:val="single" w:color="auto" w:sz="4" w:space="0"/>
              <w:left w:val="single" w:color="auto" w:sz="4" w:space="0"/>
              <w:bottom w:val="single" w:color="auto" w:sz="4" w:space="0"/>
              <w:right w:val="single" w:color="auto" w:sz="4" w:space="0"/>
            </w:tcBorders>
            <w:vAlign w:val="center"/>
          </w:tcPr>
          <w:p w14:paraId="2BA9419A">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color w:val="auto"/>
                <w:kern w:val="0"/>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330" w:type="pct"/>
            <w:tcBorders>
              <w:top w:val="single" w:color="auto" w:sz="4" w:space="0"/>
              <w:left w:val="single" w:color="auto" w:sz="4" w:space="0"/>
              <w:bottom w:val="single" w:color="auto" w:sz="4" w:space="0"/>
              <w:right w:val="single" w:color="auto" w:sz="4" w:space="0"/>
            </w:tcBorders>
            <w:vAlign w:val="center"/>
          </w:tcPr>
          <w:p w14:paraId="4E384AF0">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color w:val="auto"/>
                <w:kern w:val="0"/>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370" w:type="pct"/>
            <w:tcBorders>
              <w:top w:val="single" w:color="auto" w:sz="4" w:space="0"/>
              <w:left w:val="single" w:color="auto" w:sz="4" w:space="0"/>
              <w:bottom w:val="single" w:color="auto" w:sz="4" w:space="0"/>
              <w:right w:val="single" w:color="auto" w:sz="4" w:space="0"/>
            </w:tcBorders>
            <w:vAlign w:val="center"/>
          </w:tcPr>
          <w:p w14:paraId="4FC0E27A">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color w:val="auto"/>
                <w:kern w:val="0"/>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6</w:t>
            </w:r>
          </w:p>
        </w:tc>
        <w:tc>
          <w:tcPr>
            <w:tcW w:w="322" w:type="pct"/>
            <w:tcBorders>
              <w:top w:val="single" w:color="auto" w:sz="4" w:space="0"/>
              <w:left w:val="single" w:color="auto" w:sz="4" w:space="0"/>
              <w:bottom w:val="single" w:color="auto" w:sz="4" w:space="0"/>
              <w:right w:val="single" w:color="auto" w:sz="4" w:space="0"/>
            </w:tcBorders>
          </w:tcPr>
          <w:p w14:paraId="4AAB5E85">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564" w:type="pct"/>
            <w:tcBorders>
              <w:top w:val="single" w:color="auto" w:sz="4" w:space="0"/>
              <w:left w:val="single" w:color="auto" w:sz="4" w:space="0"/>
              <w:bottom w:val="single" w:color="auto" w:sz="4" w:space="0"/>
              <w:right w:val="single" w:color="auto" w:sz="4" w:space="0"/>
            </w:tcBorders>
          </w:tcPr>
          <w:p w14:paraId="7E96B690">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261" w:type="pct"/>
            <w:tcBorders>
              <w:top w:val="single" w:color="auto" w:sz="4" w:space="0"/>
              <w:left w:val="single" w:color="auto" w:sz="4" w:space="0"/>
              <w:bottom w:val="single" w:color="auto" w:sz="4" w:space="0"/>
              <w:right w:val="single" w:color="auto" w:sz="4" w:space="0"/>
            </w:tcBorders>
            <w:vAlign w:val="center"/>
          </w:tcPr>
          <w:p w14:paraId="2C3CAB69">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r>
      <w:tr w14:paraId="65200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231" w:type="pct"/>
            <w:tcBorders>
              <w:top w:val="single" w:color="auto" w:sz="4" w:space="0"/>
              <w:left w:val="single" w:color="auto" w:sz="4" w:space="0"/>
              <w:bottom w:val="single" w:color="auto" w:sz="4" w:space="0"/>
              <w:right w:val="single" w:color="auto" w:sz="4" w:space="0"/>
            </w:tcBorders>
            <w:vAlign w:val="center"/>
          </w:tcPr>
          <w:p w14:paraId="7EC81974">
            <w:pPr>
              <w:autoSpaceDE w:val="0"/>
              <w:autoSpaceDN w:val="0"/>
              <w:adjustRightInd w:val="0"/>
              <w:snapToGrid/>
              <w:spacing w:line="400" w:lineRule="exact"/>
              <w:jc w:val="center"/>
              <w:outlineLvl w:val="9"/>
              <w:rPr>
                <w:rFonts w:hint="default" w:ascii="宋体" w:hAnsi="宋体" w:eastAsia="宋体" w:cs="宋体"/>
                <w:color w:val="auto"/>
                <w:kern w:val="0"/>
                <w:szCs w:val="21"/>
                <w:highlight w:val="none"/>
                <w:lang w:val="en-US" w:eastAsia="zh-CN"/>
              </w:rPr>
            </w:pPr>
            <w:r>
              <w:rPr>
                <w:rFonts w:hint="eastAsia" w:cs="宋体"/>
                <w:color w:val="auto"/>
                <w:kern w:val="0"/>
                <w:szCs w:val="21"/>
                <w:highlight w:val="none"/>
                <w:lang w:val="en-US" w:eastAsia="zh-CN"/>
              </w:rPr>
              <w:t>80</w:t>
            </w:r>
          </w:p>
        </w:tc>
        <w:tc>
          <w:tcPr>
            <w:tcW w:w="838" w:type="pct"/>
            <w:tcBorders>
              <w:top w:val="single" w:color="auto" w:sz="4" w:space="0"/>
              <w:left w:val="single" w:color="auto" w:sz="4" w:space="0"/>
              <w:bottom w:val="single" w:color="auto" w:sz="4" w:space="0"/>
              <w:right w:val="single" w:color="auto" w:sz="4" w:space="0"/>
            </w:tcBorders>
            <w:vAlign w:val="center"/>
          </w:tcPr>
          <w:p w14:paraId="70916AC1">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color w:val="auto"/>
                <w:kern w:val="0"/>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加密法兰闸阀</w:t>
            </w:r>
          </w:p>
        </w:tc>
        <w:tc>
          <w:tcPr>
            <w:tcW w:w="346" w:type="pct"/>
            <w:tcBorders>
              <w:top w:val="single" w:color="auto" w:sz="4" w:space="0"/>
              <w:left w:val="single" w:color="auto" w:sz="4" w:space="0"/>
              <w:bottom w:val="single" w:color="auto" w:sz="4" w:space="0"/>
              <w:right w:val="single" w:color="auto" w:sz="4" w:space="0"/>
            </w:tcBorders>
            <w:vAlign w:val="center"/>
          </w:tcPr>
          <w:p w14:paraId="00F876E6">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395" w:type="pct"/>
            <w:tcBorders>
              <w:top w:val="single" w:color="auto" w:sz="4" w:space="0"/>
              <w:left w:val="single" w:color="auto" w:sz="4" w:space="0"/>
              <w:bottom w:val="single" w:color="auto" w:sz="4" w:space="0"/>
              <w:right w:val="single" w:color="auto" w:sz="4" w:space="0"/>
            </w:tcBorders>
            <w:vAlign w:val="center"/>
          </w:tcPr>
          <w:p w14:paraId="46C16B15">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669" w:type="pct"/>
            <w:tcBorders>
              <w:top w:val="single" w:color="auto" w:sz="4" w:space="0"/>
              <w:left w:val="single" w:color="auto" w:sz="4" w:space="0"/>
              <w:bottom w:val="single" w:color="auto" w:sz="4" w:space="0"/>
              <w:right w:val="single" w:color="auto" w:sz="4" w:space="0"/>
            </w:tcBorders>
            <w:vAlign w:val="center"/>
          </w:tcPr>
          <w:p w14:paraId="1123718A">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color w:val="auto"/>
                <w:kern w:val="0"/>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DN250</w:t>
            </w:r>
          </w:p>
        </w:tc>
        <w:tc>
          <w:tcPr>
            <w:tcW w:w="669" w:type="pct"/>
            <w:tcBorders>
              <w:top w:val="single" w:color="auto" w:sz="4" w:space="0"/>
              <w:left w:val="single" w:color="auto" w:sz="4" w:space="0"/>
              <w:bottom w:val="single" w:color="auto" w:sz="4" w:space="0"/>
              <w:right w:val="single" w:color="auto" w:sz="4" w:space="0"/>
            </w:tcBorders>
            <w:vAlign w:val="center"/>
          </w:tcPr>
          <w:p w14:paraId="4D80163F">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color w:val="auto"/>
                <w:kern w:val="0"/>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330" w:type="pct"/>
            <w:tcBorders>
              <w:top w:val="single" w:color="auto" w:sz="4" w:space="0"/>
              <w:left w:val="single" w:color="auto" w:sz="4" w:space="0"/>
              <w:bottom w:val="single" w:color="auto" w:sz="4" w:space="0"/>
              <w:right w:val="single" w:color="auto" w:sz="4" w:space="0"/>
            </w:tcBorders>
            <w:vAlign w:val="center"/>
          </w:tcPr>
          <w:p w14:paraId="537B87D4">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color w:val="auto"/>
                <w:kern w:val="0"/>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370" w:type="pct"/>
            <w:tcBorders>
              <w:top w:val="single" w:color="auto" w:sz="4" w:space="0"/>
              <w:left w:val="single" w:color="auto" w:sz="4" w:space="0"/>
              <w:bottom w:val="single" w:color="auto" w:sz="4" w:space="0"/>
              <w:right w:val="single" w:color="auto" w:sz="4" w:space="0"/>
            </w:tcBorders>
            <w:vAlign w:val="center"/>
          </w:tcPr>
          <w:p w14:paraId="07A85728">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color w:val="auto"/>
                <w:kern w:val="0"/>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6</w:t>
            </w:r>
          </w:p>
        </w:tc>
        <w:tc>
          <w:tcPr>
            <w:tcW w:w="322" w:type="pct"/>
            <w:tcBorders>
              <w:top w:val="single" w:color="auto" w:sz="4" w:space="0"/>
              <w:left w:val="single" w:color="auto" w:sz="4" w:space="0"/>
              <w:bottom w:val="single" w:color="auto" w:sz="4" w:space="0"/>
              <w:right w:val="single" w:color="auto" w:sz="4" w:space="0"/>
            </w:tcBorders>
          </w:tcPr>
          <w:p w14:paraId="47E430A1">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564" w:type="pct"/>
            <w:tcBorders>
              <w:top w:val="single" w:color="auto" w:sz="4" w:space="0"/>
              <w:left w:val="single" w:color="auto" w:sz="4" w:space="0"/>
              <w:bottom w:val="single" w:color="auto" w:sz="4" w:space="0"/>
              <w:right w:val="single" w:color="auto" w:sz="4" w:space="0"/>
            </w:tcBorders>
          </w:tcPr>
          <w:p w14:paraId="35AEF513">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261" w:type="pct"/>
            <w:tcBorders>
              <w:top w:val="single" w:color="auto" w:sz="4" w:space="0"/>
              <w:left w:val="single" w:color="auto" w:sz="4" w:space="0"/>
              <w:bottom w:val="single" w:color="auto" w:sz="4" w:space="0"/>
              <w:right w:val="single" w:color="auto" w:sz="4" w:space="0"/>
            </w:tcBorders>
            <w:vAlign w:val="center"/>
          </w:tcPr>
          <w:p w14:paraId="0C6EA373">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r>
      <w:tr w14:paraId="49909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231" w:type="pct"/>
            <w:tcBorders>
              <w:top w:val="single" w:color="auto" w:sz="4" w:space="0"/>
              <w:left w:val="single" w:color="auto" w:sz="4" w:space="0"/>
              <w:bottom w:val="single" w:color="auto" w:sz="4" w:space="0"/>
              <w:right w:val="single" w:color="auto" w:sz="4" w:space="0"/>
            </w:tcBorders>
            <w:vAlign w:val="center"/>
          </w:tcPr>
          <w:p w14:paraId="48A01ADE">
            <w:pPr>
              <w:autoSpaceDE w:val="0"/>
              <w:autoSpaceDN w:val="0"/>
              <w:adjustRightInd w:val="0"/>
              <w:snapToGrid/>
              <w:spacing w:line="400" w:lineRule="exact"/>
              <w:jc w:val="center"/>
              <w:outlineLvl w:val="9"/>
              <w:rPr>
                <w:rFonts w:hint="default" w:ascii="宋体" w:hAnsi="宋体" w:eastAsia="宋体" w:cs="宋体"/>
                <w:color w:val="auto"/>
                <w:kern w:val="0"/>
                <w:szCs w:val="21"/>
                <w:highlight w:val="none"/>
                <w:lang w:val="en-US" w:eastAsia="zh-CN"/>
              </w:rPr>
            </w:pPr>
            <w:r>
              <w:rPr>
                <w:rFonts w:hint="eastAsia" w:cs="宋体"/>
                <w:color w:val="auto"/>
                <w:kern w:val="0"/>
                <w:szCs w:val="21"/>
                <w:highlight w:val="none"/>
                <w:lang w:val="en-US" w:eastAsia="zh-CN"/>
              </w:rPr>
              <w:t>81</w:t>
            </w:r>
          </w:p>
        </w:tc>
        <w:tc>
          <w:tcPr>
            <w:tcW w:w="838" w:type="pct"/>
            <w:tcBorders>
              <w:top w:val="single" w:color="auto" w:sz="4" w:space="0"/>
              <w:left w:val="single" w:color="auto" w:sz="4" w:space="0"/>
              <w:bottom w:val="single" w:color="auto" w:sz="4" w:space="0"/>
              <w:right w:val="single" w:color="auto" w:sz="4" w:space="0"/>
            </w:tcBorders>
            <w:vAlign w:val="center"/>
          </w:tcPr>
          <w:p w14:paraId="3DA030D1">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color w:val="auto"/>
                <w:kern w:val="0"/>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加密法兰闸阀</w:t>
            </w:r>
          </w:p>
        </w:tc>
        <w:tc>
          <w:tcPr>
            <w:tcW w:w="346" w:type="pct"/>
            <w:tcBorders>
              <w:top w:val="single" w:color="auto" w:sz="4" w:space="0"/>
              <w:left w:val="single" w:color="auto" w:sz="4" w:space="0"/>
              <w:bottom w:val="single" w:color="auto" w:sz="4" w:space="0"/>
              <w:right w:val="single" w:color="auto" w:sz="4" w:space="0"/>
            </w:tcBorders>
            <w:vAlign w:val="center"/>
          </w:tcPr>
          <w:p w14:paraId="379BE051">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395" w:type="pct"/>
            <w:tcBorders>
              <w:top w:val="single" w:color="auto" w:sz="4" w:space="0"/>
              <w:left w:val="single" w:color="auto" w:sz="4" w:space="0"/>
              <w:bottom w:val="single" w:color="auto" w:sz="4" w:space="0"/>
              <w:right w:val="single" w:color="auto" w:sz="4" w:space="0"/>
            </w:tcBorders>
            <w:vAlign w:val="center"/>
          </w:tcPr>
          <w:p w14:paraId="4BDFEBB0">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669" w:type="pct"/>
            <w:tcBorders>
              <w:top w:val="single" w:color="auto" w:sz="4" w:space="0"/>
              <w:left w:val="single" w:color="auto" w:sz="4" w:space="0"/>
              <w:bottom w:val="single" w:color="auto" w:sz="4" w:space="0"/>
              <w:right w:val="single" w:color="auto" w:sz="4" w:space="0"/>
            </w:tcBorders>
            <w:vAlign w:val="center"/>
          </w:tcPr>
          <w:p w14:paraId="0A0DE2E0">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color w:val="auto"/>
                <w:kern w:val="0"/>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DN300</w:t>
            </w:r>
          </w:p>
        </w:tc>
        <w:tc>
          <w:tcPr>
            <w:tcW w:w="669" w:type="pct"/>
            <w:tcBorders>
              <w:top w:val="single" w:color="auto" w:sz="4" w:space="0"/>
              <w:left w:val="single" w:color="auto" w:sz="4" w:space="0"/>
              <w:bottom w:val="single" w:color="auto" w:sz="4" w:space="0"/>
              <w:right w:val="single" w:color="auto" w:sz="4" w:space="0"/>
            </w:tcBorders>
            <w:vAlign w:val="center"/>
          </w:tcPr>
          <w:p w14:paraId="2DB160E7">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color w:val="auto"/>
                <w:kern w:val="0"/>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330" w:type="pct"/>
            <w:tcBorders>
              <w:top w:val="single" w:color="auto" w:sz="4" w:space="0"/>
              <w:left w:val="single" w:color="auto" w:sz="4" w:space="0"/>
              <w:bottom w:val="single" w:color="auto" w:sz="4" w:space="0"/>
              <w:right w:val="single" w:color="auto" w:sz="4" w:space="0"/>
            </w:tcBorders>
            <w:vAlign w:val="center"/>
          </w:tcPr>
          <w:p w14:paraId="552BF469">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color w:val="auto"/>
                <w:kern w:val="0"/>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370" w:type="pct"/>
            <w:tcBorders>
              <w:top w:val="single" w:color="auto" w:sz="4" w:space="0"/>
              <w:left w:val="single" w:color="auto" w:sz="4" w:space="0"/>
              <w:bottom w:val="single" w:color="auto" w:sz="4" w:space="0"/>
              <w:right w:val="single" w:color="auto" w:sz="4" w:space="0"/>
            </w:tcBorders>
            <w:vAlign w:val="center"/>
          </w:tcPr>
          <w:p w14:paraId="75D393D8">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color w:val="auto"/>
                <w:kern w:val="0"/>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6</w:t>
            </w:r>
          </w:p>
        </w:tc>
        <w:tc>
          <w:tcPr>
            <w:tcW w:w="322" w:type="pct"/>
            <w:tcBorders>
              <w:top w:val="single" w:color="auto" w:sz="4" w:space="0"/>
              <w:left w:val="single" w:color="auto" w:sz="4" w:space="0"/>
              <w:bottom w:val="single" w:color="auto" w:sz="4" w:space="0"/>
              <w:right w:val="single" w:color="auto" w:sz="4" w:space="0"/>
            </w:tcBorders>
          </w:tcPr>
          <w:p w14:paraId="025C19EC">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564" w:type="pct"/>
            <w:tcBorders>
              <w:top w:val="single" w:color="auto" w:sz="4" w:space="0"/>
              <w:left w:val="single" w:color="auto" w:sz="4" w:space="0"/>
              <w:bottom w:val="single" w:color="auto" w:sz="4" w:space="0"/>
              <w:right w:val="single" w:color="auto" w:sz="4" w:space="0"/>
            </w:tcBorders>
          </w:tcPr>
          <w:p w14:paraId="11EB52B0">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261" w:type="pct"/>
            <w:tcBorders>
              <w:top w:val="single" w:color="auto" w:sz="4" w:space="0"/>
              <w:left w:val="single" w:color="auto" w:sz="4" w:space="0"/>
              <w:bottom w:val="single" w:color="auto" w:sz="4" w:space="0"/>
              <w:right w:val="single" w:color="auto" w:sz="4" w:space="0"/>
            </w:tcBorders>
            <w:vAlign w:val="center"/>
          </w:tcPr>
          <w:p w14:paraId="31B8ABA5">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r>
      <w:tr w14:paraId="4D25B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231" w:type="pct"/>
            <w:tcBorders>
              <w:top w:val="single" w:color="auto" w:sz="4" w:space="0"/>
              <w:left w:val="single" w:color="auto" w:sz="4" w:space="0"/>
              <w:bottom w:val="single" w:color="auto" w:sz="4" w:space="0"/>
              <w:right w:val="single" w:color="auto" w:sz="4" w:space="0"/>
            </w:tcBorders>
            <w:vAlign w:val="center"/>
          </w:tcPr>
          <w:p w14:paraId="05EB9E61">
            <w:pPr>
              <w:autoSpaceDE w:val="0"/>
              <w:autoSpaceDN w:val="0"/>
              <w:adjustRightInd w:val="0"/>
              <w:snapToGrid/>
              <w:spacing w:line="400" w:lineRule="exact"/>
              <w:jc w:val="center"/>
              <w:outlineLvl w:val="9"/>
              <w:rPr>
                <w:rFonts w:hint="default" w:ascii="宋体" w:hAnsi="宋体" w:eastAsia="宋体" w:cs="宋体"/>
                <w:color w:val="auto"/>
                <w:kern w:val="0"/>
                <w:szCs w:val="21"/>
                <w:highlight w:val="none"/>
                <w:lang w:val="en-US" w:eastAsia="zh-CN"/>
              </w:rPr>
            </w:pPr>
            <w:r>
              <w:rPr>
                <w:rFonts w:hint="eastAsia" w:cs="宋体"/>
                <w:color w:val="auto"/>
                <w:kern w:val="0"/>
                <w:szCs w:val="21"/>
                <w:highlight w:val="none"/>
                <w:lang w:val="en-US" w:eastAsia="zh-CN"/>
              </w:rPr>
              <w:t>82</w:t>
            </w:r>
          </w:p>
        </w:tc>
        <w:tc>
          <w:tcPr>
            <w:tcW w:w="838" w:type="pct"/>
            <w:tcBorders>
              <w:top w:val="single" w:color="auto" w:sz="4" w:space="0"/>
              <w:left w:val="single" w:color="auto" w:sz="4" w:space="0"/>
              <w:bottom w:val="single" w:color="auto" w:sz="4" w:space="0"/>
              <w:right w:val="single" w:color="auto" w:sz="4" w:space="0"/>
            </w:tcBorders>
            <w:vAlign w:val="center"/>
          </w:tcPr>
          <w:p w14:paraId="3F76030D">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color w:val="auto"/>
                <w:kern w:val="0"/>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加密法兰闸阀</w:t>
            </w:r>
          </w:p>
        </w:tc>
        <w:tc>
          <w:tcPr>
            <w:tcW w:w="346" w:type="pct"/>
            <w:tcBorders>
              <w:top w:val="single" w:color="auto" w:sz="4" w:space="0"/>
              <w:left w:val="single" w:color="auto" w:sz="4" w:space="0"/>
              <w:bottom w:val="single" w:color="auto" w:sz="4" w:space="0"/>
              <w:right w:val="single" w:color="auto" w:sz="4" w:space="0"/>
            </w:tcBorders>
            <w:vAlign w:val="center"/>
          </w:tcPr>
          <w:p w14:paraId="4A1EB6C8">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395" w:type="pct"/>
            <w:tcBorders>
              <w:top w:val="single" w:color="auto" w:sz="4" w:space="0"/>
              <w:left w:val="single" w:color="auto" w:sz="4" w:space="0"/>
              <w:bottom w:val="single" w:color="auto" w:sz="4" w:space="0"/>
              <w:right w:val="single" w:color="auto" w:sz="4" w:space="0"/>
            </w:tcBorders>
            <w:vAlign w:val="center"/>
          </w:tcPr>
          <w:p w14:paraId="22A092AA">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669" w:type="pct"/>
            <w:tcBorders>
              <w:top w:val="single" w:color="auto" w:sz="4" w:space="0"/>
              <w:left w:val="single" w:color="auto" w:sz="4" w:space="0"/>
              <w:bottom w:val="single" w:color="auto" w:sz="4" w:space="0"/>
              <w:right w:val="single" w:color="auto" w:sz="4" w:space="0"/>
            </w:tcBorders>
            <w:vAlign w:val="center"/>
          </w:tcPr>
          <w:p w14:paraId="74329964">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color w:val="auto"/>
                <w:kern w:val="0"/>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DN350</w:t>
            </w:r>
          </w:p>
        </w:tc>
        <w:tc>
          <w:tcPr>
            <w:tcW w:w="669" w:type="pct"/>
            <w:tcBorders>
              <w:top w:val="single" w:color="auto" w:sz="4" w:space="0"/>
              <w:left w:val="single" w:color="auto" w:sz="4" w:space="0"/>
              <w:bottom w:val="single" w:color="auto" w:sz="4" w:space="0"/>
              <w:right w:val="single" w:color="auto" w:sz="4" w:space="0"/>
            </w:tcBorders>
            <w:vAlign w:val="center"/>
          </w:tcPr>
          <w:p w14:paraId="594F80F7">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color w:val="auto"/>
                <w:kern w:val="0"/>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330" w:type="pct"/>
            <w:tcBorders>
              <w:top w:val="single" w:color="auto" w:sz="4" w:space="0"/>
              <w:left w:val="single" w:color="auto" w:sz="4" w:space="0"/>
              <w:bottom w:val="single" w:color="auto" w:sz="4" w:space="0"/>
              <w:right w:val="single" w:color="auto" w:sz="4" w:space="0"/>
            </w:tcBorders>
            <w:vAlign w:val="center"/>
          </w:tcPr>
          <w:p w14:paraId="6EABBCED">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color w:val="auto"/>
                <w:kern w:val="0"/>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370" w:type="pct"/>
            <w:tcBorders>
              <w:top w:val="single" w:color="auto" w:sz="4" w:space="0"/>
              <w:left w:val="single" w:color="auto" w:sz="4" w:space="0"/>
              <w:bottom w:val="single" w:color="auto" w:sz="4" w:space="0"/>
              <w:right w:val="single" w:color="auto" w:sz="4" w:space="0"/>
            </w:tcBorders>
            <w:vAlign w:val="center"/>
          </w:tcPr>
          <w:p w14:paraId="3F71448E">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color w:val="auto"/>
                <w:kern w:val="0"/>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6</w:t>
            </w:r>
          </w:p>
        </w:tc>
        <w:tc>
          <w:tcPr>
            <w:tcW w:w="322" w:type="pct"/>
            <w:tcBorders>
              <w:top w:val="single" w:color="auto" w:sz="4" w:space="0"/>
              <w:left w:val="single" w:color="auto" w:sz="4" w:space="0"/>
              <w:bottom w:val="single" w:color="auto" w:sz="4" w:space="0"/>
              <w:right w:val="single" w:color="auto" w:sz="4" w:space="0"/>
            </w:tcBorders>
          </w:tcPr>
          <w:p w14:paraId="2A82ED56">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564" w:type="pct"/>
            <w:tcBorders>
              <w:top w:val="single" w:color="auto" w:sz="4" w:space="0"/>
              <w:left w:val="single" w:color="auto" w:sz="4" w:space="0"/>
              <w:bottom w:val="single" w:color="auto" w:sz="4" w:space="0"/>
              <w:right w:val="single" w:color="auto" w:sz="4" w:space="0"/>
            </w:tcBorders>
          </w:tcPr>
          <w:p w14:paraId="4BE3E574">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261" w:type="pct"/>
            <w:tcBorders>
              <w:top w:val="single" w:color="auto" w:sz="4" w:space="0"/>
              <w:left w:val="single" w:color="auto" w:sz="4" w:space="0"/>
              <w:bottom w:val="single" w:color="auto" w:sz="4" w:space="0"/>
              <w:right w:val="single" w:color="auto" w:sz="4" w:space="0"/>
            </w:tcBorders>
            <w:vAlign w:val="center"/>
          </w:tcPr>
          <w:p w14:paraId="4DF96A27">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r>
      <w:tr w14:paraId="09A94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231" w:type="pct"/>
            <w:tcBorders>
              <w:top w:val="single" w:color="auto" w:sz="4" w:space="0"/>
              <w:left w:val="single" w:color="auto" w:sz="4" w:space="0"/>
              <w:bottom w:val="single" w:color="auto" w:sz="4" w:space="0"/>
              <w:right w:val="single" w:color="auto" w:sz="4" w:space="0"/>
            </w:tcBorders>
            <w:vAlign w:val="center"/>
          </w:tcPr>
          <w:p w14:paraId="01F44FB7">
            <w:pPr>
              <w:autoSpaceDE w:val="0"/>
              <w:autoSpaceDN w:val="0"/>
              <w:adjustRightInd w:val="0"/>
              <w:snapToGrid/>
              <w:spacing w:line="400" w:lineRule="exact"/>
              <w:jc w:val="center"/>
              <w:outlineLvl w:val="9"/>
              <w:rPr>
                <w:rFonts w:hint="default" w:ascii="宋体" w:hAnsi="宋体" w:eastAsia="宋体" w:cs="宋体"/>
                <w:color w:val="auto"/>
                <w:kern w:val="0"/>
                <w:szCs w:val="21"/>
                <w:highlight w:val="none"/>
                <w:lang w:val="en-US" w:eastAsia="zh-CN"/>
              </w:rPr>
            </w:pPr>
            <w:r>
              <w:rPr>
                <w:rFonts w:hint="eastAsia" w:cs="宋体"/>
                <w:color w:val="auto"/>
                <w:kern w:val="0"/>
                <w:szCs w:val="21"/>
                <w:highlight w:val="none"/>
                <w:lang w:val="en-US" w:eastAsia="zh-CN"/>
              </w:rPr>
              <w:t>83</w:t>
            </w:r>
          </w:p>
        </w:tc>
        <w:tc>
          <w:tcPr>
            <w:tcW w:w="838" w:type="pct"/>
            <w:tcBorders>
              <w:top w:val="single" w:color="auto" w:sz="4" w:space="0"/>
              <w:left w:val="single" w:color="auto" w:sz="4" w:space="0"/>
              <w:bottom w:val="single" w:color="auto" w:sz="4" w:space="0"/>
              <w:right w:val="single" w:color="auto" w:sz="4" w:space="0"/>
            </w:tcBorders>
            <w:vAlign w:val="center"/>
          </w:tcPr>
          <w:p w14:paraId="42B9676C">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color w:val="auto"/>
                <w:kern w:val="0"/>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加密法兰闸阀</w:t>
            </w:r>
          </w:p>
        </w:tc>
        <w:tc>
          <w:tcPr>
            <w:tcW w:w="346" w:type="pct"/>
            <w:tcBorders>
              <w:top w:val="single" w:color="auto" w:sz="4" w:space="0"/>
              <w:left w:val="single" w:color="auto" w:sz="4" w:space="0"/>
              <w:bottom w:val="single" w:color="auto" w:sz="4" w:space="0"/>
              <w:right w:val="single" w:color="auto" w:sz="4" w:space="0"/>
            </w:tcBorders>
            <w:vAlign w:val="center"/>
          </w:tcPr>
          <w:p w14:paraId="07ED5699">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395" w:type="pct"/>
            <w:tcBorders>
              <w:top w:val="single" w:color="auto" w:sz="4" w:space="0"/>
              <w:left w:val="single" w:color="auto" w:sz="4" w:space="0"/>
              <w:bottom w:val="single" w:color="auto" w:sz="4" w:space="0"/>
              <w:right w:val="single" w:color="auto" w:sz="4" w:space="0"/>
            </w:tcBorders>
            <w:vAlign w:val="center"/>
          </w:tcPr>
          <w:p w14:paraId="2DE33CC5">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669" w:type="pct"/>
            <w:tcBorders>
              <w:top w:val="single" w:color="auto" w:sz="4" w:space="0"/>
              <w:left w:val="single" w:color="auto" w:sz="4" w:space="0"/>
              <w:bottom w:val="single" w:color="auto" w:sz="4" w:space="0"/>
              <w:right w:val="single" w:color="auto" w:sz="4" w:space="0"/>
            </w:tcBorders>
            <w:vAlign w:val="center"/>
          </w:tcPr>
          <w:p w14:paraId="45D62D16">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color w:val="auto"/>
                <w:kern w:val="0"/>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DN400</w:t>
            </w:r>
          </w:p>
        </w:tc>
        <w:tc>
          <w:tcPr>
            <w:tcW w:w="669" w:type="pct"/>
            <w:tcBorders>
              <w:top w:val="single" w:color="auto" w:sz="4" w:space="0"/>
              <w:left w:val="single" w:color="auto" w:sz="4" w:space="0"/>
              <w:bottom w:val="single" w:color="auto" w:sz="4" w:space="0"/>
              <w:right w:val="single" w:color="auto" w:sz="4" w:space="0"/>
            </w:tcBorders>
            <w:vAlign w:val="center"/>
          </w:tcPr>
          <w:p w14:paraId="51C2FE7A">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color w:val="auto"/>
                <w:kern w:val="0"/>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球墨铸铁</w:t>
            </w:r>
          </w:p>
        </w:tc>
        <w:tc>
          <w:tcPr>
            <w:tcW w:w="330" w:type="pct"/>
            <w:tcBorders>
              <w:top w:val="single" w:color="auto" w:sz="4" w:space="0"/>
              <w:left w:val="single" w:color="auto" w:sz="4" w:space="0"/>
              <w:bottom w:val="single" w:color="auto" w:sz="4" w:space="0"/>
              <w:right w:val="single" w:color="auto" w:sz="4" w:space="0"/>
            </w:tcBorders>
            <w:vAlign w:val="center"/>
          </w:tcPr>
          <w:p w14:paraId="5520EE60">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color w:val="auto"/>
                <w:kern w:val="0"/>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370" w:type="pct"/>
            <w:tcBorders>
              <w:top w:val="single" w:color="auto" w:sz="4" w:space="0"/>
              <w:left w:val="single" w:color="auto" w:sz="4" w:space="0"/>
              <w:bottom w:val="single" w:color="auto" w:sz="4" w:space="0"/>
              <w:right w:val="single" w:color="auto" w:sz="4" w:space="0"/>
            </w:tcBorders>
            <w:vAlign w:val="center"/>
          </w:tcPr>
          <w:p w14:paraId="7456A5F5">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color w:val="auto"/>
                <w:kern w:val="0"/>
                <w:szCs w:val="21"/>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6</w:t>
            </w:r>
          </w:p>
        </w:tc>
        <w:tc>
          <w:tcPr>
            <w:tcW w:w="322" w:type="pct"/>
            <w:tcBorders>
              <w:top w:val="single" w:color="auto" w:sz="4" w:space="0"/>
              <w:left w:val="single" w:color="auto" w:sz="4" w:space="0"/>
              <w:bottom w:val="single" w:color="auto" w:sz="4" w:space="0"/>
              <w:right w:val="single" w:color="auto" w:sz="4" w:space="0"/>
            </w:tcBorders>
          </w:tcPr>
          <w:p w14:paraId="1429DFEF">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564" w:type="pct"/>
            <w:tcBorders>
              <w:top w:val="single" w:color="auto" w:sz="4" w:space="0"/>
              <w:left w:val="single" w:color="auto" w:sz="4" w:space="0"/>
              <w:bottom w:val="single" w:color="auto" w:sz="4" w:space="0"/>
              <w:right w:val="single" w:color="auto" w:sz="4" w:space="0"/>
            </w:tcBorders>
          </w:tcPr>
          <w:p w14:paraId="640707F5">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261" w:type="pct"/>
            <w:tcBorders>
              <w:top w:val="single" w:color="auto" w:sz="4" w:space="0"/>
              <w:left w:val="single" w:color="auto" w:sz="4" w:space="0"/>
              <w:bottom w:val="single" w:color="auto" w:sz="4" w:space="0"/>
              <w:right w:val="single" w:color="auto" w:sz="4" w:space="0"/>
            </w:tcBorders>
            <w:vAlign w:val="center"/>
          </w:tcPr>
          <w:p w14:paraId="6A52AD31">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r>
    </w:tbl>
    <w:p w14:paraId="4A6C0EF9">
      <w:pPr>
        <w:autoSpaceDE w:val="0"/>
        <w:autoSpaceDN w:val="0"/>
        <w:adjustRightInd w:val="0"/>
        <w:snapToGrid w:val="0"/>
        <w:spacing w:line="360" w:lineRule="auto"/>
        <w:ind w:firstLine="210" w:firstLineChars="100"/>
        <w:jc w:val="left"/>
        <w:outlineLvl w:val="9"/>
        <w:rPr>
          <w:rFonts w:hint="eastAsia" w:ascii="宋体" w:hAnsi="宋体" w:eastAsia="宋体" w:cs="宋体"/>
          <w:color w:val="auto"/>
          <w:kern w:val="0"/>
          <w:szCs w:val="21"/>
          <w:highlight w:val="none"/>
        </w:rPr>
      </w:pPr>
    </w:p>
    <w:p w14:paraId="3D8295DE">
      <w:pPr>
        <w:autoSpaceDE w:val="0"/>
        <w:autoSpaceDN w:val="0"/>
        <w:adjustRightInd w:val="0"/>
        <w:snapToGrid w:val="0"/>
        <w:spacing w:line="360" w:lineRule="auto"/>
        <w:ind w:firstLine="210" w:firstLineChars="1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w:t>
      </w:r>
    </w:p>
    <w:p w14:paraId="632D3C78">
      <w:pPr>
        <w:autoSpaceDE w:val="0"/>
        <w:autoSpaceDN w:val="0"/>
        <w:adjustRightInd w:val="0"/>
        <w:snapToGrid w:val="0"/>
        <w:spacing w:line="360" w:lineRule="auto"/>
        <w:ind w:left="976" w:leftChars="195" w:hanging="567" w:hangingChars="27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（1）投标人应列明按《用户需求书》所要求的全部货物及其服务的明细清单；</w:t>
      </w:r>
    </w:p>
    <w:p w14:paraId="0E62AE91">
      <w:pPr>
        <w:autoSpaceDE w:val="0"/>
        <w:autoSpaceDN w:val="0"/>
        <w:adjustRightInd w:val="0"/>
        <w:snapToGrid w:val="0"/>
        <w:spacing w:line="360" w:lineRule="auto"/>
        <w:ind w:left="976" w:leftChars="195" w:hanging="567" w:hangingChars="270"/>
        <w:jc w:val="left"/>
        <w:outlineLvl w:val="9"/>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lang w:val="zh-CN"/>
        </w:rPr>
        <w:t>）表格可根据实际货物种类自行扩展。</w:t>
      </w:r>
    </w:p>
    <w:p w14:paraId="2885AAD4">
      <w:pPr>
        <w:autoSpaceDE w:val="0"/>
        <w:autoSpaceDN w:val="0"/>
        <w:adjustRightInd w:val="0"/>
        <w:snapToGrid/>
        <w:spacing w:line="360" w:lineRule="auto"/>
        <w:ind w:firstLine="4200" w:firstLineChars="2000"/>
        <w:jc w:val="left"/>
        <w:outlineLvl w:val="9"/>
        <w:rPr>
          <w:rFonts w:hint="eastAsia" w:ascii="宋体" w:hAnsi="宋体" w:eastAsia="宋体" w:cs="宋体"/>
          <w:color w:val="auto"/>
          <w:kern w:val="3"/>
          <w:szCs w:val="21"/>
          <w:highlight w:val="none"/>
        </w:rPr>
      </w:pPr>
    </w:p>
    <w:p w14:paraId="5C010F50">
      <w:pPr>
        <w:autoSpaceDE w:val="0"/>
        <w:autoSpaceDN w:val="0"/>
        <w:adjustRightInd w:val="0"/>
        <w:snapToGrid/>
        <w:spacing w:line="360" w:lineRule="auto"/>
        <w:ind w:firstLine="4200" w:firstLineChars="20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3"/>
          <w:szCs w:val="21"/>
          <w:highlight w:val="none"/>
        </w:rPr>
        <w:t xml:space="preserve">投 标 人（加盖投标人法人公章）：              </w:t>
      </w:r>
    </w:p>
    <w:p w14:paraId="259A4671">
      <w:pPr>
        <w:autoSpaceDE w:val="0"/>
        <w:autoSpaceDN w:val="0"/>
        <w:adjustRightInd w:val="0"/>
        <w:snapToGrid/>
        <w:spacing w:line="360" w:lineRule="auto"/>
        <w:ind w:firstLine="4200" w:firstLineChars="2000"/>
        <w:jc w:val="left"/>
        <w:outlineLvl w:val="9"/>
        <w:rPr>
          <w:rFonts w:hint="eastAsia" w:ascii="宋体" w:hAnsi="宋体" w:eastAsia="宋体" w:cs="宋体"/>
          <w:b/>
          <w:color w:val="auto"/>
          <w:kern w:val="0"/>
          <w:sz w:val="30"/>
          <w:szCs w:val="30"/>
          <w:highlight w:val="none"/>
          <w:lang w:val="en-US" w:eastAsia="zh-CN"/>
        </w:rPr>
      </w:pPr>
      <w:r>
        <w:rPr>
          <w:rFonts w:hint="eastAsia" w:ascii="宋体" w:hAnsi="宋体" w:eastAsia="宋体" w:cs="宋体"/>
          <w:color w:val="auto"/>
          <w:kern w:val="3"/>
          <w:szCs w:val="21"/>
          <w:highlight w:val="none"/>
        </w:rPr>
        <w:t>日  期</w:t>
      </w:r>
      <w:r>
        <w:rPr>
          <w:rFonts w:hint="eastAsia" w:ascii="宋体" w:hAnsi="宋体" w:eastAsia="宋体" w:cs="宋体"/>
          <w:color w:val="auto"/>
          <w:kern w:val="0"/>
          <w:szCs w:val="21"/>
          <w:highlight w:val="none"/>
        </w:rPr>
        <w:t>：        年     月     日</w:t>
      </w:r>
      <w:r>
        <w:rPr>
          <w:rFonts w:hint="eastAsia" w:ascii="宋体" w:hAnsi="宋体" w:eastAsia="宋体" w:cs="宋体"/>
          <w:b/>
          <w:color w:val="auto"/>
          <w:kern w:val="0"/>
          <w:sz w:val="30"/>
          <w:szCs w:val="30"/>
          <w:highlight w:val="none"/>
          <w:lang w:val="en-US" w:eastAsia="zh-CN"/>
        </w:rPr>
        <w:br w:type="page"/>
      </w:r>
    </w:p>
    <w:p w14:paraId="64A5B04C">
      <w:pPr>
        <w:autoSpaceDE/>
        <w:autoSpaceDN/>
        <w:adjustRightInd/>
        <w:snapToGrid/>
        <w:spacing w:line="240" w:lineRule="auto"/>
        <w:outlineLvl w:val="2"/>
        <w:rPr>
          <w:rFonts w:hint="eastAsia" w:ascii="宋体" w:hAnsi="宋体" w:eastAsia="宋体" w:cs="宋体"/>
          <w:b/>
          <w:color w:val="auto"/>
          <w:kern w:val="0"/>
          <w:sz w:val="30"/>
          <w:szCs w:val="30"/>
          <w:highlight w:val="none"/>
          <w:lang w:val="en-US" w:eastAsia="zh-CN"/>
        </w:rPr>
      </w:pPr>
      <w:bookmarkStart w:id="1111" w:name="_Toc15749"/>
      <w:bookmarkStart w:id="1112" w:name="_Toc2575"/>
      <w:bookmarkStart w:id="1113" w:name="_Toc11902"/>
      <w:r>
        <w:rPr>
          <w:rFonts w:hint="eastAsia" w:ascii="宋体" w:hAnsi="宋体" w:eastAsia="宋体" w:cs="宋体"/>
          <w:b/>
          <w:color w:val="auto"/>
          <w:kern w:val="0"/>
          <w:sz w:val="30"/>
          <w:szCs w:val="30"/>
          <w:highlight w:val="none"/>
          <w:lang w:val="en-US" w:eastAsia="zh-CN"/>
        </w:rPr>
        <w:t>13.3 所投货物性能质量</w:t>
      </w:r>
    </w:p>
    <w:p w14:paraId="3E1197B7">
      <w:pPr>
        <w:autoSpaceDE/>
        <w:autoSpaceDN/>
        <w:adjustRightInd/>
        <w:snapToGrid/>
        <w:spacing w:line="360" w:lineRule="auto"/>
        <w:rPr>
          <w:rFonts w:hint="eastAsia" w:ascii="宋体" w:hAnsi="宋体" w:eastAsia="宋体" w:cs="宋体"/>
          <w:b w:val="0"/>
          <w:bCs/>
          <w:color w:val="auto"/>
          <w:szCs w:val="21"/>
          <w:highlight w:val="none"/>
          <w:lang w:val="en-US" w:eastAsia="zh-CN"/>
        </w:rPr>
      </w:pPr>
    </w:p>
    <w:bookmarkEnd w:id="1111"/>
    <w:bookmarkEnd w:id="1112"/>
    <w:bookmarkEnd w:id="1113"/>
    <w:p w14:paraId="1F38F86E">
      <w:pPr>
        <w:autoSpaceDE w:val="0"/>
        <w:autoSpaceDN w:val="0"/>
        <w:adjustRightInd w:val="0"/>
        <w:snapToGrid/>
        <w:spacing w:line="360" w:lineRule="auto"/>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备注：</w:t>
      </w:r>
      <w:r>
        <w:rPr>
          <w:rFonts w:hint="eastAsia" w:ascii="宋体" w:hAnsi="宋体" w:eastAsia="宋体" w:cs="宋体"/>
          <w:b/>
          <w:color w:val="auto"/>
          <w:kern w:val="0"/>
          <w:sz w:val="21"/>
          <w:szCs w:val="21"/>
          <w:highlight w:val="none"/>
          <w:lang w:val="en-US" w:eastAsia="zh-CN"/>
        </w:rPr>
        <w:t>第三方检测报告要求：投标人须提供可反映所投</w:t>
      </w:r>
      <w:r>
        <w:rPr>
          <w:rFonts w:hint="eastAsia" w:ascii="宋体" w:hAnsi="宋体" w:eastAsia="宋体" w:cs="宋体"/>
          <w:b/>
          <w:bCs w:val="0"/>
          <w:color w:val="auto"/>
          <w:kern w:val="2"/>
          <w:sz w:val="21"/>
          <w:szCs w:val="21"/>
          <w:highlight w:val="none"/>
          <w:lang w:val="en-US" w:eastAsia="zh-CN" w:bidi="ar-SA"/>
        </w:rPr>
        <w:t>球墨铸铁软密封法兰闸阀或球墨铸铁双偏心软密封双法兰蝶阀</w:t>
      </w:r>
      <w:r>
        <w:rPr>
          <w:rFonts w:hint="eastAsia" w:ascii="宋体" w:hAnsi="宋体" w:eastAsia="宋体" w:cs="宋体"/>
          <w:b/>
          <w:color w:val="auto"/>
          <w:kern w:val="0"/>
          <w:sz w:val="21"/>
          <w:szCs w:val="21"/>
          <w:highlight w:val="none"/>
          <w:lang w:val="en-US" w:eastAsia="zh-CN"/>
        </w:rPr>
        <w:t>上述参数的检测报告，报告须由具备资质的第三方检测机构出具并加盖实验室资质认定（CMA）章；报告日期应为2022年1月1日及以后；报告上需体现委托单位，且委托单位应为所投阀门的生产厂家或投标人（若为生产厂家，需与投标人《供货货物清单表》填报的生产厂家一致）。未按上述要求提供的，本项所有性能参数不得分。</w:t>
      </w:r>
    </w:p>
    <w:p w14:paraId="37D1AA12">
      <w:pPr>
        <w:autoSpaceDE/>
        <w:autoSpaceDN/>
        <w:adjustRightInd/>
        <w:snapToGrid/>
        <w:spacing w:line="240" w:lineRule="auto"/>
        <w:rPr>
          <w:rFonts w:hint="eastAsia" w:ascii="宋体" w:hAnsi="宋体" w:eastAsia="宋体" w:cs="宋体"/>
          <w:b/>
          <w:color w:val="auto"/>
          <w:kern w:val="0"/>
          <w:sz w:val="30"/>
          <w:szCs w:val="30"/>
          <w:highlight w:val="none"/>
          <w:lang w:val="en-US" w:eastAsia="zh-CN"/>
        </w:rPr>
      </w:pPr>
    </w:p>
    <w:p w14:paraId="6B5E5518">
      <w:pPr>
        <w:autoSpaceDE/>
        <w:autoSpaceDN/>
        <w:adjustRightInd/>
        <w:snapToGrid/>
        <w:spacing w:line="240" w:lineRule="auto"/>
        <w:rPr>
          <w:rFonts w:hint="eastAsia" w:ascii="宋体" w:hAnsi="宋体" w:eastAsia="宋体" w:cs="宋体"/>
          <w:b/>
          <w:color w:val="auto"/>
          <w:kern w:val="0"/>
          <w:sz w:val="30"/>
          <w:szCs w:val="30"/>
          <w:highlight w:val="none"/>
          <w:lang w:val="en-US" w:eastAsia="zh-CN"/>
        </w:rPr>
      </w:pPr>
    </w:p>
    <w:p w14:paraId="6D7AF748">
      <w:pPr>
        <w:autoSpaceDE/>
        <w:autoSpaceDN/>
        <w:adjustRightInd/>
        <w:snapToGrid/>
        <w:spacing w:line="240" w:lineRule="auto"/>
        <w:rPr>
          <w:rFonts w:hint="eastAsia" w:ascii="宋体" w:hAnsi="宋体" w:eastAsia="宋体" w:cs="宋体"/>
          <w:b w:val="0"/>
          <w:bCs/>
          <w:color w:val="auto"/>
          <w:kern w:val="2"/>
          <w:sz w:val="21"/>
          <w:szCs w:val="21"/>
          <w:highlight w:val="none"/>
          <w:lang w:val="en-US" w:eastAsia="zh-CN"/>
        </w:rPr>
      </w:pPr>
    </w:p>
    <w:p w14:paraId="718DE2E7">
      <w:pPr>
        <w:autoSpaceDE w:val="0"/>
        <w:autoSpaceDN w:val="0"/>
        <w:adjustRightInd w:val="0"/>
        <w:snapToGrid/>
        <w:spacing w:line="360" w:lineRule="auto"/>
        <w:rPr>
          <w:rFonts w:hint="eastAsia" w:ascii="宋体" w:hAnsi="宋体" w:eastAsia="宋体" w:cs="宋体"/>
          <w:b/>
          <w:color w:val="auto"/>
          <w:kern w:val="0"/>
          <w:sz w:val="30"/>
          <w:szCs w:val="30"/>
          <w:highlight w:val="none"/>
          <w:lang w:val="en-US" w:eastAsia="zh-CN"/>
        </w:rPr>
      </w:pPr>
      <w:r>
        <w:rPr>
          <w:rFonts w:hint="eastAsia" w:ascii="宋体" w:hAnsi="宋体" w:eastAsia="宋体" w:cs="宋体"/>
          <w:b/>
          <w:color w:val="auto"/>
          <w:kern w:val="0"/>
          <w:sz w:val="30"/>
          <w:szCs w:val="30"/>
          <w:highlight w:val="none"/>
          <w:lang w:val="en-US" w:eastAsia="zh-CN"/>
        </w:rPr>
        <w:br w:type="page"/>
      </w:r>
    </w:p>
    <w:p w14:paraId="32FE29D5">
      <w:pPr>
        <w:autoSpaceDE/>
        <w:autoSpaceDN/>
        <w:adjustRightInd/>
        <w:snapToGrid/>
        <w:spacing w:line="240" w:lineRule="auto"/>
        <w:outlineLvl w:val="2"/>
        <w:rPr>
          <w:rFonts w:hint="eastAsia" w:ascii="宋体" w:hAnsi="宋体" w:eastAsia="宋体" w:cs="宋体"/>
          <w:b/>
          <w:color w:val="auto"/>
          <w:kern w:val="0"/>
          <w:sz w:val="30"/>
          <w:szCs w:val="30"/>
          <w:highlight w:val="none"/>
        </w:rPr>
      </w:pPr>
      <w:bookmarkStart w:id="1114" w:name="_Toc30429"/>
      <w:bookmarkStart w:id="1115" w:name="_Toc4675"/>
      <w:bookmarkStart w:id="1116" w:name="_Toc31899"/>
      <w:r>
        <w:rPr>
          <w:rFonts w:hint="eastAsia" w:ascii="宋体" w:hAnsi="宋体" w:eastAsia="宋体" w:cs="宋体"/>
          <w:b/>
          <w:color w:val="auto"/>
          <w:kern w:val="0"/>
          <w:sz w:val="30"/>
          <w:szCs w:val="30"/>
          <w:highlight w:val="none"/>
          <w:lang w:val="en-US" w:eastAsia="zh-CN"/>
        </w:rPr>
        <w:t>13.4 货物质量保障能力</w:t>
      </w:r>
      <w:bookmarkEnd w:id="1114"/>
      <w:bookmarkEnd w:id="1115"/>
      <w:bookmarkEnd w:id="1116"/>
    </w:p>
    <w:p w14:paraId="71CA9AA9">
      <w:pPr>
        <w:autoSpaceDE/>
        <w:autoSpaceDN/>
        <w:adjustRightInd/>
        <w:snapToGrid/>
        <w:spacing w:line="240" w:lineRule="auto"/>
        <w:rPr>
          <w:rFonts w:hint="eastAsia" w:ascii="宋体" w:hAnsi="宋体" w:eastAsia="宋体" w:cs="宋体"/>
          <w:b/>
          <w:color w:val="auto"/>
          <w:kern w:val="0"/>
          <w:sz w:val="30"/>
          <w:szCs w:val="30"/>
          <w:highlight w:val="none"/>
          <w:lang w:val="en-US" w:eastAsia="zh-CN"/>
        </w:rPr>
      </w:pPr>
    </w:p>
    <w:p w14:paraId="7158492D">
      <w:pPr>
        <w:autoSpaceDE/>
        <w:autoSpaceDN/>
        <w:adjustRightInd/>
        <w:snapToGrid/>
        <w:spacing w:line="240" w:lineRule="auto"/>
        <w:rPr>
          <w:rFonts w:hint="eastAsia" w:ascii="宋体" w:hAnsi="宋体" w:eastAsia="宋体" w:cs="宋体"/>
          <w:b/>
          <w:color w:val="auto"/>
          <w:kern w:val="0"/>
          <w:sz w:val="30"/>
          <w:szCs w:val="30"/>
          <w:highlight w:val="none"/>
          <w:lang w:val="en-US" w:eastAsia="zh-CN"/>
        </w:rPr>
      </w:pPr>
    </w:p>
    <w:p w14:paraId="6B58325A">
      <w:pPr>
        <w:autoSpaceDE/>
        <w:autoSpaceDN/>
        <w:adjustRightInd/>
        <w:snapToGrid/>
        <w:spacing w:line="240" w:lineRule="auto"/>
        <w:outlineLvl w:val="9"/>
        <w:rPr>
          <w:rFonts w:hint="eastAsia" w:ascii="宋体" w:hAnsi="宋体" w:eastAsia="宋体" w:cs="宋体"/>
          <w:b/>
          <w:color w:val="auto"/>
          <w:kern w:val="0"/>
          <w:sz w:val="30"/>
          <w:szCs w:val="30"/>
          <w:highlight w:val="none"/>
          <w:lang w:val="en-US" w:eastAsia="zh-CN"/>
        </w:rPr>
      </w:pPr>
      <w:r>
        <w:rPr>
          <w:rFonts w:hint="eastAsia" w:ascii="宋体" w:hAnsi="宋体" w:eastAsia="宋体" w:cs="宋体"/>
          <w:b/>
          <w:color w:val="auto"/>
          <w:kern w:val="0"/>
          <w:sz w:val="30"/>
          <w:szCs w:val="30"/>
          <w:highlight w:val="none"/>
          <w:lang w:val="en-US" w:eastAsia="zh-CN"/>
        </w:rPr>
        <w:br w:type="page"/>
      </w:r>
    </w:p>
    <w:bookmarkEnd w:id="1105"/>
    <w:p w14:paraId="355F3E41">
      <w:pPr>
        <w:autoSpaceDE/>
        <w:autoSpaceDN/>
        <w:adjustRightInd/>
        <w:snapToGrid/>
        <w:spacing w:line="240" w:lineRule="auto"/>
        <w:jc w:val="left"/>
        <w:outlineLvl w:val="9"/>
        <w:rPr>
          <w:rFonts w:hint="eastAsia" w:ascii="宋体" w:hAnsi="宋体" w:eastAsia="宋体" w:cs="宋体"/>
          <w:b/>
          <w:color w:val="auto"/>
          <w:kern w:val="0"/>
          <w:sz w:val="30"/>
          <w:szCs w:val="30"/>
          <w:highlight w:val="none"/>
          <w:lang w:val="en-US" w:eastAsia="zh-CN"/>
        </w:rPr>
      </w:pPr>
      <w:bookmarkStart w:id="1117" w:name="_Toc9532"/>
      <w:bookmarkStart w:id="1118" w:name="_Toc15048"/>
      <w:bookmarkStart w:id="1119" w:name="_Toc11584"/>
      <w:bookmarkStart w:id="1120" w:name="_Toc770"/>
      <w:bookmarkStart w:id="1121" w:name="_Toc1222"/>
      <w:r>
        <w:rPr>
          <w:rFonts w:hint="eastAsia" w:ascii="宋体" w:hAnsi="宋体" w:eastAsia="宋体" w:cs="宋体"/>
          <w:b/>
          <w:color w:val="auto"/>
          <w:kern w:val="0"/>
          <w:sz w:val="30"/>
          <w:szCs w:val="30"/>
          <w:highlight w:val="none"/>
          <w:lang w:val="en-US" w:eastAsia="zh-CN"/>
        </w:rPr>
        <w:t>13.5 阀门结构及性能</w:t>
      </w:r>
      <w:r>
        <w:rPr>
          <w:rFonts w:hint="eastAsia" w:ascii="宋体" w:hAnsi="宋体" w:eastAsia="宋体" w:cs="宋体"/>
          <w:b/>
          <w:color w:val="auto"/>
          <w:kern w:val="0"/>
          <w:sz w:val="30"/>
          <w:szCs w:val="30"/>
          <w:highlight w:val="none"/>
          <w:lang w:val="en-US" w:eastAsia="zh-CN"/>
        </w:rPr>
        <w:br w:type="page"/>
      </w:r>
    </w:p>
    <w:p w14:paraId="21C6FD36">
      <w:pPr>
        <w:autoSpaceDE/>
        <w:autoSpaceDN/>
        <w:adjustRightInd/>
        <w:snapToGrid/>
        <w:spacing w:line="240" w:lineRule="auto"/>
        <w:jc w:val="left"/>
        <w:outlineLvl w:val="9"/>
        <w:rPr>
          <w:rFonts w:hint="eastAsia" w:ascii="宋体" w:hAnsi="宋体" w:eastAsia="宋体" w:cs="宋体"/>
          <w:b/>
          <w:color w:val="auto"/>
          <w:kern w:val="0"/>
          <w:sz w:val="30"/>
          <w:szCs w:val="30"/>
          <w:highlight w:val="none"/>
          <w:lang w:val="en-US" w:eastAsia="zh-CN"/>
        </w:rPr>
      </w:pPr>
      <w:r>
        <w:rPr>
          <w:rFonts w:hint="eastAsia" w:ascii="宋体" w:hAnsi="宋体" w:eastAsia="宋体" w:cs="宋体"/>
          <w:b/>
          <w:color w:val="auto"/>
          <w:kern w:val="0"/>
          <w:sz w:val="30"/>
          <w:szCs w:val="30"/>
          <w:highlight w:val="none"/>
          <w:lang w:val="en-US" w:eastAsia="zh-CN"/>
        </w:rPr>
        <w:t>13.6 质量检测能力</w:t>
      </w:r>
      <w:r>
        <w:rPr>
          <w:rFonts w:hint="eastAsia" w:ascii="宋体" w:hAnsi="宋体" w:eastAsia="宋体" w:cs="宋体"/>
          <w:b/>
          <w:color w:val="auto"/>
          <w:kern w:val="0"/>
          <w:sz w:val="30"/>
          <w:szCs w:val="30"/>
          <w:highlight w:val="none"/>
          <w:lang w:val="en-US" w:eastAsia="zh-CN"/>
        </w:rPr>
        <w:br w:type="page"/>
      </w:r>
    </w:p>
    <w:p w14:paraId="25A096DA">
      <w:pPr>
        <w:autoSpaceDE/>
        <w:autoSpaceDN/>
        <w:adjustRightInd/>
        <w:snapToGrid/>
        <w:spacing w:line="240" w:lineRule="auto"/>
        <w:jc w:val="left"/>
        <w:outlineLvl w:val="2"/>
        <w:rPr>
          <w:rFonts w:hint="eastAsia" w:ascii="宋体" w:hAnsi="宋体" w:eastAsia="宋体" w:cs="宋体"/>
          <w:b/>
          <w:color w:val="auto"/>
          <w:kern w:val="0"/>
          <w:sz w:val="30"/>
          <w:szCs w:val="30"/>
          <w:highlight w:val="none"/>
          <w:lang w:val="en-US" w:eastAsia="zh-CN"/>
        </w:rPr>
      </w:pPr>
      <w:r>
        <w:rPr>
          <w:rFonts w:hint="eastAsia" w:ascii="宋体" w:hAnsi="宋体" w:eastAsia="宋体" w:cs="宋体"/>
          <w:b/>
          <w:color w:val="auto"/>
          <w:kern w:val="0"/>
          <w:sz w:val="30"/>
          <w:szCs w:val="30"/>
          <w:highlight w:val="none"/>
          <w:lang w:val="en-US" w:eastAsia="zh-CN"/>
        </w:rPr>
        <w:t>13.7 售后服务响应、紧急供货时间承诺</w:t>
      </w:r>
      <w:bookmarkEnd w:id="1117"/>
      <w:bookmarkEnd w:id="1118"/>
      <w:bookmarkEnd w:id="1119"/>
    </w:p>
    <w:p w14:paraId="41B90D5D">
      <w:pPr>
        <w:autoSpaceDE w:val="0"/>
        <w:autoSpaceDN w:val="0"/>
        <w:adjustRightInd w:val="0"/>
        <w:snapToGrid/>
        <w:spacing w:line="360" w:lineRule="auto"/>
        <w:jc w:val="left"/>
        <w:outlineLvl w:val="9"/>
        <w:rPr>
          <w:rFonts w:hint="eastAsia" w:ascii="宋体" w:hAnsi="宋体" w:eastAsia="宋体" w:cs="宋体"/>
          <w:b/>
          <w:color w:val="auto"/>
          <w:kern w:val="0"/>
          <w:sz w:val="30"/>
          <w:szCs w:val="30"/>
          <w:highlight w:val="none"/>
          <w:lang w:val="en-US" w:eastAsia="zh-CN"/>
        </w:rPr>
      </w:pPr>
    </w:p>
    <w:p w14:paraId="7D3D10A8">
      <w:pPr>
        <w:autoSpaceDE w:val="0"/>
        <w:autoSpaceDN w:val="0"/>
        <w:adjustRightInd w:val="0"/>
        <w:snapToGrid/>
        <w:spacing w:line="360" w:lineRule="auto"/>
        <w:jc w:val="center"/>
        <w:outlineLvl w:val="9"/>
        <w:rPr>
          <w:rFonts w:hint="eastAsia" w:ascii="宋体" w:hAnsi="宋体" w:eastAsia="宋体" w:cs="宋体"/>
          <w:b/>
          <w:color w:val="auto"/>
          <w:kern w:val="0"/>
          <w:sz w:val="24"/>
          <w:szCs w:val="24"/>
          <w:highlight w:val="none"/>
          <w:lang w:val="en-US" w:eastAsia="zh-CN"/>
        </w:rPr>
      </w:pPr>
    </w:p>
    <w:p w14:paraId="6C482991">
      <w:pPr>
        <w:autoSpaceDE w:val="0"/>
        <w:autoSpaceDN w:val="0"/>
        <w:adjustRightInd w:val="0"/>
        <w:snapToGrid/>
        <w:spacing w:line="360" w:lineRule="auto"/>
        <w:jc w:val="center"/>
        <w:outlineLvl w:val="9"/>
        <w:rPr>
          <w:rFonts w:hint="eastAsia" w:ascii="宋体" w:hAnsi="宋体" w:eastAsia="宋体" w:cs="宋体"/>
          <w:b/>
          <w:color w:val="auto"/>
          <w:kern w:val="0"/>
          <w:sz w:val="30"/>
          <w:szCs w:val="30"/>
          <w:highlight w:val="none"/>
          <w:lang w:val="en-US" w:eastAsia="zh-CN"/>
        </w:rPr>
      </w:pPr>
      <w:r>
        <w:rPr>
          <w:rFonts w:hint="eastAsia" w:ascii="宋体" w:hAnsi="宋体" w:eastAsia="宋体" w:cs="宋体"/>
          <w:b/>
          <w:color w:val="auto"/>
          <w:kern w:val="0"/>
          <w:sz w:val="24"/>
          <w:szCs w:val="24"/>
          <w:highlight w:val="none"/>
          <w:lang w:val="en-US" w:eastAsia="zh-CN"/>
        </w:rPr>
        <w:t>售后服务响应、紧急供货时间承诺表</w:t>
      </w:r>
    </w:p>
    <w:tbl>
      <w:tblPr>
        <w:tblStyle w:val="2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96"/>
      </w:tblGrid>
      <w:tr w14:paraId="0C8FE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5000" w:type="pct"/>
            <w:tcBorders>
              <w:top w:val="single" w:color="auto" w:sz="4" w:space="0"/>
              <w:left w:val="single" w:color="auto" w:sz="4" w:space="0"/>
              <w:bottom w:val="single" w:color="auto" w:sz="4" w:space="0"/>
              <w:right w:val="single" w:color="auto" w:sz="4" w:space="0"/>
            </w:tcBorders>
            <w:noWrap w:val="0"/>
            <w:vAlign w:val="center"/>
          </w:tcPr>
          <w:p w14:paraId="512F46AA">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lang w:bidi="ar"/>
              </w:rPr>
              <w:t>承诺事项</w:t>
            </w:r>
          </w:p>
        </w:tc>
      </w:tr>
      <w:tr w14:paraId="13951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5000" w:type="pct"/>
            <w:tcBorders>
              <w:top w:val="single" w:color="auto" w:sz="4" w:space="0"/>
              <w:left w:val="single" w:color="auto" w:sz="4" w:space="0"/>
              <w:bottom w:val="single" w:color="auto" w:sz="4" w:space="0"/>
              <w:right w:val="single" w:color="auto" w:sz="4" w:space="0"/>
            </w:tcBorders>
            <w:noWrap w:val="0"/>
            <w:vAlign w:val="center"/>
          </w:tcPr>
          <w:p w14:paraId="60FE762D">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color w:val="auto"/>
                <w:sz w:val="21"/>
                <w:szCs w:val="21"/>
                <w:highlight w:val="none"/>
                <w:shd w:val="clear" w:color="auto" w:fill="FFFFFF"/>
                <w:lang w:eastAsia="zh-CN"/>
              </w:rPr>
            </w:pPr>
            <w:r>
              <w:rPr>
                <w:rFonts w:hint="eastAsia" w:ascii="宋体" w:hAnsi="宋体" w:eastAsia="宋体" w:cs="宋体"/>
                <w:color w:val="auto"/>
                <w:sz w:val="21"/>
                <w:szCs w:val="21"/>
                <w:highlight w:val="none"/>
                <w:shd w:val="clear" w:color="auto" w:fill="FFFFFF"/>
                <w:lang w:val="en-US" w:eastAsia="zh-CN" w:bidi="ar"/>
              </w:rPr>
              <w:t>我司</w:t>
            </w:r>
            <w:r>
              <w:rPr>
                <w:rFonts w:hint="eastAsia" w:ascii="宋体" w:hAnsi="宋体" w:eastAsia="宋体" w:cs="宋体"/>
                <w:color w:val="auto"/>
                <w:szCs w:val="21"/>
                <w:highlight w:val="none"/>
              </w:rPr>
              <w:t>承诺在接到招标人的售后服务通知后</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小时内响应</w:t>
            </w:r>
            <w:r>
              <w:rPr>
                <w:rFonts w:hint="eastAsia" w:ascii="宋体" w:hAnsi="宋体" w:eastAsia="宋体" w:cs="宋体"/>
                <w:color w:val="auto"/>
                <w:szCs w:val="21"/>
                <w:highlight w:val="none"/>
                <w:lang w:eastAsia="zh-CN"/>
              </w:rPr>
              <w:t>。</w:t>
            </w:r>
          </w:p>
        </w:tc>
      </w:tr>
      <w:tr w14:paraId="2219F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5000" w:type="pct"/>
            <w:tcBorders>
              <w:top w:val="single" w:color="auto" w:sz="4" w:space="0"/>
              <w:left w:val="single" w:color="auto" w:sz="4" w:space="0"/>
              <w:bottom w:val="single" w:color="auto" w:sz="4" w:space="0"/>
              <w:right w:val="single" w:color="auto" w:sz="4" w:space="0"/>
            </w:tcBorders>
            <w:noWrap w:val="0"/>
            <w:vAlign w:val="center"/>
          </w:tcPr>
          <w:p w14:paraId="7C474997">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bCs/>
                <w:color w:val="auto"/>
                <w:sz w:val="21"/>
                <w:szCs w:val="21"/>
                <w:highlight w:val="none"/>
                <w:u w:val="single"/>
                <w:lang w:val="en-US" w:eastAsia="zh-CN"/>
              </w:rPr>
            </w:pPr>
            <w:r>
              <w:rPr>
                <w:rFonts w:hint="eastAsia" w:ascii="宋体" w:hAnsi="宋体" w:eastAsia="宋体" w:cs="宋体"/>
                <w:color w:val="auto"/>
                <w:sz w:val="21"/>
                <w:szCs w:val="21"/>
                <w:highlight w:val="none"/>
                <w:shd w:val="clear" w:color="auto" w:fill="FFFFFF"/>
                <w:lang w:val="en-US" w:eastAsia="zh-CN" w:bidi="ar"/>
              </w:rPr>
              <w:t>我司</w:t>
            </w:r>
            <w:r>
              <w:rPr>
                <w:rFonts w:hint="eastAsia" w:ascii="宋体" w:hAnsi="宋体" w:eastAsia="宋体" w:cs="宋体"/>
                <w:color w:val="auto"/>
                <w:sz w:val="21"/>
                <w:szCs w:val="21"/>
                <w:highlight w:val="none"/>
                <w:shd w:val="clear" w:color="auto" w:fill="FFFFFF"/>
                <w:lang w:bidi="ar"/>
              </w:rPr>
              <w:t>承诺接到招标人紧急送货通知后</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 w:val="21"/>
                <w:szCs w:val="21"/>
                <w:highlight w:val="none"/>
                <w:shd w:val="clear" w:color="auto" w:fill="FFFFFF"/>
                <w:lang w:val="en-US" w:eastAsia="zh-CN" w:bidi="ar"/>
              </w:rPr>
              <w:t>日</w:t>
            </w:r>
            <w:r>
              <w:rPr>
                <w:rFonts w:hint="eastAsia" w:ascii="宋体" w:hAnsi="宋体" w:eastAsia="宋体" w:cs="宋体"/>
                <w:color w:val="auto"/>
                <w:sz w:val="21"/>
                <w:szCs w:val="21"/>
                <w:highlight w:val="none"/>
                <w:shd w:val="clear" w:color="auto" w:fill="FFFFFF"/>
                <w:lang w:bidi="ar"/>
              </w:rPr>
              <w:t>内将货物送达指定地点</w:t>
            </w:r>
            <w:r>
              <w:rPr>
                <w:rFonts w:hint="eastAsia" w:ascii="宋体" w:hAnsi="宋体" w:eastAsia="宋体" w:cs="宋体"/>
                <w:color w:val="auto"/>
                <w:sz w:val="21"/>
                <w:szCs w:val="21"/>
                <w:highlight w:val="none"/>
                <w:shd w:val="clear" w:color="auto" w:fill="FFFFFF"/>
                <w:lang w:eastAsia="zh-CN" w:bidi="ar"/>
              </w:rPr>
              <w:t>。</w:t>
            </w:r>
          </w:p>
        </w:tc>
      </w:tr>
    </w:tbl>
    <w:p w14:paraId="690279AC">
      <w:pPr>
        <w:autoSpaceDE w:val="0"/>
        <w:autoSpaceDN w:val="0"/>
        <w:adjustRightInd w:val="0"/>
        <w:snapToGrid/>
        <w:spacing w:line="360" w:lineRule="auto"/>
        <w:jc w:val="left"/>
        <w:outlineLvl w:val="9"/>
        <w:rPr>
          <w:rFonts w:hint="eastAsia" w:ascii="宋体" w:hAnsi="宋体" w:eastAsia="宋体" w:cs="宋体"/>
          <w:b/>
          <w:color w:val="auto"/>
          <w:kern w:val="0"/>
          <w:sz w:val="30"/>
          <w:szCs w:val="30"/>
          <w:highlight w:val="none"/>
          <w:lang w:val="en-US" w:eastAsia="zh-CN"/>
        </w:rPr>
      </w:pPr>
    </w:p>
    <w:p w14:paraId="27DB4115">
      <w:pPr>
        <w:autoSpaceDE w:val="0"/>
        <w:autoSpaceDN w:val="0"/>
        <w:adjustRightInd w:val="0"/>
        <w:snapToGrid/>
        <w:spacing w:line="360" w:lineRule="auto"/>
        <w:jc w:val="left"/>
        <w:outlineLvl w:val="9"/>
        <w:rPr>
          <w:rFonts w:hint="eastAsia" w:ascii="宋体" w:hAnsi="宋体" w:eastAsia="宋体" w:cs="宋体"/>
          <w:b/>
          <w:color w:val="auto"/>
          <w:kern w:val="0"/>
          <w:sz w:val="30"/>
          <w:szCs w:val="30"/>
          <w:highlight w:val="none"/>
          <w:lang w:val="en-US" w:eastAsia="zh-CN"/>
        </w:rPr>
      </w:pPr>
    </w:p>
    <w:p w14:paraId="30753F33">
      <w:pPr>
        <w:autoSpaceDE w:val="0"/>
        <w:autoSpaceDN w:val="0"/>
        <w:adjustRightInd w:val="0"/>
        <w:snapToGrid/>
        <w:spacing w:line="360" w:lineRule="auto"/>
        <w:jc w:val="left"/>
        <w:outlineLvl w:val="9"/>
        <w:rPr>
          <w:rFonts w:hint="eastAsia" w:ascii="宋体" w:hAnsi="宋体" w:eastAsia="宋体" w:cs="宋体"/>
          <w:b/>
          <w:color w:val="auto"/>
          <w:kern w:val="0"/>
          <w:sz w:val="30"/>
          <w:szCs w:val="30"/>
          <w:highlight w:val="none"/>
          <w:lang w:val="en-US" w:eastAsia="zh-CN"/>
        </w:rPr>
      </w:pPr>
    </w:p>
    <w:p w14:paraId="595D3CD0">
      <w:pPr>
        <w:autoSpaceDE w:val="0"/>
        <w:autoSpaceDN w:val="0"/>
        <w:adjustRightInd w:val="0"/>
        <w:snapToGrid/>
        <w:spacing w:line="360" w:lineRule="auto"/>
        <w:jc w:val="left"/>
        <w:outlineLvl w:val="9"/>
        <w:rPr>
          <w:rFonts w:hint="eastAsia" w:ascii="宋体" w:hAnsi="宋体" w:eastAsia="宋体" w:cs="宋体"/>
          <w:b/>
          <w:color w:val="auto"/>
          <w:kern w:val="0"/>
          <w:sz w:val="30"/>
          <w:szCs w:val="30"/>
          <w:highlight w:val="none"/>
          <w:lang w:val="en-US" w:eastAsia="zh-CN"/>
        </w:rPr>
      </w:pPr>
    </w:p>
    <w:p w14:paraId="624CEA63">
      <w:pPr>
        <w:autoSpaceDE/>
        <w:autoSpaceDN/>
        <w:adjustRightInd/>
        <w:snapToGrid/>
        <w:spacing w:line="240" w:lineRule="auto"/>
        <w:jc w:val="left"/>
        <w:outlineLvl w:val="9"/>
        <w:rPr>
          <w:rFonts w:hint="eastAsia" w:ascii="宋体" w:hAnsi="宋体" w:eastAsia="宋体" w:cs="宋体"/>
          <w:b/>
          <w:color w:val="auto"/>
          <w:kern w:val="0"/>
          <w:sz w:val="30"/>
          <w:szCs w:val="30"/>
          <w:highlight w:val="none"/>
          <w:lang w:val="en-US" w:eastAsia="zh-CN"/>
        </w:rPr>
      </w:pPr>
      <w:r>
        <w:rPr>
          <w:rFonts w:hint="eastAsia" w:ascii="宋体" w:hAnsi="宋体" w:eastAsia="宋体" w:cs="宋体"/>
          <w:b/>
          <w:color w:val="auto"/>
          <w:kern w:val="0"/>
          <w:sz w:val="30"/>
          <w:szCs w:val="30"/>
          <w:highlight w:val="none"/>
          <w:lang w:val="en-US" w:eastAsia="zh-CN"/>
        </w:rPr>
        <w:br w:type="page"/>
      </w:r>
    </w:p>
    <w:p w14:paraId="56ACEF28">
      <w:pPr>
        <w:autoSpaceDE w:val="0"/>
        <w:autoSpaceDN w:val="0"/>
        <w:adjustRightInd w:val="0"/>
        <w:snapToGrid/>
        <w:spacing w:line="360" w:lineRule="auto"/>
        <w:jc w:val="left"/>
        <w:outlineLvl w:val="2"/>
        <w:rPr>
          <w:rFonts w:hint="eastAsia" w:ascii="宋体" w:hAnsi="宋体" w:eastAsia="宋体" w:cs="宋体"/>
          <w:b/>
          <w:color w:val="auto"/>
          <w:kern w:val="0"/>
          <w:sz w:val="30"/>
          <w:szCs w:val="30"/>
          <w:highlight w:val="none"/>
        </w:rPr>
      </w:pPr>
      <w:bookmarkStart w:id="1122" w:name="_Toc28906"/>
      <w:bookmarkStart w:id="1123" w:name="_Toc25017"/>
      <w:bookmarkStart w:id="1124" w:name="_Toc21098"/>
      <w:bookmarkStart w:id="1125" w:name="_Toc29719"/>
      <w:r>
        <w:rPr>
          <w:rFonts w:hint="eastAsia" w:ascii="宋体" w:hAnsi="宋体" w:eastAsia="宋体" w:cs="宋体"/>
          <w:b/>
          <w:color w:val="auto"/>
          <w:kern w:val="0"/>
          <w:sz w:val="30"/>
          <w:szCs w:val="30"/>
          <w:highlight w:val="none"/>
          <w:lang w:val="en-US" w:eastAsia="zh-CN"/>
        </w:rPr>
        <w:t xml:space="preserve">13.8 </w:t>
      </w:r>
      <w:r>
        <w:rPr>
          <w:rFonts w:hint="eastAsia" w:ascii="宋体" w:hAnsi="宋体" w:eastAsia="宋体" w:cs="宋体"/>
          <w:b/>
          <w:color w:val="auto"/>
          <w:kern w:val="0"/>
          <w:sz w:val="30"/>
          <w:szCs w:val="30"/>
          <w:highlight w:val="none"/>
        </w:rPr>
        <w:t>投标人认为有必要提供的其</w:t>
      </w:r>
      <w:r>
        <w:rPr>
          <w:rFonts w:hint="eastAsia" w:ascii="宋体" w:hAnsi="宋体" w:eastAsia="宋体" w:cs="宋体"/>
          <w:b/>
          <w:color w:val="auto"/>
          <w:kern w:val="0"/>
          <w:sz w:val="30"/>
          <w:szCs w:val="30"/>
          <w:highlight w:val="none"/>
          <w:lang w:val="en-US" w:eastAsia="zh-CN"/>
        </w:rPr>
        <w:t>他</w:t>
      </w:r>
      <w:r>
        <w:rPr>
          <w:rFonts w:hint="eastAsia" w:ascii="宋体" w:hAnsi="宋体" w:eastAsia="宋体" w:cs="宋体"/>
          <w:b/>
          <w:color w:val="auto"/>
          <w:kern w:val="0"/>
          <w:sz w:val="30"/>
          <w:szCs w:val="30"/>
          <w:highlight w:val="none"/>
        </w:rPr>
        <w:t>材料（不</w:t>
      </w:r>
      <w:r>
        <w:rPr>
          <w:rFonts w:hint="eastAsia" w:ascii="宋体" w:hAnsi="宋体" w:eastAsia="宋体" w:cs="宋体"/>
          <w:b/>
          <w:color w:val="auto"/>
          <w:kern w:val="0"/>
          <w:sz w:val="30"/>
          <w:szCs w:val="30"/>
          <w:highlight w:val="none"/>
          <w:lang w:val="en-US" w:eastAsia="zh-CN"/>
        </w:rPr>
        <w:t>作</w:t>
      </w:r>
      <w:r>
        <w:rPr>
          <w:rFonts w:hint="eastAsia" w:ascii="宋体" w:hAnsi="宋体" w:eastAsia="宋体" w:cs="宋体"/>
          <w:b/>
          <w:color w:val="auto"/>
          <w:kern w:val="0"/>
          <w:sz w:val="30"/>
          <w:szCs w:val="30"/>
          <w:highlight w:val="none"/>
        </w:rPr>
        <w:t>强制要求）</w:t>
      </w:r>
      <w:bookmarkEnd w:id="1106"/>
      <w:bookmarkEnd w:id="1107"/>
      <w:bookmarkEnd w:id="1108"/>
      <w:bookmarkEnd w:id="1109"/>
      <w:bookmarkEnd w:id="1110"/>
      <w:bookmarkEnd w:id="1120"/>
      <w:bookmarkEnd w:id="1121"/>
      <w:bookmarkEnd w:id="1122"/>
      <w:bookmarkEnd w:id="1123"/>
      <w:bookmarkEnd w:id="1124"/>
      <w:bookmarkEnd w:id="1125"/>
    </w:p>
    <w:p w14:paraId="1D36CFF7">
      <w:pPr>
        <w:autoSpaceDE w:val="0"/>
        <w:autoSpaceDN w:val="0"/>
        <w:adjustRightInd w:val="0"/>
        <w:snapToGrid/>
        <w:spacing w:line="240" w:lineRule="auto"/>
        <w:jc w:val="left"/>
        <w:rPr>
          <w:rFonts w:hint="eastAsia" w:ascii="宋体" w:hAnsi="宋体" w:eastAsia="宋体" w:cs="宋体"/>
          <w:color w:val="auto"/>
          <w:kern w:val="0"/>
          <w:sz w:val="24"/>
          <w:szCs w:val="24"/>
          <w:highlight w:val="none"/>
        </w:rPr>
      </w:pPr>
    </w:p>
    <w:p w14:paraId="540B8C1C">
      <w:pPr>
        <w:autoSpaceDE w:val="0"/>
        <w:autoSpaceDN w:val="0"/>
        <w:adjustRightInd w:val="0"/>
        <w:snapToGrid/>
        <w:spacing w:line="240" w:lineRule="auto"/>
        <w:jc w:val="left"/>
        <w:rPr>
          <w:rFonts w:hint="eastAsia" w:ascii="宋体" w:hAnsi="宋体" w:eastAsia="宋体" w:cs="宋体"/>
          <w:color w:val="auto"/>
          <w:kern w:val="0"/>
          <w:sz w:val="24"/>
          <w:szCs w:val="24"/>
          <w:highlight w:val="none"/>
        </w:rPr>
      </w:pPr>
    </w:p>
    <w:p w14:paraId="773236E1">
      <w:pPr>
        <w:autoSpaceDE w:val="0"/>
        <w:autoSpaceDN w:val="0"/>
        <w:adjustRightInd w:val="0"/>
        <w:snapToGrid/>
        <w:spacing w:line="240" w:lineRule="auto"/>
        <w:jc w:val="left"/>
        <w:rPr>
          <w:rFonts w:hint="eastAsia" w:ascii="宋体" w:hAnsi="宋体" w:eastAsia="宋体" w:cs="宋体"/>
          <w:color w:val="auto"/>
          <w:kern w:val="0"/>
          <w:sz w:val="24"/>
          <w:szCs w:val="24"/>
          <w:highlight w:val="none"/>
        </w:rPr>
      </w:pPr>
    </w:p>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91"/>
    <w:bookmarkEnd w:id="1092"/>
    <w:bookmarkEnd w:id="1093"/>
    <w:bookmarkEnd w:id="1094"/>
    <w:bookmarkEnd w:id="1095"/>
    <w:bookmarkEnd w:id="1096"/>
    <w:bookmarkEnd w:id="1097"/>
    <w:p w14:paraId="641853F2">
      <w:pPr>
        <w:rPr>
          <w:rFonts w:hint="eastAsia" w:ascii="宋体" w:hAnsi="宋体" w:eastAsia="宋体" w:cs="宋体"/>
          <w:b/>
          <w:bCs/>
          <w:color w:val="auto"/>
          <w:kern w:val="44"/>
          <w:sz w:val="32"/>
          <w:szCs w:val="32"/>
          <w:highlight w:val="none"/>
          <w:lang w:val="zh-CN"/>
        </w:rPr>
      </w:pPr>
      <w:bookmarkStart w:id="1126" w:name="_Toc10160"/>
      <w:bookmarkStart w:id="1127" w:name="_Toc178076634"/>
      <w:bookmarkStart w:id="1128" w:name="_Toc172552216"/>
      <w:bookmarkStart w:id="1129" w:name="_Toc24401"/>
      <w:bookmarkStart w:id="1130" w:name="_Toc21036"/>
      <w:bookmarkStart w:id="1131" w:name="_Toc176627945"/>
      <w:bookmarkStart w:id="1132" w:name="_Toc28845"/>
      <w:bookmarkStart w:id="1133" w:name="_Toc142508390"/>
      <w:bookmarkStart w:id="1134" w:name="_Toc31767"/>
      <w:bookmarkStart w:id="1135" w:name="_Toc19253"/>
      <w:bookmarkStart w:id="1136" w:name="_Toc762"/>
      <w:bookmarkStart w:id="1137" w:name="_Toc521918141"/>
      <w:bookmarkStart w:id="1138" w:name="_Toc533708139"/>
      <w:bookmarkStart w:id="1139" w:name="_Toc522047402"/>
      <w:bookmarkStart w:id="1140" w:name="_Toc22601_WPSOffice_Level1"/>
      <w:r>
        <w:rPr>
          <w:rFonts w:hint="eastAsia" w:ascii="宋体" w:hAnsi="宋体" w:eastAsia="宋体" w:cs="宋体"/>
          <w:b/>
          <w:bCs/>
          <w:color w:val="auto"/>
          <w:kern w:val="44"/>
          <w:sz w:val="32"/>
          <w:szCs w:val="32"/>
          <w:highlight w:val="none"/>
          <w:lang w:val="zh-CN"/>
        </w:rPr>
        <w:br w:type="page"/>
      </w:r>
    </w:p>
    <w:p w14:paraId="50BDB844">
      <w:pPr>
        <w:pStyle w:val="2"/>
        <w:jc w:val="left"/>
        <w:rPr>
          <w:rFonts w:hint="eastAsia" w:ascii="宋体" w:hAnsi="宋体" w:eastAsia="宋体" w:cs="宋体"/>
          <w:color w:val="auto"/>
          <w:highlight w:val="none"/>
          <w:lang w:val="zh-CN"/>
        </w:rPr>
      </w:pPr>
      <w:bookmarkStart w:id="1141" w:name="_Toc21269"/>
      <w:bookmarkStart w:id="1142" w:name="_Toc212"/>
      <w:r>
        <w:rPr>
          <w:rFonts w:hint="eastAsia" w:ascii="宋体" w:hAnsi="宋体" w:eastAsia="宋体" w:cs="宋体"/>
          <w:color w:val="auto"/>
          <w:highlight w:val="none"/>
          <w:lang w:val="zh-CN"/>
        </w:rPr>
        <w:t>附件一：评标工作大纲</w:t>
      </w:r>
      <w:bookmarkEnd w:id="1126"/>
      <w:bookmarkEnd w:id="1127"/>
      <w:bookmarkEnd w:id="1128"/>
      <w:bookmarkEnd w:id="1129"/>
      <w:bookmarkEnd w:id="1130"/>
      <w:bookmarkEnd w:id="1131"/>
      <w:bookmarkEnd w:id="1132"/>
      <w:bookmarkEnd w:id="1133"/>
      <w:bookmarkEnd w:id="1134"/>
      <w:bookmarkEnd w:id="1135"/>
      <w:bookmarkEnd w:id="1136"/>
      <w:bookmarkEnd w:id="1141"/>
      <w:bookmarkEnd w:id="1142"/>
    </w:p>
    <w:p w14:paraId="535DAF68">
      <w:pPr>
        <w:rPr>
          <w:rFonts w:hint="eastAsia" w:ascii="宋体" w:hAnsi="宋体" w:eastAsia="宋体" w:cs="宋体"/>
          <w:color w:val="auto"/>
          <w:highlight w:val="none"/>
        </w:rPr>
      </w:pPr>
    </w:p>
    <w:p w14:paraId="70335B64">
      <w:pPr>
        <w:rPr>
          <w:rFonts w:hint="eastAsia" w:ascii="宋体" w:hAnsi="宋体" w:eastAsia="宋体" w:cs="宋体"/>
          <w:color w:val="auto"/>
          <w:highlight w:val="none"/>
        </w:rPr>
      </w:pPr>
    </w:p>
    <w:p w14:paraId="5BFDDC96">
      <w:pPr>
        <w:rPr>
          <w:rFonts w:hint="eastAsia" w:ascii="宋体" w:hAnsi="宋体" w:eastAsia="宋体" w:cs="宋体"/>
          <w:color w:val="auto"/>
          <w:highlight w:val="none"/>
        </w:rPr>
      </w:pPr>
    </w:p>
    <w:p w14:paraId="131E0651">
      <w:pPr>
        <w:rPr>
          <w:rFonts w:hint="eastAsia" w:ascii="宋体" w:hAnsi="宋体" w:eastAsia="宋体" w:cs="宋体"/>
          <w:color w:val="auto"/>
          <w:highlight w:val="none"/>
        </w:rPr>
      </w:pPr>
    </w:p>
    <w:p w14:paraId="327DFA45">
      <w:pPr>
        <w:jc w:val="center"/>
        <w:rPr>
          <w:rFonts w:hint="eastAsia" w:ascii="宋体" w:hAnsi="宋体" w:eastAsia="宋体" w:cs="宋体"/>
          <w:b/>
          <w:bCs/>
          <w:color w:val="auto"/>
          <w:sz w:val="36"/>
          <w:szCs w:val="44"/>
          <w:highlight w:val="none"/>
          <w:lang w:eastAsia="zh-CN"/>
        </w:rPr>
      </w:pPr>
      <w:r>
        <w:rPr>
          <w:rFonts w:hint="eastAsia" w:cs="宋体"/>
          <w:b/>
          <w:bCs/>
          <w:color w:val="auto"/>
          <w:sz w:val="36"/>
          <w:szCs w:val="44"/>
          <w:highlight w:val="none"/>
          <w:lang w:eastAsia="zh-CN"/>
        </w:rPr>
        <w:t>东莞市碧水信息科技有限公司2025年度球墨铸铁阀门采购项目（第三次招标）</w:t>
      </w:r>
    </w:p>
    <w:p w14:paraId="1E886768">
      <w:pPr>
        <w:jc w:val="center"/>
        <w:rPr>
          <w:rFonts w:hint="eastAsia" w:ascii="宋体" w:hAnsi="宋体" w:eastAsia="宋体" w:cs="宋体"/>
          <w:b/>
          <w:bCs/>
          <w:color w:val="auto"/>
          <w:sz w:val="36"/>
          <w:szCs w:val="36"/>
          <w:highlight w:val="none"/>
        </w:rPr>
      </w:pPr>
      <w:bookmarkStart w:id="1143" w:name="_Toc14752_WPSOffice_Level1"/>
      <w:r>
        <w:rPr>
          <w:rFonts w:hint="eastAsia" w:ascii="宋体" w:hAnsi="宋体" w:eastAsia="宋体" w:cs="宋体"/>
          <w:b/>
          <w:bCs/>
          <w:color w:val="auto"/>
          <w:sz w:val="36"/>
          <w:szCs w:val="36"/>
          <w:highlight w:val="none"/>
          <w:lang w:val="zh-CN"/>
        </w:rPr>
        <w:t>（招标编号：</w:t>
      </w:r>
      <w:r>
        <w:rPr>
          <w:rFonts w:hint="eastAsia" w:cs="宋体"/>
          <w:b/>
          <w:bCs/>
          <w:color w:val="auto"/>
          <w:kern w:val="2"/>
          <w:sz w:val="36"/>
          <w:szCs w:val="36"/>
          <w:highlight w:val="none"/>
          <w:lang w:val="en-US" w:eastAsia="zh-CN" w:bidi="ar-SA"/>
        </w:rPr>
        <w:t>YDZB25DGQY0149-2</w:t>
      </w:r>
      <w:r>
        <w:rPr>
          <w:rFonts w:hint="eastAsia" w:ascii="宋体" w:hAnsi="宋体" w:eastAsia="宋体" w:cs="宋体"/>
          <w:b/>
          <w:bCs/>
          <w:color w:val="auto"/>
          <w:sz w:val="36"/>
          <w:szCs w:val="36"/>
          <w:highlight w:val="none"/>
          <w:lang w:val="zh-CN"/>
        </w:rPr>
        <w:t>）</w:t>
      </w:r>
      <w:bookmarkEnd w:id="1143"/>
    </w:p>
    <w:p w14:paraId="407A815B">
      <w:pPr>
        <w:rPr>
          <w:rFonts w:hint="eastAsia" w:ascii="宋体" w:hAnsi="宋体" w:eastAsia="宋体" w:cs="宋体"/>
          <w:color w:val="auto"/>
          <w:highlight w:val="none"/>
        </w:rPr>
      </w:pPr>
    </w:p>
    <w:p w14:paraId="412C2222">
      <w:pPr>
        <w:rPr>
          <w:rFonts w:hint="eastAsia" w:ascii="宋体" w:hAnsi="宋体" w:eastAsia="宋体" w:cs="宋体"/>
          <w:color w:val="auto"/>
          <w:highlight w:val="none"/>
        </w:rPr>
      </w:pPr>
    </w:p>
    <w:p w14:paraId="4ED13274">
      <w:pPr>
        <w:rPr>
          <w:rFonts w:hint="eastAsia" w:ascii="宋体" w:hAnsi="宋体" w:eastAsia="宋体" w:cs="宋体"/>
          <w:color w:val="auto"/>
          <w:highlight w:val="none"/>
        </w:rPr>
      </w:pPr>
    </w:p>
    <w:p w14:paraId="06572095">
      <w:pPr>
        <w:rPr>
          <w:rFonts w:hint="eastAsia" w:ascii="宋体" w:hAnsi="宋体" w:eastAsia="宋体" w:cs="宋体"/>
          <w:color w:val="auto"/>
          <w:highlight w:val="none"/>
        </w:rPr>
      </w:pPr>
    </w:p>
    <w:p w14:paraId="2DC8B5E2">
      <w:pPr>
        <w:rPr>
          <w:rFonts w:hint="eastAsia" w:ascii="宋体" w:hAnsi="宋体" w:eastAsia="宋体" w:cs="宋体"/>
          <w:color w:val="auto"/>
          <w:highlight w:val="none"/>
        </w:rPr>
      </w:pPr>
    </w:p>
    <w:p w14:paraId="25F51B04">
      <w:pPr>
        <w:rPr>
          <w:rFonts w:hint="eastAsia" w:ascii="宋体" w:hAnsi="宋体" w:eastAsia="宋体" w:cs="宋体"/>
          <w:color w:val="auto"/>
          <w:highlight w:val="none"/>
        </w:rPr>
      </w:pPr>
    </w:p>
    <w:p w14:paraId="14816E76">
      <w:pPr>
        <w:rPr>
          <w:rFonts w:hint="eastAsia" w:ascii="宋体" w:hAnsi="宋体" w:eastAsia="宋体" w:cs="宋体"/>
          <w:color w:val="auto"/>
          <w:highlight w:val="none"/>
        </w:rPr>
      </w:pPr>
    </w:p>
    <w:p w14:paraId="3DB64993">
      <w:pPr>
        <w:spacing w:line="400" w:lineRule="atLeast"/>
        <w:jc w:val="center"/>
        <w:rPr>
          <w:rFonts w:hint="eastAsia" w:ascii="宋体" w:hAnsi="宋体" w:eastAsia="宋体" w:cs="宋体"/>
          <w:b/>
          <w:bCs/>
          <w:color w:val="auto"/>
          <w:sz w:val="72"/>
          <w:szCs w:val="72"/>
          <w:highlight w:val="none"/>
          <w:lang w:val="zh-CN"/>
        </w:rPr>
      </w:pPr>
      <w:bookmarkStart w:id="1144" w:name="_Toc18947_WPSOffice_Level2"/>
      <w:r>
        <w:rPr>
          <w:rFonts w:hint="eastAsia" w:ascii="宋体" w:hAnsi="宋体" w:eastAsia="宋体" w:cs="宋体"/>
          <w:b/>
          <w:bCs/>
          <w:color w:val="auto"/>
          <w:sz w:val="72"/>
          <w:szCs w:val="72"/>
          <w:highlight w:val="none"/>
          <w:lang w:val="zh-CN"/>
        </w:rPr>
        <w:t>评标工作大纲</w:t>
      </w:r>
      <w:bookmarkEnd w:id="1144"/>
    </w:p>
    <w:p w14:paraId="2B47D1F3">
      <w:pPr>
        <w:rPr>
          <w:rFonts w:hint="eastAsia" w:ascii="宋体" w:hAnsi="宋体" w:eastAsia="宋体" w:cs="宋体"/>
          <w:color w:val="auto"/>
          <w:highlight w:val="none"/>
        </w:rPr>
      </w:pPr>
    </w:p>
    <w:p w14:paraId="026CE099">
      <w:pPr>
        <w:rPr>
          <w:rFonts w:hint="eastAsia" w:ascii="宋体" w:hAnsi="宋体" w:eastAsia="宋体" w:cs="宋体"/>
          <w:color w:val="auto"/>
          <w:highlight w:val="none"/>
        </w:rPr>
      </w:pPr>
    </w:p>
    <w:p w14:paraId="22B805EB">
      <w:pPr>
        <w:rPr>
          <w:rFonts w:hint="eastAsia" w:ascii="宋体" w:hAnsi="宋体" w:eastAsia="宋体" w:cs="宋体"/>
          <w:color w:val="auto"/>
          <w:highlight w:val="none"/>
        </w:rPr>
      </w:pPr>
    </w:p>
    <w:p w14:paraId="7DEE96A2">
      <w:pPr>
        <w:rPr>
          <w:rFonts w:hint="eastAsia" w:ascii="宋体" w:hAnsi="宋体" w:eastAsia="宋体" w:cs="宋体"/>
          <w:color w:val="auto"/>
          <w:highlight w:val="none"/>
        </w:rPr>
      </w:pPr>
    </w:p>
    <w:p w14:paraId="5CFDE3D8">
      <w:pPr>
        <w:rPr>
          <w:rFonts w:hint="eastAsia" w:ascii="宋体" w:hAnsi="宋体" w:eastAsia="宋体" w:cs="宋体"/>
          <w:color w:val="auto"/>
          <w:highlight w:val="none"/>
        </w:rPr>
      </w:pPr>
    </w:p>
    <w:p w14:paraId="13746FF1">
      <w:pPr>
        <w:rPr>
          <w:rFonts w:hint="eastAsia" w:ascii="宋体" w:hAnsi="宋体" w:eastAsia="宋体" w:cs="宋体"/>
          <w:color w:val="auto"/>
          <w:highlight w:val="none"/>
        </w:rPr>
      </w:pPr>
    </w:p>
    <w:p w14:paraId="4C9098F6">
      <w:pPr>
        <w:rPr>
          <w:rFonts w:hint="eastAsia" w:ascii="宋体" w:hAnsi="宋体" w:eastAsia="宋体" w:cs="宋体"/>
          <w:color w:val="auto"/>
          <w:highlight w:val="none"/>
        </w:rPr>
      </w:pPr>
    </w:p>
    <w:p w14:paraId="45951D31">
      <w:pPr>
        <w:spacing w:line="400" w:lineRule="atLeast"/>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广东有德招标采购有限公司</w:t>
      </w:r>
    </w:p>
    <w:p w14:paraId="23475D62">
      <w:pPr>
        <w:rPr>
          <w:rFonts w:hint="eastAsia" w:ascii="宋体" w:hAnsi="宋体" w:eastAsia="宋体" w:cs="宋体"/>
          <w:color w:val="auto"/>
          <w:highlight w:val="none"/>
        </w:rPr>
      </w:pPr>
    </w:p>
    <w:p w14:paraId="5975CF48">
      <w:pPr>
        <w:rPr>
          <w:rFonts w:hint="eastAsia" w:ascii="宋体" w:hAnsi="宋体" w:eastAsia="宋体" w:cs="宋体"/>
          <w:b/>
          <w:bCs/>
          <w:color w:val="auto"/>
          <w:szCs w:val="36"/>
          <w:highlight w:val="none"/>
          <w:lang w:val="zh-CN"/>
        </w:rPr>
      </w:pPr>
      <w:bookmarkStart w:id="1145" w:name="_Toc32395_WPSOffice_Level1"/>
      <w:r>
        <w:rPr>
          <w:rFonts w:hint="eastAsia" w:ascii="宋体" w:hAnsi="宋体" w:eastAsia="宋体" w:cs="宋体"/>
          <w:b/>
          <w:bCs/>
          <w:color w:val="auto"/>
          <w:szCs w:val="36"/>
          <w:highlight w:val="none"/>
          <w:lang w:val="zh-CN"/>
        </w:rPr>
        <w:br w:type="page"/>
      </w:r>
    </w:p>
    <w:p w14:paraId="0932B49F">
      <w:pPr>
        <w:jc w:val="center"/>
        <w:rPr>
          <w:rFonts w:hint="eastAsia" w:ascii="宋体" w:hAnsi="宋体" w:eastAsia="宋体" w:cs="宋体"/>
          <w:b/>
          <w:bCs/>
          <w:color w:val="auto"/>
          <w:sz w:val="28"/>
          <w:szCs w:val="32"/>
          <w:highlight w:val="none"/>
        </w:rPr>
      </w:pPr>
      <w:r>
        <w:rPr>
          <w:rFonts w:hint="eastAsia" w:ascii="宋体" w:hAnsi="宋体" w:eastAsia="宋体" w:cs="宋体"/>
          <w:b/>
          <w:bCs/>
          <w:color w:val="auto"/>
          <w:sz w:val="28"/>
          <w:szCs w:val="32"/>
          <w:highlight w:val="none"/>
          <w:lang w:val="zh-CN"/>
        </w:rPr>
        <w:t>目录</w:t>
      </w:r>
      <w:bookmarkEnd w:id="1145"/>
    </w:p>
    <w:p w14:paraId="15D4BE2A">
      <w:pPr>
        <w:rPr>
          <w:rFonts w:hint="eastAsia" w:ascii="宋体" w:hAnsi="宋体" w:eastAsia="宋体" w:cs="宋体"/>
          <w:color w:val="auto"/>
          <w:highlight w:val="none"/>
        </w:rPr>
      </w:pPr>
    </w:p>
    <w:p w14:paraId="04335D58">
      <w:pPr>
        <w:spacing w:line="480" w:lineRule="auto"/>
        <w:ind w:left="420" w:leftChars="200"/>
        <w:rPr>
          <w:rFonts w:hint="eastAsia" w:ascii="宋体" w:hAnsi="宋体" w:eastAsia="宋体" w:cs="宋体"/>
          <w:color w:val="auto"/>
          <w:highlight w:val="none"/>
        </w:rPr>
      </w:pPr>
      <w:bookmarkStart w:id="1146" w:name="_Toc21604_WPSOffice_Level1"/>
      <w:r>
        <w:rPr>
          <w:rFonts w:hint="eastAsia" w:ascii="宋体" w:hAnsi="宋体" w:eastAsia="宋体" w:cs="宋体"/>
          <w:color w:val="auto"/>
          <w:highlight w:val="none"/>
          <w:lang w:val="zh-CN"/>
        </w:rPr>
        <w:t>一、总则</w:t>
      </w:r>
      <w:bookmarkEnd w:id="1146"/>
    </w:p>
    <w:p w14:paraId="4291079B">
      <w:pPr>
        <w:spacing w:line="480" w:lineRule="auto"/>
        <w:ind w:left="420" w:leftChars="200"/>
        <w:rPr>
          <w:rFonts w:hint="eastAsia" w:ascii="宋体" w:hAnsi="宋体" w:eastAsia="宋体" w:cs="宋体"/>
          <w:color w:val="auto"/>
          <w:highlight w:val="none"/>
        </w:rPr>
      </w:pPr>
      <w:bookmarkStart w:id="1147" w:name="_Toc1387_WPSOffice_Level1"/>
      <w:r>
        <w:rPr>
          <w:rFonts w:hint="eastAsia" w:ascii="宋体" w:hAnsi="宋体" w:eastAsia="宋体" w:cs="宋体"/>
          <w:color w:val="auto"/>
          <w:highlight w:val="none"/>
          <w:lang w:val="zh-CN"/>
        </w:rPr>
        <w:t>二、投标文件的初审</w:t>
      </w:r>
      <w:bookmarkEnd w:id="1147"/>
    </w:p>
    <w:p w14:paraId="210A7666">
      <w:pPr>
        <w:spacing w:line="480" w:lineRule="auto"/>
        <w:ind w:left="420" w:leftChars="200"/>
        <w:rPr>
          <w:rFonts w:hint="eastAsia" w:ascii="宋体" w:hAnsi="宋体" w:eastAsia="宋体" w:cs="宋体"/>
          <w:color w:val="auto"/>
          <w:highlight w:val="none"/>
        </w:rPr>
      </w:pPr>
      <w:bookmarkStart w:id="1148" w:name="_Toc30284_WPSOffice_Level1"/>
      <w:r>
        <w:rPr>
          <w:rFonts w:hint="eastAsia" w:ascii="宋体" w:hAnsi="宋体" w:eastAsia="宋体" w:cs="宋体"/>
          <w:color w:val="auto"/>
          <w:highlight w:val="none"/>
          <w:lang w:val="zh-CN"/>
        </w:rPr>
        <w:t>三、澄清有关问题</w:t>
      </w:r>
      <w:bookmarkEnd w:id="1148"/>
    </w:p>
    <w:p w14:paraId="3BF7D0AB">
      <w:pPr>
        <w:spacing w:line="480" w:lineRule="auto"/>
        <w:ind w:left="420" w:leftChars="200"/>
        <w:rPr>
          <w:rFonts w:hint="eastAsia" w:ascii="宋体" w:hAnsi="宋体" w:eastAsia="宋体" w:cs="宋体"/>
          <w:color w:val="auto"/>
          <w:highlight w:val="none"/>
        </w:rPr>
      </w:pPr>
      <w:bookmarkStart w:id="1149" w:name="_Toc1206_WPSOffice_Level1"/>
      <w:r>
        <w:rPr>
          <w:rFonts w:hint="eastAsia" w:ascii="宋体" w:hAnsi="宋体" w:eastAsia="宋体" w:cs="宋体"/>
          <w:color w:val="auto"/>
          <w:highlight w:val="none"/>
        </w:rPr>
        <w:t>四、比较和评价</w:t>
      </w:r>
      <w:bookmarkEnd w:id="1149"/>
    </w:p>
    <w:p w14:paraId="4B4A5A14">
      <w:pPr>
        <w:spacing w:line="480" w:lineRule="auto"/>
        <w:ind w:left="420" w:leftChars="200"/>
        <w:rPr>
          <w:rFonts w:hint="eastAsia" w:ascii="宋体" w:hAnsi="宋体" w:eastAsia="宋体" w:cs="宋体"/>
          <w:color w:val="auto"/>
          <w:highlight w:val="none"/>
        </w:rPr>
      </w:pPr>
      <w:bookmarkStart w:id="1150" w:name="_Toc12163_WPSOffice_Level1"/>
      <w:r>
        <w:rPr>
          <w:rFonts w:hint="eastAsia" w:ascii="宋体" w:hAnsi="宋体" w:eastAsia="宋体" w:cs="宋体"/>
          <w:color w:val="auto"/>
          <w:highlight w:val="none"/>
          <w:lang w:val="zh-CN"/>
        </w:rPr>
        <w:t>五、推荐中标候选人名单</w:t>
      </w:r>
      <w:bookmarkEnd w:id="1150"/>
    </w:p>
    <w:p w14:paraId="48117E6F">
      <w:pPr>
        <w:spacing w:line="480" w:lineRule="auto"/>
        <w:ind w:left="420" w:leftChars="200"/>
        <w:rPr>
          <w:rFonts w:hint="eastAsia" w:ascii="宋体" w:hAnsi="宋体" w:eastAsia="宋体" w:cs="宋体"/>
          <w:color w:val="auto"/>
          <w:highlight w:val="none"/>
        </w:rPr>
      </w:pPr>
      <w:bookmarkStart w:id="1151" w:name="_Toc366_WPSOffice_Level1"/>
      <w:r>
        <w:rPr>
          <w:rFonts w:hint="eastAsia" w:ascii="宋体" w:hAnsi="宋体" w:eastAsia="宋体" w:cs="宋体"/>
          <w:color w:val="auto"/>
          <w:highlight w:val="none"/>
          <w:lang w:val="zh-CN"/>
        </w:rPr>
        <w:t>六、编写评标报告</w:t>
      </w:r>
      <w:bookmarkEnd w:id="1151"/>
    </w:p>
    <w:p w14:paraId="2B5A05BF">
      <w:pPr>
        <w:spacing w:line="480" w:lineRule="auto"/>
        <w:ind w:left="420" w:leftChars="200"/>
        <w:rPr>
          <w:rFonts w:hint="eastAsia" w:ascii="宋体" w:hAnsi="宋体" w:eastAsia="宋体" w:cs="宋体"/>
          <w:color w:val="auto"/>
          <w:highlight w:val="none"/>
          <w:lang w:val="zh-CN"/>
        </w:rPr>
      </w:pPr>
      <w:bookmarkStart w:id="1152" w:name="_Toc22378_WPSOffice_Level1"/>
      <w:r>
        <w:rPr>
          <w:rFonts w:hint="eastAsia" w:ascii="宋体" w:hAnsi="宋体" w:eastAsia="宋体" w:cs="宋体"/>
          <w:color w:val="auto"/>
          <w:highlight w:val="none"/>
          <w:lang w:val="zh-CN"/>
        </w:rPr>
        <w:t>七、注意事项</w:t>
      </w:r>
      <w:bookmarkEnd w:id="1152"/>
      <w:bookmarkStart w:id="1153" w:name="_Toc27181_WPSOffice_Level1"/>
    </w:p>
    <w:p w14:paraId="73A713B5">
      <w:pPr>
        <w:rPr>
          <w:rFonts w:hint="eastAsia" w:ascii="宋体" w:hAnsi="宋体" w:eastAsia="宋体" w:cs="宋体"/>
          <w:b/>
          <w:bCs/>
          <w:color w:val="auto"/>
          <w:sz w:val="28"/>
          <w:szCs w:val="32"/>
          <w:highlight w:val="none"/>
          <w:lang w:val="zh-CN"/>
        </w:rPr>
      </w:pPr>
      <w:r>
        <w:rPr>
          <w:rFonts w:hint="eastAsia" w:ascii="宋体" w:hAnsi="宋体" w:eastAsia="宋体" w:cs="宋体"/>
          <w:b/>
          <w:bCs/>
          <w:color w:val="auto"/>
          <w:sz w:val="28"/>
          <w:szCs w:val="32"/>
          <w:highlight w:val="none"/>
          <w:lang w:val="zh-CN"/>
        </w:rPr>
        <w:br w:type="page"/>
      </w:r>
    </w:p>
    <w:p w14:paraId="1BCEF8C3">
      <w:pPr>
        <w:spacing w:line="480" w:lineRule="auto"/>
        <w:jc w:val="center"/>
        <w:rPr>
          <w:rFonts w:hint="eastAsia" w:ascii="宋体" w:hAnsi="宋体" w:eastAsia="宋体" w:cs="宋体"/>
          <w:b/>
          <w:bCs/>
          <w:color w:val="auto"/>
          <w:szCs w:val="28"/>
          <w:highlight w:val="none"/>
        </w:rPr>
      </w:pPr>
      <w:r>
        <w:rPr>
          <w:rFonts w:hint="eastAsia" w:ascii="宋体" w:hAnsi="宋体" w:eastAsia="宋体" w:cs="宋体"/>
          <w:b/>
          <w:bCs/>
          <w:color w:val="auto"/>
          <w:sz w:val="28"/>
          <w:szCs w:val="32"/>
          <w:highlight w:val="none"/>
          <w:lang w:val="zh-CN"/>
        </w:rPr>
        <w:t>一、总则</w:t>
      </w:r>
      <w:bookmarkEnd w:id="1153"/>
    </w:p>
    <w:p w14:paraId="0548F80B">
      <w:pPr>
        <w:ind w:left="527" w:hanging="527" w:hangingChars="250"/>
        <w:rPr>
          <w:rFonts w:hint="eastAsia" w:ascii="宋体" w:hAnsi="宋体" w:eastAsia="宋体" w:cs="宋体"/>
          <w:b/>
          <w:bCs/>
          <w:color w:val="auto"/>
          <w:highlight w:val="none"/>
          <w:lang w:val="zh-CN"/>
        </w:rPr>
      </w:pPr>
      <w:r>
        <w:rPr>
          <w:rFonts w:hint="eastAsia" w:ascii="宋体" w:hAnsi="宋体" w:eastAsia="宋体" w:cs="宋体"/>
          <w:b/>
          <w:bCs/>
          <w:color w:val="auto"/>
          <w:highlight w:val="none"/>
          <w:lang w:val="zh-CN"/>
        </w:rPr>
        <w:t>1</w:t>
      </w:r>
      <w:r>
        <w:rPr>
          <w:rFonts w:hint="eastAsia" w:ascii="宋体" w:hAnsi="宋体" w:eastAsia="宋体" w:cs="宋体"/>
          <w:b/>
          <w:bCs/>
          <w:color w:val="auto"/>
          <w:highlight w:val="none"/>
        </w:rPr>
        <w:t>.</w:t>
      </w:r>
      <w:r>
        <w:rPr>
          <w:rFonts w:hint="eastAsia" w:ascii="宋体" w:hAnsi="宋体" w:eastAsia="宋体" w:cs="宋体"/>
          <w:b/>
          <w:bCs/>
          <w:color w:val="auto"/>
          <w:highlight w:val="none"/>
          <w:lang w:val="zh-CN"/>
        </w:rPr>
        <w:t>一般规定</w:t>
      </w:r>
    </w:p>
    <w:p w14:paraId="78153887">
      <w:pPr>
        <w:ind w:left="525" w:hanging="525" w:hangingChars="250"/>
        <w:rPr>
          <w:rFonts w:hint="eastAsia" w:ascii="宋体" w:hAnsi="宋体" w:eastAsia="宋体" w:cs="宋体"/>
          <w:color w:val="auto"/>
          <w:highlight w:val="none"/>
        </w:rPr>
      </w:pPr>
      <w:r>
        <w:rPr>
          <w:rFonts w:hint="eastAsia" w:ascii="宋体" w:hAnsi="宋体" w:eastAsia="宋体" w:cs="宋体"/>
          <w:color w:val="auto"/>
          <w:highlight w:val="none"/>
          <w:lang w:val="zh-CN"/>
        </w:rPr>
        <w:t>1.1</w:t>
      </w:r>
      <w:r>
        <w:rPr>
          <w:rFonts w:hint="eastAsia" w:ascii="宋体" w:hAnsi="宋体" w:eastAsia="宋体" w:cs="宋体"/>
          <w:color w:val="auto"/>
          <w:highlight w:val="none"/>
          <w:lang w:val="zh-CN"/>
        </w:rPr>
        <w:tab/>
      </w:r>
      <w:r>
        <w:rPr>
          <w:rFonts w:hint="eastAsia" w:cs="宋体"/>
          <w:color w:val="auto"/>
          <w:kern w:val="2"/>
          <w:sz w:val="21"/>
          <w:szCs w:val="22"/>
          <w:highlight w:val="none"/>
          <w:lang w:val="zh-CN" w:eastAsia="zh-CN" w:bidi="ar-SA"/>
        </w:rPr>
        <w:t>东莞市碧水信息科技有限公司2025年度球墨铸铁阀门采购项目（第三次招标）</w:t>
      </w:r>
      <w:r>
        <w:rPr>
          <w:rFonts w:hint="eastAsia" w:ascii="宋体" w:hAnsi="宋体" w:eastAsia="宋体" w:cs="宋体"/>
          <w:color w:val="auto"/>
          <w:highlight w:val="none"/>
          <w:lang w:val="zh-CN"/>
        </w:rPr>
        <w:t>(招标编号：</w:t>
      </w:r>
      <w:r>
        <w:rPr>
          <w:rFonts w:hint="eastAsia" w:cs="宋体"/>
          <w:color w:val="auto"/>
          <w:highlight w:val="none"/>
          <w:lang w:val="en-US" w:eastAsia="zh-CN"/>
        </w:rPr>
        <w:t>YDZB25DGQY0149-2</w:t>
      </w:r>
      <w:r>
        <w:rPr>
          <w:rFonts w:hint="eastAsia" w:ascii="宋体" w:hAnsi="宋体" w:eastAsia="宋体" w:cs="宋体"/>
          <w:color w:val="auto"/>
          <w:highlight w:val="none"/>
        </w:rPr>
        <w:t>)的</w:t>
      </w:r>
      <w:r>
        <w:rPr>
          <w:rFonts w:hint="eastAsia" w:ascii="宋体" w:hAnsi="宋体" w:eastAsia="宋体" w:cs="宋体"/>
          <w:color w:val="auto"/>
          <w:highlight w:val="none"/>
          <w:lang w:val="zh-CN"/>
        </w:rPr>
        <w:t>招标</w:t>
      </w:r>
      <w:r>
        <w:rPr>
          <w:rFonts w:hint="eastAsia" w:ascii="宋体" w:hAnsi="宋体" w:eastAsia="宋体" w:cs="宋体"/>
          <w:color w:val="auto"/>
          <w:highlight w:val="none"/>
        </w:rPr>
        <w:t>按照《中华人民共和国招标投标法》等有关规定进行。</w:t>
      </w:r>
    </w:p>
    <w:p w14:paraId="0FC88247">
      <w:pPr>
        <w:ind w:left="525" w:hanging="525" w:hangingChars="25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1.2</w:t>
      </w:r>
      <w:r>
        <w:rPr>
          <w:rFonts w:hint="eastAsia" w:ascii="宋体" w:hAnsi="宋体" w:eastAsia="宋体" w:cs="宋体"/>
          <w:color w:val="auto"/>
          <w:highlight w:val="none"/>
          <w:lang w:val="zh-CN"/>
        </w:rPr>
        <w:tab/>
      </w:r>
      <w:r>
        <w:rPr>
          <w:rFonts w:hint="eastAsia" w:ascii="宋体" w:hAnsi="宋体" w:eastAsia="宋体" w:cs="宋体"/>
          <w:color w:val="auto"/>
          <w:highlight w:val="none"/>
          <w:lang w:val="zh-CN"/>
        </w:rPr>
        <w:t>评标必须遵循公平、公正、诚实信用的原则。</w:t>
      </w:r>
    </w:p>
    <w:p w14:paraId="21133268">
      <w:pPr>
        <w:ind w:left="525" w:hanging="525" w:hangingChars="25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1.3</w:t>
      </w:r>
      <w:r>
        <w:rPr>
          <w:rFonts w:hint="eastAsia" w:ascii="宋体" w:hAnsi="宋体" w:eastAsia="宋体" w:cs="宋体"/>
          <w:color w:val="auto"/>
          <w:highlight w:val="none"/>
          <w:lang w:val="zh-CN"/>
        </w:rPr>
        <w:tab/>
      </w:r>
      <w:r>
        <w:rPr>
          <w:rFonts w:hint="eastAsia" w:ascii="宋体" w:hAnsi="宋体" w:eastAsia="宋体" w:cs="宋体"/>
          <w:color w:val="auto"/>
          <w:highlight w:val="none"/>
          <w:lang w:val="zh-CN"/>
        </w:rPr>
        <w:t>招标代理机构</w:t>
      </w:r>
      <w:r>
        <w:rPr>
          <w:rFonts w:hint="eastAsia" w:ascii="宋体" w:hAnsi="宋体" w:eastAsia="宋体" w:cs="宋体"/>
          <w:color w:val="auto"/>
          <w:highlight w:val="none"/>
        </w:rPr>
        <w:t>(</w:t>
      </w:r>
      <w:r>
        <w:rPr>
          <w:rFonts w:hint="eastAsia" w:ascii="宋体" w:hAnsi="宋体" w:eastAsia="宋体" w:cs="宋体"/>
          <w:color w:val="auto"/>
          <w:kern w:val="2"/>
          <w:sz w:val="21"/>
          <w:szCs w:val="22"/>
          <w:highlight w:val="none"/>
          <w:lang w:val="zh-CN" w:eastAsia="zh-CN" w:bidi="ar-SA"/>
        </w:rPr>
        <w:t>广东有德招标采购有限公司</w:t>
      </w:r>
      <w:r>
        <w:rPr>
          <w:rFonts w:hint="eastAsia" w:ascii="宋体" w:hAnsi="宋体" w:eastAsia="宋体" w:cs="宋体"/>
          <w:color w:val="auto"/>
          <w:highlight w:val="none"/>
        </w:rPr>
        <w:t>）组</w:t>
      </w:r>
      <w:r>
        <w:rPr>
          <w:rFonts w:hint="eastAsia" w:ascii="宋体" w:hAnsi="宋体" w:eastAsia="宋体" w:cs="宋体"/>
          <w:color w:val="auto"/>
          <w:highlight w:val="none"/>
          <w:lang w:val="zh-CN"/>
        </w:rPr>
        <w:t>织评标工作，全过程接受招标人及相关部门的监督、管理和指导。</w:t>
      </w:r>
    </w:p>
    <w:p w14:paraId="6776AF16">
      <w:pPr>
        <w:ind w:left="525" w:hanging="525" w:hangingChars="25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1.4</w:t>
      </w:r>
      <w:r>
        <w:rPr>
          <w:rFonts w:hint="eastAsia" w:ascii="宋体" w:hAnsi="宋体" w:eastAsia="宋体" w:cs="宋体"/>
          <w:color w:val="auto"/>
          <w:highlight w:val="none"/>
          <w:lang w:val="zh-CN"/>
        </w:rPr>
        <w:tab/>
      </w:r>
      <w:r>
        <w:rPr>
          <w:rFonts w:hint="eastAsia" w:ascii="宋体" w:hAnsi="宋体" w:eastAsia="宋体" w:cs="宋体"/>
          <w:color w:val="auto"/>
          <w:highlight w:val="none"/>
          <w:lang w:val="zh-CN"/>
        </w:rPr>
        <w:t>评标按照招标文件规定的内容进行，采取综合评分</w:t>
      </w:r>
      <w:r>
        <w:rPr>
          <w:rFonts w:hint="eastAsia" w:ascii="宋体" w:hAnsi="宋体" w:eastAsia="宋体" w:cs="宋体"/>
          <w:color w:val="auto"/>
          <w:highlight w:val="none"/>
        </w:rPr>
        <w:t>法进行评审</w:t>
      </w:r>
      <w:r>
        <w:rPr>
          <w:rFonts w:hint="eastAsia" w:ascii="宋体" w:hAnsi="宋体" w:eastAsia="宋体" w:cs="宋体"/>
          <w:color w:val="auto"/>
          <w:highlight w:val="none"/>
          <w:lang w:val="zh-CN"/>
        </w:rPr>
        <w:t>。</w:t>
      </w:r>
    </w:p>
    <w:p w14:paraId="64491E79">
      <w:pPr>
        <w:ind w:left="525" w:hanging="525" w:hangingChars="25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1.5</w:t>
      </w:r>
      <w:r>
        <w:rPr>
          <w:rFonts w:hint="eastAsia" w:ascii="宋体" w:hAnsi="宋体" w:eastAsia="宋体" w:cs="宋体"/>
          <w:color w:val="auto"/>
          <w:highlight w:val="none"/>
        </w:rPr>
        <w:t xml:space="preserve">  </w:t>
      </w:r>
      <w:r>
        <w:rPr>
          <w:rFonts w:hint="eastAsia" w:ascii="宋体" w:hAnsi="宋体" w:eastAsia="宋体" w:cs="宋体"/>
          <w:color w:val="auto"/>
          <w:highlight w:val="none"/>
          <w:lang w:val="zh-CN"/>
        </w:rPr>
        <w:t>本办法的评审对象是指投标人按照招标文件要求提供的有效投标文件，包括投标人应评标委员会要求对原投标文件作出的正式书面澄清文件。</w:t>
      </w:r>
    </w:p>
    <w:p w14:paraId="4A572DC7">
      <w:pPr>
        <w:ind w:left="525" w:hanging="525" w:hangingChars="250"/>
        <w:rPr>
          <w:rFonts w:hint="eastAsia" w:ascii="宋体" w:hAnsi="宋体" w:eastAsia="宋体" w:cs="宋体"/>
          <w:color w:val="auto"/>
          <w:highlight w:val="none"/>
          <w:lang w:val="zh-CN"/>
        </w:rPr>
      </w:pPr>
    </w:p>
    <w:p w14:paraId="1ABC2346">
      <w:pPr>
        <w:ind w:left="527" w:hanging="527" w:hangingChars="250"/>
        <w:rPr>
          <w:rFonts w:hint="eastAsia" w:ascii="宋体" w:hAnsi="宋体" w:eastAsia="宋体" w:cs="宋体"/>
          <w:b/>
          <w:bCs/>
          <w:color w:val="auto"/>
          <w:highlight w:val="none"/>
          <w:lang w:val="zh-CN"/>
        </w:rPr>
      </w:pPr>
      <w:r>
        <w:rPr>
          <w:rFonts w:hint="eastAsia" w:ascii="宋体" w:hAnsi="宋体" w:eastAsia="宋体" w:cs="宋体"/>
          <w:b/>
          <w:bCs/>
          <w:color w:val="auto"/>
          <w:highlight w:val="none"/>
          <w:lang w:val="zh-CN"/>
        </w:rPr>
        <w:t>2</w:t>
      </w:r>
      <w:r>
        <w:rPr>
          <w:rFonts w:hint="eastAsia" w:ascii="宋体" w:hAnsi="宋体" w:eastAsia="宋体" w:cs="宋体"/>
          <w:b/>
          <w:bCs/>
          <w:color w:val="auto"/>
          <w:highlight w:val="none"/>
        </w:rPr>
        <w:t>.</w:t>
      </w:r>
      <w:r>
        <w:rPr>
          <w:rFonts w:hint="eastAsia" w:ascii="宋体" w:hAnsi="宋体" w:eastAsia="宋体" w:cs="宋体"/>
          <w:b/>
          <w:bCs/>
          <w:color w:val="auto"/>
          <w:highlight w:val="none"/>
          <w:lang w:val="zh-CN"/>
        </w:rPr>
        <w:t>评标组织机构的组成</w:t>
      </w:r>
    </w:p>
    <w:p w14:paraId="38E895EA">
      <w:pPr>
        <w:ind w:left="525" w:hanging="525" w:hangingChars="25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2.1</w:t>
      </w:r>
      <w:r>
        <w:rPr>
          <w:rFonts w:hint="eastAsia" w:ascii="宋体" w:hAnsi="宋体" w:eastAsia="宋体" w:cs="宋体"/>
          <w:color w:val="auto"/>
          <w:highlight w:val="none"/>
          <w:lang w:val="zh-CN"/>
        </w:rPr>
        <w:tab/>
      </w:r>
      <w:r>
        <w:rPr>
          <w:rFonts w:hint="eastAsia" w:ascii="宋体" w:hAnsi="宋体" w:eastAsia="宋体" w:cs="宋体"/>
          <w:color w:val="auto"/>
          <w:highlight w:val="none"/>
          <w:lang w:val="zh-CN"/>
        </w:rPr>
        <w:t>评标委员会</w:t>
      </w:r>
      <w:r>
        <w:rPr>
          <w:rFonts w:hint="eastAsia" w:ascii="宋体" w:hAnsi="宋体" w:eastAsia="宋体" w:cs="宋体"/>
          <w:color w:val="auto"/>
          <w:highlight w:val="none"/>
        </w:rPr>
        <w:t>由招标人和技术、经济等方面的专家组成，成员为</w:t>
      </w:r>
      <w:r>
        <w:rPr>
          <w:rFonts w:hint="eastAsia" w:ascii="宋体" w:hAnsi="宋体" w:eastAsia="宋体" w:cs="宋体"/>
          <w:b/>
          <w:bCs/>
          <w:color w:val="auto"/>
          <w:highlight w:val="none"/>
        </w:rPr>
        <w:t>5人以上（含5人）单数</w:t>
      </w:r>
      <w:r>
        <w:rPr>
          <w:rFonts w:hint="eastAsia" w:ascii="宋体" w:hAnsi="宋体" w:eastAsia="宋体" w:cs="宋体"/>
          <w:color w:val="auto"/>
          <w:highlight w:val="none"/>
        </w:rPr>
        <w:t>，其中技术、经济等方面的专家不少于成员总数的三分之二。</w:t>
      </w:r>
      <w:r>
        <w:rPr>
          <w:rFonts w:hint="eastAsia" w:ascii="宋体" w:hAnsi="宋体" w:eastAsia="宋体" w:cs="宋体"/>
          <w:color w:val="auto"/>
          <w:highlight w:val="none"/>
          <w:lang w:val="zh-CN"/>
        </w:rPr>
        <w:t>专家依法从</w:t>
      </w:r>
      <w:r>
        <w:rPr>
          <w:rFonts w:hint="eastAsia" w:ascii="宋体" w:hAnsi="宋体" w:eastAsia="宋体" w:cs="宋体"/>
          <w:color w:val="auto"/>
          <w:highlight w:val="none"/>
        </w:rPr>
        <w:t>专家库中随机抽取产生。</w:t>
      </w:r>
    </w:p>
    <w:p w14:paraId="23979024">
      <w:pPr>
        <w:ind w:left="525" w:hanging="525" w:hangingChars="25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2.2</w:t>
      </w:r>
      <w:r>
        <w:rPr>
          <w:rFonts w:hint="eastAsia" w:ascii="宋体" w:hAnsi="宋体" w:eastAsia="宋体" w:cs="宋体"/>
          <w:color w:val="auto"/>
          <w:highlight w:val="none"/>
          <w:lang w:val="zh-CN"/>
        </w:rPr>
        <w:tab/>
      </w:r>
      <w:r>
        <w:rPr>
          <w:rFonts w:hint="eastAsia" w:ascii="宋体" w:hAnsi="宋体" w:eastAsia="宋体" w:cs="宋体"/>
          <w:color w:val="auto"/>
          <w:highlight w:val="none"/>
          <w:lang w:val="zh-CN"/>
        </w:rPr>
        <w:t>评标工作组由招标人、招标代理机构及有关专家组成，由评标委员会确认，并接受其领导。</w:t>
      </w:r>
    </w:p>
    <w:p w14:paraId="38132FD6">
      <w:pPr>
        <w:ind w:left="525" w:hanging="525" w:hangingChars="25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2.3</w:t>
      </w:r>
      <w:r>
        <w:rPr>
          <w:rFonts w:hint="eastAsia" w:ascii="宋体" w:hAnsi="宋体" w:eastAsia="宋体" w:cs="宋体"/>
          <w:color w:val="auto"/>
          <w:highlight w:val="none"/>
          <w:lang w:val="zh-CN"/>
        </w:rPr>
        <w:tab/>
      </w:r>
      <w:r>
        <w:rPr>
          <w:rFonts w:hint="eastAsia" w:ascii="宋体" w:hAnsi="宋体" w:eastAsia="宋体" w:cs="宋体"/>
          <w:color w:val="auto"/>
          <w:highlight w:val="none"/>
          <w:lang w:val="zh-CN"/>
        </w:rPr>
        <w:t>评标工作组分成评标委员会、秘书组。</w:t>
      </w:r>
    </w:p>
    <w:p w14:paraId="59657762">
      <w:pPr>
        <w:ind w:left="525" w:hanging="525" w:hangingChars="25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2.4</w:t>
      </w:r>
      <w:r>
        <w:rPr>
          <w:rFonts w:hint="eastAsia" w:ascii="宋体" w:hAnsi="宋体" w:eastAsia="宋体" w:cs="宋体"/>
          <w:color w:val="auto"/>
          <w:highlight w:val="none"/>
          <w:lang w:val="zh-CN"/>
        </w:rPr>
        <w:tab/>
      </w:r>
      <w:r>
        <w:rPr>
          <w:rFonts w:hint="eastAsia" w:ascii="宋体" w:hAnsi="宋体" w:eastAsia="宋体" w:cs="宋体"/>
          <w:color w:val="auto"/>
          <w:highlight w:val="none"/>
          <w:lang w:val="zh-CN"/>
        </w:rPr>
        <w:t>评标委员会应相对独立工作，负责评审、撰写评标报告。招标代理机构秘书组负责评标过程中资料的保管、发放及回收，协调技术和评标委员会评标工作的进展和整理、汇总评标资料及复核。</w:t>
      </w:r>
    </w:p>
    <w:p w14:paraId="283614B6">
      <w:pPr>
        <w:ind w:left="525" w:hanging="525" w:hangingChars="250"/>
        <w:rPr>
          <w:rFonts w:hint="eastAsia" w:ascii="宋体" w:hAnsi="宋体" w:eastAsia="宋体" w:cs="宋体"/>
          <w:color w:val="auto"/>
          <w:highlight w:val="none"/>
          <w:lang w:val="zh-CN"/>
        </w:rPr>
      </w:pPr>
    </w:p>
    <w:p w14:paraId="7D39FD81">
      <w:pPr>
        <w:ind w:left="527" w:hanging="527" w:hangingChars="250"/>
        <w:rPr>
          <w:rFonts w:hint="eastAsia" w:ascii="宋体" w:hAnsi="宋体" w:eastAsia="宋体" w:cs="宋体"/>
          <w:b/>
          <w:bCs/>
          <w:color w:val="auto"/>
          <w:highlight w:val="none"/>
          <w:lang w:val="zh-CN"/>
        </w:rPr>
      </w:pPr>
      <w:r>
        <w:rPr>
          <w:rFonts w:hint="eastAsia" w:ascii="宋体" w:hAnsi="宋体" w:eastAsia="宋体" w:cs="宋体"/>
          <w:b/>
          <w:bCs/>
          <w:color w:val="auto"/>
          <w:highlight w:val="none"/>
          <w:lang w:val="zh-CN"/>
        </w:rPr>
        <w:t>3</w:t>
      </w:r>
      <w:r>
        <w:rPr>
          <w:rFonts w:hint="eastAsia" w:ascii="宋体" w:hAnsi="宋体" w:eastAsia="宋体" w:cs="宋体"/>
          <w:b/>
          <w:bCs/>
          <w:color w:val="auto"/>
          <w:highlight w:val="none"/>
        </w:rPr>
        <w:t>.</w:t>
      </w:r>
      <w:r>
        <w:rPr>
          <w:rFonts w:hint="eastAsia" w:ascii="宋体" w:hAnsi="宋体" w:eastAsia="宋体" w:cs="宋体"/>
          <w:b/>
          <w:bCs/>
          <w:color w:val="auto"/>
          <w:highlight w:val="none"/>
          <w:lang w:val="zh-CN"/>
        </w:rPr>
        <w:t>评标委员会职责</w:t>
      </w:r>
    </w:p>
    <w:p w14:paraId="64C19111">
      <w:pPr>
        <w:ind w:left="525" w:hanging="525" w:hangingChars="25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3.1  审查投标文件是否符合招标文件要求，并作出评价；</w:t>
      </w:r>
    </w:p>
    <w:p w14:paraId="318B1432">
      <w:pPr>
        <w:ind w:left="525" w:hanging="525" w:hangingChars="25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3.2  要求投标人对投标文件有关事项作出解释或者澄清；</w:t>
      </w:r>
    </w:p>
    <w:p w14:paraId="38FA7820">
      <w:pPr>
        <w:ind w:left="525" w:hanging="525" w:hangingChars="25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3.3</w:t>
      </w:r>
      <w:r>
        <w:rPr>
          <w:rFonts w:hint="eastAsia" w:ascii="宋体" w:hAnsi="宋体" w:eastAsia="宋体" w:cs="宋体"/>
          <w:color w:val="auto"/>
          <w:highlight w:val="none"/>
          <w:lang w:val="zh-CN"/>
        </w:rPr>
        <w:tab/>
      </w:r>
      <w:r>
        <w:rPr>
          <w:rFonts w:hint="eastAsia" w:ascii="宋体" w:hAnsi="宋体" w:eastAsia="宋体" w:cs="宋体"/>
          <w:color w:val="auto"/>
          <w:highlight w:val="none"/>
          <w:lang w:val="zh-CN"/>
        </w:rPr>
        <w:t>推荐中标候选人名单及排序；</w:t>
      </w:r>
    </w:p>
    <w:p w14:paraId="4C7F4CA1">
      <w:pPr>
        <w:ind w:left="525" w:hanging="525" w:hangingChars="25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3.4</w:t>
      </w:r>
      <w:r>
        <w:rPr>
          <w:rFonts w:hint="eastAsia" w:ascii="宋体" w:hAnsi="宋体" w:eastAsia="宋体" w:cs="宋体"/>
          <w:color w:val="auto"/>
          <w:highlight w:val="none"/>
          <w:lang w:val="zh-CN"/>
        </w:rPr>
        <w:tab/>
      </w:r>
      <w:r>
        <w:rPr>
          <w:rFonts w:hint="eastAsia" w:ascii="宋体" w:hAnsi="宋体" w:eastAsia="宋体" w:cs="宋体"/>
          <w:color w:val="auto"/>
          <w:highlight w:val="none"/>
          <w:lang w:val="zh-CN"/>
        </w:rPr>
        <w:t>向招标人、招标代理机构或者有关部门报告非法干预评标工作的行为。</w:t>
      </w:r>
    </w:p>
    <w:p w14:paraId="57B0FCB4">
      <w:pPr>
        <w:ind w:left="525" w:hanging="525" w:hangingChars="250"/>
        <w:rPr>
          <w:rFonts w:hint="eastAsia" w:ascii="宋体" w:hAnsi="宋体" w:eastAsia="宋体" w:cs="宋体"/>
          <w:color w:val="auto"/>
          <w:highlight w:val="none"/>
          <w:lang w:val="zh-CN"/>
        </w:rPr>
      </w:pPr>
    </w:p>
    <w:p w14:paraId="6620B7EA">
      <w:pPr>
        <w:ind w:left="527" w:hanging="527" w:hangingChars="250"/>
        <w:rPr>
          <w:rFonts w:hint="eastAsia" w:ascii="宋体" w:hAnsi="宋体" w:eastAsia="宋体" w:cs="宋体"/>
          <w:b/>
          <w:bCs/>
          <w:color w:val="auto"/>
          <w:highlight w:val="none"/>
          <w:lang w:val="zh-CN"/>
        </w:rPr>
      </w:pPr>
      <w:r>
        <w:rPr>
          <w:rFonts w:hint="eastAsia" w:ascii="宋体" w:hAnsi="宋体" w:eastAsia="宋体" w:cs="宋体"/>
          <w:b/>
          <w:bCs/>
          <w:color w:val="auto"/>
          <w:highlight w:val="none"/>
          <w:lang w:val="zh-CN"/>
        </w:rPr>
        <w:t>4</w:t>
      </w:r>
      <w:r>
        <w:rPr>
          <w:rFonts w:hint="eastAsia" w:ascii="宋体" w:hAnsi="宋体" w:eastAsia="宋体" w:cs="宋体"/>
          <w:b/>
          <w:bCs/>
          <w:color w:val="auto"/>
          <w:highlight w:val="none"/>
        </w:rPr>
        <w:t>.</w:t>
      </w:r>
      <w:r>
        <w:rPr>
          <w:rFonts w:hint="eastAsia" w:ascii="宋体" w:hAnsi="宋体" w:eastAsia="宋体" w:cs="宋体"/>
          <w:b/>
          <w:bCs/>
          <w:color w:val="auto"/>
          <w:highlight w:val="none"/>
          <w:lang w:val="zh-CN"/>
        </w:rPr>
        <w:t>评标委员会义务</w:t>
      </w:r>
    </w:p>
    <w:p w14:paraId="2150390A">
      <w:pPr>
        <w:ind w:left="525" w:hanging="525" w:hangingChars="25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4.1  遵纪守法，客观、公正、廉洁地履行职责；</w:t>
      </w:r>
    </w:p>
    <w:p w14:paraId="21DD46F7">
      <w:pPr>
        <w:ind w:left="525" w:hanging="525" w:hangingChars="25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4.2  按照招标文件规定的评标方法和评标标准进行评审，对评审意见承担个人责任；</w:t>
      </w:r>
    </w:p>
    <w:p w14:paraId="7866A2C7">
      <w:pPr>
        <w:ind w:left="525" w:hanging="525" w:hangingChars="25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4.3  对评标过程和结果，以及投标人的商业秘密保密；</w:t>
      </w:r>
    </w:p>
    <w:p w14:paraId="16C4E90A">
      <w:pPr>
        <w:ind w:left="525" w:hanging="525" w:hangingChars="25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4.4  参与评标报告的起草；</w:t>
      </w:r>
    </w:p>
    <w:p w14:paraId="0E6C5481">
      <w:pPr>
        <w:ind w:left="525" w:hanging="525" w:hangingChars="25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4.5  配合有关部门的投诉处理工作；</w:t>
      </w:r>
    </w:p>
    <w:p w14:paraId="26338881">
      <w:pPr>
        <w:ind w:left="525" w:hanging="525" w:hangingChars="25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4.6  配合招标人、招标代理机构答复投标人提出的质疑、异议。</w:t>
      </w:r>
    </w:p>
    <w:p w14:paraId="0DFAFE76">
      <w:pPr>
        <w:ind w:left="525" w:hanging="525" w:hangingChars="250"/>
        <w:rPr>
          <w:rFonts w:hint="eastAsia" w:ascii="宋体" w:hAnsi="宋体" w:eastAsia="宋体" w:cs="宋体"/>
          <w:color w:val="auto"/>
          <w:highlight w:val="none"/>
          <w:lang w:val="zh-CN"/>
        </w:rPr>
      </w:pPr>
    </w:p>
    <w:p w14:paraId="3040E506">
      <w:pPr>
        <w:ind w:left="527" w:hanging="527" w:hangingChars="250"/>
        <w:rPr>
          <w:rFonts w:hint="eastAsia" w:ascii="宋体" w:hAnsi="宋体" w:eastAsia="宋体" w:cs="宋体"/>
          <w:b/>
          <w:bCs/>
          <w:color w:val="auto"/>
          <w:highlight w:val="none"/>
          <w:lang w:val="zh-CN"/>
        </w:rPr>
      </w:pPr>
      <w:r>
        <w:rPr>
          <w:rFonts w:hint="eastAsia" w:ascii="宋体" w:hAnsi="宋体" w:eastAsia="宋体" w:cs="宋体"/>
          <w:b/>
          <w:bCs/>
          <w:color w:val="auto"/>
          <w:highlight w:val="none"/>
          <w:lang w:val="zh-CN"/>
        </w:rPr>
        <w:t>5</w:t>
      </w:r>
      <w:r>
        <w:rPr>
          <w:rFonts w:hint="eastAsia" w:ascii="宋体" w:hAnsi="宋体" w:eastAsia="宋体" w:cs="宋体"/>
          <w:b/>
          <w:bCs/>
          <w:color w:val="auto"/>
          <w:highlight w:val="none"/>
        </w:rPr>
        <w:t>.</w:t>
      </w:r>
      <w:r>
        <w:rPr>
          <w:rFonts w:hint="eastAsia" w:ascii="宋体" w:hAnsi="宋体" w:eastAsia="宋体" w:cs="宋体"/>
          <w:b/>
          <w:bCs/>
          <w:color w:val="auto"/>
          <w:highlight w:val="none"/>
          <w:lang w:val="zh-CN"/>
        </w:rPr>
        <w:t>评审程序</w:t>
      </w:r>
    </w:p>
    <w:p w14:paraId="0FECB4DA">
      <w:pPr>
        <w:ind w:left="527" w:hanging="527" w:hangingChars="250"/>
        <w:rPr>
          <w:rFonts w:hint="eastAsia" w:ascii="宋体" w:hAnsi="宋体" w:eastAsia="宋体" w:cs="宋体"/>
          <w:b/>
          <w:bCs/>
          <w:color w:val="auto"/>
          <w:highlight w:val="none"/>
          <w:lang w:val="zh-CN"/>
        </w:rPr>
      </w:pPr>
      <w:r>
        <w:rPr>
          <w:rFonts w:hint="eastAsia" w:ascii="宋体" w:hAnsi="宋体" w:eastAsia="宋体" w:cs="宋体"/>
          <w:b/>
          <w:bCs/>
          <w:color w:val="auto"/>
          <w:highlight w:val="none"/>
          <w:lang w:val="zh-CN"/>
        </w:rPr>
        <w:t>公开招标：</w:t>
      </w:r>
    </w:p>
    <w:p w14:paraId="1B75DFAA">
      <w:pPr>
        <w:ind w:left="525" w:hanging="525" w:hangingChars="25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5.1  评审首先由评标委员会对投标人的投标文件做初审，对未能通过初审的投标文件不再进入下一阶段评审。</w:t>
      </w:r>
    </w:p>
    <w:p w14:paraId="7C6AC583">
      <w:pPr>
        <w:ind w:left="525" w:hanging="525" w:hangingChars="25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5.</w:t>
      </w:r>
      <w:r>
        <w:rPr>
          <w:rFonts w:hint="eastAsia" w:ascii="宋体" w:hAnsi="宋体" w:eastAsia="宋体" w:cs="宋体"/>
          <w:color w:val="auto"/>
          <w:highlight w:val="none"/>
        </w:rPr>
        <w:t>2</w:t>
      </w:r>
      <w:r>
        <w:rPr>
          <w:rFonts w:hint="eastAsia" w:ascii="宋体" w:hAnsi="宋体" w:eastAsia="宋体" w:cs="宋体"/>
          <w:color w:val="auto"/>
          <w:highlight w:val="none"/>
          <w:lang w:val="zh-CN"/>
        </w:rPr>
        <w:t xml:space="preserve">  评标委员会对通过初审的投标人的投标文件进行详细的比较和评价。如需要，进行必要的澄清工作。</w:t>
      </w:r>
    </w:p>
    <w:p w14:paraId="6D9F05B3">
      <w:pPr>
        <w:ind w:left="525" w:hanging="525" w:hangingChars="25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5.</w:t>
      </w:r>
      <w:r>
        <w:rPr>
          <w:rFonts w:hint="eastAsia" w:ascii="宋体" w:hAnsi="宋体" w:eastAsia="宋体" w:cs="宋体"/>
          <w:color w:val="auto"/>
          <w:highlight w:val="none"/>
        </w:rPr>
        <w:t>3</w:t>
      </w:r>
      <w:r>
        <w:rPr>
          <w:rFonts w:hint="eastAsia" w:ascii="宋体" w:hAnsi="宋体" w:eastAsia="宋体" w:cs="宋体"/>
          <w:color w:val="auto"/>
          <w:highlight w:val="none"/>
          <w:lang w:val="zh-CN"/>
        </w:rPr>
        <w:t xml:space="preserve">  依据评分标准以及各项权重，各位评标委员会成员单独就每个投标人的商务状况、技术状况进行比较和评价，分别评出其商务得分和技术得分。</w:t>
      </w:r>
    </w:p>
    <w:p w14:paraId="799145A6">
      <w:pPr>
        <w:ind w:left="525" w:hanging="525" w:hangingChars="25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5.</w:t>
      </w:r>
      <w:r>
        <w:rPr>
          <w:rFonts w:hint="eastAsia" w:ascii="宋体" w:hAnsi="宋体" w:eastAsia="宋体" w:cs="宋体"/>
          <w:color w:val="auto"/>
          <w:highlight w:val="none"/>
        </w:rPr>
        <w:t>4</w:t>
      </w:r>
      <w:r>
        <w:rPr>
          <w:rFonts w:hint="eastAsia" w:ascii="宋体" w:hAnsi="宋体" w:eastAsia="宋体" w:cs="宋体"/>
          <w:color w:val="auto"/>
          <w:highlight w:val="none"/>
          <w:lang w:val="zh-CN"/>
        </w:rPr>
        <w:t xml:space="preserve">  对有效投标人的投标报价进行审查和价格评分。</w:t>
      </w:r>
    </w:p>
    <w:p w14:paraId="1F8D027D">
      <w:pPr>
        <w:ind w:left="525" w:hanging="525" w:hangingChars="25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5.</w:t>
      </w:r>
      <w:r>
        <w:rPr>
          <w:rFonts w:hint="eastAsia" w:ascii="宋体" w:hAnsi="宋体" w:eastAsia="宋体" w:cs="宋体"/>
          <w:color w:val="auto"/>
          <w:highlight w:val="none"/>
        </w:rPr>
        <w:t>5</w:t>
      </w:r>
      <w:r>
        <w:rPr>
          <w:rFonts w:hint="eastAsia" w:ascii="宋体" w:hAnsi="宋体" w:eastAsia="宋体" w:cs="宋体"/>
          <w:color w:val="auto"/>
          <w:highlight w:val="none"/>
          <w:lang w:val="zh-CN"/>
        </w:rPr>
        <w:t xml:space="preserve">  将各评委对投标人的技术打分的最终综合得分、商务打分的算术平均值和价格得分相加得出投标人的总分。</w:t>
      </w:r>
    </w:p>
    <w:p w14:paraId="399DA6C2">
      <w:pPr>
        <w:ind w:left="525" w:hanging="525" w:hangingChars="250"/>
        <w:rPr>
          <w:rFonts w:hint="eastAsia" w:ascii="宋体" w:hAnsi="宋体" w:eastAsia="宋体" w:cs="宋体"/>
          <w:color w:val="auto"/>
          <w:highlight w:val="none"/>
        </w:rPr>
      </w:pPr>
      <w:r>
        <w:rPr>
          <w:rFonts w:hint="eastAsia" w:ascii="宋体" w:hAnsi="宋体" w:eastAsia="宋体" w:cs="宋体"/>
          <w:color w:val="auto"/>
          <w:highlight w:val="none"/>
        </w:rPr>
        <w:t>5.6</w:t>
      </w:r>
      <w:r>
        <w:rPr>
          <w:rFonts w:hint="eastAsia" w:ascii="宋体" w:hAnsi="宋体" w:eastAsia="宋体" w:cs="宋体"/>
          <w:color w:val="auto"/>
          <w:highlight w:val="none"/>
          <w:lang w:val="zh-CN"/>
        </w:rPr>
        <w:t xml:space="preserve">  </w:t>
      </w:r>
      <w:r>
        <w:rPr>
          <w:rFonts w:hint="eastAsia" w:ascii="宋体" w:hAnsi="宋体" w:eastAsia="宋体" w:cs="宋体"/>
          <w:color w:val="auto"/>
          <w:highlight w:val="none"/>
        </w:rPr>
        <w:t>评标委员会将向招标人推荐评标最后综合得分最高的前二名投标人为中标候选人，并标明排列顺序。</w:t>
      </w:r>
    </w:p>
    <w:p w14:paraId="07AE9AE9">
      <w:pPr>
        <w:ind w:left="525" w:hanging="525" w:hangingChars="25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5.</w:t>
      </w:r>
      <w:r>
        <w:rPr>
          <w:rFonts w:hint="eastAsia" w:ascii="宋体" w:hAnsi="宋体" w:eastAsia="宋体" w:cs="宋体"/>
          <w:color w:val="auto"/>
          <w:highlight w:val="none"/>
        </w:rPr>
        <w:t>7</w:t>
      </w:r>
      <w:r>
        <w:rPr>
          <w:rFonts w:hint="eastAsia" w:ascii="宋体" w:hAnsi="宋体" w:eastAsia="宋体" w:cs="宋体"/>
          <w:color w:val="auto"/>
          <w:highlight w:val="none"/>
          <w:lang w:val="zh-CN"/>
        </w:rPr>
        <w:t xml:space="preserve">  评标委员会根据评审结果编写评标报告。</w:t>
      </w:r>
    </w:p>
    <w:p w14:paraId="3E711B1D">
      <w:pPr>
        <w:rPr>
          <w:rFonts w:hint="eastAsia" w:ascii="宋体" w:hAnsi="宋体" w:eastAsia="宋体" w:cs="宋体"/>
          <w:color w:val="auto"/>
          <w:highlight w:val="none"/>
          <w:lang w:val="zh-CN"/>
        </w:rPr>
      </w:pPr>
    </w:p>
    <w:p w14:paraId="0BC568D7">
      <w:pPr>
        <w:jc w:val="center"/>
        <w:rPr>
          <w:rFonts w:hint="eastAsia" w:ascii="宋体" w:hAnsi="宋体" w:eastAsia="宋体" w:cs="宋体"/>
          <w:b/>
          <w:bCs/>
          <w:color w:val="auto"/>
          <w:sz w:val="28"/>
          <w:szCs w:val="32"/>
          <w:highlight w:val="none"/>
        </w:rPr>
      </w:pPr>
      <w:bookmarkStart w:id="1154" w:name="_Toc19435_WPSOffice_Level1"/>
      <w:r>
        <w:rPr>
          <w:rFonts w:hint="eastAsia" w:ascii="宋体" w:hAnsi="宋体" w:eastAsia="宋体" w:cs="宋体"/>
          <w:b/>
          <w:bCs/>
          <w:color w:val="auto"/>
          <w:sz w:val="28"/>
          <w:szCs w:val="32"/>
          <w:highlight w:val="none"/>
          <w:lang w:val="zh-CN"/>
        </w:rPr>
        <w:t>二、投标文件的初审</w:t>
      </w:r>
      <w:bookmarkEnd w:id="1154"/>
    </w:p>
    <w:p w14:paraId="5938374B">
      <w:pPr>
        <w:ind w:left="527" w:hanging="527" w:hangingChars="250"/>
        <w:rPr>
          <w:rFonts w:hint="eastAsia" w:ascii="宋体" w:hAnsi="宋体" w:eastAsia="宋体" w:cs="宋体"/>
          <w:b/>
          <w:bCs/>
          <w:color w:val="auto"/>
          <w:highlight w:val="none"/>
          <w:lang w:val="zh-CN"/>
        </w:rPr>
      </w:pPr>
      <w:r>
        <w:rPr>
          <w:rFonts w:hint="eastAsia" w:ascii="宋体" w:hAnsi="宋体" w:eastAsia="宋体" w:cs="宋体"/>
          <w:b/>
          <w:bCs/>
          <w:color w:val="auto"/>
          <w:highlight w:val="none"/>
          <w:lang w:val="zh-CN"/>
        </w:rPr>
        <w:t>6</w:t>
      </w:r>
      <w:r>
        <w:rPr>
          <w:rFonts w:hint="eastAsia" w:ascii="宋体" w:hAnsi="宋体" w:eastAsia="宋体" w:cs="宋体"/>
          <w:b/>
          <w:bCs/>
          <w:color w:val="auto"/>
          <w:highlight w:val="none"/>
        </w:rPr>
        <w:t>.</w:t>
      </w:r>
      <w:r>
        <w:rPr>
          <w:rFonts w:hint="eastAsia" w:ascii="宋体" w:hAnsi="宋体" w:eastAsia="宋体" w:cs="宋体"/>
          <w:b/>
          <w:bCs/>
          <w:color w:val="auto"/>
          <w:highlight w:val="none"/>
          <w:lang w:val="zh-CN"/>
        </w:rPr>
        <w:t>投标文件的初审分为资格性检查和符合性检查</w:t>
      </w:r>
    </w:p>
    <w:p w14:paraId="5EAD06B9">
      <w:pPr>
        <w:ind w:left="525" w:hanging="525" w:hangingChars="25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6.1  资格性检查是指评标委员会依据法律法规和招标文件的规定，对投标文件中的资格证明、投标保证金、投标人（含其不具有独立法人资格的分支机构）信用（由招标代理机构在递交投标文件截止时间当天通过“信用中国”网站对投标人信用进行查询，招标代理机构将查询情况提交评标委员会评审）等进行审查，以确定投标人是否具备投标资格。</w:t>
      </w:r>
    </w:p>
    <w:p w14:paraId="1BF6589E">
      <w:pPr>
        <w:ind w:left="525" w:hanging="525" w:hangingChars="25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6.2  符合性检查是指评标委员会依据招标文件规定，从投标文件的有效性、完整性和对招标文件的响应程度进行审查，以确定是否对招标文件的实质性要求作出响应。</w:t>
      </w:r>
    </w:p>
    <w:p w14:paraId="05345A08">
      <w:pPr>
        <w:ind w:left="525" w:leftChars="250" w:firstLine="420" w:firstLineChars="20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实质性响应的投标指的是符合招标文件要求的全部“★”条款和验收标准而无任何重大偏离或保留。重大偏离或保留系指实质上影响到合同项下的</w:t>
      </w:r>
      <w:r>
        <w:rPr>
          <w:rFonts w:hint="eastAsia" w:ascii="宋体" w:hAnsi="宋体" w:eastAsia="宋体" w:cs="宋体"/>
          <w:color w:val="auto"/>
          <w:highlight w:val="none"/>
        </w:rPr>
        <w:t>供货及</w:t>
      </w:r>
      <w:r>
        <w:rPr>
          <w:rFonts w:hint="eastAsia" w:ascii="宋体" w:hAnsi="宋体" w:eastAsia="宋体" w:cs="宋体"/>
          <w:color w:val="auto"/>
          <w:highlight w:val="none"/>
          <w:lang w:val="zh-CN"/>
        </w:rPr>
        <w:t>服务范围、质量</w:t>
      </w:r>
      <w:r>
        <w:rPr>
          <w:rFonts w:hint="eastAsia" w:ascii="宋体" w:hAnsi="宋体" w:eastAsia="宋体" w:cs="宋体"/>
          <w:color w:val="auto"/>
          <w:highlight w:val="none"/>
        </w:rPr>
        <w:t>和性能</w:t>
      </w:r>
      <w:r>
        <w:rPr>
          <w:rFonts w:hint="eastAsia" w:ascii="宋体" w:hAnsi="宋体" w:eastAsia="宋体" w:cs="宋体"/>
          <w:color w:val="auto"/>
          <w:highlight w:val="none"/>
          <w:lang w:val="zh-CN"/>
        </w:rPr>
        <w:t>，或指与招标文件有实质不一致，限制了合同项下委托人的权利和承包人的义务, 或对该重大偏离的修改对提交实质性响应投标的其他投标人将不公平。</w:t>
      </w:r>
    </w:p>
    <w:p w14:paraId="44F86D89">
      <w:pPr>
        <w:ind w:left="525" w:leftChars="250" w:firstLine="420" w:firstLineChars="20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评标委员会决定投标文件的响应性是基于投标文件的内容本身而不靠外部的证据。</w:t>
      </w:r>
    </w:p>
    <w:p w14:paraId="7B0EBD0B">
      <w:pPr>
        <w:ind w:left="525" w:leftChars="250" w:firstLine="422" w:firstLineChars="200"/>
        <w:rPr>
          <w:rFonts w:hint="eastAsia" w:ascii="宋体" w:hAnsi="宋体" w:eastAsia="宋体" w:cs="宋体"/>
          <w:b/>
          <w:bCs/>
          <w:color w:val="auto"/>
          <w:szCs w:val="24"/>
          <w:highlight w:val="none"/>
          <w:lang w:val="zh-CN"/>
        </w:rPr>
      </w:pPr>
      <w:r>
        <w:rPr>
          <w:rFonts w:hint="eastAsia" w:ascii="宋体" w:hAnsi="宋体" w:eastAsia="宋体" w:cs="宋体"/>
          <w:b/>
          <w:bCs/>
          <w:color w:val="auto"/>
          <w:highlight w:val="none"/>
          <w:lang w:val="zh-CN"/>
        </w:rPr>
        <w:t>对是否符合实质性响应招标文件有争议的投标文件,评标委员会成员将以记名方式表决,根据少数服从多数的原则，获多数表决通过的投标人才有资格进入下一阶段的评审,否则将被认定为无效投标文件。</w:t>
      </w:r>
    </w:p>
    <w:p w14:paraId="5A7B9764">
      <w:pPr>
        <w:rPr>
          <w:rFonts w:hint="eastAsia" w:ascii="宋体" w:hAnsi="宋体" w:eastAsia="宋体" w:cs="宋体"/>
          <w:b/>
          <w:bCs/>
          <w:color w:val="auto"/>
          <w:highlight w:val="none"/>
          <w:lang w:val="zh-CN"/>
        </w:rPr>
      </w:pPr>
      <w:r>
        <w:rPr>
          <w:rFonts w:hint="eastAsia" w:ascii="宋体" w:hAnsi="宋体" w:eastAsia="宋体" w:cs="宋体"/>
          <w:b/>
          <w:bCs/>
          <w:color w:val="auto"/>
          <w:highlight w:val="none"/>
          <w:lang w:val="zh-CN"/>
        </w:rPr>
        <w:t>7</w:t>
      </w:r>
      <w:r>
        <w:rPr>
          <w:rFonts w:hint="eastAsia" w:ascii="宋体" w:hAnsi="宋体" w:eastAsia="宋体" w:cs="宋体"/>
          <w:b/>
          <w:bCs/>
          <w:color w:val="auto"/>
          <w:highlight w:val="none"/>
        </w:rPr>
        <w:t>.</w:t>
      </w:r>
      <w:r>
        <w:rPr>
          <w:rFonts w:hint="eastAsia" w:ascii="宋体" w:hAnsi="宋体" w:eastAsia="宋体" w:cs="宋体"/>
          <w:b/>
          <w:bCs/>
          <w:color w:val="auto"/>
          <w:highlight w:val="none"/>
          <w:lang w:val="zh-CN"/>
        </w:rPr>
        <w:t>投标文件出现下列情况之一的，被认定为无效投标：</w:t>
      </w:r>
    </w:p>
    <w:p w14:paraId="55825A6F">
      <w:pPr>
        <w:ind w:left="527" w:hanging="527" w:hangingChars="250"/>
        <w:rPr>
          <w:rFonts w:hint="eastAsia" w:ascii="宋体" w:hAnsi="宋体" w:eastAsia="宋体" w:cs="宋体"/>
          <w:b/>
          <w:bCs/>
          <w:color w:val="auto"/>
          <w:highlight w:val="none"/>
          <w:lang w:val="zh-CN"/>
        </w:rPr>
      </w:pPr>
      <w:r>
        <w:rPr>
          <w:rFonts w:hint="eastAsia" w:ascii="宋体" w:hAnsi="宋体" w:eastAsia="宋体" w:cs="宋体"/>
          <w:b/>
          <w:bCs/>
          <w:color w:val="auto"/>
          <w:highlight w:val="none"/>
          <w:lang w:val="zh-CN"/>
        </w:rPr>
        <w:t xml:space="preserve">7.1  </w:t>
      </w:r>
      <w:r>
        <w:rPr>
          <w:rFonts w:hint="eastAsia" w:ascii="宋体" w:hAnsi="宋体" w:eastAsia="宋体" w:cs="宋体"/>
          <w:b/>
          <w:bCs/>
          <w:color w:val="auto"/>
          <w:highlight w:val="none"/>
        </w:rPr>
        <w:t>投标人未按招标文件要求交纳投标保证金的；</w:t>
      </w:r>
    </w:p>
    <w:p w14:paraId="77DD8BE4">
      <w:pPr>
        <w:ind w:left="527" w:hanging="527" w:hangingChars="250"/>
        <w:rPr>
          <w:rFonts w:hint="eastAsia" w:ascii="宋体" w:hAnsi="宋体" w:eastAsia="宋体" w:cs="宋体"/>
          <w:b/>
          <w:bCs/>
          <w:color w:val="auto"/>
          <w:highlight w:val="none"/>
        </w:rPr>
      </w:pPr>
      <w:r>
        <w:rPr>
          <w:rFonts w:hint="eastAsia" w:ascii="宋体" w:hAnsi="宋体" w:eastAsia="宋体" w:cs="宋体"/>
          <w:b/>
          <w:bCs/>
          <w:color w:val="auto"/>
          <w:highlight w:val="none"/>
        </w:rPr>
        <w:t>7.2  投标文件中的投标报价未按照招标文件要求进行折扣系数报价的；</w:t>
      </w:r>
    </w:p>
    <w:p w14:paraId="43E9DE84">
      <w:pPr>
        <w:ind w:left="527" w:hanging="527" w:hangingChars="250"/>
        <w:rPr>
          <w:rFonts w:hint="eastAsia" w:ascii="宋体" w:hAnsi="宋体" w:eastAsia="宋体" w:cs="宋体"/>
          <w:b/>
          <w:bCs/>
          <w:color w:val="auto"/>
          <w:highlight w:val="none"/>
        </w:rPr>
      </w:pPr>
      <w:r>
        <w:rPr>
          <w:rFonts w:hint="eastAsia" w:ascii="宋体" w:hAnsi="宋体" w:eastAsia="宋体" w:cs="宋体"/>
          <w:b/>
          <w:bCs/>
          <w:color w:val="auto"/>
          <w:highlight w:val="none"/>
        </w:rPr>
        <w:t>7.3  投标人以低于企业成本价报价，且投标人不能合理说明或不能提供相关证明材料；</w:t>
      </w:r>
    </w:p>
    <w:p w14:paraId="2DCAEC24">
      <w:pPr>
        <w:ind w:left="527" w:hanging="527" w:hangingChars="250"/>
        <w:rPr>
          <w:rFonts w:hint="eastAsia" w:ascii="宋体" w:hAnsi="宋体" w:eastAsia="宋体" w:cs="宋体"/>
          <w:b/>
          <w:bCs/>
          <w:color w:val="auto"/>
          <w:highlight w:val="none"/>
        </w:rPr>
      </w:pPr>
      <w:r>
        <w:rPr>
          <w:rFonts w:hint="eastAsia" w:ascii="宋体" w:hAnsi="宋体" w:eastAsia="宋体" w:cs="宋体"/>
          <w:b/>
          <w:bCs/>
          <w:color w:val="auto"/>
          <w:highlight w:val="none"/>
        </w:rPr>
        <w:t>7.4  投标人递交两份或多份内容不同的投标文件，或在一份投标文件中报有两个或多个报价，且未书面声明哪一个有效；</w:t>
      </w:r>
    </w:p>
    <w:p w14:paraId="4143E4EE">
      <w:pPr>
        <w:ind w:left="527" w:hanging="527" w:hangingChars="250"/>
        <w:rPr>
          <w:rFonts w:hint="eastAsia" w:ascii="宋体" w:hAnsi="宋体" w:eastAsia="宋体" w:cs="宋体"/>
          <w:b/>
          <w:bCs/>
          <w:color w:val="auto"/>
          <w:highlight w:val="none"/>
        </w:rPr>
      </w:pPr>
      <w:r>
        <w:rPr>
          <w:rFonts w:hint="eastAsia" w:ascii="宋体" w:hAnsi="宋体" w:eastAsia="宋体" w:cs="宋体"/>
          <w:b/>
          <w:bCs/>
          <w:color w:val="auto"/>
          <w:highlight w:val="none"/>
        </w:rPr>
        <w:t>7.5  投标人不符合合格投标人的基本条件[含未提供资格证明文件，或投标人（含其不具有独立法人资格的分支机构）被列入“信用中国”网站（www.creditchina.gov.cn）失信被执行人、重大税收违法失信主体、政府采购严重违法失信行为记录名单（处罚期限届满的除外）]；</w:t>
      </w:r>
    </w:p>
    <w:p w14:paraId="1AD097F8">
      <w:pPr>
        <w:ind w:left="527" w:hanging="527" w:hangingChars="250"/>
        <w:rPr>
          <w:rFonts w:hint="eastAsia" w:ascii="宋体" w:hAnsi="宋体" w:eastAsia="宋体" w:cs="宋体"/>
          <w:b/>
          <w:bCs/>
          <w:color w:val="auto"/>
          <w:highlight w:val="none"/>
        </w:rPr>
      </w:pPr>
      <w:r>
        <w:rPr>
          <w:rFonts w:hint="eastAsia" w:ascii="宋体" w:hAnsi="宋体" w:eastAsia="宋体" w:cs="宋体"/>
          <w:b/>
          <w:bCs/>
          <w:color w:val="auto"/>
          <w:highlight w:val="none"/>
        </w:rPr>
        <w:t>7.6  存在投标产品制造商及其就本项目独家授权销售的经销商同时参与本项目的投标；</w:t>
      </w:r>
    </w:p>
    <w:p w14:paraId="0463EFD7">
      <w:pPr>
        <w:ind w:left="527" w:hanging="527" w:hangingChars="250"/>
        <w:rPr>
          <w:rFonts w:hint="eastAsia" w:ascii="宋体" w:hAnsi="宋体" w:eastAsia="宋体" w:cs="宋体"/>
          <w:b/>
          <w:bCs/>
          <w:color w:val="auto"/>
          <w:highlight w:val="none"/>
        </w:rPr>
      </w:pPr>
      <w:r>
        <w:rPr>
          <w:rFonts w:hint="eastAsia" w:ascii="宋体" w:hAnsi="宋体" w:eastAsia="宋体" w:cs="宋体"/>
          <w:b/>
          <w:bCs/>
          <w:color w:val="auto"/>
          <w:highlight w:val="none"/>
        </w:rPr>
        <w:t xml:space="preserve">7.7  投标文件未按照招标文件规定要求密封；投标文件无法定代表人或其授权代表签字（或盖私章），或签字人无法定代表人有效授权的；签字盖章不符合招标文件要求的； </w:t>
      </w:r>
    </w:p>
    <w:p w14:paraId="270C0632">
      <w:pPr>
        <w:ind w:left="527" w:hanging="527" w:hangingChars="250"/>
        <w:rPr>
          <w:rFonts w:hint="eastAsia" w:ascii="宋体" w:hAnsi="宋体" w:eastAsia="宋体" w:cs="宋体"/>
          <w:b/>
          <w:bCs/>
          <w:color w:val="auto"/>
          <w:highlight w:val="none"/>
        </w:rPr>
      </w:pPr>
      <w:r>
        <w:rPr>
          <w:rFonts w:hint="eastAsia" w:ascii="宋体" w:hAnsi="宋体" w:eastAsia="宋体" w:cs="宋体"/>
          <w:b/>
          <w:bCs/>
          <w:color w:val="auto"/>
          <w:highlight w:val="none"/>
        </w:rPr>
        <w:t>7.8  投标有效期限不符合要求；</w:t>
      </w:r>
    </w:p>
    <w:p w14:paraId="7E4EEE73">
      <w:pPr>
        <w:ind w:left="527" w:hanging="527" w:hangingChars="250"/>
        <w:rPr>
          <w:rFonts w:hint="eastAsia" w:ascii="宋体" w:hAnsi="宋体" w:eastAsia="宋体" w:cs="宋体"/>
          <w:b/>
          <w:bCs/>
          <w:color w:val="auto"/>
          <w:highlight w:val="none"/>
        </w:rPr>
      </w:pPr>
      <w:r>
        <w:rPr>
          <w:rFonts w:hint="eastAsia" w:ascii="宋体" w:hAnsi="宋体" w:eastAsia="宋体" w:cs="宋体"/>
          <w:b/>
          <w:bCs/>
          <w:color w:val="auto"/>
          <w:highlight w:val="none"/>
        </w:rPr>
        <w:t>7.9  投标文件未对招标范围内的全部内容进行投标报价或投标方案不是唯一；</w:t>
      </w:r>
    </w:p>
    <w:p w14:paraId="615D35E2">
      <w:pPr>
        <w:ind w:left="527" w:hanging="527" w:hangingChars="250"/>
        <w:rPr>
          <w:rFonts w:hint="eastAsia" w:ascii="宋体" w:hAnsi="宋体" w:eastAsia="宋体" w:cs="宋体"/>
          <w:b/>
          <w:bCs/>
          <w:color w:val="auto"/>
          <w:highlight w:val="none"/>
        </w:rPr>
      </w:pPr>
      <w:r>
        <w:rPr>
          <w:rFonts w:hint="eastAsia" w:ascii="宋体" w:hAnsi="宋体" w:eastAsia="宋体" w:cs="宋体"/>
          <w:b/>
          <w:bCs/>
          <w:color w:val="auto"/>
          <w:highlight w:val="none"/>
        </w:rPr>
        <w:t>7.10  未提供或虚假填写《合同条款偏离表》，或对《合同条款偏离表》有负偏离的；</w:t>
      </w:r>
    </w:p>
    <w:p w14:paraId="2951CE2F">
      <w:pPr>
        <w:ind w:left="527" w:hanging="527" w:hangingChars="250"/>
        <w:rPr>
          <w:rFonts w:hint="eastAsia" w:ascii="宋体" w:hAnsi="宋体" w:eastAsia="宋体" w:cs="宋体"/>
          <w:b/>
          <w:bCs/>
          <w:color w:val="auto"/>
          <w:highlight w:val="none"/>
        </w:rPr>
      </w:pPr>
      <w:r>
        <w:rPr>
          <w:rFonts w:hint="eastAsia" w:ascii="宋体" w:hAnsi="宋体" w:eastAsia="宋体" w:cs="宋体"/>
          <w:b/>
          <w:bCs/>
          <w:color w:val="auto"/>
          <w:highlight w:val="none"/>
        </w:rPr>
        <w:t>7.11  未填写或虚假填写《用户需求偏离表》的；</w:t>
      </w:r>
    </w:p>
    <w:p w14:paraId="347BDC25">
      <w:pPr>
        <w:ind w:left="527" w:hanging="527" w:hangingChars="250"/>
        <w:rPr>
          <w:rFonts w:hint="eastAsia" w:ascii="宋体" w:hAnsi="宋体" w:eastAsia="宋体" w:cs="宋体"/>
          <w:b/>
          <w:bCs/>
          <w:color w:val="auto"/>
          <w:highlight w:val="none"/>
        </w:rPr>
      </w:pPr>
      <w:r>
        <w:rPr>
          <w:rFonts w:hint="eastAsia" w:ascii="宋体" w:hAnsi="宋体" w:eastAsia="宋体" w:cs="宋体"/>
          <w:b/>
          <w:bCs/>
          <w:color w:val="auto"/>
          <w:highlight w:val="none"/>
          <w:lang w:val="en-US" w:eastAsia="zh-CN"/>
        </w:rPr>
        <w:t>7.12</w:t>
      </w:r>
      <w:r>
        <w:rPr>
          <w:rFonts w:hint="eastAsia" w:ascii="宋体" w:hAnsi="宋体" w:eastAsia="宋体" w:cs="宋体"/>
          <w:b/>
          <w:bCs/>
          <w:color w:val="auto"/>
          <w:highlight w:val="none"/>
        </w:rPr>
        <w:t xml:space="preserve">  未响应招标文件提出的实质性要求和条件（标注★的条款）。</w:t>
      </w:r>
    </w:p>
    <w:p w14:paraId="5111F403">
      <w:pPr>
        <w:ind w:left="210" w:hanging="210" w:hangingChars="10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8</w:t>
      </w:r>
      <w:r>
        <w:rPr>
          <w:rFonts w:hint="eastAsia" w:ascii="宋体" w:hAnsi="宋体" w:eastAsia="宋体" w:cs="宋体"/>
          <w:color w:val="auto"/>
          <w:highlight w:val="none"/>
        </w:rPr>
        <w:t>.</w:t>
      </w:r>
      <w:r>
        <w:rPr>
          <w:rFonts w:hint="eastAsia" w:ascii="宋体" w:hAnsi="宋体" w:eastAsia="宋体" w:cs="宋体"/>
          <w:color w:val="auto"/>
          <w:highlight w:val="none"/>
          <w:lang w:val="zh-CN"/>
        </w:rPr>
        <w:t>评标委员会应当书面要求存在细微偏差的投标人在开标评审结束前予以补正。细微偏差是指投标文件在实质上响应招标文件要求，但在个别地方存在漏项或者提供了不完整的技术方案信息和数据等情况，并且补正这些遗漏或者不完整不会对其他投标人造成不公平的结果。细微偏差不影响投标文件的有效性。</w:t>
      </w:r>
    </w:p>
    <w:p w14:paraId="06961436">
      <w:pPr>
        <w:rPr>
          <w:rFonts w:hint="eastAsia" w:ascii="宋体" w:hAnsi="宋体" w:eastAsia="宋体" w:cs="宋体"/>
          <w:color w:val="auto"/>
          <w:highlight w:val="none"/>
        </w:rPr>
      </w:pPr>
    </w:p>
    <w:p w14:paraId="1294B99C">
      <w:pPr>
        <w:jc w:val="center"/>
        <w:rPr>
          <w:rFonts w:hint="eastAsia" w:ascii="宋体" w:hAnsi="宋体" w:eastAsia="宋体" w:cs="宋体"/>
          <w:b/>
          <w:bCs/>
          <w:color w:val="auto"/>
          <w:sz w:val="28"/>
          <w:szCs w:val="32"/>
          <w:highlight w:val="none"/>
        </w:rPr>
      </w:pPr>
      <w:bookmarkStart w:id="1155" w:name="_Toc4109_WPSOffice_Level1"/>
      <w:r>
        <w:rPr>
          <w:rFonts w:hint="eastAsia" w:ascii="宋体" w:hAnsi="宋体" w:eastAsia="宋体" w:cs="宋体"/>
          <w:b/>
          <w:bCs/>
          <w:color w:val="auto"/>
          <w:sz w:val="28"/>
          <w:szCs w:val="32"/>
          <w:highlight w:val="none"/>
          <w:lang w:val="zh-CN"/>
        </w:rPr>
        <w:t>三、澄清有关问题</w:t>
      </w:r>
      <w:bookmarkEnd w:id="1155"/>
    </w:p>
    <w:p w14:paraId="2FC68886">
      <w:pPr>
        <w:ind w:left="210" w:hanging="210" w:hangingChars="10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9</w:t>
      </w:r>
      <w:r>
        <w:rPr>
          <w:rFonts w:hint="eastAsia" w:ascii="宋体" w:hAnsi="宋体" w:eastAsia="宋体" w:cs="宋体"/>
          <w:color w:val="auto"/>
          <w:highlight w:val="none"/>
        </w:rPr>
        <w:t>.</w:t>
      </w:r>
      <w:r>
        <w:rPr>
          <w:rFonts w:hint="eastAsia" w:ascii="宋体" w:hAnsi="宋体" w:eastAsia="宋体" w:cs="宋体"/>
          <w:color w:val="auto"/>
          <w:highlight w:val="none"/>
          <w:lang w:val="zh-CN"/>
        </w:rPr>
        <w:t>在投标文件的商务、技术资格性检查及符合性检查过程中，投标人可应评标委员会要求对投标文件中有关问题进行书面澄清。该书面澄清作为其投标文件的一部分。</w:t>
      </w:r>
    </w:p>
    <w:p w14:paraId="2966E99E">
      <w:pPr>
        <w:ind w:left="525" w:hanging="525" w:hangingChars="25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9.1  对投标文件中含义不明确、同类问题表述不一致或者有明显文字和计算错误的内容，评标委员会可以书面形式（由评标委员会专家签字）要求投标人作出必要的澄清、说明或者纠正。</w:t>
      </w:r>
    </w:p>
    <w:p w14:paraId="1D0AE608">
      <w:pPr>
        <w:ind w:left="525" w:hanging="525" w:hangingChars="25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9.2  投标人的澄清、说明或者纠正应当采用书面形式，经加盖其公章或其合法代表人（法定代表人或法定代表人授权书列明的被授权人）签署方有效，并不得超出投标文件的范围或者改变投标文件的实质性内容。</w:t>
      </w:r>
    </w:p>
    <w:p w14:paraId="59DF9280">
      <w:pPr>
        <w:ind w:left="525" w:hanging="525" w:hangingChars="25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9.3  经过澄清后仍不符合要求，则该项目在下一步评审进行评分调整；若重大（实质性）偏差仍存在，且不可接受，投标人则被认为是“不响应招标文件要求的投标人”，不再进入下一步评审。</w:t>
      </w:r>
    </w:p>
    <w:p w14:paraId="16F03D95">
      <w:pPr>
        <w:ind w:left="525" w:hanging="525" w:hangingChars="250"/>
        <w:rPr>
          <w:rFonts w:hint="eastAsia" w:ascii="宋体" w:hAnsi="宋体" w:eastAsia="宋体" w:cs="宋体"/>
          <w:color w:val="auto"/>
          <w:kern w:val="0"/>
          <w:szCs w:val="21"/>
          <w:highlight w:val="none"/>
        </w:rPr>
      </w:pPr>
      <w:r>
        <w:rPr>
          <w:rFonts w:hint="eastAsia" w:ascii="宋体" w:hAnsi="宋体" w:eastAsia="宋体" w:cs="宋体"/>
          <w:color w:val="auto"/>
          <w:highlight w:val="none"/>
        </w:rPr>
        <w:t>9.4  投标文件报价计算错误的修正</w:t>
      </w:r>
    </w:p>
    <w:p w14:paraId="174F62DD">
      <w:pPr>
        <w:ind w:left="945" w:leftChars="200" w:hanging="525" w:hangingChars="250"/>
        <w:rPr>
          <w:rFonts w:hint="eastAsia" w:ascii="宋体" w:hAnsi="宋体" w:eastAsia="宋体" w:cs="宋体"/>
          <w:color w:val="auto"/>
          <w:highlight w:val="none"/>
        </w:rPr>
      </w:pPr>
      <w:r>
        <w:rPr>
          <w:rFonts w:hint="eastAsia" w:ascii="宋体" w:hAnsi="宋体" w:eastAsia="宋体" w:cs="宋体"/>
          <w:color w:val="auto"/>
          <w:highlight w:val="none"/>
        </w:rPr>
        <w:t>（1）评标委员会将对确定为实质上响应招标文件要求的投标文件进行校核，看其是否有计算或表达上的错误，修正错误的原则为：</w:t>
      </w:r>
    </w:p>
    <w:p w14:paraId="5EC56114">
      <w:pPr>
        <w:ind w:left="840" w:leftChars="400"/>
        <w:rPr>
          <w:rFonts w:hint="eastAsia" w:ascii="宋体" w:hAnsi="宋体" w:eastAsia="宋体" w:cs="宋体"/>
          <w:color w:val="auto"/>
          <w:highlight w:val="none"/>
        </w:rPr>
      </w:pPr>
      <w:r>
        <w:rPr>
          <w:rFonts w:hint="eastAsia" w:ascii="宋体" w:hAnsi="宋体" w:eastAsia="宋体" w:cs="宋体"/>
          <w:color w:val="auto"/>
          <w:highlight w:val="none"/>
        </w:rPr>
        <w:t>当以数字表示的报价系数与以文字表示的报价系数不一致时，以文字表示的报价系数为准。经双方确认后，作为投标人的投标报价</w:t>
      </w:r>
      <w:r>
        <w:rPr>
          <w:rFonts w:hint="eastAsia" w:ascii="宋体" w:hAnsi="宋体" w:eastAsia="宋体" w:cs="宋体"/>
          <w:color w:val="auto"/>
          <w:highlight w:val="none"/>
          <w:lang w:val="zh-CN"/>
        </w:rPr>
        <w:t>。</w:t>
      </w:r>
    </w:p>
    <w:p w14:paraId="3D46DAB7">
      <w:pPr>
        <w:ind w:left="945" w:leftChars="200" w:hanging="525" w:hangingChars="25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（2）</w:t>
      </w:r>
      <w:r>
        <w:rPr>
          <w:rFonts w:hint="eastAsia" w:ascii="宋体" w:hAnsi="宋体" w:eastAsia="宋体" w:cs="宋体"/>
          <w:b/>
          <w:bCs/>
          <w:color w:val="auto"/>
          <w:highlight w:val="none"/>
          <w:lang w:val="zh-CN"/>
        </w:rPr>
        <w:t>按上述修正错误的原则及方法调整或修正投标文件的报价系数，调整后的报价系数对投标人起约束作用。如果投标人不接受修正后的报价系数，则其投标将被拒绝，作为无效投标处理。</w:t>
      </w:r>
    </w:p>
    <w:p w14:paraId="1E3DC961">
      <w:pPr>
        <w:ind w:left="525" w:hanging="525" w:hangingChars="25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9</w:t>
      </w:r>
      <w:r>
        <w:rPr>
          <w:rFonts w:hint="eastAsia" w:ascii="宋体" w:hAnsi="宋体" w:eastAsia="宋体" w:cs="宋体"/>
          <w:color w:val="auto"/>
          <w:highlight w:val="none"/>
          <w:lang w:val="zh-CN"/>
        </w:rPr>
        <w:t>.5  若投标人出现超低报价，有可能影响服务质量和不能诚信履约的，评标委员会将要求该投标人作出书面说明并提供相关证明材料，以确定投标人是否以低于企业成本价报价。</w:t>
      </w:r>
      <w:r>
        <w:rPr>
          <w:rFonts w:hint="eastAsia" w:ascii="宋体" w:hAnsi="宋体" w:eastAsia="宋体" w:cs="宋体"/>
          <w:b/>
          <w:bCs/>
          <w:color w:val="auto"/>
          <w:highlight w:val="none"/>
          <w:lang w:val="zh-CN"/>
        </w:rPr>
        <w:t>若投标人不能合理说明或不能提供相关证明材料的，评标委员会将认定其投标报价低于成本，同时否决其投标。</w:t>
      </w:r>
    </w:p>
    <w:p w14:paraId="16A071C9">
      <w:pPr>
        <w:rPr>
          <w:rFonts w:hint="eastAsia" w:ascii="宋体" w:hAnsi="宋体" w:eastAsia="宋体" w:cs="宋体"/>
          <w:color w:val="auto"/>
          <w:highlight w:val="none"/>
          <w:lang w:val="zh-CN"/>
        </w:rPr>
      </w:pPr>
      <w:bookmarkStart w:id="1156" w:name="_Toc8518_WPSOffice_Level1"/>
    </w:p>
    <w:p w14:paraId="31AE6FE6">
      <w:pPr>
        <w:jc w:val="center"/>
        <w:rPr>
          <w:rFonts w:hint="eastAsia" w:ascii="宋体" w:hAnsi="宋体" w:eastAsia="宋体" w:cs="宋体"/>
          <w:b/>
          <w:bCs/>
          <w:color w:val="auto"/>
          <w:sz w:val="28"/>
          <w:szCs w:val="32"/>
          <w:highlight w:val="none"/>
        </w:rPr>
      </w:pPr>
      <w:r>
        <w:rPr>
          <w:rFonts w:hint="eastAsia" w:ascii="宋体" w:hAnsi="宋体" w:eastAsia="宋体" w:cs="宋体"/>
          <w:b/>
          <w:bCs/>
          <w:color w:val="auto"/>
          <w:sz w:val="28"/>
          <w:szCs w:val="32"/>
          <w:highlight w:val="none"/>
          <w:lang w:val="zh-CN"/>
        </w:rPr>
        <w:t>四、比较和评价</w:t>
      </w:r>
      <w:bookmarkEnd w:id="1156"/>
    </w:p>
    <w:p w14:paraId="65D89264">
      <w:pPr>
        <w:ind w:left="315" w:hanging="315" w:hangingChars="15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10</w:t>
      </w:r>
      <w:r>
        <w:rPr>
          <w:rFonts w:hint="eastAsia" w:ascii="宋体" w:hAnsi="宋体" w:eastAsia="宋体" w:cs="宋体"/>
          <w:color w:val="auto"/>
          <w:highlight w:val="none"/>
        </w:rPr>
        <w:t>.</w:t>
      </w:r>
      <w:r>
        <w:rPr>
          <w:rFonts w:hint="eastAsia" w:ascii="宋体" w:hAnsi="宋体" w:eastAsia="宋体" w:cs="宋体"/>
          <w:color w:val="auto"/>
          <w:highlight w:val="none"/>
          <w:lang w:val="zh-CN"/>
        </w:rPr>
        <w:t>评标委员会按照招标文件中规定的评审方法和标准，对资格性检查和符合性检查合格的投标文件进行商务和技术评审、综合比较与评价；评标委员会根据商务和技术评审的结果，采用综合评分法，分别对投标文件的商务、技术、价格等内容进行打分。</w:t>
      </w:r>
    </w:p>
    <w:p w14:paraId="12C8CBE2">
      <w:pPr>
        <w:ind w:left="422" w:leftChars="1" w:hanging="420" w:hangingChars="200"/>
        <w:rPr>
          <w:rFonts w:hint="eastAsia" w:ascii="宋体" w:hAnsi="宋体" w:eastAsia="宋体" w:cs="宋体"/>
          <w:color w:val="auto"/>
          <w:szCs w:val="24"/>
          <w:highlight w:val="none"/>
          <w:lang w:val="zh-CN"/>
        </w:rPr>
      </w:pPr>
    </w:p>
    <w:p w14:paraId="6F3CC232">
      <w:pPr>
        <w:rPr>
          <w:rFonts w:hint="eastAsia" w:ascii="宋体" w:hAnsi="宋体" w:eastAsia="宋体" w:cs="宋体"/>
          <w:b/>
          <w:bCs/>
          <w:color w:val="auto"/>
          <w:highlight w:val="none"/>
          <w:lang w:val="zh-CN"/>
        </w:rPr>
      </w:pPr>
      <w:r>
        <w:rPr>
          <w:rFonts w:hint="eastAsia" w:ascii="宋体" w:hAnsi="宋体" w:eastAsia="宋体" w:cs="宋体"/>
          <w:b/>
          <w:bCs/>
          <w:color w:val="auto"/>
          <w:highlight w:val="none"/>
          <w:lang w:val="zh-CN"/>
        </w:rPr>
        <w:t>11</w:t>
      </w:r>
      <w:r>
        <w:rPr>
          <w:rFonts w:hint="eastAsia" w:ascii="宋体" w:hAnsi="宋体" w:eastAsia="宋体" w:cs="宋体"/>
          <w:b/>
          <w:bCs/>
          <w:color w:val="auto"/>
          <w:highlight w:val="none"/>
        </w:rPr>
        <w:t>.</w:t>
      </w:r>
      <w:r>
        <w:rPr>
          <w:rFonts w:hint="eastAsia" w:ascii="宋体" w:hAnsi="宋体" w:eastAsia="宋体" w:cs="宋体"/>
          <w:b/>
          <w:bCs/>
          <w:color w:val="auto"/>
          <w:highlight w:val="none"/>
          <w:lang w:val="zh-CN"/>
        </w:rPr>
        <w:t>评委打分办法</w:t>
      </w:r>
    </w:p>
    <w:p w14:paraId="4A0D6857">
      <w:pPr>
        <w:ind w:left="525" w:hanging="525" w:hangingChars="25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11.1 参加评分的评委应尽力体现客观、实事求是，避免学派偏见和个人偏好。</w:t>
      </w:r>
    </w:p>
    <w:p w14:paraId="597022C6">
      <w:pPr>
        <w:ind w:left="525" w:hanging="525" w:hangingChars="25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11.2 衡量、对比的依据，应以招标文件、投标文件、提供的正式试验数据、开标澄清中的文字为准，口头回答和收集的资料只作为参考。</w:t>
      </w:r>
    </w:p>
    <w:p w14:paraId="422FEBE2">
      <w:pPr>
        <w:ind w:left="525" w:hanging="525" w:hangingChars="250"/>
        <w:rPr>
          <w:rFonts w:hint="eastAsia" w:ascii="宋体" w:hAnsi="宋体" w:eastAsia="宋体" w:cs="宋体"/>
          <w:color w:val="auto"/>
          <w:highlight w:val="none"/>
        </w:rPr>
      </w:pPr>
      <w:r>
        <w:rPr>
          <w:rFonts w:hint="eastAsia" w:ascii="宋体" w:hAnsi="宋体" w:eastAsia="宋体" w:cs="宋体"/>
          <w:color w:val="auto"/>
          <w:highlight w:val="none"/>
          <w:lang w:val="zh-CN"/>
        </w:rPr>
        <w:t>11.3 评分主要是为比较各投标人的商务、技术</w:t>
      </w:r>
      <w:r>
        <w:rPr>
          <w:rFonts w:hint="eastAsia" w:ascii="宋体" w:hAnsi="宋体" w:eastAsia="宋体" w:cs="宋体"/>
          <w:color w:val="auto"/>
          <w:highlight w:val="none"/>
        </w:rPr>
        <w:t>和</w:t>
      </w:r>
      <w:r>
        <w:rPr>
          <w:rFonts w:hint="eastAsia" w:ascii="宋体" w:hAnsi="宋体" w:eastAsia="宋体" w:cs="宋体"/>
          <w:color w:val="auto"/>
          <w:highlight w:val="none"/>
          <w:lang w:val="zh-CN"/>
        </w:rPr>
        <w:t>价格综合排序。</w:t>
      </w:r>
      <w:r>
        <w:rPr>
          <w:rFonts w:hint="eastAsia" w:ascii="宋体" w:hAnsi="宋体" w:eastAsia="宋体" w:cs="宋体"/>
          <w:color w:val="auto"/>
          <w:highlight w:val="none"/>
        </w:rPr>
        <w:t>评标委员会专家组的每一位评委根据招标文件评分标准对投标文件分别评审，对有效投标人投标文件的商务、技术、报价分别评分。</w:t>
      </w:r>
    </w:p>
    <w:p w14:paraId="717BCBB3">
      <w:pPr>
        <w:ind w:left="525" w:hanging="525" w:hangingChars="250"/>
        <w:rPr>
          <w:rFonts w:hint="eastAsia" w:ascii="宋体" w:hAnsi="宋体" w:eastAsia="宋体" w:cs="宋体"/>
          <w:color w:val="auto"/>
          <w:highlight w:val="none"/>
        </w:rPr>
      </w:pPr>
      <w:r>
        <w:rPr>
          <w:rFonts w:hint="eastAsia" w:ascii="宋体" w:hAnsi="宋体" w:eastAsia="宋体" w:cs="宋体"/>
          <w:color w:val="auto"/>
          <w:highlight w:val="none"/>
        </w:rPr>
        <w:t>（1）评标委员会首先对商务标进行评审，按评标标准打分后，取所有评委评分的平均值得出该投标人的商务评分；</w:t>
      </w:r>
    </w:p>
    <w:p w14:paraId="3B4487C9">
      <w:pPr>
        <w:ind w:left="525" w:hanging="525" w:hangingChars="250"/>
        <w:rPr>
          <w:rFonts w:hint="eastAsia" w:ascii="宋体" w:hAnsi="宋体" w:eastAsia="宋体" w:cs="宋体"/>
          <w:color w:val="auto"/>
          <w:highlight w:val="none"/>
        </w:rPr>
      </w:pPr>
      <w:r>
        <w:rPr>
          <w:rFonts w:hint="eastAsia" w:ascii="宋体" w:hAnsi="宋体" w:eastAsia="宋体" w:cs="宋体"/>
          <w:color w:val="auto"/>
          <w:highlight w:val="none"/>
        </w:rPr>
        <w:t>（2）然后评标委员会对技术标进行评审，按评标标准打分后，当评标委员会为五人时，在所有评委对同一份投标文件技术标评审的总评分中，去掉一个最高分和一个最低分，计算剩余总评分的算术平均值即为该投标人技术部分的最终综合得分；当评标委员会为七人及以上单数时，在各评委的打分中，同一评委的最高评分减去最低评分，去掉分差最大评委的所有打分（出现分差相同时，按最高评分减去次最低评分进行比较，如此类推），在所有剩余评委对同一份投标文件技术部分评审的总评分中，去掉一个最高分和一个最低分，计算剩余总评分的算术平均值即为该投标人技术部分的最终综合得分；若评标委员会成员对某一项按“优、中、差”区间评审的评分因素的评分低于权重分值60%的，应在评标报告中作出说明。</w:t>
      </w:r>
    </w:p>
    <w:p w14:paraId="2385A100">
      <w:pPr>
        <w:ind w:left="525" w:hanging="525" w:hangingChars="250"/>
        <w:rPr>
          <w:rFonts w:hint="eastAsia" w:ascii="宋体" w:hAnsi="宋体" w:eastAsia="宋体" w:cs="宋体"/>
          <w:color w:val="auto"/>
          <w:highlight w:val="none"/>
          <w:lang w:val="zh-CN"/>
        </w:rPr>
      </w:pPr>
      <w:r>
        <w:rPr>
          <w:rFonts w:hint="eastAsia" w:ascii="宋体" w:hAnsi="宋体" w:eastAsia="宋体" w:cs="宋体"/>
          <w:color w:val="auto"/>
          <w:highlight w:val="none"/>
        </w:rPr>
        <w:t>（3）最后评标委员会对报价进行评审，按评标标准计算得出该投标人的报价评分。</w:t>
      </w:r>
    </w:p>
    <w:p w14:paraId="3F885030">
      <w:pPr>
        <w:ind w:left="525" w:hanging="525" w:hangingChars="25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11.4 评标委员会打分采取记名形式。</w:t>
      </w:r>
    </w:p>
    <w:p w14:paraId="6D54918C">
      <w:pPr>
        <w:ind w:left="525" w:hanging="525" w:hangingChars="25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11.5 各评委根据秘书组提供的打分表严格按照评标大纲内的评分标准独立自主打分，任何人不得要求评委统一打分或统一确定等次顺序。</w:t>
      </w:r>
    </w:p>
    <w:p w14:paraId="6404A745">
      <w:pPr>
        <w:ind w:left="525" w:hanging="525" w:hangingChars="25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11.6 对打分表中的每项条款，各评委应根据投标文件、澄清材料、招标文件要求，按满足的程度给投标人打分。</w:t>
      </w:r>
    </w:p>
    <w:p w14:paraId="19F038E9">
      <w:pPr>
        <w:ind w:left="525" w:hanging="525" w:hangingChars="25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11.7 评分程序</w:t>
      </w:r>
    </w:p>
    <w:p w14:paraId="77C61F37">
      <w:pPr>
        <w:ind w:left="525" w:hanging="525" w:hangingChars="25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（1）就投标人的投标文件对照整理出商务、技术评标因素对比表、偏差表，并在经过校核的基础上逐项打分。</w:t>
      </w:r>
    </w:p>
    <w:p w14:paraId="745CB9A1">
      <w:pPr>
        <w:ind w:left="525" w:hanging="525" w:hangingChars="25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（2）各评委独立完成打分后，将统计好的评分表交给招标代理机构秘书组复核。</w:t>
      </w:r>
    </w:p>
    <w:p w14:paraId="5956D1F0">
      <w:pPr>
        <w:ind w:left="525" w:hanging="525" w:hangingChars="25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（3）评分统计表中各投标人技术得分应为最终综合得分，商务和价格得分应为评委打分的算术平均值。</w:t>
      </w:r>
    </w:p>
    <w:p w14:paraId="69831F92">
      <w:pPr>
        <w:rPr>
          <w:rFonts w:hint="eastAsia" w:ascii="宋体" w:hAnsi="宋体" w:eastAsia="宋体" w:cs="宋体"/>
          <w:color w:val="auto"/>
          <w:highlight w:val="none"/>
          <w:lang w:val="zh-CN"/>
        </w:rPr>
      </w:pPr>
    </w:p>
    <w:p w14:paraId="276C6321">
      <w:pPr>
        <w:rPr>
          <w:rFonts w:hint="eastAsia" w:ascii="宋体" w:hAnsi="宋体" w:eastAsia="宋体" w:cs="宋体"/>
          <w:b/>
          <w:bCs/>
          <w:color w:val="auto"/>
          <w:highlight w:val="none"/>
          <w:lang w:val="zh-CN"/>
        </w:rPr>
      </w:pPr>
      <w:r>
        <w:rPr>
          <w:rFonts w:hint="eastAsia" w:ascii="宋体" w:hAnsi="宋体" w:eastAsia="宋体" w:cs="宋体"/>
          <w:b/>
          <w:bCs/>
          <w:color w:val="auto"/>
          <w:highlight w:val="none"/>
          <w:lang w:val="zh-CN"/>
        </w:rPr>
        <w:t>12</w:t>
      </w:r>
      <w:r>
        <w:rPr>
          <w:rFonts w:hint="eastAsia" w:ascii="宋体" w:hAnsi="宋体" w:eastAsia="宋体" w:cs="宋体"/>
          <w:b/>
          <w:bCs/>
          <w:color w:val="auto"/>
          <w:highlight w:val="none"/>
        </w:rPr>
        <w:t>.</w:t>
      </w:r>
      <w:r>
        <w:rPr>
          <w:rFonts w:hint="eastAsia" w:ascii="宋体" w:hAnsi="宋体" w:eastAsia="宋体" w:cs="宋体"/>
          <w:b/>
          <w:bCs/>
          <w:color w:val="auto"/>
          <w:highlight w:val="none"/>
          <w:lang w:val="zh-CN"/>
        </w:rPr>
        <w:t>评分因素及分值</w:t>
      </w:r>
    </w:p>
    <w:tbl>
      <w:tblPr>
        <w:tblStyle w:val="20"/>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5159"/>
        <w:gridCol w:w="5137"/>
      </w:tblGrid>
      <w:tr w14:paraId="18570D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5" w:type="pct"/>
            <w:tcBorders>
              <w:top w:val="single" w:color="auto" w:sz="4" w:space="0"/>
              <w:left w:val="single" w:color="auto" w:sz="4" w:space="0"/>
              <w:bottom w:val="single" w:color="auto" w:sz="4" w:space="0"/>
              <w:right w:val="single" w:color="auto" w:sz="4" w:space="0"/>
            </w:tcBorders>
            <w:vAlign w:val="center"/>
          </w:tcPr>
          <w:p w14:paraId="7281DB2F">
            <w:pPr>
              <w:jc w:val="center"/>
              <w:rPr>
                <w:rFonts w:hint="eastAsia" w:ascii="宋体" w:hAnsi="宋体" w:eastAsia="宋体" w:cs="宋体"/>
                <w:b/>
                <w:bCs/>
                <w:color w:val="auto"/>
                <w:highlight w:val="none"/>
                <w:lang w:val="zh-CN"/>
              </w:rPr>
            </w:pPr>
            <w:bookmarkStart w:id="1157" w:name="_Toc18349_WPSOffice_Level2"/>
            <w:r>
              <w:rPr>
                <w:rFonts w:hint="eastAsia" w:ascii="宋体" w:hAnsi="宋体" w:eastAsia="宋体" w:cs="宋体"/>
                <w:b/>
                <w:bCs/>
                <w:color w:val="auto"/>
                <w:highlight w:val="none"/>
                <w:lang w:val="zh-CN"/>
              </w:rPr>
              <w:t>评分因素</w:t>
            </w:r>
          </w:p>
        </w:tc>
        <w:tc>
          <w:tcPr>
            <w:tcW w:w="2494" w:type="pct"/>
            <w:tcBorders>
              <w:top w:val="single" w:color="auto" w:sz="4" w:space="0"/>
              <w:left w:val="single" w:color="auto" w:sz="4" w:space="0"/>
              <w:bottom w:val="single" w:color="auto" w:sz="4" w:space="0"/>
              <w:right w:val="single" w:color="auto" w:sz="4" w:space="0"/>
            </w:tcBorders>
            <w:vAlign w:val="center"/>
          </w:tcPr>
          <w:p w14:paraId="099D0FC4">
            <w:pPr>
              <w:jc w:val="center"/>
              <w:rPr>
                <w:rFonts w:hint="eastAsia" w:ascii="宋体" w:hAnsi="宋体" w:eastAsia="宋体" w:cs="宋体"/>
                <w:b/>
                <w:bCs/>
                <w:color w:val="auto"/>
                <w:highlight w:val="none"/>
                <w:lang w:val="zh-CN"/>
              </w:rPr>
            </w:pPr>
            <w:r>
              <w:rPr>
                <w:rFonts w:hint="eastAsia" w:ascii="宋体" w:hAnsi="宋体" w:eastAsia="宋体" w:cs="宋体"/>
                <w:b/>
                <w:bCs/>
                <w:color w:val="auto"/>
                <w:highlight w:val="none"/>
                <w:lang w:val="zh-CN"/>
              </w:rPr>
              <w:t>分值</w:t>
            </w:r>
          </w:p>
        </w:tc>
      </w:tr>
      <w:tr w14:paraId="088D4A2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5" w:type="pct"/>
            <w:tcBorders>
              <w:top w:val="single" w:color="auto" w:sz="4" w:space="0"/>
              <w:left w:val="single" w:color="auto" w:sz="4" w:space="0"/>
              <w:bottom w:val="single" w:color="auto" w:sz="4" w:space="0"/>
              <w:right w:val="single" w:color="auto" w:sz="4" w:space="0"/>
            </w:tcBorders>
            <w:vAlign w:val="center"/>
          </w:tcPr>
          <w:p w14:paraId="15A6CE01">
            <w:pPr>
              <w:jc w:val="center"/>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1</w:t>
            </w:r>
            <w:r>
              <w:rPr>
                <w:rFonts w:hint="eastAsia" w:ascii="宋体" w:hAnsi="宋体" w:eastAsia="宋体" w:cs="宋体"/>
                <w:color w:val="auto"/>
                <w:highlight w:val="none"/>
              </w:rPr>
              <w:t>.</w:t>
            </w:r>
            <w:r>
              <w:rPr>
                <w:rFonts w:hint="eastAsia" w:ascii="宋体" w:hAnsi="宋体" w:eastAsia="宋体" w:cs="宋体"/>
                <w:color w:val="auto"/>
                <w:highlight w:val="none"/>
                <w:lang w:val="zh-CN"/>
              </w:rPr>
              <w:t>商务</w:t>
            </w:r>
          </w:p>
        </w:tc>
        <w:tc>
          <w:tcPr>
            <w:tcW w:w="2494" w:type="pct"/>
            <w:tcBorders>
              <w:top w:val="single" w:color="auto" w:sz="4" w:space="0"/>
              <w:left w:val="single" w:color="auto" w:sz="4" w:space="0"/>
              <w:bottom w:val="single" w:color="auto" w:sz="4" w:space="0"/>
              <w:right w:val="single" w:color="auto" w:sz="4" w:space="0"/>
            </w:tcBorders>
            <w:vAlign w:val="center"/>
          </w:tcPr>
          <w:p w14:paraId="64845162">
            <w:pPr>
              <w:jc w:val="center"/>
              <w:rPr>
                <w:rFonts w:hint="eastAsia" w:ascii="宋体" w:hAnsi="宋体" w:eastAsia="宋体" w:cs="宋体"/>
                <w:color w:val="auto"/>
                <w:highlight w:val="none"/>
                <w:lang w:val="zh-CN"/>
              </w:rPr>
            </w:pP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0</w:t>
            </w:r>
            <w:r>
              <w:rPr>
                <w:rFonts w:hint="eastAsia" w:ascii="宋体" w:hAnsi="宋体" w:eastAsia="宋体" w:cs="宋体"/>
                <w:color w:val="auto"/>
                <w:highlight w:val="none"/>
                <w:lang w:val="zh-CN"/>
              </w:rPr>
              <w:t>分</w:t>
            </w:r>
          </w:p>
        </w:tc>
      </w:tr>
      <w:tr w14:paraId="30ABF6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5" w:type="pct"/>
            <w:tcBorders>
              <w:top w:val="single" w:color="auto" w:sz="4" w:space="0"/>
              <w:left w:val="single" w:color="auto" w:sz="4" w:space="0"/>
              <w:bottom w:val="single" w:color="auto" w:sz="4" w:space="0"/>
              <w:right w:val="single" w:color="auto" w:sz="4" w:space="0"/>
            </w:tcBorders>
            <w:vAlign w:val="center"/>
          </w:tcPr>
          <w:p w14:paraId="4BF38ADA">
            <w:pPr>
              <w:jc w:val="center"/>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2</w:t>
            </w:r>
            <w:r>
              <w:rPr>
                <w:rFonts w:hint="eastAsia" w:ascii="宋体" w:hAnsi="宋体" w:eastAsia="宋体" w:cs="宋体"/>
                <w:color w:val="auto"/>
                <w:highlight w:val="none"/>
              </w:rPr>
              <w:t>.</w:t>
            </w:r>
            <w:r>
              <w:rPr>
                <w:rFonts w:hint="eastAsia" w:ascii="宋体" w:hAnsi="宋体" w:eastAsia="宋体" w:cs="宋体"/>
                <w:color w:val="auto"/>
                <w:highlight w:val="none"/>
                <w:lang w:val="zh-CN"/>
              </w:rPr>
              <w:t>技术</w:t>
            </w:r>
          </w:p>
        </w:tc>
        <w:tc>
          <w:tcPr>
            <w:tcW w:w="2494" w:type="pct"/>
            <w:tcBorders>
              <w:top w:val="single" w:color="auto" w:sz="4" w:space="0"/>
              <w:left w:val="single" w:color="auto" w:sz="4" w:space="0"/>
              <w:bottom w:val="single" w:color="auto" w:sz="4" w:space="0"/>
              <w:right w:val="single" w:color="auto" w:sz="4" w:space="0"/>
            </w:tcBorders>
            <w:vAlign w:val="center"/>
          </w:tcPr>
          <w:p w14:paraId="72B4B2F7">
            <w:pPr>
              <w:jc w:val="center"/>
              <w:rPr>
                <w:rFonts w:hint="eastAsia" w:ascii="宋体" w:hAnsi="宋体" w:eastAsia="宋体" w:cs="宋体"/>
                <w:color w:val="auto"/>
                <w:highlight w:val="none"/>
                <w:lang w:val="zh-CN"/>
              </w:rPr>
            </w:pPr>
            <w:r>
              <w:rPr>
                <w:rFonts w:hint="eastAsia" w:cs="宋体"/>
                <w:color w:val="auto"/>
                <w:highlight w:val="none"/>
                <w:lang w:val="en-US" w:eastAsia="zh-CN"/>
              </w:rPr>
              <w:t>40</w:t>
            </w:r>
            <w:r>
              <w:rPr>
                <w:rFonts w:hint="eastAsia" w:ascii="宋体" w:hAnsi="宋体" w:eastAsia="宋体" w:cs="宋体"/>
                <w:color w:val="auto"/>
                <w:highlight w:val="none"/>
                <w:lang w:val="zh-CN"/>
              </w:rPr>
              <w:t>分</w:t>
            </w:r>
          </w:p>
        </w:tc>
      </w:tr>
      <w:tr w14:paraId="62EC51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5" w:type="pct"/>
            <w:tcBorders>
              <w:top w:val="single" w:color="auto" w:sz="4" w:space="0"/>
              <w:left w:val="single" w:color="auto" w:sz="4" w:space="0"/>
              <w:bottom w:val="single" w:color="auto" w:sz="4" w:space="0"/>
              <w:right w:val="single" w:color="auto" w:sz="4" w:space="0"/>
            </w:tcBorders>
            <w:vAlign w:val="center"/>
          </w:tcPr>
          <w:p w14:paraId="186B879F">
            <w:pPr>
              <w:jc w:val="center"/>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3</w:t>
            </w:r>
            <w:r>
              <w:rPr>
                <w:rFonts w:hint="eastAsia" w:ascii="宋体" w:hAnsi="宋体" w:eastAsia="宋体" w:cs="宋体"/>
                <w:color w:val="auto"/>
                <w:highlight w:val="none"/>
              </w:rPr>
              <w:t>.</w:t>
            </w:r>
            <w:r>
              <w:rPr>
                <w:rFonts w:hint="eastAsia" w:ascii="宋体" w:hAnsi="宋体" w:eastAsia="宋体" w:cs="宋体"/>
                <w:color w:val="auto"/>
                <w:highlight w:val="none"/>
                <w:lang w:val="zh-CN"/>
              </w:rPr>
              <w:t>价格</w:t>
            </w:r>
          </w:p>
        </w:tc>
        <w:tc>
          <w:tcPr>
            <w:tcW w:w="2494" w:type="pct"/>
            <w:tcBorders>
              <w:top w:val="single" w:color="auto" w:sz="4" w:space="0"/>
              <w:left w:val="single" w:color="auto" w:sz="4" w:space="0"/>
              <w:bottom w:val="single" w:color="auto" w:sz="4" w:space="0"/>
              <w:right w:val="single" w:color="auto" w:sz="4" w:space="0"/>
            </w:tcBorders>
            <w:vAlign w:val="center"/>
          </w:tcPr>
          <w:p w14:paraId="1F31CA7B">
            <w:pPr>
              <w:jc w:val="center"/>
              <w:rPr>
                <w:rFonts w:hint="eastAsia" w:ascii="宋体" w:hAnsi="宋体" w:eastAsia="宋体" w:cs="宋体"/>
                <w:color w:val="auto"/>
                <w:highlight w:val="none"/>
                <w:lang w:val="zh-CN"/>
              </w:rPr>
            </w:pPr>
            <w:r>
              <w:rPr>
                <w:rFonts w:hint="eastAsia" w:cs="宋体"/>
                <w:color w:val="auto"/>
                <w:highlight w:val="none"/>
                <w:lang w:val="en-US" w:eastAsia="zh-CN"/>
              </w:rPr>
              <w:t>40</w:t>
            </w:r>
            <w:r>
              <w:rPr>
                <w:rFonts w:hint="eastAsia" w:ascii="宋体" w:hAnsi="宋体" w:eastAsia="宋体" w:cs="宋体"/>
                <w:color w:val="auto"/>
                <w:highlight w:val="none"/>
                <w:lang w:val="zh-CN"/>
              </w:rPr>
              <w:t>分</w:t>
            </w:r>
          </w:p>
        </w:tc>
      </w:tr>
    </w:tbl>
    <w:p w14:paraId="476B0560">
      <w:pPr>
        <w:tabs>
          <w:tab w:val="left" w:pos="585"/>
        </w:tabs>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rPr>
        <w:t>（1）</w:t>
      </w:r>
      <w:r>
        <w:rPr>
          <w:rFonts w:hint="eastAsia" w:ascii="宋体" w:hAnsi="宋体" w:eastAsia="宋体" w:cs="宋体"/>
          <w:b/>
          <w:color w:val="auto"/>
          <w:szCs w:val="21"/>
          <w:highlight w:val="none"/>
          <w:lang w:val="zh-CN"/>
        </w:rPr>
        <w:t>商务：总分</w:t>
      </w:r>
      <w:r>
        <w:rPr>
          <w:rFonts w:hint="eastAsia" w:ascii="宋体" w:hAnsi="宋体" w:eastAsia="宋体" w:cs="宋体"/>
          <w:b/>
          <w:color w:val="auto"/>
          <w:szCs w:val="21"/>
          <w:highlight w:val="none"/>
          <w:lang w:val="en-US" w:eastAsia="zh-CN"/>
        </w:rPr>
        <w:t>2</w:t>
      </w:r>
      <w:r>
        <w:rPr>
          <w:rFonts w:hint="eastAsia" w:ascii="宋体" w:hAnsi="宋体" w:eastAsia="宋体" w:cs="宋体"/>
          <w:b/>
          <w:color w:val="auto"/>
          <w:szCs w:val="21"/>
          <w:highlight w:val="none"/>
        </w:rPr>
        <w:t>0</w:t>
      </w:r>
      <w:r>
        <w:rPr>
          <w:rFonts w:hint="eastAsia" w:ascii="宋体" w:hAnsi="宋体" w:eastAsia="宋体" w:cs="宋体"/>
          <w:b/>
          <w:color w:val="auto"/>
          <w:szCs w:val="21"/>
          <w:highlight w:val="none"/>
          <w:lang w:val="zh-CN"/>
        </w:rPr>
        <w:t>分</w:t>
      </w:r>
      <w:bookmarkEnd w:id="1157"/>
    </w:p>
    <w:tbl>
      <w:tblPr>
        <w:tblStyle w:val="20"/>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1"/>
        <w:gridCol w:w="1156"/>
        <w:gridCol w:w="7590"/>
        <w:gridCol w:w="887"/>
      </w:tblGrid>
      <w:tr w14:paraId="79DA1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321" w:type="pct"/>
            <w:tcBorders>
              <w:top w:val="single" w:color="auto" w:sz="4" w:space="0"/>
              <w:left w:val="single" w:color="auto" w:sz="4" w:space="0"/>
              <w:bottom w:val="single" w:color="auto" w:sz="4" w:space="0"/>
              <w:right w:val="single" w:color="auto" w:sz="4" w:space="0"/>
            </w:tcBorders>
            <w:vAlign w:val="center"/>
          </w:tcPr>
          <w:p w14:paraId="266BAC3B">
            <w:pPr>
              <w:jc w:val="center"/>
              <w:rPr>
                <w:rFonts w:hint="eastAsia" w:ascii="宋体" w:hAnsi="宋体" w:eastAsia="宋体" w:cs="宋体"/>
                <w:b/>
                <w:bCs/>
                <w:color w:val="auto"/>
                <w:szCs w:val="21"/>
                <w:highlight w:val="none"/>
              </w:rPr>
            </w:pPr>
            <w:bookmarkStart w:id="1158" w:name="_Toc11639_WPSOffice_Level2"/>
            <w:r>
              <w:rPr>
                <w:rFonts w:hint="eastAsia" w:ascii="宋体" w:hAnsi="宋体" w:eastAsia="宋体" w:cs="宋体"/>
                <w:b/>
                <w:bCs/>
                <w:color w:val="auto"/>
                <w:szCs w:val="21"/>
                <w:highlight w:val="none"/>
              </w:rPr>
              <w:t>序号</w:t>
            </w:r>
          </w:p>
        </w:tc>
        <w:tc>
          <w:tcPr>
            <w:tcW w:w="561" w:type="pct"/>
            <w:tcBorders>
              <w:top w:val="single" w:color="auto" w:sz="4" w:space="0"/>
              <w:left w:val="single" w:color="auto" w:sz="4" w:space="0"/>
              <w:bottom w:val="single" w:color="auto" w:sz="4" w:space="0"/>
              <w:right w:val="single" w:color="auto" w:sz="4" w:space="0"/>
            </w:tcBorders>
            <w:vAlign w:val="center"/>
          </w:tcPr>
          <w:p w14:paraId="05BBDEAA">
            <w:pPr>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val="zh-CN"/>
              </w:rPr>
              <w:t>评审内容</w:t>
            </w:r>
          </w:p>
        </w:tc>
        <w:tc>
          <w:tcPr>
            <w:tcW w:w="3686" w:type="pct"/>
            <w:tcBorders>
              <w:top w:val="single" w:color="auto" w:sz="4" w:space="0"/>
              <w:left w:val="single" w:color="auto" w:sz="4" w:space="0"/>
              <w:bottom w:val="single" w:color="auto" w:sz="4" w:space="0"/>
              <w:right w:val="single" w:color="auto" w:sz="4" w:space="0"/>
            </w:tcBorders>
            <w:vAlign w:val="center"/>
          </w:tcPr>
          <w:p w14:paraId="45824AB8">
            <w:pPr>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评审细则</w:t>
            </w:r>
          </w:p>
        </w:tc>
        <w:tc>
          <w:tcPr>
            <w:tcW w:w="430" w:type="pct"/>
            <w:tcBorders>
              <w:top w:val="single" w:color="auto" w:sz="4" w:space="0"/>
              <w:left w:val="single" w:color="auto" w:sz="4" w:space="0"/>
              <w:bottom w:val="single" w:color="auto" w:sz="4" w:space="0"/>
              <w:right w:val="single" w:color="auto" w:sz="4" w:space="0"/>
            </w:tcBorders>
            <w:vAlign w:val="center"/>
          </w:tcPr>
          <w:p w14:paraId="28686898">
            <w:pPr>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满分值</w:t>
            </w:r>
          </w:p>
        </w:tc>
      </w:tr>
      <w:tr w14:paraId="47415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1" w:type="pct"/>
            <w:tcBorders>
              <w:top w:val="single" w:color="auto" w:sz="4" w:space="0"/>
              <w:left w:val="single" w:color="auto" w:sz="4" w:space="0"/>
              <w:bottom w:val="single" w:color="auto" w:sz="4" w:space="0"/>
              <w:right w:val="single" w:color="auto" w:sz="4" w:space="0"/>
            </w:tcBorders>
            <w:vAlign w:val="center"/>
          </w:tcPr>
          <w:p w14:paraId="6A0482A3">
            <w:pPr>
              <w:bidi w:val="0"/>
              <w:jc w:val="center"/>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561" w:type="pct"/>
            <w:tcBorders>
              <w:top w:val="single" w:color="auto" w:sz="4" w:space="0"/>
              <w:left w:val="single" w:color="auto" w:sz="4" w:space="0"/>
              <w:bottom w:val="single" w:color="auto" w:sz="4" w:space="0"/>
              <w:right w:val="single" w:color="auto" w:sz="4" w:space="0"/>
            </w:tcBorders>
            <w:vAlign w:val="center"/>
          </w:tcPr>
          <w:p w14:paraId="454478BE">
            <w:pPr>
              <w:bidi w:val="0"/>
              <w:jc w:val="center"/>
              <w:rPr>
                <w:rFonts w:hint="eastAsia" w:ascii="宋体" w:hAnsi="宋体" w:eastAsia="宋体" w:cs="宋体"/>
                <w:color w:val="auto"/>
                <w:highlight w:val="none"/>
                <w:lang w:val="zh-CN"/>
              </w:rPr>
            </w:pPr>
            <w:r>
              <w:rPr>
                <w:rFonts w:hint="eastAsia" w:ascii="宋体" w:hAnsi="宋体" w:eastAsia="宋体" w:cs="宋体"/>
                <w:color w:val="auto"/>
                <w:highlight w:val="none"/>
                <w:lang w:val="en-US" w:eastAsia="zh-CN"/>
              </w:rPr>
              <w:t>财务状况</w:t>
            </w:r>
          </w:p>
        </w:tc>
        <w:tc>
          <w:tcPr>
            <w:tcW w:w="3686" w:type="pct"/>
            <w:tcBorders>
              <w:top w:val="single" w:color="auto" w:sz="4" w:space="0"/>
              <w:left w:val="single" w:color="auto" w:sz="4" w:space="0"/>
              <w:bottom w:val="single" w:color="auto" w:sz="4" w:space="0"/>
              <w:right w:val="single" w:color="auto" w:sz="4" w:space="0"/>
            </w:tcBorders>
            <w:shd w:val="clear" w:color="auto" w:fill="auto"/>
            <w:vAlign w:val="center"/>
          </w:tcPr>
          <w:p w14:paraId="0CCDC968">
            <w:pPr>
              <w:bidi w:val="0"/>
              <w:rPr>
                <w:rFonts w:hint="eastAsia" w:ascii="宋体" w:hAnsi="宋体" w:eastAsia="宋体" w:cs="宋体"/>
                <w:color w:val="auto"/>
                <w:highlight w:val="none"/>
              </w:rPr>
            </w:pPr>
            <w:r>
              <w:rPr>
                <w:rFonts w:hint="eastAsia" w:ascii="宋体" w:hAnsi="宋体" w:eastAsia="宋体" w:cs="宋体"/>
                <w:color w:val="auto"/>
                <w:highlight w:val="none"/>
              </w:rPr>
              <w:t>投标人</w:t>
            </w:r>
            <w:r>
              <w:rPr>
                <w:rFonts w:hint="eastAsia" w:ascii="宋体" w:hAnsi="宋体" w:eastAsia="宋体" w:cs="宋体"/>
                <w:color w:val="auto"/>
                <w:highlight w:val="none"/>
                <w:lang w:val="en-US" w:eastAsia="zh-CN"/>
              </w:rPr>
              <w:t>2022</w:t>
            </w:r>
            <w:r>
              <w:rPr>
                <w:rFonts w:hint="eastAsia" w:ascii="宋体" w:hAnsi="宋体" w:eastAsia="宋体" w:cs="宋体"/>
                <w:color w:val="auto"/>
                <w:highlight w:val="none"/>
              </w:rPr>
              <w:t>年-202</w:t>
            </w: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rPr>
              <w:t>年三个年度，每具有1个年度</w:t>
            </w:r>
            <w:r>
              <w:rPr>
                <w:rFonts w:hint="eastAsia" w:ascii="宋体" w:hAnsi="宋体" w:eastAsia="宋体" w:cs="宋体"/>
                <w:color w:val="auto"/>
                <w:highlight w:val="none"/>
                <w:lang w:val="en-US" w:eastAsia="zh-CN"/>
              </w:rPr>
              <w:t>盈利</w:t>
            </w:r>
            <w:r>
              <w:rPr>
                <w:rFonts w:hint="eastAsia" w:ascii="宋体" w:hAnsi="宋体" w:eastAsia="宋体" w:cs="宋体"/>
                <w:color w:val="auto"/>
                <w:highlight w:val="none"/>
              </w:rPr>
              <w:t>的得1分，满分3分。</w:t>
            </w:r>
          </w:p>
          <w:p w14:paraId="033FB474">
            <w:pPr>
              <w:bidi w:val="0"/>
              <w:rPr>
                <w:rFonts w:hint="eastAsia" w:ascii="宋体" w:hAnsi="宋体" w:eastAsia="宋体" w:cs="宋体"/>
                <w:color w:val="auto"/>
                <w:highlight w:val="none"/>
                <w:lang w:val="zh-CN"/>
              </w:rPr>
            </w:pPr>
            <w:r>
              <w:rPr>
                <w:rFonts w:hint="eastAsia" w:ascii="宋体" w:hAnsi="宋体" w:eastAsia="宋体" w:cs="宋体"/>
                <w:b/>
                <w:bCs/>
                <w:color w:val="auto"/>
                <w:highlight w:val="none"/>
                <w:lang w:val="zh-CN"/>
              </w:rPr>
              <w:t>备注：盈利指净利润为正数（非零、非负数），投标人应提供202</w:t>
            </w:r>
            <w:r>
              <w:rPr>
                <w:rFonts w:hint="eastAsia" w:ascii="宋体" w:hAnsi="宋体" w:eastAsia="宋体" w:cs="宋体"/>
                <w:b/>
                <w:bCs/>
                <w:color w:val="auto"/>
                <w:highlight w:val="none"/>
                <w:lang w:val="en-US" w:eastAsia="zh-CN"/>
              </w:rPr>
              <w:t>2</w:t>
            </w:r>
            <w:r>
              <w:rPr>
                <w:rFonts w:hint="eastAsia" w:ascii="宋体" w:hAnsi="宋体" w:eastAsia="宋体" w:cs="宋体"/>
                <w:b/>
                <w:bCs/>
                <w:color w:val="auto"/>
                <w:highlight w:val="none"/>
                <w:lang w:val="zh-CN"/>
              </w:rPr>
              <w:t>年、202</w:t>
            </w:r>
            <w:r>
              <w:rPr>
                <w:rFonts w:hint="eastAsia" w:ascii="宋体" w:hAnsi="宋体" w:eastAsia="宋体" w:cs="宋体"/>
                <w:b/>
                <w:bCs/>
                <w:color w:val="auto"/>
                <w:highlight w:val="none"/>
                <w:lang w:val="en-US" w:eastAsia="zh-CN"/>
              </w:rPr>
              <w:t>3</w:t>
            </w:r>
            <w:r>
              <w:rPr>
                <w:rFonts w:hint="eastAsia" w:ascii="宋体" w:hAnsi="宋体" w:eastAsia="宋体" w:cs="宋体"/>
                <w:b/>
                <w:bCs/>
                <w:color w:val="auto"/>
                <w:highlight w:val="none"/>
                <w:lang w:val="zh-CN"/>
              </w:rPr>
              <w:t>年、202</w:t>
            </w:r>
            <w:r>
              <w:rPr>
                <w:rFonts w:hint="eastAsia" w:ascii="宋体" w:hAnsi="宋体" w:eastAsia="宋体" w:cs="宋体"/>
                <w:b/>
                <w:bCs/>
                <w:color w:val="auto"/>
                <w:highlight w:val="none"/>
                <w:lang w:val="en-US" w:eastAsia="zh-CN"/>
              </w:rPr>
              <w:t>4</w:t>
            </w:r>
            <w:r>
              <w:rPr>
                <w:rFonts w:hint="eastAsia" w:ascii="宋体" w:hAnsi="宋体" w:eastAsia="宋体" w:cs="宋体"/>
                <w:b/>
                <w:bCs/>
                <w:color w:val="auto"/>
                <w:highlight w:val="none"/>
                <w:lang w:val="zh-CN"/>
              </w:rPr>
              <w:t>年三个年度的财务报表，净利润以对应年度经审计的财务报表为准，应提供经独立会计师事务所审计过的有效的财务报表复印件；未提供前述财务报表或财务报表未能反映净利润的，不得分。</w:t>
            </w:r>
          </w:p>
        </w:tc>
        <w:tc>
          <w:tcPr>
            <w:tcW w:w="430" w:type="pct"/>
            <w:tcBorders>
              <w:top w:val="single" w:color="auto" w:sz="4" w:space="0"/>
              <w:left w:val="single" w:color="auto" w:sz="4" w:space="0"/>
              <w:bottom w:val="single" w:color="auto" w:sz="4" w:space="0"/>
              <w:right w:val="single" w:color="auto" w:sz="4" w:space="0"/>
            </w:tcBorders>
            <w:shd w:val="clear" w:color="auto" w:fill="auto"/>
            <w:vAlign w:val="center"/>
          </w:tcPr>
          <w:p w14:paraId="0B7B54A6">
            <w:pPr>
              <w:bidi w:val="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分</w:t>
            </w:r>
          </w:p>
        </w:tc>
      </w:tr>
      <w:tr w14:paraId="7CEEB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jc w:val="center"/>
        </w:trPr>
        <w:tc>
          <w:tcPr>
            <w:tcW w:w="321" w:type="pct"/>
            <w:tcBorders>
              <w:top w:val="single" w:color="auto" w:sz="4" w:space="0"/>
              <w:left w:val="single" w:color="auto" w:sz="4" w:space="0"/>
              <w:right w:val="single" w:color="auto" w:sz="4" w:space="0"/>
            </w:tcBorders>
            <w:vAlign w:val="center"/>
          </w:tcPr>
          <w:p w14:paraId="129B37F3">
            <w:pPr>
              <w:bidi w:val="0"/>
              <w:jc w:val="center"/>
              <w:rPr>
                <w:rFonts w:hint="eastAsia" w:ascii="宋体" w:hAnsi="宋体" w:eastAsia="宋体" w:cs="宋体"/>
                <w:color w:val="auto"/>
                <w:highlight w:val="none"/>
              </w:rPr>
            </w:pPr>
            <w:r>
              <w:rPr>
                <w:rFonts w:hint="eastAsia" w:ascii="宋体" w:hAnsi="宋体" w:eastAsia="宋体" w:cs="宋体"/>
                <w:color w:val="auto"/>
                <w:highlight w:val="none"/>
              </w:rPr>
              <w:t>2</w:t>
            </w:r>
          </w:p>
        </w:tc>
        <w:tc>
          <w:tcPr>
            <w:tcW w:w="561" w:type="pct"/>
            <w:tcBorders>
              <w:top w:val="single" w:color="auto" w:sz="4" w:space="0"/>
              <w:left w:val="single" w:color="auto" w:sz="4" w:space="0"/>
              <w:right w:val="single" w:color="auto" w:sz="4" w:space="0"/>
            </w:tcBorders>
            <w:vAlign w:val="center"/>
          </w:tcPr>
          <w:p w14:paraId="20D1E2B3">
            <w:pPr>
              <w:bidi w:val="0"/>
              <w:jc w:val="center"/>
              <w:rPr>
                <w:rFonts w:hint="eastAsia" w:ascii="宋体" w:hAnsi="宋体" w:eastAsia="宋体" w:cs="宋体"/>
                <w:color w:val="auto"/>
                <w:highlight w:val="none"/>
                <w:lang w:val="zh-CN"/>
              </w:rPr>
            </w:pPr>
            <w:r>
              <w:rPr>
                <w:rFonts w:hint="eastAsia" w:ascii="宋体" w:hAnsi="宋体" w:eastAsia="宋体" w:cs="宋体"/>
                <w:color w:val="auto"/>
                <w:highlight w:val="none"/>
              </w:rPr>
              <w:t>业绩</w:t>
            </w:r>
          </w:p>
        </w:tc>
        <w:tc>
          <w:tcPr>
            <w:tcW w:w="3686" w:type="pct"/>
            <w:tcBorders>
              <w:top w:val="single" w:color="auto" w:sz="4" w:space="0"/>
              <w:left w:val="single" w:color="auto" w:sz="4" w:space="0"/>
              <w:bottom w:val="single" w:color="auto" w:sz="4" w:space="0"/>
              <w:right w:val="single" w:color="auto" w:sz="4" w:space="0"/>
            </w:tcBorders>
            <w:shd w:val="clear" w:color="auto" w:fill="auto"/>
            <w:vAlign w:val="center"/>
          </w:tcPr>
          <w:p w14:paraId="1CA38D3B">
            <w:pPr>
              <w:keepNext w:val="0"/>
              <w:keepLines w:val="0"/>
              <w:pageBreakBefore w:val="0"/>
              <w:widowControl w:val="0"/>
              <w:kinsoku/>
              <w:wordWrap/>
              <w:overflowPunct/>
              <w:topLinePunct w:val="0"/>
              <w:bidi w:val="0"/>
              <w:adjustRightInd/>
              <w:snapToGrid/>
              <w:spacing w:line="360" w:lineRule="auto"/>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投标人20</w:t>
            </w:r>
            <w:r>
              <w:rPr>
                <w:rFonts w:hint="eastAsia" w:ascii="宋体" w:hAnsi="宋体" w:eastAsia="宋体" w:cs="宋体"/>
                <w:color w:val="auto"/>
                <w:sz w:val="21"/>
                <w:szCs w:val="21"/>
                <w:highlight w:val="none"/>
                <w:lang w:val="en-US" w:eastAsia="zh-CN"/>
              </w:rPr>
              <w:t>22</w:t>
            </w:r>
            <w:r>
              <w:rPr>
                <w:rFonts w:hint="eastAsia" w:ascii="宋体" w:hAnsi="宋体" w:eastAsia="宋体" w:cs="宋体"/>
                <w:color w:val="auto"/>
                <w:sz w:val="21"/>
                <w:szCs w:val="21"/>
                <w:highlight w:val="none"/>
              </w:rPr>
              <w:t>年1月1日以来（业绩的时间以合同签订的日期为准）承接的</w:t>
            </w:r>
            <w:r>
              <w:rPr>
                <w:rFonts w:hint="eastAsia" w:ascii="宋体" w:hAnsi="宋体" w:eastAsia="宋体" w:cs="宋体"/>
                <w:color w:val="auto"/>
                <w:szCs w:val="24"/>
                <w:highlight w:val="none"/>
                <w:lang w:val="en-US" w:eastAsia="zh-CN"/>
              </w:rPr>
              <w:t>投标品牌球墨铸铁阀门</w:t>
            </w:r>
            <w:r>
              <w:rPr>
                <w:rFonts w:hint="eastAsia" w:ascii="宋体" w:hAnsi="宋体" w:eastAsia="宋体" w:cs="宋体"/>
                <w:color w:val="auto"/>
                <w:sz w:val="21"/>
                <w:szCs w:val="21"/>
                <w:highlight w:val="none"/>
              </w:rPr>
              <w:t>在国内的销售业绩，按下列情况评分，</w:t>
            </w:r>
            <w:r>
              <w:rPr>
                <w:rFonts w:hint="eastAsia" w:ascii="宋体" w:hAnsi="宋体" w:eastAsia="宋体" w:cs="宋体"/>
                <w:b/>
                <w:color w:val="auto"/>
                <w:sz w:val="21"/>
                <w:szCs w:val="21"/>
                <w:highlight w:val="none"/>
              </w:rPr>
              <w:t>本项业绩评审满分</w:t>
            </w:r>
            <w:r>
              <w:rPr>
                <w:rFonts w:hint="eastAsia" w:ascii="宋体" w:hAnsi="宋体" w:eastAsia="宋体" w:cs="宋体"/>
                <w:b/>
                <w:color w:val="auto"/>
                <w:sz w:val="21"/>
                <w:szCs w:val="21"/>
                <w:highlight w:val="none"/>
                <w:lang w:val="en-US" w:eastAsia="zh-CN"/>
              </w:rPr>
              <w:t>17</w:t>
            </w:r>
            <w:r>
              <w:rPr>
                <w:rFonts w:hint="eastAsia" w:ascii="宋体" w:hAnsi="宋体" w:eastAsia="宋体" w:cs="宋体"/>
                <w:b/>
                <w:color w:val="auto"/>
                <w:sz w:val="21"/>
                <w:szCs w:val="21"/>
                <w:highlight w:val="none"/>
              </w:rPr>
              <w:t>分</w:t>
            </w:r>
            <w:r>
              <w:rPr>
                <w:rFonts w:hint="eastAsia" w:ascii="宋体" w:hAnsi="宋体" w:eastAsia="宋体" w:cs="宋体"/>
                <w:color w:val="auto"/>
                <w:sz w:val="21"/>
                <w:szCs w:val="21"/>
                <w:highlight w:val="none"/>
              </w:rPr>
              <w:t>。</w:t>
            </w:r>
          </w:p>
          <w:p w14:paraId="1DB4A5C7">
            <w:pPr>
              <w:keepNext w:val="0"/>
              <w:keepLines w:val="0"/>
              <w:pageBreakBefore w:val="0"/>
              <w:widowControl w:val="0"/>
              <w:kinsoku/>
              <w:wordWrap/>
              <w:overflowPunct/>
              <w:topLinePunct w:val="0"/>
              <w:bidi w:val="0"/>
              <w:adjustRightInd/>
              <w:snapToGrid/>
              <w:spacing w:line="360" w:lineRule="auto"/>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（1）单项合同金额≥</w:t>
            </w:r>
            <w:r>
              <w:rPr>
                <w:rFonts w:hint="eastAsia" w:cs="宋体"/>
                <w:color w:val="auto"/>
                <w:sz w:val="21"/>
                <w:szCs w:val="21"/>
                <w:highlight w:val="none"/>
                <w:lang w:val="en-US" w:eastAsia="zh-CN"/>
              </w:rPr>
              <w:t>180</w:t>
            </w:r>
            <w:r>
              <w:rPr>
                <w:rFonts w:hint="eastAsia" w:ascii="宋体" w:hAnsi="宋体" w:eastAsia="宋体" w:cs="宋体"/>
                <w:color w:val="auto"/>
                <w:sz w:val="21"/>
                <w:szCs w:val="21"/>
                <w:highlight w:val="none"/>
              </w:rPr>
              <w:t>万元的前述业绩，每项得</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分。</w:t>
            </w:r>
          </w:p>
          <w:p w14:paraId="0086D5A9">
            <w:pPr>
              <w:keepNext w:val="0"/>
              <w:keepLines w:val="0"/>
              <w:pageBreakBefore w:val="0"/>
              <w:widowControl w:val="0"/>
              <w:kinsoku/>
              <w:wordWrap/>
              <w:overflowPunct/>
              <w:topLinePunct w:val="0"/>
              <w:bidi w:val="0"/>
              <w:adjustRightInd/>
              <w:snapToGrid/>
              <w:spacing w:line="360" w:lineRule="auto"/>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cs="宋体"/>
                <w:color w:val="auto"/>
                <w:sz w:val="21"/>
                <w:szCs w:val="21"/>
                <w:highlight w:val="none"/>
                <w:lang w:val="en-US" w:eastAsia="zh-CN"/>
              </w:rPr>
              <w:t>120</w:t>
            </w:r>
            <w:r>
              <w:rPr>
                <w:rFonts w:hint="eastAsia" w:ascii="宋体" w:hAnsi="宋体" w:eastAsia="宋体" w:cs="宋体"/>
                <w:color w:val="auto"/>
                <w:sz w:val="21"/>
                <w:szCs w:val="21"/>
                <w:highlight w:val="none"/>
              </w:rPr>
              <w:t>万元≤单项合同金额＜</w:t>
            </w:r>
            <w:r>
              <w:rPr>
                <w:rFonts w:hint="eastAsia" w:cs="宋体"/>
                <w:color w:val="auto"/>
                <w:sz w:val="21"/>
                <w:szCs w:val="21"/>
                <w:highlight w:val="none"/>
                <w:lang w:val="en-US" w:eastAsia="zh-CN"/>
              </w:rPr>
              <w:t>180</w:t>
            </w:r>
            <w:r>
              <w:rPr>
                <w:rFonts w:hint="eastAsia" w:ascii="宋体" w:hAnsi="宋体" w:eastAsia="宋体" w:cs="宋体"/>
                <w:color w:val="auto"/>
                <w:sz w:val="21"/>
                <w:szCs w:val="21"/>
                <w:highlight w:val="none"/>
              </w:rPr>
              <w:t>万元的前述业绩，每项得</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本子项满分</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分。</w:t>
            </w:r>
          </w:p>
          <w:p w14:paraId="6F53C6A0">
            <w:pPr>
              <w:keepNext w:val="0"/>
              <w:keepLines w:val="0"/>
              <w:pageBreakBefore w:val="0"/>
              <w:widowControl w:val="0"/>
              <w:kinsoku/>
              <w:wordWrap/>
              <w:overflowPunct/>
              <w:topLinePunct w:val="0"/>
              <w:bidi w:val="0"/>
              <w:adjustRightInd/>
              <w:snapToGrid/>
              <w:spacing w:line="360" w:lineRule="auto"/>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cs="宋体"/>
                <w:color w:val="auto"/>
                <w:sz w:val="21"/>
                <w:szCs w:val="21"/>
                <w:highlight w:val="none"/>
                <w:lang w:val="en-US" w:eastAsia="zh-CN"/>
              </w:rPr>
              <w:t>80</w:t>
            </w:r>
            <w:r>
              <w:rPr>
                <w:rFonts w:hint="eastAsia" w:ascii="宋体" w:hAnsi="宋体" w:eastAsia="宋体" w:cs="宋体"/>
                <w:color w:val="auto"/>
                <w:sz w:val="21"/>
                <w:szCs w:val="21"/>
                <w:highlight w:val="none"/>
              </w:rPr>
              <w:t>万元≤单项合同金额＜</w:t>
            </w:r>
            <w:r>
              <w:rPr>
                <w:rFonts w:hint="eastAsia" w:cs="宋体"/>
                <w:color w:val="auto"/>
                <w:sz w:val="21"/>
                <w:szCs w:val="21"/>
                <w:highlight w:val="none"/>
                <w:lang w:val="en-US" w:eastAsia="zh-CN"/>
              </w:rPr>
              <w:t>120</w:t>
            </w:r>
            <w:r>
              <w:rPr>
                <w:rFonts w:hint="eastAsia" w:ascii="宋体" w:hAnsi="宋体" w:eastAsia="宋体" w:cs="宋体"/>
                <w:color w:val="auto"/>
                <w:sz w:val="21"/>
                <w:szCs w:val="21"/>
                <w:highlight w:val="none"/>
              </w:rPr>
              <w:t>万元的前述业绩，每项得</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分，本子项满分</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分。</w:t>
            </w:r>
          </w:p>
          <w:p w14:paraId="65446DCB">
            <w:pPr>
              <w:keepNext w:val="0"/>
              <w:keepLines w:val="0"/>
              <w:pageBreakBefore w:val="0"/>
              <w:widowControl w:val="0"/>
              <w:kinsoku/>
              <w:wordWrap/>
              <w:overflowPunct/>
              <w:topLinePunct w:val="0"/>
              <w:bidi w:val="0"/>
              <w:adjustRightInd/>
              <w:snapToGrid/>
              <w:spacing w:line="360" w:lineRule="auto"/>
              <w:jc w:val="both"/>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备注：</w:t>
            </w:r>
          </w:p>
          <w:p w14:paraId="19C131BE">
            <w:pPr>
              <w:keepNext w:val="0"/>
              <w:keepLines w:val="0"/>
              <w:pageBreakBefore w:val="0"/>
              <w:widowControl w:val="0"/>
              <w:kinsoku/>
              <w:wordWrap/>
              <w:overflowPunct/>
              <w:topLinePunct w:val="0"/>
              <w:bidi w:val="0"/>
              <w:adjustRightInd/>
              <w:snapToGrid/>
              <w:spacing w:line="360" w:lineRule="auto"/>
              <w:jc w:val="both"/>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①业绩须同时提供</w:t>
            </w: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Cs w:val="21"/>
                <w:highlight w:val="none"/>
                <w:lang w:val="en-US" w:eastAsia="zh-CN"/>
              </w:rPr>
              <w:t>投标品牌球墨铸铁阀门</w:t>
            </w:r>
            <w:r>
              <w:rPr>
                <w:rFonts w:hint="eastAsia" w:ascii="宋体" w:hAnsi="宋体" w:eastAsia="宋体" w:cs="宋体"/>
                <w:b/>
                <w:color w:val="auto"/>
                <w:sz w:val="21"/>
                <w:szCs w:val="21"/>
                <w:highlight w:val="none"/>
              </w:rPr>
              <w:t>销售合同复印件</w:t>
            </w:r>
            <w:r>
              <w:rPr>
                <w:rFonts w:hint="eastAsia" w:ascii="宋体" w:hAnsi="宋体" w:eastAsia="宋体" w:cs="宋体"/>
                <w:b/>
                <w:color w:val="auto"/>
                <w:sz w:val="21"/>
                <w:szCs w:val="21"/>
                <w:highlight w:val="none"/>
                <w:lang w:val="en-US" w:eastAsia="zh-CN"/>
              </w:rPr>
              <w:t>以及</w:t>
            </w:r>
            <w:r>
              <w:rPr>
                <w:rFonts w:hint="eastAsia" w:ascii="宋体" w:hAnsi="宋体" w:eastAsia="宋体" w:cs="宋体"/>
                <w:b/>
                <w:color w:val="auto"/>
                <w:sz w:val="21"/>
                <w:szCs w:val="21"/>
                <w:highlight w:val="none"/>
                <w:lang w:eastAsia="zh-CN"/>
              </w:rPr>
              <w:t>已供货产品任意一张发票复印件（发票开具日期须在本项目招标公告发布之日前），</w:t>
            </w:r>
            <w:r>
              <w:rPr>
                <w:rFonts w:hint="eastAsia" w:ascii="宋体" w:hAnsi="宋体" w:eastAsia="宋体" w:cs="宋体"/>
                <w:b/>
                <w:color w:val="auto"/>
                <w:sz w:val="21"/>
                <w:szCs w:val="21"/>
                <w:highlight w:val="none"/>
              </w:rPr>
              <w:t>否则不得分；</w:t>
            </w:r>
          </w:p>
          <w:p w14:paraId="454964BC">
            <w:pPr>
              <w:keepNext w:val="0"/>
              <w:keepLines w:val="0"/>
              <w:pageBreakBefore w:val="0"/>
              <w:widowControl w:val="0"/>
              <w:kinsoku/>
              <w:wordWrap/>
              <w:overflowPunct/>
              <w:topLinePunct w:val="0"/>
              <w:bidi w:val="0"/>
              <w:adjustRightInd/>
              <w:snapToGrid/>
              <w:spacing w:line="360" w:lineRule="auto"/>
              <w:jc w:val="both"/>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②</w:t>
            </w:r>
            <w:r>
              <w:rPr>
                <w:rFonts w:hint="eastAsia" w:ascii="宋体" w:hAnsi="宋体" w:eastAsia="宋体" w:cs="宋体"/>
                <w:b/>
                <w:color w:val="auto"/>
                <w:sz w:val="21"/>
                <w:szCs w:val="21"/>
                <w:highlight w:val="none"/>
              </w:rPr>
              <w:t>若合同无法反映评分条件（合同签订日期为20</w:t>
            </w:r>
            <w:r>
              <w:rPr>
                <w:rFonts w:hint="eastAsia" w:ascii="宋体" w:hAnsi="宋体" w:eastAsia="宋体" w:cs="宋体"/>
                <w:b/>
                <w:color w:val="auto"/>
                <w:sz w:val="21"/>
                <w:szCs w:val="21"/>
                <w:highlight w:val="none"/>
                <w:lang w:val="en-US" w:eastAsia="zh-CN"/>
              </w:rPr>
              <w:t>22</w:t>
            </w:r>
            <w:r>
              <w:rPr>
                <w:rFonts w:hint="eastAsia" w:ascii="宋体" w:hAnsi="宋体" w:eastAsia="宋体" w:cs="宋体"/>
                <w:b/>
                <w:color w:val="auto"/>
                <w:sz w:val="21"/>
                <w:szCs w:val="21"/>
                <w:highlight w:val="none"/>
              </w:rPr>
              <w:t>年1月1日或以后</w:t>
            </w: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rPr>
              <w:t>合同标的必须包含</w:t>
            </w:r>
            <w:r>
              <w:rPr>
                <w:rFonts w:hint="eastAsia" w:ascii="宋体" w:hAnsi="宋体" w:eastAsia="宋体" w:cs="宋体"/>
                <w:b/>
                <w:color w:val="auto"/>
                <w:sz w:val="21"/>
                <w:szCs w:val="21"/>
                <w:highlight w:val="none"/>
                <w:lang w:val="en-US" w:eastAsia="zh-CN"/>
              </w:rPr>
              <w:t>投标品牌球墨铸铁阀门</w:t>
            </w:r>
            <w:r>
              <w:rPr>
                <w:rFonts w:hint="eastAsia" w:ascii="宋体" w:hAnsi="宋体" w:eastAsia="宋体" w:cs="宋体"/>
                <w:b/>
                <w:color w:val="auto"/>
                <w:sz w:val="21"/>
                <w:szCs w:val="21"/>
                <w:highlight w:val="none"/>
              </w:rPr>
              <w:t>、合同金额）的，还需提供产品购买方出具的书面补充说明文件复印件作为辅助证明（需</w:t>
            </w:r>
            <w:r>
              <w:rPr>
                <w:rFonts w:hint="eastAsia" w:ascii="宋体" w:hAnsi="宋体" w:eastAsia="宋体" w:cs="宋体"/>
                <w:b/>
                <w:color w:val="auto"/>
                <w:sz w:val="21"/>
                <w:szCs w:val="21"/>
                <w:highlight w:val="none"/>
                <w:lang w:val="en-US" w:eastAsia="zh-CN"/>
              </w:rPr>
              <w:t>显示</w:t>
            </w:r>
            <w:r>
              <w:rPr>
                <w:rFonts w:hint="eastAsia" w:ascii="宋体" w:hAnsi="宋体" w:eastAsia="宋体" w:cs="宋体"/>
                <w:b/>
                <w:color w:val="auto"/>
                <w:sz w:val="21"/>
                <w:szCs w:val="21"/>
                <w:highlight w:val="none"/>
              </w:rPr>
              <w:t>购买方公章），否则不得分；</w:t>
            </w:r>
          </w:p>
          <w:p w14:paraId="500FB431">
            <w:pPr>
              <w:keepNext w:val="0"/>
              <w:keepLines w:val="0"/>
              <w:pageBreakBefore w:val="0"/>
              <w:widowControl w:val="0"/>
              <w:tabs>
                <w:tab w:val="left" w:pos="134"/>
              </w:tabs>
              <w:kinsoku/>
              <w:wordWrap/>
              <w:overflowPunct/>
              <w:topLinePunct w:val="0"/>
              <w:autoSpaceDE w:val="0"/>
              <w:autoSpaceDN w:val="0"/>
              <w:bidi w:val="0"/>
              <w:adjustRightInd/>
              <w:snapToGrid/>
              <w:spacing w:line="360" w:lineRule="auto"/>
              <w:textAlignment w:val="auto"/>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lang w:val="en-US" w:eastAsia="zh-CN"/>
              </w:rPr>
              <w:t>③</w:t>
            </w:r>
            <w:r>
              <w:rPr>
                <w:rFonts w:hint="eastAsia" w:ascii="宋体" w:hAnsi="宋体" w:eastAsia="宋体" w:cs="宋体"/>
                <w:b/>
                <w:color w:val="auto"/>
                <w:sz w:val="21"/>
                <w:szCs w:val="21"/>
                <w:highlight w:val="none"/>
              </w:rPr>
              <w:t>若业绩为框架式协议或资格入围无明确金额的合同，必须同时提供合同期限内已供货发票金额统计表和发票复印件</w:t>
            </w:r>
            <w:r>
              <w:rPr>
                <w:rFonts w:hint="eastAsia" w:ascii="宋体" w:hAnsi="宋体" w:eastAsia="宋体" w:cs="宋体"/>
                <w:b/>
                <w:color w:val="auto"/>
                <w:sz w:val="21"/>
                <w:szCs w:val="21"/>
                <w:highlight w:val="none"/>
                <w:lang w:eastAsia="zh-CN"/>
              </w:rPr>
              <w:t>。</w:t>
            </w:r>
          </w:p>
          <w:p w14:paraId="029ABE98">
            <w:pPr>
              <w:keepNext w:val="0"/>
              <w:keepLines w:val="0"/>
              <w:pageBreakBefore w:val="0"/>
              <w:widowControl w:val="0"/>
              <w:tabs>
                <w:tab w:val="left" w:pos="134"/>
              </w:tabs>
              <w:kinsoku/>
              <w:wordWrap/>
              <w:overflowPunct/>
              <w:topLinePunct w:val="0"/>
              <w:autoSpaceDE w:val="0"/>
              <w:autoSpaceDN w:val="0"/>
              <w:bidi w:val="0"/>
              <w:adjustRightInd/>
              <w:snapToGrid/>
              <w:spacing w:line="360" w:lineRule="auto"/>
              <w:textAlignment w:val="auto"/>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④未按上述要求提供证明材料的业绩，或所附材料无法证明填报项目符合本项评分要求的业绩，在评标时将不予考虑。</w:t>
            </w:r>
          </w:p>
        </w:tc>
        <w:tc>
          <w:tcPr>
            <w:tcW w:w="430" w:type="pct"/>
            <w:tcBorders>
              <w:top w:val="single" w:color="auto" w:sz="4" w:space="0"/>
              <w:left w:val="single" w:color="auto" w:sz="4" w:space="0"/>
              <w:right w:val="single" w:color="auto" w:sz="4" w:space="0"/>
            </w:tcBorders>
            <w:shd w:val="clear" w:color="auto" w:fill="auto"/>
            <w:vAlign w:val="center"/>
          </w:tcPr>
          <w:p w14:paraId="09375F25">
            <w:pPr>
              <w:bidi w:val="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17</w:t>
            </w:r>
            <w:r>
              <w:rPr>
                <w:rFonts w:hint="eastAsia" w:ascii="宋体" w:hAnsi="宋体" w:eastAsia="宋体" w:cs="宋体"/>
                <w:color w:val="auto"/>
                <w:highlight w:val="none"/>
              </w:rPr>
              <w:t>分</w:t>
            </w:r>
          </w:p>
        </w:tc>
      </w:tr>
      <w:tr w14:paraId="2C472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9" w:type="pct"/>
            <w:gridSpan w:val="3"/>
            <w:tcBorders>
              <w:top w:val="single" w:color="auto" w:sz="4" w:space="0"/>
              <w:left w:val="single" w:color="auto" w:sz="4" w:space="0"/>
              <w:right w:val="single" w:color="auto" w:sz="4" w:space="0"/>
            </w:tcBorders>
            <w:vAlign w:val="center"/>
          </w:tcPr>
          <w:p w14:paraId="0D3A0E40">
            <w:pPr>
              <w:bidi w:val="0"/>
              <w:jc w:val="center"/>
              <w:rPr>
                <w:rFonts w:hint="eastAsia" w:ascii="宋体" w:hAnsi="宋体" w:eastAsia="宋体" w:cs="宋体"/>
                <w:b/>
                <w:bCs/>
                <w:color w:val="auto"/>
                <w:highlight w:val="none"/>
              </w:rPr>
            </w:pPr>
            <w:r>
              <w:rPr>
                <w:rFonts w:hint="eastAsia" w:ascii="宋体" w:hAnsi="宋体" w:eastAsia="宋体" w:cs="宋体"/>
                <w:b/>
                <w:bCs/>
                <w:color w:val="auto"/>
                <w:highlight w:val="none"/>
                <w:lang w:val="zh-CN"/>
              </w:rPr>
              <w:t>商务总分</w:t>
            </w:r>
          </w:p>
        </w:tc>
        <w:tc>
          <w:tcPr>
            <w:tcW w:w="430" w:type="pct"/>
            <w:tcBorders>
              <w:top w:val="single" w:color="auto" w:sz="4" w:space="0"/>
              <w:left w:val="single" w:color="auto" w:sz="4" w:space="0"/>
              <w:bottom w:val="single" w:color="auto" w:sz="4" w:space="0"/>
              <w:right w:val="single" w:color="auto" w:sz="4" w:space="0"/>
            </w:tcBorders>
            <w:vAlign w:val="center"/>
          </w:tcPr>
          <w:p w14:paraId="4F762901">
            <w:pPr>
              <w:bidi w:val="0"/>
              <w:jc w:val="center"/>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2</w:t>
            </w:r>
            <w:r>
              <w:rPr>
                <w:rFonts w:hint="eastAsia" w:ascii="宋体" w:hAnsi="宋体" w:eastAsia="宋体" w:cs="宋体"/>
                <w:b/>
                <w:bCs/>
                <w:color w:val="auto"/>
                <w:highlight w:val="none"/>
              </w:rPr>
              <w:t>0分</w:t>
            </w:r>
          </w:p>
        </w:tc>
      </w:tr>
    </w:tbl>
    <w:p w14:paraId="71F4729E">
      <w:pPr>
        <w:rPr>
          <w:rFonts w:hint="eastAsia" w:ascii="宋体" w:hAnsi="宋体" w:eastAsia="宋体" w:cs="宋体"/>
          <w:b/>
          <w:bCs/>
          <w:color w:val="auto"/>
          <w:highlight w:val="none"/>
          <w:lang w:val="zh-CN"/>
        </w:rPr>
      </w:pPr>
      <w:r>
        <w:rPr>
          <w:rFonts w:hint="eastAsia" w:ascii="宋体" w:hAnsi="宋体" w:eastAsia="宋体" w:cs="宋体"/>
          <w:b/>
          <w:bCs/>
          <w:color w:val="auto"/>
          <w:highlight w:val="none"/>
          <w:lang w:val="zh-CN"/>
        </w:rPr>
        <w:t>（</w:t>
      </w:r>
      <w:r>
        <w:rPr>
          <w:rFonts w:hint="eastAsia" w:ascii="宋体" w:hAnsi="宋体" w:eastAsia="宋体" w:cs="宋体"/>
          <w:b/>
          <w:bCs/>
          <w:color w:val="auto"/>
          <w:highlight w:val="none"/>
        </w:rPr>
        <w:t>2）</w:t>
      </w:r>
      <w:r>
        <w:rPr>
          <w:rFonts w:hint="eastAsia" w:ascii="宋体" w:hAnsi="宋体" w:eastAsia="宋体" w:cs="宋体"/>
          <w:b/>
          <w:bCs/>
          <w:color w:val="auto"/>
          <w:highlight w:val="none"/>
          <w:lang w:val="zh-CN"/>
        </w:rPr>
        <w:t>技术：总分</w:t>
      </w:r>
      <w:r>
        <w:rPr>
          <w:rFonts w:hint="eastAsia" w:cs="宋体"/>
          <w:b/>
          <w:bCs/>
          <w:color w:val="auto"/>
          <w:highlight w:val="none"/>
          <w:lang w:val="en-US" w:eastAsia="zh-CN"/>
        </w:rPr>
        <w:t>40</w:t>
      </w:r>
      <w:r>
        <w:rPr>
          <w:rFonts w:hint="eastAsia" w:ascii="宋体" w:hAnsi="宋体" w:eastAsia="宋体" w:cs="宋体"/>
          <w:b/>
          <w:bCs/>
          <w:color w:val="auto"/>
          <w:highlight w:val="none"/>
          <w:lang w:val="zh-CN"/>
        </w:rPr>
        <w:t>分</w:t>
      </w:r>
      <w:bookmarkEnd w:id="1158"/>
    </w:p>
    <w:tbl>
      <w:tblPr>
        <w:tblStyle w:val="2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4"/>
        <w:gridCol w:w="1125"/>
        <w:gridCol w:w="7627"/>
        <w:gridCol w:w="900"/>
      </w:tblGrid>
      <w:tr w14:paraId="0ABD1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313" w:type="pct"/>
            <w:tcBorders>
              <w:top w:val="single" w:color="auto" w:sz="4" w:space="0"/>
              <w:left w:val="single" w:color="auto" w:sz="4" w:space="0"/>
              <w:bottom w:val="single" w:color="auto" w:sz="4" w:space="0"/>
              <w:right w:val="single" w:color="auto" w:sz="4" w:space="0"/>
            </w:tcBorders>
            <w:vAlign w:val="center"/>
          </w:tcPr>
          <w:p w14:paraId="63DA137A">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b/>
                <w:color w:val="auto"/>
                <w:kern w:val="0"/>
                <w:szCs w:val="21"/>
                <w:highlight w:val="none"/>
              </w:rPr>
            </w:pPr>
            <w:bookmarkStart w:id="1159" w:name="_Hlk104987779"/>
            <w:r>
              <w:rPr>
                <w:rFonts w:hint="eastAsia" w:ascii="宋体" w:hAnsi="宋体" w:eastAsia="宋体" w:cs="宋体"/>
                <w:b/>
                <w:color w:val="auto"/>
                <w:kern w:val="0"/>
                <w:szCs w:val="21"/>
                <w:highlight w:val="none"/>
              </w:rPr>
              <w:t>序号</w:t>
            </w:r>
          </w:p>
        </w:tc>
        <w:tc>
          <w:tcPr>
            <w:tcW w:w="546" w:type="pct"/>
            <w:tcBorders>
              <w:top w:val="single" w:color="auto" w:sz="4" w:space="0"/>
              <w:left w:val="single" w:color="auto" w:sz="4" w:space="0"/>
              <w:bottom w:val="single" w:color="auto" w:sz="4" w:space="0"/>
              <w:right w:val="single" w:color="auto" w:sz="4" w:space="0"/>
            </w:tcBorders>
            <w:vAlign w:val="center"/>
          </w:tcPr>
          <w:p w14:paraId="741A8580">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b/>
                <w:color w:val="auto"/>
                <w:kern w:val="0"/>
                <w:szCs w:val="21"/>
                <w:highlight w:val="none"/>
              </w:rPr>
            </w:pPr>
            <w:r>
              <w:rPr>
                <w:rFonts w:hint="eastAsia" w:ascii="宋体" w:hAnsi="宋体" w:eastAsia="宋体" w:cs="宋体"/>
                <w:b/>
                <w:color w:val="auto"/>
                <w:szCs w:val="21"/>
                <w:highlight w:val="none"/>
                <w:lang w:val="zh-CN"/>
              </w:rPr>
              <w:t>评审内容</w:t>
            </w:r>
          </w:p>
        </w:tc>
        <w:tc>
          <w:tcPr>
            <w:tcW w:w="3702" w:type="pct"/>
            <w:tcBorders>
              <w:top w:val="single" w:color="auto" w:sz="4" w:space="0"/>
              <w:left w:val="single" w:color="auto" w:sz="4" w:space="0"/>
              <w:bottom w:val="single" w:color="auto" w:sz="4" w:space="0"/>
              <w:right w:val="single" w:color="auto" w:sz="4" w:space="0"/>
            </w:tcBorders>
            <w:vAlign w:val="center"/>
          </w:tcPr>
          <w:p w14:paraId="7C9D416C">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评审细则</w:t>
            </w:r>
          </w:p>
        </w:tc>
        <w:tc>
          <w:tcPr>
            <w:tcW w:w="437" w:type="pct"/>
            <w:tcBorders>
              <w:top w:val="single" w:color="auto" w:sz="4" w:space="0"/>
              <w:left w:val="single" w:color="auto" w:sz="4" w:space="0"/>
              <w:bottom w:val="single" w:color="auto" w:sz="4" w:space="0"/>
              <w:right w:val="single" w:color="auto" w:sz="4" w:space="0"/>
            </w:tcBorders>
            <w:vAlign w:val="center"/>
          </w:tcPr>
          <w:p w14:paraId="054E73CA">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满分值</w:t>
            </w:r>
          </w:p>
        </w:tc>
      </w:tr>
      <w:tr w14:paraId="04034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3" w:hRule="atLeast"/>
          <w:jc w:val="center"/>
        </w:trPr>
        <w:tc>
          <w:tcPr>
            <w:tcW w:w="313" w:type="pct"/>
            <w:tcBorders>
              <w:top w:val="single" w:color="auto" w:sz="4" w:space="0"/>
              <w:left w:val="single" w:color="auto" w:sz="4" w:space="0"/>
              <w:bottom w:val="single" w:color="auto" w:sz="4" w:space="0"/>
              <w:right w:val="single" w:color="auto" w:sz="4" w:space="0"/>
            </w:tcBorders>
            <w:vAlign w:val="center"/>
          </w:tcPr>
          <w:p w14:paraId="386C2FD3">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w:t>
            </w:r>
          </w:p>
        </w:tc>
        <w:tc>
          <w:tcPr>
            <w:tcW w:w="546" w:type="pct"/>
            <w:tcBorders>
              <w:top w:val="single" w:color="auto" w:sz="4" w:space="0"/>
              <w:left w:val="single" w:color="auto" w:sz="4" w:space="0"/>
              <w:bottom w:val="single" w:color="auto" w:sz="4" w:space="0"/>
              <w:right w:val="single" w:color="auto" w:sz="4" w:space="0"/>
            </w:tcBorders>
            <w:vAlign w:val="center"/>
          </w:tcPr>
          <w:p w14:paraId="566646E2">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用户需求响应程度</w:t>
            </w:r>
          </w:p>
        </w:tc>
        <w:tc>
          <w:tcPr>
            <w:tcW w:w="3702" w:type="pct"/>
            <w:tcBorders>
              <w:top w:val="single" w:color="auto" w:sz="4" w:space="0"/>
              <w:left w:val="single" w:color="auto" w:sz="4" w:space="0"/>
              <w:bottom w:val="single" w:color="auto" w:sz="4" w:space="0"/>
              <w:right w:val="single" w:color="auto" w:sz="4" w:space="0"/>
            </w:tcBorders>
            <w:vAlign w:val="center"/>
          </w:tcPr>
          <w:p w14:paraId="2802A4E6">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根据用户需求偏离表的偏离情况进行评审计分，完全满足用户需求的要求得满分，每一处负偏离，扣</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分；同时参照其投标文件中产品技术性能说明等技术资料的内容进行对比，每发现一处投标人填写为无偏离或正偏离，但评标委员会评审认定其为负偏离的，每处扣</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分；本项最低分为0分。</w:t>
            </w:r>
          </w:p>
        </w:tc>
        <w:tc>
          <w:tcPr>
            <w:tcW w:w="437" w:type="pct"/>
            <w:tcBorders>
              <w:top w:val="single" w:color="auto" w:sz="4" w:space="0"/>
              <w:left w:val="single" w:color="auto" w:sz="4" w:space="0"/>
              <w:bottom w:val="single" w:color="auto" w:sz="4" w:space="0"/>
              <w:right w:val="single" w:color="auto" w:sz="4" w:space="0"/>
            </w:tcBorders>
            <w:vAlign w:val="center"/>
          </w:tcPr>
          <w:p w14:paraId="31C71D11">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宋体" w:hAnsi="宋体" w:eastAsia="宋体" w:cs="宋体"/>
                <w:color w:val="auto"/>
                <w:kern w:val="0"/>
                <w:szCs w:val="21"/>
                <w:highlight w:val="none"/>
                <w:lang w:val="en-US" w:eastAsia="zh-CN"/>
              </w:rPr>
            </w:pPr>
            <w:r>
              <w:rPr>
                <w:rFonts w:hint="eastAsia" w:cs="宋体"/>
                <w:color w:val="auto"/>
                <w:kern w:val="0"/>
                <w:szCs w:val="21"/>
                <w:highlight w:val="none"/>
                <w:lang w:val="en-US" w:eastAsia="zh-CN"/>
              </w:rPr>
              <w:t>6</w:t>
            </w:r>
            <w:r>
              <w:rPr>
                <w:rFonts w:hint="eastAsia" w:ascii="宋体" w:hAnsi="宋体" w:eastAsia="宋体" w:cs="宋体"/>
                <w:color w:val="auto"/>
                <w:kern w:val="0"/>
                <w:szCs w:val="21"/>
                <w:highlight w:val="none"/>
                <w:lang w:val="en-US" w:eastAsia="zh-CN"/>
              </w:rPr>
              <w:t>分</w:t>
            </w:r>
          </w:p>
        </w:tc>
      </w:tr>
      <w:tr w14:paraId="27617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2" w:hRule="atLeast"/>
          <w:jc w:val="center"/>
        </w:trPr>
        <w:tc>
          <w:tcPr>
            <w:tcW w:w="313" w:type="pct"/>
            <w:vMerge w:val="restart"/>
            <w:tcBorders>
              <w:top w:val="single" w:color="auto" w:sz="4" w:space="0"/>
              <w:left w:val="single" w:color="auto" w:sz="4" w:space="0"/>
              <w:right w:val="single" w:color="auto" w:sz="4" w:space="0"/>
            </w:tcBorders>
            <w:vAlign w:val="center"/>
          </w:tcPr>
          <w:p w14:paraId="54B766BC">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w:t>
            </w:r>
          </w:p>
        </w:tc>
        <w:tc>
          <w:tcPr>
            <w:tcW w:w="546" w:type="pct"/>
            <w:vMerge w:val="restart"/>
            <w:tcBorders>
              <w:top w:val="single" w:color="auto" w:sz="4" w:space="0"/>
              <w:left w:val="single" w:color="auto" w:sz="4" w:space="0"/>
              <w:right w:val="single" w:color="auto" w:sz="4" w:space="0"/>
            </w:tcBorders>
            <w:vAlign w:val="center"/>
          </w:tcPr>
          <w:p w14:paraId="3A810472">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所投</w:t>
            </w:r>
            <w:r>
              <w:rPr>
                <w:rFonts w:hint="eastAsia" w:ascii="宋体" w:hAnsi="宋体" w:eastAsia="宋体" w:cs="宋体"/>
                <w:color w:val="auto"/>
                <w:kern w:val="0"/>
                <w:szCs w:val="21"/>
                <w:highlight w:val="none"/>
                <w:lang w:val="en-US" w:eastAsia="zh-CN"/>
              </w:rPr>
              <w:t>货物性能质量</w:t>
            </w:r>
          </w:p>
        </w:tc>
        <w:tc>
          <w:tcPr>
            <w:tcW w:w="3702" w:type="pct"/>
            <w:tcBorders>
              <w:top w:val="single" w:color="auto" w:sz="4" w:space="0"/>
              <w:left w:val="single" w:color="auto" w:sz="4" w:space="0"/>
              <w:right w:val="single" w:color="auto" w:sz="4" w:space="0"/>
            </w:tcBorders>
            <w:shd w:val="clear" w:color="auto" w:fill="auto"/>
            <w:vAlign w:val="center"/>
          </w:tcPr>
          <w:p w14:paraId="6A7E01E0">
            <w:pPr>
              <w:spacing w:line="360" w:lineRule="auto"/>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评标委员会对</w:t>
            </w:r>
            <w:r>
              <w:rPr>
                <w:rFonts w:hint="eastAsia" w:ascii="宋体" w:hAnsi="宋体" w:eastAsia="宋体" w:cs="宋体"/>
                <w:b/>
                <w:bCs w:val="0"/>
                <w:color w:val="auto"/>
                <w:szCs w:val="21"/>
                <w:highlight w:val="none"/>
                <w:lang w:val="en-US" w:eastAsia="zh-CN"/>
              </w:rPr>
              <w:t>投标人所投</w:t>
            </w:r>
            <w:r>
              <w:rPr>
                <w:rFonts w:hint="eastAsia" w:ascii="宋体" w:hAnsi="宋体" w:eastAsia="宋体" w:cs="宋体"/>
                <w:b/>
                <w:bCs w:val="0"/>
                <w:color w:val="auto"/>
                <w:kern w:val="2"/>
                <w:sz w:val="21"/>
                <w:szCs w:val="21"/>
                <w:highlight w:val="none"/>
                <w:lang w:val="en-US" w:eastAsia="zh-CN" w:bidi="ar-SA"/>
              </w:rPr>
              <w:t>球墨铸铁软密封法兰闸阀或球墨铸铁双偏心软密封双法兰蝶阀</w:t>
            </w:r>
            <w:r>
              <w:rPr>
                <w:rFonts w:hint="eastAsia" w:ascii="宋体" w:hAnsi="宋体" w:eastAsia="宋体" w:cs="宋体"/>
                <w:b/>
                <w:bCs w:val="0"/>
                <w:color w:val="auto"/>
                <w:szCs w:val="21"/>
                <w:highlight w:val="none"/>
                <w:lang w:val="en-US" w:eastAsia="zh-CN"/>
              </w:rPr>
              <w:t>以下的3项性</w:t>
            </w:r>
            <w:r>
              <w:rPr>
                <w:rFonts w:hint="eastAsia" w:ascii="宋体" w:hAnsi="宋体" w:eastAsia="宋体" w:cs="宋体"/>
                <w:b/>
                <w:color w:val="auto"/>
                <w:szCs w:val="21"/>
                <w:highlight w:val="none"/>
                <w:lang w:val="en-US" w:eastAsia="zh-CN"/>
              </w:rPr>
              <w:t>能参数进行评审，在符合用户需求书要求的前提下对每项性能参数进行排名并打分：</w:t>
            </w:r>
          </w:p>
          <w:p w14:paraId="10736A09">
            <w:pPr>
              <w:spacing w:line="360" w:lineRule="auto"/>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（1）阀体球化率（排名规则：数值越大排名越前，不在性能参数范围内的不得分，本小项满分</w:t>
            </w:r>
            <w:r>
              <w:rPr>
                <w:rFonts w:hint="eastAsia" w:cs="宋体"/>
                <w:b/>
                <w:color w:val="auto"/>
                <w:szCs w:val="21"/>
                <w:highlight w:val="none"/>
                <w:lang w:val="en-US" w:eastAsia="zh-CN"/>
              </w:rPr>
              <w:t>5</w:t>
            </w:r>
            <w:r>
              <w:rPr>
                <w:rFonts w:hint="eastAsia" w:ascii="宋体" w:hAnsi="宋体" w:eastAsia="宋体" w:cs="宋体"/>
                <w:b/>
                <w:color w:val="auto"/>
                <w:szCs w:val="21"/>
                <w:highlight w:val="none"/>
                <w:lang w:val="en-US" w:eastAsia="zh-CN"/>
              </w:rPr>
              <w:t>分）：</w:t>
            </w:r>
          </w:p>
          <w:p w14:paraId="4B572350">
            <w:pPr>
              <w:spacing w:line="360" w:lineRule="auto"/>
              <w:rPr>
                <w:rFonts w:hint="eastAsia"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en-US" w:eastAsia="zh-CN"/>
              </w:rPr>
              <w:t>对球化率参数＞80%的阀体进行排名，排名第一得</w:t>
            </w:r>
            <w:r>
              <w:rPr>
                <w:rFonts w:hint="eastAsia" w:cs="宋体"/>
                <w:b w:val="0"/>
                <w:bCs/>
                <w:color w:val="auto"/>
                <w:szCs w:val="21"/>
                <w:highlight w:val="none"/>
                <w:lang w:val="en-US" w:eastAsia="zh-CN"/>
              </w:rPr>
              <w:t>5</w:t>
            </w:r>
            <w:r>
              <w:rPr>
                <w:rFonts w:hint="eastAsia" w:ascii="宋体" w:hAnsi="宋体" w:eastAsia="宋体" w:cs="宋体"/>
                <w:b w:val="0"/>
                <w:bCs/>
                <w:color w:val="auto"/>
                <w:szCs w:val="21"/>
                <w:highlight w:val="none"/>
                <w:lang w:val="en-US" w:eastAsia="zh-CN"/>
              </w:rPr>
              <w:t>分，排名第二得</w:t>
            </w:r>
            <w:r>
              <w:rPr>
                <w:rFonts w:hint="eastAsia" w:cs="宋体"/>
                <w:b w:val="0"/>
                <w:bCs/>
                <w:color w:val="auto"/>
                <w:szCs w:val="21"/>
                <w:highlight w:val="none"/>
                <w:lang w:val="en-US" w:eastAsia="zh-CN"/>
              </w:rPr>
              <w:t>3</w:t>
            </w:r>
            <w:r>
              <w:rPr>
                <w:rFonts w:hint="eastAsia" w:ascii="宋体" w:hAnsi="宋体" w:eastAsia="宋体" w:cs="宋体"/>
                <w:b w:val="0"/>
                <w:bCs/>
                <w:color w:val="auto"/>
                <w:szCs w:val="21"/>
                <w:highlight w:val="none"/>
                <w:lang w:val="en-US" w:eastAsia="zh-CN"/>
              </w:rPr>
              <w:t>分，排名第三得1分，其他名次不得分。</w:t>
            </w:r>
          </w:p>
          <w:p w14:paraId="0331580D">
            <w:pPr>
              <w:spacing w:line="360" w:lineRule="auto"/>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（2）阀体抗拉强度（排名规则：数值越大排名越前，不在性能参数范围内的不得分，本小项满分</w:t>
            </w:r>
            <w:r>
              <w:rPr>
                <w:rFonts w:hint="eastAsia" w:cs="宋体"/>
                <w:b/>
                <w:color w:val="auto"/>
                <w:szCs w:val="21"/>
                <w:highlight w:val="none"/>
                <w:lang w:val="en-US" w:eastAsia="zh-CN"/>
              </w:rPr>
              <w:t>5</w:t>
            </w:r>
            <w:r>
              <w:rPr>
                <w:rFonts w:hint="eastAsia" w:ascii="宋体" w:hAnsi="宋体" w:eastAsia="宋体" w:cs="宋体"/>
                <w:b/>
                <w:color w:val="auto"/>
                <w:szCs w:val="21"/>
                <w:highlight w:val="none"/>
                <w:lang w:val="en-US" w:eastAsia="zh-CN"/>
              </w:rPr>
              <w:t>分）：</w:t>
            </w:r>
          </w:p>
          <w:p w14:paraId="6EF454A8">
            <w:pPr>
              <w:spacing w:line="360" w:lineRule="auto"/>
              <w:rPr>
                <w:rFonts w:hint="eastAsia"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en-US" w:eastAsia="zh-CN"/>
              </w:rPr>
              <w:t>对抗拉强度参数＞450MPa的阀体进行排名，排名第一得</w:t>
            </w:r>
            <w:r>
              <w:rPr>
                <w:rFonts w:hint="eastAsia" w:cs="宋体"/>
                <w:b w:val="0"/>
                <w:bCs/>
                <w:color w:val="auto"/>
                <w:szCs w:val="21"/>
                <w:highlight w:val="none"/>
                <w:lang w:val="en-US" w:eastAsia="zh-CN"/>
              </w:rPr>
              <w:t>5</w:t>
            </w:r>
            <w:r>
              <w:rPr>
                <w:rFonts w:hint="eastAsia" w:ascii="宋体" w:hAnsi="宋体" w:eastAsia="宋体" w:cs="宋体"/>
                <w:b w:val="0"/>
                <w:bCs/>
                <w:color w:val="auto"/>
                <w:szCs w:val="21"/>
                <w:highlight w:val="none"/>
                <w:lang w:val="en-US" w:eastAsia="zh-CN"/>
              </w:rPr>
              <w:t>分，排名第二得</w:t>
            </w:r>
            <w:r>
              <w:rPr>
                <w:rFonts w:hint="eastAsia" w:cs="宋体"/>
                <w:b w:val="0"/>
                <w:bCs/>
                <w:color w:val="auto"/>
                <w:szCs w:val="21"/>
                <w:highlight w:val="none"/>
                <w:lang w:val="en-US" w:eastAsia="zh-CN"/>
              </w:rPr>
              <w:t>3</w:t>
            </w:r>
            <w:r>
              <w:rPr>
                <w:rFonts w:hint="eastAsia" w:ascii="宋体" w:hAnsi="宋体" w:eastAsia="宋体" w:cs="宋体"/>
                <w:b w:val="0"/>
                <w:bCs/>
                <w:color w:val="auto"/>
                <w:szCs w:val="21"/>
                <w:highlight w:val="none"/>
                <w:lang w:val="en-US" w:eastAsia="zh-CN"/>
              </w:rPr>
              <w:t>分，排名第三得1分，其他名次不得分。</w:t>
            </w:r>
          </w:p>
          <w:p w14:paraId="5F0C32A6">
            <w:pPr>
              <w:spacing w:line="360" w:lineRule="auto"/>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（3）阀体屈服强度（排名规则：数值越大排名越前，不在性能参数范围内的不得分，本小项满分</w:t>
            </w:r>
            <w:r>
              <w:rPr>
                <w:rFonts w:hint="eastAsia" w:cs="宋体"/>
                <w:b/>
                <w:color w:val="auto"/>
                <w:szCs w:val="21"/>
                <w:highlight w:val="none"/>
                <w:lang w:val="en-US" w:eastAsia="zh-CN"/>
              </w:rPr>
              <w:t>5</w:t>
            </w:r>
            <w:r>
              <w:rPr>
                <w:rFonts w:hint="eastAsia" w:ascii="宋体" w:hAnsi="宋体" w:eastAsia="宋体" w:cs="宋体"/>
                <w:b/>
                <w:color w:val="auto"/>
                <w:szCs w:val="21"/>
                <w:highlight w:val="none"/>
                <w:lang w:val="en-US" w:eastAsia="zh-CN"/>
              </w:rPr>
              <w:t>分）：</w:t>
            </w:r>
          </w:p>
          <w:p w14:paraId="05E53396">
            <w:pPr>
              <w:spacing w:line="360" w:lineRule="auto"/>
              <w:rPr>
                <w:rFonts w:hint="eastAsia"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en-US" w:eastAsia="zh-CN"/>
              </w:rPr>
              <w:t>对屈服强度参数＞310MPa的阀体进行排名，排名第一得</w:t>
            </w:r>
            <w:r>
              <w:rPr>
                <w:rFonts w:hint="eastAsia" w:cs="宋体"/>
                <w:b w:val="0"/>
                <w:bCs/>
                <w:color w:val="auto"/>
                <w:szCs w:val="21"/>
                <w:highlight w:val="none"/>
                <w:lang w:val="en-US" w:eastAsia="zh-CN"/>
              </w:rPr>
              <w:t>5</w:t>
            </w:r>
            <w:r>
              <w:rPr>
                <w:rFonts w:hint="eastAsia" w:ascii="宋体" w:hAnsi="宋体" w:eastAsia="宋体" w:cs="宋体"/>
                <w:b w:val="0"/>
                <w:bCs/>
                <w:color w:val="auto"/>
                <w:szCs w:val="21"/>
                <w:highlight w:val="none"/>
                <w:lang w:val="en-US" w:eastAsia="zh-CN"/>
              </w:rPr>
              <w:t>分，排名第二得</w:t>
            </w:r>
            <w:r>
              <w:rPr>
                <w:rFonts w:hint="eastAsia" w:cs="宋体"/>
                <w:b w:val="0"/>
                <w:bCs/>
                <w:color w:val="auto"/>
                <w:szCs w:val="21"/>
                <w:highlight w:val="none"/>
                <w:lang w:val="en-US" w:eastAsia="zh-CN"/>
              </w:rPr>
              <w:t>3</w:t>
            </w:r>
            <w:r>
              <w:rPr>
                <w:rFonts w:hint="eastAsia" w:ascii="宋体" w:hAnsi="宋体" w:eastAsia="宋体" w:cs="宋体"/>
                <w:b w:val="0"/>
                <w:bCs/>
                <w:color w:val="auto"/>
                <w:szCs w:val="21"/>
                <w:highlight w:val="none"/>
                <w:lang w:val="en-US" w:eastAsia="zh-CN"/>
              </w:rPr>
              <w:t>分，排名第三得1分，其他名次不得分。</w:t>
            </w:r>
          </w:p>
          <w:p w14:paraId="2525823F">
            <w:pPr>
              <w:spacing w:line="360" w:lineRule="auto"/>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备注：①第三方检测报告要求：投标人须提供可反映所投</w:t>
            </w:r>
            <w:r>
              <w:rPr>
                <w:rFonts w:hint="eastAsia" w:ascii="宋体" w:hAnsi="宋体" w:eastAsia="宋体" w:cs="宋体"/>
                <w:b/>
                <w:bCs w:val="0"/>
                <w:color w:val="auto"/>
                <w:kern w:val="2"/>
                <w:sz w:val="21"/>
                <w:szCs w:val="21"/>
                <w:highlight w:val="none"/>
                <w:lang w:val="en-US" w:eastAsia="zh-CN" w:bidi="ar-SA"/>
              </w:rPr>
              <w:t>球墨铸铁软密封法兰闸阀或球墨铸铁双偏心软密封双法兰蝶阀</w:t>
            </w:r>
            <w:r>
              <w:rPr>
                <w:rFonts w:hint="eastAsia" w:ascii="宋体" w:hAnsi="宋体" w:eastAsia="宋体" w:cs="宋体"/>
                <w:b/>
                <w:color w:val="auto"/>
                <w:szCs w:val="21"/>
                <w:highlight w:val="none"/>
                <w:lang w:val="en-US" w:eastAsia="zh-CN"/>
              </w:rPr>
              <w:t>上述参数的检测报告，报告须由具备资质的第三方检测机构出具并加盖实验室资质认定（CMA）章；报告日期应为2022年1月1日及以后；报告上需体现委托单位，且委托单位应为所投阀门的生产厂家或投标人（若为生产厂家，需与投标人《供货货物清单表》填报的生产厂家一致）。未按上述要求提供的，本项所有性能参数不得分。</w:t>
            </w:r>
          </w:p>
          <w:p w14:paraId="0E3D3528">
            <w:pPr>
              <w:spacing w:line="360" w:lineRule="auto"/>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②若投标人提供的同材质不同型号阀体的检测报告同一性能参数检测结果不一致或多个数值时，以该性能参数对应的最劣检测结果参与排名。</w:t>
            </w:r>
          </w:p>
          <w:p w14:paraId="099B6AE8">
            <w:pPr>
              <w:spacing w:line="360" w:lineRule="auto"/>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③若投标人提供的多个检测报告中，上述同一性能参数在多份检测报告中的结果不一致时，以该性能参数对应的最劣检测结果参与排名。</w:t>
            </w:r>
          </w:p>
          <w:p w14:paraId="3DB4FFE0">
            <w:pPr>
              <w:spacing w:line="360" w:lineRule="auto"/>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④若投标人提供的同材质同型号阀体的检测报告同一性能参数检测结果多个数值时，以该性能参数对应的最劣检测结果参与排名。</w:t>
            </w:r>
          </w:p>
          <w:p w14:paraId="68CA0E35">
            <w:pPr>
              <w:widowControl w:val="0"/>
              <w:autoSpaceDE w:val="0"/>
              <w:autoSpaceDN w:val="0"/>
              <w:adjustRightInd w:val="0"/>
              <w:spacing w:line="360" w:lineRule="auto"/>
              <w:jc w:val="left"/>
              <w:outlineLvl w:val="2"/>
              <w:rPr>
                <w:rFonts w:hint="eastAsia" w:ascii="宋体" w:hAnsi="宋体" w:eastAsia="宋体" w:cs="宋体"/>
                <w:b/>
                <w:color w:val="auto"/>
                <w:kern w:val="0"/>
                <w:sz w:val="24"/>
                <w:szCs w:val="21"/>
                <w:highlight w:val="none"/>
                <w:lang w:val="en-US" w:eastAsia="zh-CN" w:bidi="ar-SA"/>
              </w:rPr>
            </w:pPr>
            <w:r>
              <w:rPr>
                <w:rFonts w:hint="eastAsia" w:ascii="宋体" w:hAnsi="宋体" w:eastAsia="宋体" w:cs="宋体"/>
                <w:b/>
                <w:color w:val="auto"/>
                <w:szCs w:val="21"/>
                <w:highlight w:val="none"/>
                <w:lang w:val="en-US" w:eastAsia="zh-CN"/>
              </w:rPr>
              <w:t>⑤当不同投标人上述同一项性能参数参与排名的检测结果一致时，可并列同一名次且不占用后续名次名额（示例：A=B＞C＞D，排名则是A、B并列第一名，C第二名，D第三名）。</w:t>
            </w:r>
          </w:p>
        </w:tc>
        <w:tc>
          <w:tcPr>
            <w:tcW w:w="437" w:type="pct"/>
            <w:tcBorders>
              <w:top w:val="single" w:color="auto" w:sz="4" w:space="0"/>
              <w:left w:val="single" w:color="auto" w:sz="4" w:space="0"/>
              <w:bottom w:val="single" w:color="auto" w:sz="4" w:space="0"/>
              <w:right w:val="single" w:color="auto" w:sz="4" w:space="0"/>
            </w:tcBorders>
            <w:vAlign w:val="center"/>
          </w:tcPr>
          <w:p w14:paraId="732E6028">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宋体" w:hAnsi="宋体" w:eastAsia="宋体" w:cs="宋体"/>
                <w:color w:val="auto"/>
                <w:kern w:val="0"/>
                <w:szCs w:val="21"/>
                <w:highlight w:val="none"/>
                <w:lang w:val="en-US" w:eastAsia="zh-CN"/>
              </w:rPr>
            </w:pPr>
            <w:r>
              <w:rPr>
                <w:rFonts w:hint="eastAsia" w:cs="宋体"/>
                <w:color w:val="auto"/>
                <w:kern w:val="0"/>
                <w:szCs w:val="21"/>
                <w:highlight w:val="none"/>
                <w:lang w:val="en-US" w:eastAsia="zh-CN"/>
              </w:rPr>
              <w:t>15</w:t>
            </w:r>
            <w:r>
              <w:rPr>
                <w:rFonts w:hint="eastAsia" w:ascii="宋体" w:hAnsi="宋体" w:eastAsia="宋体" w:cs="宋体"/>
                <w:color w:val="auto"/>
                <w:kern w:val="0"/>
                <w:szCs w:val="21"/>
                <w:highlight w:val="none"/>
                <w:lang w:val="en-US" w:eastAsia="zh-CN"/>
              </w:rPr>
              <w:t>分</w:t>
            </w:r>
          </w:p>
        </w:tc>
      </w:tr>
      <w:tr w14:paraId="2C4F6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3" w:type="pct"/>
            <w:tcBorders>
              <w:top w:val="single" w:color="auto" w:sz="4" w:space="0"/>
              <w:left w:val="single" w:color="auto" w:sz="4" w:space="0"/>
              <w:bottom w:val="single" w:color="auto" w:sz="4" w:space="0"/>
              <w:right w:val="single" w:color="auto" w:sz="4" w:space="0"/>
            </w:tcBorders>
            <w:vAlign w:val="center"/>
          </w:tcPr>
          <w:p w14:paraId="7664BFC2">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3</w:t>
            </w:r>
          </w:p>
        </w:tc>
        <w:tc>
          <w:tcPr>
            <w:tcW w:w="546" w:type="pct"/>
            <w:tcBorders>
              <w:top w:val="single" w:color="auto" w:sz="4" w:space="0"/>
              <w:left w:val="single" w:color="auto" w:sz="4" w:space="0"/>
              <w:bottom w:val="single" w:color="auto" w:sz="4" w:space="0"/>
              <w:right w:val="single" w:color="auto" w:sz="4" w:space="0"/>
            </w:tcBorders>
            <w:vAlign w:val="center"/>
          </w:tcPr>
          <w:p w14:paraId="752F1A4C">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货物质量保障能力</w:t>
            </w:r>
          </w:p>
        </w:tc>
        <w:tc>
          <w:tcPr>
            <w:tcW w:w="3702" w:type="pct"/>
            <w:tcBorders>
              <w:top w:val="single" w:color="auto" w:sz="4" w:space="0"/>
              <w:left w:val="single" w:color="auto" w:sz="4" w:space="0"/>
              <w:bottom w:val="single" w:color="auto" w:sz="4" w:space="0"/>
              <w:right w:val="single" w:color="auto" w:sz="4" w:space="0"/>
            </w:tcBorders>
            <w:vAlign w:val="center"/>
          </w:tcPr>
          <w:p w14:paraId="7D6E89B2">
            <w:pPr>
              <w:pStyle w:val="4"/>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auto"/>
                <w:kern w:val="2"/>
                <w:sz w:val="21"/>
                <w:szCs w:val="22"/>
                <w:highlight w:val="none"/>
                <w:lang w:val="en-US" w:eastAsia="zh-CN"/>
              </w:rPr>
            </w:pPr>
            <w:r>
              <w:rPr>
                <w:rFonts w:hint="eastAsia" w:ascii="宋体" w:hAnsi="宋体" w:eastAsia="宋体" w:cs="宋体"/>
                <w:color w:val="auto"/>
                <w:kern w:val="2"/>
                <w:sz w:val="21"/>
                <w:szCs w:val="22"/>
                <w:highlight w:val="none"/>
                <w:lang w:val="en-US" w:eastAsia="zh-CN"/>
              </w:rPr>
              <w:t>根据供应商实力或所投产品制造商企业实力（包括但不限于生产投标货物的主要设备、生产设施及有关情况、制造商专利情况、供应商或制造商资质证书情况、供应商或制造商专业人员情况、供应商或制造商获奖情况)等情况进行评审：</w:t>
            </w:r>
          </w:p>
          <w:p w14:paraId="1B6CE3BF">
            <w:pPr>
              <w:pStyle w:val="4"/>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auto"/>
                <w:kern w:val="2"/>
                <w:sz w:val="21"/>
                <w:szCs w:val="22"/>
                <w:highlight w:val="none"/>
                <w:lang w:val="en-US" w:eastAsia="zh-CN"/>
              </w:rPr>
            </w:pPr>
            <w:r>
              <w:rPr>
                <w:rFonts w:hint="eastAsia" w:ascii="宋体" w:hAnsi="宋体" w:eastAsia="宋体" w:cs="宋体"/>
                <w:color w:val="auto"/>
                <w:kern w:val="2"/>
                <w:sz w:val="21"/>
                <w:szCs w:val="22"/>
                <w:highlight w:val="none"/>
                <w:lang w:val="en-US" w:eastAsia="zh-CN"/>
              </w:rPr>
              <w:t>优：生产投标货物的主要设备种类齐全、数量较多、技术先进，制造商获得过多种专利；供应商或制造商有完整多种资质证书及相关的奖项，专业技术人员种类数量多分工合理，得(</w:t>
            </w:r>
            <w:r>
              <w:rPr>
                <w:rFonts w:hint="eastAsia" w:cs="宋体"/>
                <w:color w:val="auto"/>
                <w:kern w:val="2"/>
                <w:sz w:val="21"/>
                <w:szCs w:val="22"/>
                <w:highlight w:val="none"/>
                <w:lang w:val="en-US" w:eastAsia="zh-CN"/>
              </w:rPr>
              <w:t>3</w:t>
            </w:r>
            <w:r>
              <w:rPr>
                <w:rFonts w:hint="eastAsia" w:ascii="宋体" w:hAnsi="宋体" w:eastAsia="宋体" w:cs="宋体"/>
                <w:color w:val="auto"/>
                <w:kern w:val="2"/>
                <w:sz w:val="21"/>
                <w:szCs w:val="22"/>
                <w:highlight w:val="none"/>
                <w:lang w:val="en-US" w:eastAsia="zh-CN"/>
              </w:rPr>
              <w:t>-</w:t>
            </w:r>
            <w:r>
              <w:rPr>
                <w:rFonts w:hint="eastAsia" w:cs="宋体"/>
                <w:color w:val="auto"/>
                <w:kern w:val="2"/>
                <w:sz w:val="21"/>
                <w:szCs w:val="22"/>
                <w:highlight w:val="none"/>
                <w:lang w:val="en-US" w:eastAsia="zh-CN"/>
              </w:rPr>
              <w:t>4</w:t>
            </w:r>
            <w:r>
              <w:rPr>
                <w:rFonts w:hint="eastAsia" w:ascii="宋体" w:hAnsi="宋体" w:eastAsia="宋体" w:cs="宋体"/>
                <w:color w:val="auto"/>
                <w:kern w:val="2"/>
                <w:sz w:val="21"/>
                <w:szCs w:val="22"/>
                <w:highlight w:val="none"/>
                <w:lang w:val="en-US" w:eastAsia="zh-CN"/>
              </w:rPr>
              <w:t>]分；</w:t>
            </w:r>
          </w:p>
          <w:p w14:paraId="4C2F9465">
            <w:pPr>
              <w:pStyle w:val="4"/>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auto"/>
                <w:kern w:val="2"/>
                <w:sz w:val="21"/>
                <w:szCs w:val="22"/>
                <w:highlight w:val="none"/>
                <w:lang w:val="en-US" w:eastAsia="zh-CN"/>
              </w:rPr>
            </w:pPr>
            <w:r>
              <w:rPr>
                <w:rFonts w:hint="eastAsia" w:ascii="宋体" w:hAnsi="宋体" w:eastAsia="宋体" w:cs="宋体"/>
                <w:color w:val="auto"/>
                <w:kern w:val="2"/>
                <w:sz w:val="21"/>
                <w:szCs w:val="22"/>
                <w:highlight w:val="none"/>
                <w:lang w:val="en-US" w:eastAsia="zh-CN"/>
              </w:rPr>
              <w:t>良：生产投标货物的主要设备种类及数量满足项目需求，生产设施比较先进齐全，制造商获得较多种专利；供应商或制造商有比较完整较多的资质证书及相关的奖项，专业技术人员种类数量较多分工较合理，得(</w:t>
            </w:r>
            <w:r>
              <w:rPr>
                <w:rFonts w:hint="eastAsia" w:cs="宋体"/>
                <w:color w:val="auto"/>
                <w:kern w:val="2"/>
                <w:sz w:val="21"/>
                <w:szCs w:val="22"/>
                <w:highlight w:val="none"/>
                <w:lang w:val="en-US" w:eastAsia="zh-CN"/>
              </w:rPr>
              <w:t>2</w:t>
            </w:r>
            <w:r>
              <w:rPr>
                <w:rFonts w:hint="eastAsia" w:ascii="宋体" w:hAnsi="宋体" w:eastAsia="宋体" w:cs="宋体"/>
                <w:color w:val="auto"/>
                <w:kern w:val="2"/>
                <w:sz w:val="21"/>
                <w:szCs w:val="22"/>
                <w:highlight w:val="none"/>
                <w:lang w:val="en-US" w:eastAsia="zh-CN"/>
              </w:rPr>
              <w:t>-</w:t>
            </w:r>
            <w:r>
              <w:rPr>
                <w:rFonts w:hint="eastAsia" w:cs="宋体"/>
                <w:color w:val="auto"/>
                <w:kern w:val="2"/>
                <w:sz w:val="21"/>
                <w:szCs w:val="22"/>
                <w:highlight w:val="none"/>
                <w:lang w:val="en-US" w:eastAsia="zh-CN"/>
              </w:rPr>
              <w:t>3</w:t>
            </w:r>
            <w:r>
              <w:rPr>
                <w:rFonts w:hint="eastAsia" w:ascii="宋体" w:hAnsi="宋体" w:eastAsia="宋体" w:cs="宋体"/>
                <w:color w:val="auto"/>
                <w:kern w:val="2"/>
                <w:sz w:val="21"/>
                <w:szCs w:val="22"/>
                <w:highlight w:val="none"/>
                <w:lang w:val="en-US" w:eastAsia="zh-CN"/>
              </w:rPr>
              <w:t>]分；</w:t>
            </w:r>
          </w:p>
          <w:p w14:paraId="536C6E47">
            <w:pPr>
              <w:pStyle w:val="4"/>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auto"/>
                <w:kern w:val="2"/>
                <w:sz w:val="21"/>
                <w:szCs w:val="22"/>
                <w:highlight w:val="none"/>
                <w:lang w:val="en-US" w:eastAsia="zh-CN"/>
              </w:rPr>
            </w:pPr>
            <w:r>
              <w:rPr>
                <w:rFonts w:hint="eastAsia" w:ascii="宋体" w:hAnsi="宋体" w:eastAsia="宋体" w:cs="宋体"/>
                <w:color w:val="auto"/>
                <w:kern w:val="2"/>
                <w:sz w:val="21"/>
                <w:szCs w:val="22"/>
                <w:highlight w:val="none"/>
                <w:lang w:val="en-US" w:eastAsia="zh-CN"/>
              </w:rPr>
              <w:t>中：生产投标货物的主要设备种类及数量基本满足项目需求，生产设施较齐全，制造商获得过较少专利；供应商或制造商有基本完整的资质证书及少数奖项，专业技术人员种类数量满足项目需求，分工合理，得(</w:t>
            </w:r>
            <w:r>
              <w:rPr>
                <w:rFonts w:hint="eastAsia" w:cs="宋体"/>
                <w:color w:val="auto"/>
                <w:kern w:val="2"/>
                <w:sz w:val="21"/>
                <w:szCs w:val="22"/>
                <w:highlight w:val="none"/>
                <w:lang w:val="en-US" w:eastAsia="zh-CN"/>
              </w:rPr>
              <w:t>1</w:t>
            </w:r>
            <w:r>
              <w:rPr>
                <w:rFonts w:hint="eastAsia" w:ascii="宋体" w:hAnsi="宋体" w:eastAsia="宋体" w:cs="宋体"/>
                <w:color w:val="auto"/>
                <w:kern w:val="2"/>
                <w:sz w:val="21"/>
                <w:szCs w:val="22"/>
                <w:highlight w:val="none"/>
                <w:lang w:val="en-US" w:eastAsia="zh-CN"/>
              </w:rPr>
              <w:t>-</w:t>
            </w:r>
            <w:r>
              <w:rPr>
                <w:rFonts w:hint="eastAsia" w:cs="宋体"/>
                <w:color w:val="auto"/>
                <w:kern w:val="2"/>
                <w:sz w:val="21"/>
                <w:szCs w:val="22"/>
                <w:highlight w:val="none"/>
                <w:lang w:val="en-US" w:eastAsia="zh-CN"/>
              </w:rPr>
              <w:t>2</w:t>
            </w:r>
            <w:r>
              <w:rPr>
                <w:rFonts w:hint="eastAsia" w:ascii="宋体" w:hAnsi="宋体" w:eastAsia="宋体" w:cs="宋体"/>
                <w:color w:val="auto"/>
                <w:kern w:val="2"/>
                <w:sz w:val="21"/>
                <w:szCs w:val="22"/>
                <w:highlight w:val="none"/>
                <w:lang w:val="en-US" w:eastAsia="zh-CN"/>
              </w:rPr>
              <w:t>]分；</w:t>
            </w:r>
          </w:p>
          <w:p w14:paraId="100F11B3">
            <w:pPr>
              <w:pStyle w:val="4"/>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auto"/>
                <w:kern w:val="2"/>
                <w:sz w:val="21"/>
                <w:szCs w:val="22"/>
                <w:highlight w:val="none"/>
                <w:lang w:val="en-US" w:eastAsia="zh-CN"/>
              </w:rPr>
            </w:pPr>
            <w:r>
              <w:rPr>
                <w:rFonts w:hint="eastAsia" w:ascii="宋体" w:hAnsi="宋体" w:eastAsia="宋体" w:cs="宋体"/>
                <w:color w:val="auto"/>
                <w:kern w:val="2"/>
                <w:sz w:val="21"/>
                <w:szCs w:val="22"/>
                <w:highlight w:val="none"/>
                <w:lang w:val="en-US" w:eastAsia="zh-CN"/>
              </w:rPr>
              <w:t>差：生产投标货物的主要设备种类及数量满足项目需求，生产设施基本齐全，制造商未获得过专利；供应商或制造商没有资质证书且没有奖项，专业技术人员种类数量满足项目基本需求，分工基本合理，得(0-</w:t>
            </w:r>
            <w:r>
              <w:rPr>
                <w:rFonts w:hint="eastAsia" w:cs="宋体"/>
                <w:color w:val="auto"/>
                <w:kern w:val="2"/>
                <w:sz w:val="21"/>
                <w:szCs w:val="22"/>
                <w:highlight w:val="none"/>
                <w:lang w:val="en-US" w:eastAsia="zh-CN"/>
              </w:rPr>
              <w:t>1</w:t>
            </w:r>
            <w:r>
              <w:rPr>
                <w:rFonts w:hint="eastAsia" w:ascii="宋体" w:hAnsi="宋体" w:eastAsia="宋体" w:cs="宋体"/>
                <w:color w:val="auto"/>
                <w:kern w:val="2"/>
                <w:sz w:val="21"/>
                <w:szCs w:val="22"/>
                <w:highlight w:val="none"/>
                <w:lang w:val="en-US" w:eastAsia="zh-CN"/>
              </w:rPr>
              <w:t>]分。</w:t>
            </w:r>
          </w:p>
          <w:p w14:paraId="5CFF66B7">
            <w:pPr>
              <w:autoSpaceDE/>
              <w:autoSpaceDN/>
              <w:adjustRightInd/>
              <w:snapToGrid/>
              <w:spacing w:line="360" w:lineRule="auto"/>
              <w:ind w:right="-28"/>
              <w:jc w:val="left"/>
              <w:rPr>
                <w:rFonts w:hint="eastAsia" w:ascii="宋体" w:hAnsi="宋体" w:eastAsia="宋体" w:cs="宋体"/>
                <w:color w:val="auto"/>
                <w:highlight w:val="none"/>
                <w:lang w:val="en-US" w:eastAsia="zh-CN"/>
              </w:rPr>
            </w:pPr>
            <w:r>
              <w:rPr>
                <w:rFonts w:hint="eastAsia" w:ascii="宋体" w:hAnsi="宋体" w:eastAsia="宋体" w:cs="宋体"/>
                <w:b/>
                <w:bCs/>
                <w:color w:val="auto"/>
                <w:kern w:val="2"/>
                <w:sz w:val="21"/>
                <w:szCs w:val="22"/>
                <w:highlight w:val="none"/>
                <w:lang w:val="en-US" w:eastAsia="zh-CN"/>
              </w:rPr>
              <w:t>未提供货物质量保障能力方案及相关证明材料的，不得分。</w:t>
            </w:r>
          </w:p>
        </w:tc>
        <w:tc>
          <w:tcPr>
            <w:tcW w:w="437" w:type="pct"/>
            <w:tcBorders>
              <w:top w:val="single" w:color="auto" w:sz="4" w:space="0"/>
              <w:left w:val="single" w:color="auto" w:sz="4" w:space="0"/>
              <w:bottom w:val="single" w:color="auto" w:sz="4" w:space="0"/>
              <w:right w:val="single" w:color="auto" w:sz="4" w:space="0"/>
            </w:tcBorders>
            <w:vAlign w:val="center"/>
          </w:tcPr>
          <w:p w14:paraId="6343D512">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宋体" w:hAnsi="宋体" w:eastAsia="宋体" w:cs="宋体"/>
                <w:color w:val="auto"/>
                <w:kern w:val="0"/>
                <w:szCs w:val="21"/>
                <w:highlight w:val="none"/>
                <w:lang w:val="en-US" w:eastAsia="zh-CN"/>
              </w:rPr>
            </w:pPr>
            <w:r>
              <w:rPr>
                <w:rFonts w:hint="eastAsia" w:cs="宋体"/>
                <w:color w:val="auto"/>
                <w:kern w:val="0"/>
                <w:szCs w:val="21"/>
                <w:highlight w:val="none"/>
                <w:lang w:val="en-US" w:eastAsia="zh-CN"/>
              </w:rPr>
              <w:t>4</w:t>
            </w:r>
            <w:r>
              <w:rPr>
                <w:rFonts w:hint="eastAsia" w:ascii="宋体" w:hAnsi="宋体" w:eastAsia="宋体" w:cs="宋体"/>
                <w:color w:val="auto"/>
                <w:kern w:val="0"/>
                <w:szCs w:val="21"/>
                <w:highlight w:val="none"/>
                <w:lang w:val="en-US" w:eastAsia="zh-CN"/>
              </w:rPr>
              <w:t>分</w:t>
            </w:r>
          </w:p>
        </w:tc>
      </w:tr>
      <w:tr w14:paraId="01DB8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44" w:type="dxa"/>
            <w:tcBorders>
              <w:top w:val="single" w:color="auto" w:sz="4" w:space="0"/>
              <w:left w:val="single" w:color="auto" w:sz="4" w:space="0"/>
              <w:bottom w:val="single" w:color="auto" w:sz="4" w:space="0"/>
              <w:right w:val="single" w:color="auto" w:sz="4" w:space="0"/>
            </w:tcBorders>
            <w:vAlign w:val="center"/>
          </w:tcPr>
          <w:p w14:paraId="02C6A8E7">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4</w:t>
            </w:r>
          </w:p>
        </w:tc>
        <w:tc>
          <w:tcPr>
            <w:tcW w:w="1125" w:type="dxa"/>
            <w:tcBorders>
              <w:top w:val="single" w:color="auto" w:sz="4" w:space="0"/>
              <w:left w:val="single" w:color="auto" w:sz="4" w:space="0"/>
              <w:bottom w:val="single" w:color="auto" w:sz="4" w:space="0"/>
              <w:right w:val="single" w:color="auto" w:sz="4" w:space="0"/>
            </w:tcBorders>
            <w:vAlign w:val="center"/>
          </w:tcPr>
          <w:p w14:paraId="013C85C3">
            <w:pPr>
              <w:bidi w:val="0"/>
              <w:jc w:val="center"/>
              <w:rPr>
                <w:rFonts w:hint="eastAsia" w:ascii="宋体" w:hAnsi="宋体" w:eastAsia="宋体" w:cs="宋体"/>
                <w:color w:val="auto"/>
                <w:kern w:val="0"/>
                <w:szCs w:val="21"/>
                <w:highlight w:val="none"/>
              </w:rPr>
            </w:pPr>
            <w:r>
              <w:rPr>
                <w:rFonts w:hint="eastAsia" w:ascii="宋体" w:hAnsi="宋体" w:eastAsia="宋体" w:cs="宋体"/>
                <w:color w:val="auto"/>
                <w:highlight w:val="none"/>
                <w:lang w:val="en-US" w:eastAsia="zh-CN"/>
              </w:rPr>
              <w:t>阀门结构及性能</w:t>
            </w:r>
          </w:p>
        </w:tc>
        <w:tc>
          <w:tcPr>
            <w:tcW w:w="7627" w:type="dxa"/>
            <w:tcBorders>
              <w:top w:val="single" w:color="auto" w:sz="4" w:space="0"/>
              <w:left w:val="single" w:color="auto" w:sz="4" w:space="0"/>
              <w:bottom w:val="single" w:color="auto" w:sz="4" w:space="0"/>
              <w:right w:val="single" w:color="auto" w:sz="4" w:space="0"/>
            </w:tcBorders>
            <w:vAlign w:val="center"/>
          </w:tcPr>
          <w:p w14:paraId="4870E9FF">
            <w:pPr>
              <w:pStyle w:val="4"/>
              <w:bidi w:val="0"/>
              <w:spacing w:line="360" w:lineRule="auto"/>
              <w:rPr>
                <w:rFonts w:hint="eastAsia" w:ascii="宋体" w:hAnsi="宋体" w:eastAsia="宋体" w:cs="宋体"/>
                <w:color w:val="auto"/>
                <w:kern w:val="2"/>
                <w:sz w:val="21"/>
                <w:szCs w:val="22"/>
                <w:highlight w:val="none"/>
                <w:lang w:val="en-US" w:eastAsia="zh-CN"/>
              </w:rPr>
            </w:pPr>
            <w:r>
              <w:rPr>
                <w:rFonts w:hint="eastAsia" w:ascii="宋体" w:hAnsi="宋体" w:eastAsia="宋体" w:cs="宋体"/>
                <w:color w:val="auto"/>
                <w:kern w:val="2"/>
                <w:sz w:val="21"/>
                <w:szCs w:val="22"/>
                <w:highlight w:val="none"/>
                <w:lang w:val="en-US" w:eastAsia="zh-CN"/>
              </w:rPr>
              <w:t>对所投阀门结构设计的合理性、密封性、涂层防腐性能、流通性能、使用寿命，以及各部件的材质和制造工艺、标准，操作轻便灵活性进行评审：</w:t>
            </w:r>
          </w:p>
          <w:p w14:paraId="172C241C">
            <w:pPr>
              <w:pStyle w:val="4"/>
              <w:bidi w:val="0"/>
              <w:spacing w:line="360" w:lineRule="auto"/>
              <w:rPr>
                <w:rFonts w:hint="eastAsia" w:ascii="宋体" w:hAnsi="宋体" w:eastAsia="宋体" w:cs="宋体"/>
                <w:color w:val="auto"/>
                <w:kern w:val="2"/>
                <w:sz w:val="21"/>
                <w:szCs w:val="22"/>
                <w:highlight w:val="none"/>
                <w:lang w:val="en-US" w:eastAsia="zh-CN"/>
              </w:rPr>
            </w:pPr>
            <w:r>
              <w:rPr>
                <w:rFonts w:hint="eastAsia" w:ascii="宋体" w:hAnsi="宋体" w:eastAsia="宋体" w:cs="宋体"/>
                <w:color w:val="auto"/>
                <w:kern w:val="2"/>
                <w:sz w:val="21"/>
                <w:szCs w:val="22"/>
                <w:highlight w:val="none"/>
                <w:lang w:val="en-US" w:eastAsia="zh-CN"/>
              </w:rPr>
              <w:t>优：结构设计合理先进，密封性极佳，涂层防腐性能优异，流通阻力小，使用寿命长，各部件材质优质、制造工艺精湛且符合高标准，操作轻便灵活性高，得(</w:t>
            </w:r>
            <w:r>
              <w:rPr>
                <w:rFonts w:hint="eastAsia" w:cs="宋体"/>
                <w:color w:val="auto"/>
                <w:kern w:val="2"/>
                <w:sz w:val="21"/>
                <w:szCs w:val="22"/>
                <w:highlight w:val="none"/>
                <w:lang w:val="en-US" w:eastAsia="zh-CN"/>
              </w:rPr>
              <w:t>3</w:t>
            </w:r>
            <w:r>
              <w:rPr>
                <w:rFonts w:hint="eastAsia" w:ascii="宋体" w:hAnsi="宋体" w:eastAsia="宋体" w:cs="宋体"/>
                <w:color w:val="auto"/>
                <w:kern w:val="2"/>
                <w:sz w:val="21"/>
                <w:szCs w:val="22"/>
                <w:highlight w:val="none"/>
                <w:lang w:val="en-US" w:eastAsia="zh-CN"/>
              </w:rPr>
              <w:t>-</w:t>
            </w:r>
            <w:r>
              <w:rPr>
                <w:rFonts w:hint="eastAsia" w:cs="宋体"/>
                <w:color w:val="auto"/>
                <w:kern w:val="2"/>
                <w:sz w:val="21"/>
                <w:szCs w:val="22"/>
                <w:highlight w:val="none"/>
                <w:lang w:val="en-US" w:eastAsia="zh-CN"/>
              </w:rPr>
              <w:t>4</w:t>
            </w:r>
            <w:r>
              <w:rPr>
                <w:rFonts w:hint="eastAsia" w:ascii="宋体" w:hAnsi="宋体" w:eastAsia="宋体" w:cs="宋体"/>
                <w:color w:val="auto"/>
                <w:kern w:val="2"/>
                <w:sz w:val="21"/>
                <w:szCs w:val="22"/>
                <w:highlight w:val="none"/>
                <w:lang w:val="en-US" w:eastAsia="zh-CN"/>
              </w:rPr>
              <w:t>]分；</w:t>
            </w:r>
          </w:p>
          <w:p w14:paraId="54A1109A">
            <w:pPr>
              <w:pStyle w:val="4"/>
              <w:bidi w:val="0"/>
              <w:spacing w:line="360" w:lineRule="auto"/>
              <w:rPr>
                <w:rFonts w:hint="eastAsia" w:ascii="宋体" w:hAnsi="宋体" w:eastAsia="宋体" w:cs="宋体"/>
                <w:color w:val="auto"/>
                <w:kern w:val="2"/>
                <w:sz w:val="21"/>
                <w:szCs w:val="22"/>
                <w:highlight w:val="none"/>
                <w:lang w:val="en-US" w:eastAsia="zh-CN"/>
              </w:rPr>
            </w:pPr>
            <w:r>
              <w:rPr>
                <w:rFonts w:hint="eastAsia" w:ascii="宋体" w:hAnsi="宋体" w:eastAsia="宋体" w:cs="宋体"/>
                <w:color w:val="auto"/>
                <w:kern w:val="2"/>
                <w:sz w:val="21"/>
                <w:szCs w:val="22"/>
                <w:highlight w:val="none"/>
                <w:lang w:val="en-US" w:eastAsia="zh-CN"/>
              </w:rPr>
              <w:t>良：结构设计较合理，密封性良好，涂层防腐性能较好，流通阻力较小，使用寿命较长，各部件材质良好、制造工艺规范且符合标准，操作轻便灵活性较高，得(</w:t>
            </w:r>
            <w:r>
              <w:rPr>
                <w:rFonts w:hint="eastAsia" w:cs="宋体"/>
                <w:color w:val="auto"/>
                <w:kern w:val="2"/>
                <w:sz w:val="21"/>
                <w:szCs w:val="22"/>
                <w:highlight w:val="none"/>
                <w:lang w:val="en-US" w:eastAsia="zh-CN"/>
              </w:rPr>
              <w:t>2-3</w:t>
            </w:r>
            <w:r>
              <w:rPr>
                <w:rFonts w:hint="eastAsia" w:ascii="宋体" w:hAnsi="宋体" w:eastAsia="宋体" w:cs="宋体"/>
                <w:color w:val="auto"/>
                <w:kern w:val="2"/>
                <w:sz w:val="21"/>
                <w:szCs w:val="22"/>
                <w:highlight w:val="none"/>
                <w:lang w:val="en-US" w:eastAsia="zh-CN"/>
              </w:rPr>
              <w:t>]分；</w:t>
            </w:r>
          </w:p>
          <w:p w14:paraId="0C7D6565">
            <w:pPr>
              <w:pStyle w:val="4"/>
              <w:bidi w:val="0"/>
              <w:spacing w:line="360" w:lineRule="auto"/>
              <w:rPr>
                <w:rFonts w:hint="eastAsia" w:ascii="宋体" w:hAnsi="宋体" w:eastAsia="宋体" w:cs="宋体"/>
                <w:color w:val="auto"/>
                <w:kern w:val="2"/>
                <w:sz w:val="21"/>
                <w:szCs w:val="22"/>
                <w:highlight w:val="none"/>
                <w:lang w:val="en-US" w:eastAsia="zh-CN"/>
              </w:rPr>
            </w:pPr>
            <w:r>
              <w:rPr>
                <w:rFonts w:hint="eastAsia" w:ascii="宋体" w:hAnsi="宋体" w:eastAsia="宋体" w:cs="宋体"/>
                <w:color w:val="auto"/>
                <w:kern w:val="2"/>
                <w:sz w:val="21"/>
                <w:szCs w:val="22"/>
                <w:highlight w:val="none"/>
                <w:lang w:val="en-US" w:eastAsia="zh-CN"/>
              </w:rPr>
              <w:t>中：结构设计合理，密封性满足要求，涂层防腐性能基本达标，流通阻力适中，使用寿命一般，各部件材质及制造工艺基本符合标准，操作轻便灵活性一般，得(</w:t>
            </w:r>
            <w:r>
              <w:rPr>
                <w:rFonts w:hint="eastAsia" w:cs="宋体"/>
                <w:color w:val="auto"/>
                <w:kern w:val="2"/>
                <w:sz w:val="21"/>
                <w:szCs w:val="22"/>
                <w:highlight w:val="none"/>
                <w:lang w:val="en-US" w:eastAsia="zh-CN"/>
              </w:rPr>
              <w:t>1</w:t>
            </w:r>
            <w:r>
              <w:rPr>
                <w:rFonts w:hint="eastAsia" w:ascii="宋体" w:hAnsi="宋体" w:eastAsia="宋体" w:cs="宋体"/>
                <w:color w:val="auto"/>
                <w:kern w:val="2"/>
                <w:sz w:val="21"/>
                <w:szCs w:val="22"/>
                <w:highlight w:val="none"/>
                <w:lang w:val="en-US" w:eastAsia="zh-CN"/>
              </w:rPr>
              <w:t>-</w:t>
            </w:r>
            <w:r>
              <w:rPr>
                <w:rFonts w:hint="eastAsia" w:cs="宋体"/>
                <w:color w:val="auto"/>
                <w:kern w:val="2"/>
                <w:sz w:val="21"/>
                <w:szCs w:val="22"/>
                <w:highlight w:val="none"/>
                <w:lang w:val="en-US" w:eastAsia="zh-CN"/>
              </w:rPr>
              <w:t>2</w:t>
            </w:r>
            <w:r>
              <w:rPr>
                <w:rFonts w:hint="eastAsia" w:ascii="宋体" w:hAnsi="宋体" w:eastAsia="宋体" w:cs="宋体"/>
                <w:color w:val="auto"/>
                <w:kern w:val="2"/>
                <w:sz w:val="21"/>
                <w:szCs w:val="22"/>
                <w:highlight w:val="none"/>
                <w:lang w:val="en-US" w:eastAsia="zh-CN"/>
              </w:rPr>
              <w:t>]分；</w:t>
            </w:r>
          </w:p>
          <w:p w14:paraId="42B63C26">
            <w:pPr>
              <w:pStyle w:val="4"/>
              <w:bidi w:val="0"/>
              <w:spacing w:line="360" w:lineRule="auto"/>
              <w:rPr>
                <w:rFonts w:hint="eastAsia" w:ascii="宋体" w:hAnsi="宋体" w:eastAsia="宋体" w:cs="宋体"/>
                <w:color w:val="auto"/>
                <w:kern w:val="2"/>
                <w:sz w:val="21"/>
                <w:szCs w:val="22"/>
                <w:highlight w:val="none"/>
                <w:lang w:val="en-US" w:eastAsia="zh-CN"/>
              </w:rPr>
            </w:pPr>
            <w:r>
              <w:rPr>
                <w:rFonts w:hint="eastAsia" w:ascii="宋体" w:hAnsi="宋体" w:eastAsia="宋体" w:cs="宋体"/>
                <w:color w:val="auto"/>
                <w:kern w:val="2"/>
                <w:sz w:val="21"/>
                <w:szCs w:val="22"/>
                <w:highlight w:val="none"/>
                <w:lang w:val="en-US" w:eastAsia="zh-CN"/>
              </w:rPr>
              <w:t>差：结构设计基本合理，密封性一般，涂层防腐性能一般，流通阻力一般，使用寿命基本满足需求，各部件材质及制造工艺勉强符合标准，操作轻便灵活性基本满足需求，得(0-</w:t>
            </w:r>
            <w:r>
              <w:rPr>
                <w:rFonts w:hint="eastAsia" w:cs="宋体"/>
                <w:color w:val="auto"/>
                <w:kern w:val="2"/>
                <w:sz w:val="21"/>
                <w:szCs w:val="22"/>
                <w:highlight w:val="none"/>
                <w:lang w:val="en-US" w:eastAsia="zh-CN"/>
              </w:rPr>
              <w:t>1</w:t>
            </w:r>
            <w:r>
              <w:rPr>
                <w:rFonts w:hint="eastAsia" w:ascii="宋体" w:hAnsi="宋体" w:eastAsia="宋体" w:cs="宋体"/>
                <w:color w:val="auto"/>
                <w:kern w:val="2"/>
                <w:sz w:val="21"/>
                <w:szCs w:val="22"/>
                <w:highlight w:val="none"/>
                <w:lang w:val="en-US" w:eastAsia="zh-CN"/>
              </w:rPr>
              <w:t>]分。</w:t>
            </w:r>
          </w:p>
          <w:p w14:paraId="5EACC5B8">
            <w:pPr>
              <w:pStyle w:val="4"/>
              <w:bidi w:val="0"/>
              <w:spacing w:line="360" w:lineRule="auto"/>
              <w:rPr>
                <w:rFonts w:hint="eastAsia" w:ascii="宋体" w:hAnsi="宋体" w:eastAsia="宋体" w:cs="宋体"/>
                <w:bCs/>
                <w:color w:val="auto"/>
                <w:kern w:val="2"/>
                <w:szCs w:val="21"/>
                <w:highlight w:val="none"/>
                <w:lang w:val="zh-CN" w:eastAsia="zh-CN"/>
              </w:rPr>
            </w:pPr>
            <w:r>
              <w:rPr>
                <w:rFonts w:hint="eastAsia" w:ascii="宋体" w:hAnsi="宋体" w:eastAsia="宋体" w:cs="宋体"/>
                <w:b/>
                <w:bCs/>
                <w:color w:val="auto"/>
                <w:kern w:val="2"/>
                <w:sz w:val="21"/>
                <w:szCs w:val="22"/>
                <w:highlight w:val="none"/>
                <w:lang w:val="en-US" w:eastAsia="zh-CN"/>
              </w:rPr>
              <w:t>备注：投标人须提供投标产品性能说明书或其他能体现投标产品性能的证明材料，以投标人提供的上述资料作为依据进行评审，未按要求提供上述资料的本项不得分。</w:t>
            </w:r>
          </w:p>
        </w:tc>
        <w:tc>
          <w:tcPr>
            <w:tcW w:w="437" w:type="pct"/>
            <w:tcBorders>
              <w:top w:val="single" w:color="auto" w:sz="4" w:space="0"/>
              <w:left w:val="single" w:color="auto" w:sz="4" w:space="0"/>
              <w:bottom w:val="single" w:color="auto" w:sz="4" w:space="0"/>
              <w:right w:val="single" w:color="auto" w:sz="4" w:space="0"/>
            </w:tcBorders>
            <w:vAlign w:val="center"/>
          </w:tcPr>
          <w:p w14:paraId="0E885759">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宋体" w:hAnsi="宋体" w:eastAsia="宋体" w:cs="宋体"/>
                <w:color w:val="auto"/>
                <w:kern w:val="0"/>
                <w:szCs w:val="21"/>
                <w:highlight w:val="none"/>
                <w:lang w:val="en-US" w:eastAsia="zh-CN"/>
              </w:rPr>
            </w:pPr>
            <w:r>
              <w:rPr>
                <w:rFonts w:hint="eastAsia" w:cs="宋体"/>
                <w:color w:val="auto"/>
                <w:kern w:val="0"/>
                <w:szCs w:val="21"/>
                <w:highlight w:val="none"/>
                <w:lang w:val="en-US" w:eastAsia="zh-CN"/>
              </w:rPr>
              <w:t>4</w:t>
            </w:r>
            <w:r>
              <w:rPr>
                <w:rFonts w:hint="eastAsia" w:ascii="宋体" w:hAnsi="宋体" w:eastAsia="宋体" w:cs="宋体"/>
                <w:color w:val="auto"/>
                <w:kern w:val="0"/>
                <w:szCs w:val="21"/>
                <w:highlight w:val="none"/>
                <w:lang w:val="en-US" w:eastAsia="zh-CN"/>
              </w:rPr>
              <w:t>分</w:t>
            </w:r>
          </w:p>
        </w:tc>
      </w:tr>
      <w:tr w14:paraId="6EF7A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44" w:type="dxa"/>
            <w:tcBorders>
              <w:top w:val="single" w:color="auto" w:sz="4" w:space="0"/>
              <w:left w:val="single" w:color="auto" w:sz="4" w:space="0"/>
              <w:bottom w:val="single" w:color="auto" w:sz="4" w:space="0"/>
              <w:right w:val="single" w:color="auto" w:sz="4" w:space="0"/>
            </w:tcBorders>
            <w:vAlign w:val="center"/>
          </w:tcPr>
          <w:p w14:paraId="598E651B">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5</w:t>
            </w:r>
          </w:p>
        </w:tc>
        <w:tc>
          <w:tcPr>
            <w:tcW w:w="1125" w:type="dxa"/>
            <w:tcBorders>
              <w:top w:val="single" w:color="auto" w:sz="4" w:space="0"/>
              <w:left w:val="single" w:color="auto" w:sz="4" w:space="0"/>
              <w:bottom w:val="single" w:color="auto" w:sz="4" w:space="0"/>
              <w:right w:val="single" w:color="auto" w:sz="4" w:space="0"/>
            </w:tcBorders>
            <w:vAlign w:val="center"/>
          </w:tcPr>
          <w:p w14:paraId="770AB088">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质量检测能力</w:t>
            </w:r>
          </w:p>
        </w:tc>
        <w:tc>
          <w:tcPr>
            <w:tcW w:w="7627" w:type="dxa"/>
            <w:tcBorders>
              <w:top w:val="single" w:color="auto" w:sz="4" w:space="0"/>
              <w:left w:val="single" w:color="auto" w:sz="4" w:space="0"/>
              <w:bottom w:val="single" w:color="auto" w:sz="4" w:space="0"/>
              <w:right w:val="single" w:color="auto" w:sz="4" w:space="0"/>
            </w:tcBorders>
            <w:vAlign w:val="center"/>
          </w:tcPr>
          <w:p w14:paraId="630319D8">
            <w:pPr>
              <w:pStyle w:val="4"/>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根据制造商的质量检测方案及检测设备（包括但不限于冲击试验机、超声波探伤仪、超声测厚仪、光谱仪、流阻测试管线等设备）进行进行评审：</w:t>
            </w:r>
          </w:p>
          <w:p w14:paraId="5C4F2AC9">
            <w:pPr>
              <w:pStyle w:val="4"/>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优：质检检测方案十分完善，检测设备种类齐全且先进，检测流程规范严谨，得</w:t>
            </w:r>
            <w:r>
              <w:rPr>
                <w:rFonts w:hint="eastAsia" w:ascii="宋体" w:hAnsi="宋体" w:eastAsia="宋体" w:cs="宋体"/>
                <w:color w:val="auto"/>
                <w:kern w:val="2"/>
                <w:sz w:val="21"/>
                <w:szCs w:val="22"/>
                <w:highlight w:val="none"/>
                <w:lang w:val="en-US" w:eastAsia="zh-CN"/>
              </w:rPr>
              <w:t>(</w:t>
            </w:r>
            <w:r>
              <w:rPr>
                <w:rFonts w:hint="eastAsia" w:cs="宋体"/>
                <w:color w:val="auto"/>
                <w:kern w:val="2"/>
                <w:sz w:val="21"/>
                <w:szCs w:val="22"/>
                <w:highlight w:val="none"/>
                <w:lang w:val="en-US" w:eastAsia="zh-CN"/>
              </w:rPr>
              <w:t>6</w:t>
            </w:r>
            <w:r>
              <w:rPr>
                <w:rFonts w:hint="eastAsia" w:ascii="宋体" w:hAnsi="宋体" w:eastAsia="宋体" w:cs="宋体"/>
                <w:color w:val="auto"/>
                <w:kern w:val="2"/>
                <w:sz w:val="21"/>
                <w:szCs w:val="22"/>
                <w:highlight w:val="none"/>
                <w:lang w:val="en-US" w:eastAsia="zh-CN"/>
              </w:rPr>
              <w:t>-</w:t>
            </w:r>
            <w:r>
              <w:rPr>
                <w:rFonts w:hint="eastAsia" w:cs="宋体"/>
                <w:color w:val="auto"/>
                <w:kern w:val="2"/>
                <w:sz w:val="21"/>
                <w:szCs w:val="22"/>
                <w:highlight w:val="none"/>
                <w:lang w:val="en-US" w:eastAsia="zh-CN"/>
              </w:rPr>
              <w:t>8</w:t>
            </w:r>
            <w:r>
              <w:rPr>
                <w:rFonts w:hint="eastAsia" w:ascii="宋体" w:hAnsi="宋体" w:eastAsia="宋体" w:cs="宋体"/>
                <w:color w:val="auto"/>
                <w:kern w:val="2"/>
                <w:sz w:val="21"/>
                <w:szCs w:val="22"/>
                <w:highlight w:val="none"/>
                <w:lang w:val="en-US" w:eastAsia="zh-CN"/>
              </w:rPr>
              <w:t>]</w:t>
            </w:r>
            <w:r>
              <w:rPr>
                <w:rFonts w:hint="eastAsia" w:ascii="宋体" w:hAnsi="宋体" w:eastAsia="宋体" w:cs="宋体"/>
                <w:color w:val="auto"/>
                <w:sz w:val="21"/>
                <w:szCs w:val="21"/>
                <w:highlight w:val="none"/>
                <w:lang w:val="en-US" w:eastAsia="zh-CN"/>
              </w:rPr>
              <w:t>分；</w:t>
            </w:r>
          </w:p>
          <w:p w14:paraId="398CB6C0">
            <w:pPr>
              <w:pStyle w:val="4"/>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良：质检检测方案较为完善，检测设备种类较齐全且先进，检测流程较规范，得</w:t>
            </w:r>
            <w:r>
              <w:rPr>
                <w:rFonts w:hint="eastAsia" w:ascii="宋体" w:hAnsi="宋体" w:eastAsia="宋体" w:cs="宋体"/>
                <w:color w:val="auto"/>
                <w:kern w:val="2"/>
                <w:sz w:val="21"/>
                <w:szCs w:val="22"/>
                <w:highlight w:val="none"/>
                <w:lang w:val="en-US" w:eastAsia="zh-CN"/>
              </w:rPr>
              <w:t>(</w:t>
            </w:r>
            <w:r>
              <w:rPr>
                <w:rFonts w:hint="eastAsia" w:cs="宋体"/>
                <w:color w:val="auto"/>
                <w:kern w:val="2"/>
                <w:sz w:val="21"/>
                <w:szCs w:val="22"/>
                <w:highlight w:val="none"/>
                <w:lang w:val="en-US" w:eastAsia="zh-CN"/>
              </w:rPr>
              <w:t>4</w:t>
            </w:r>
            <w:r>
              <w:rPr>
                <w:rFonts w:hint="eastAsia" w:ascii="宋体" w:hAnsi="宋体" w:eastAsia="宋体" w:cs="宋体"/>
                <w:color w:val="auto"/>
                <w:kern w:val="2"/>
                <w:sz w:val="21"/>
                <w:szCs w:val="22"/>
                <w:highlight w:val="none"/>
                <w:lang w:val="en-US" w:eastAsia="zh-CN"/>
              </w:rPr>
              <w:t>-</w:t>
            </w:r>
            <w:r>
              <w:rPr>
                <w:rFonts w:hint="eastAsia" w:cs="宋体"/>
                <w:color w:val="auto"/>
                <w:kern w:val="2"/>
                <w:sz w:val="21"/>
                <w:szCs w:val="22"/>
                <w:highlight w:val="none"/>
                <w:lang w:val="en-US" w:eastAsia="zh-CN"/>
              </w:rPr>
              <w:t>6</w:t>
            </w:r>
            <w:r>
              <w:rPr>
                <w:rFonts w:hint="eastAsia" w:ascii="宋体" w:hAnsi="宋体" w:eastAsia="宋体" w:cs="宋体"/>
                <w:color w:val="auto"/>
                <w:kern w:val="2"/>
                <w:sz w:val="21"/>
                <w:szCs w:val="22"/>
                <w:highlight w:val="none"/>
                <w:lang w:val="en-US" w:eastAsia="zh-CN"/>
              </w:rPr>
              <w:t>]</w:t>
            </w:r>
            <w:r>
              <w:rPr>
                <w:rFonts w:hint="eastAsia" w:ascii="宋体" w:hAnsi="宋体" w:eastAsia="宋体" w:cs="宋体"/>
                <w:color w:val="auto"/>
                <w:sz w:val="21"/>
                <w:szCs w:val="21"/>
                <w:highlight w:val="none"/>
                <w:lang w:val="en-US" w:eastAsia="zh-CN"/>
              </w:rPr>
              <w:t>分；</w:t>
            </w:r>
          </w:p>
          <w:p w14:paraId="0EE74724">
            <w:pPr>
              <w:pStyle w:val="4"/>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中：质检检测方案一般，检测设备种类齐全，检测流程规范一般，得</w:t>
            </w:r>
            <w:r>
              <w:rPr>
                <w:rFonts w:hint="eastAsia" w:ascii="宋体" w:hAnsi="宋体" w:eastAsia="宋体" w:cs="宋体"/>
                <w:color w:val="auto"/>
                <w:kern w:val="2"/>
                <w:sz w:val="21"/>
                <w:szCs w:val="22"/>
                <w:highlight w:val="none"/>
                <w:lang w:val="en-US" w:eastAsia="zh-CN"/>
              </w:rPr>
              <w:t>(</w:t>
            </w:r>
            <w:r>
              <w:rPr>
                <w:rFonts w:hint="eastAsia" w:cs="宋体"/>
                <w:color w:val="auto"/>
                <w:kern w:val="2"/>
                <w:sz w:val="21"/>
                <w:szCs w:val="22"/>
                <w:highlight w:val="none"/>
                <w:lang w:val="en-US" w:eastAsia="zh-CN"/>
              </w:rPr>
              <w:t>2</w:t>
            </w:r>
            <w:r>
              <w:rPr>
                <w:rFonts w:hint="eastAsia" w:ascii="宋体" w:hAnsi="宋体" w:eastAsia="宋体" w:cs="宋体"/>
                <w:color w:val="auto"/>
                <w:kern w:val="2"/>
                <w:sz w:val="21"/>
                <w:szCs w:val="22"/>
                <w:highlight w:val="none"/>
                <w:lang w:val="en-US" w:eastAsia="zh-CN"/>
              </w:rPr>
              <w:t>-</w:t>
            </w:r>
            <w:r>
              <w:rPr>
                <w:rFonts w:hint="eastAsia" w:cs="宋体"/>
                <w:color w:val="auto"/>
                <w:kern w:val="2"/>
                <w:sz w:val="21"/>
                <w:szCs w:val="22"/>
                <w:highlight w:val="none"/>
                <w:lang w:val="en-US" w:eastAsia="zh-CN"/>
              </w:rPr>
              <w:t>4</w:t>
            </w:r>
            <w:r>
              <w:rPr>
                <w:rFonts w:hint="eastAsia" w:ascii="宋体" w:hAnsi="宋体" w:eastAsia="宋体" w:cs="宋体"/>
                <w:color w:val="auto"/>
                <w:kern w:val="2"/>
                <w:sz w:val="21"/>
                <w:szCs w:val="22"/>
                <w:highlight w:val="none"/>
                <w:lang w:val="en-US" w:eastAsia="zh-CN"/>
              </w:rPr>
              <w:t>]</w:t>
            </w:r>
            <w:r>
              <w:rPr>
                <w:rFonts w:hint="eastAsia" w:ascii="宋体" w:hAnsi="宋体" w:eastAsia="宋体" w:cs="宋体"/>
                <w:color w:val="auto"/>
                <w:sz w:val="21"/>
                <w:szCs w:val="21"/>
                <w:highlight w:val="none"/>
                <w:lang w:val="en-US" w:eastAsia="zh-CN"/>
              </w:rPr>
              <w:t>分；</w:t>
            </w:r>
          </w:p>
          <w:p w14:paraId="7187B6B3">
            <w:pPr>
              <w:pStyle w:val="4"/>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差：质检检测方案简单，检测设备种类基本满足需求，检测流程基本规范，得</w:t>
            </w:r>
            <w:r>
              <w:rPr>
                <w:rFonts w:hint="eastAsia" w:ascii="宋体" w:hAnsi="宋体" w:eastAsia="宋体" w:cs="宋体"/>
                <w:color w:val="auto"/>
                <w:kern w:val="2"/>
                <w:sz w:val="21"/>
                <w:szCs w:val="22"/>
                <w:highlight w:val="none"/>
                <w:lang w:val="en-US" w:eastAsia="zh-CN"/>
              </w:rPr>
              <w:t>(0-</w:t>
            </w:r>
            <w:r>
              <w:rPr>
                <w:rFonts w:hint="eastAsia" w:cs="宋体"/>
                <w:color w:val="auto"/>
                <w:kern w:val="2"/>
                <w:sz w:val="21"/>
                <w:szCs w:val="22"/>
                <w:highlight w:val="none"/>
                <w:lang w:val="en-US" w:eastAsia="zh-CN"/>
              </w:rPr>
              <w:t>2</w:t>
            </w:r>
            <w:r>
              <w:rPr>
                <w:rFonts w:hint="eastAsia" w:ascii="宋体" w:hAnsi="宋体" w:eastAsia="宋体" w:cs="宋体"/>
                <w:color w:val="auto"/>
                <w:kern w:val="2"/>
                <w:sz w:val="21"/>
                <w:szCs w:val="22"/>
                <w:highlight w:val="none"/>
                <w:lang w:val="en-US" w:eastAsia="zh-CN"/>
              </w:rPr>
              <w:t>]</w:t>
            </w:r>
            <w:r>
              <w:rPr>
                <w:rFonts w:hint="eastAsia" w:ascii="宋体" w:hAnsi="宋体" w:eastAsia="宋体" w:cs="宋体"/>
                <w:color w:val="auto"/>
                <w:sz w:val="21"/>
                <w:szCs w:val="21"/>
                <w:highlight w:val="none"/>
                <w:lang w:val="en-US" w:eastAsia="zh-CN"/>
              </w:rPr>
              <w:t>分。</w:t>
            </w:r>
          </w:p>
          <w:p w14:paraId="50E3E14B">
            <w:pPr>
              <w:pStyle w:val="4"/>
              <w:spacing w:line="360" w:lineRule="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备注：投标人须提供2025年1月1日或以后拍摄的质检设备设施的照片或图片打印件（照片或图片须清晰反映拍摄时间，否则评标时将不予考虑），以及质检设备设施清单和（付款单位或购买方为制造商）采购合同及购置发票原件复印件等证明材料，以投标人提供的上述资料作为评审依据，未按要求提供上述资料的不得分。</w:t>
            </w:r>
          </w:p>
          <w:p w14:paraId="67D35A75">
            <w:pPr>
              <w:pStyle w:val="4"/>
              <w:spacing w:line="360" w:lineRule="auto"/>
              <w:rPr>
                <w:rFonts w:hint="eastAsia" w:ascii="宋体" w:hAnsi="宋体" w:eastAsia="宋体" w:cs="宋体"/>
                <w:bCs/>
                <w:color w:val="auto"/>
                <w:kern w:val="2"/>
                <w:szCs w:val="21"/>
                <w:highlight w:val="none"/>
                <w:lang w:val="zh-CN" w:eastAsia="zh-CN"/>
              </w:rPr>
            </w:pPr>
            <w:r>
              <w:rPr>
                <w:rFonts w:hint="eastAsia" w:ascii="宋体" w:hAnsi="宋体" w:eastAsia="宋体" w:cs="宋体"/>
                <w:b/>
                <w:bCs/>
                <w:color w:val="auto"/>
                <w:sz w:val="21"/>
                <w:szCs w:val="21"/>
                <w:highlight w:val="none"/>
                <w:lang w:val="en-US" w:eastAsia="zh-CN"/>
              </w:rPr>
              <w:t>未提供质量检测方案及相关证明材料的，不得分。</w:t>
            </w:r>
          </w:p>
        </w:tc>
        <w:tc>
          <w:tcPr>
            <w:tcW w:w="437" w:type="pct"/>
            <w:tcBorders>
              <w:top w:val="single" w:color="auto" w:sz="4" w:space="0"/>
              <w:left w:val="single" w:color="auto" w:sz="4" w:space="0"/>
              <w:bottom w:val="single" w:color="auto" w:sz="4" w:space="0"/>
              <w:right w:val="single" w:color="auto" w:sz="4" w:space="0"/>
            </w:tcBorders>
            <w:vAlign w:val="center"/>
          </w:tcPr>
          <w:p w14:paraId="274E5AF7">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宋体" w:hAnsi="宋体" w:eastAsia="宋体" w:cs="宋体"/>
                <w:color w:val="auto"/>
                <w:kern w:val="0"/>
                <w:szCs w:val="21"/>
                <w:highlight w:val="none"/>
                <w:lang w:val="en-US" w:eastAsia="zh-CN"/>
              </w:rPr>
            </w:pPr>
            <w:r>
              <w:rPr>
                <w:rFonts w:hint="eastAsia" w:cs="宋体"/>
                <w:color w:val="auto"/>
                <w:kern w:val="0"/>
                <w:szCs w:val="21"/>
                <w:highlight w:val="none"/>
                <w:lang w:val="en-US" w:eastAsia="zh-CN"/>
              </w:rPr>
              <w:t>8</w:t>
            </w:r>
            <w:r>
              <w:rPr>
                <w:rFonts w:hint="eastAsia" w:ascii="宋体" w:hAnsi="宋体" w:eastAsia="宋体" w:cs="宋体"/>
                <w:color w:val="auto"/>
                <w:kern w:val="0"/>
                <w:szCs w:val="21"/>
                <w:highlight w:val="none"/>
                <w:lang w:val="en-US" w:eastAsia="zh-CN"/>
              </w:rPr>
              <w:t>分</w:t>
            </w:r>
          </w:p>
        </w:tc>
      </w:tr>
      <w:tr w14:paraId="68956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3" w:type="pct"/>
            <w:tcBorders>
              <w:top w:val="single" w:color="auto" w:sz="4" w:space="0"/>
              <w:left w:val="single" w:color="auto" w:sz="4" w:space="0"/>
              <w:bottom w:val="single" w:color="auto" w:sz="4" w:space="0"/>
              <w:right w:val="single" w:color="auto" w:sz="4" w:space="0"/>
            </w:tcBorders>
            <w:vAlign w:val="center"/>
          </w:tcPr>
          <w:p w14:paraId="508E2178">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6</w:t>
            </w:r>
          </w:p>
        </w:tc>
        <w:tc>
          <w:tcPr>
            <w:tcW w:w="546" w:type="pct"/>
            <w:tcBorders>
              <w:top w:val="single" w:color="auto" w:sz="4" w:space="0"/>
              <w:left w:val="single" w:color="auto" w:sz="4" w:space="0"/>
              <w:bottom w:val="single" w:color="auto" w:sz="4" w:space="0"/>
              <w:right w:val="single" w:color="auto" w:sz="4" w:space="0"/>
            </w:tcBorders>
            <w:vAlign w:val="center"/>
          </w:tcPr>
          <w:p w14:paraId="0ED4E226">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zh-CN" w:eastAsia="zh-CN"/>
              </w:rPr>
              <w:t>售后服务响应、紧急供货时间承诺</w:t>
            </w:r>
          </w:p>
        </w:tc>
        <w:tc>
          <w:tcPr>
            <w:tcW w:w="3702" w:type="pct"/>
            <w:tcBorders>
              <w:top w:val="single" w:color="auto" w:sz="4" w:space="0"/>
              <w:left w:val="single" w:color="auto" w:sz="4" w:space="0"/>
              <w:bottom w:val="single" w:color="auto" w:sz="4" w:space="0"/>
              <w:right w:val="single" w:color="auto" w:sz="4" w:space="0"/>
            </w:tcBorders>
            <w:vAlign w:val="center"/>
          </w:tcPr>
          <w:p w14:paraId="53B37038">
            <w:pPr>
              <w:pStyle w:val="4"/>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auto"/>
                <w:kern w:val="2"/>
                <w:sz w:val="21"/>
                <w:szCs w:val="22"/>
                <w:highlight w:val="none"/>
                <w:lang w:val="zh-CN" w:eastAsia="zh-CN"/>
              </w:rPr>
            </w:pPr>
            <w:r>
              <w:rPr>
                <w:rFonts w:hint="eastAsia" w:ascii="宋体" w:hAnsi="宋体" w:eastAsia="宋体" w:cs="宋体"/>
                <w:color w:val="auto"/>
                <w:kern w:val="2"/>
                <w:sz w:val="21"/>
                <w:szCs w:val="22"/>
                <w:highlight w:val="none"/>
                <w:lang w:val="zh-CN" w:eastAsia="zh-CN"/>
              </w:rPr>
              <w:t>根据投标人承诺的售后服务响应时间及应急供货时间进行评审:</w:t>
            </w:r>
          </w:p>
          <w:p w14:paraId="20DF2E1F">
            <w:pPr>
              <w:pStyle w:val="4"/>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auto"/>
                <w:kern w:val="2"/>
                <w:sz w:val="21"/>
                <w:szCs w:val="22"/>
                <w:highlight w:val="none"/>
                <w:lang w:val="en-US" w:eastAsia="zh-CN"/>
              </w:rPr>
            </w:pPr>
            <w:r>
              <w:rPr>
                <w:rFonts w:hint="eastAsia" w:ascii="宋体" w:hAnsi="宋体" w:eastAsia="宋体" w:cs="宋体"/>
                <w:color w:val="auto"/>
                <w:kern w:val="2"/>
                <w:sz w:val="21"/>
                <w:szCs w:val="22"/>
                <w:highlight w:val="none"/>
                <w:lang w:val="en-US" w:eastAsia="zh-CN"/>
              </w:rPr>
              <w:t>①承诺接到招标人的售后服务通知后响应时间为：2小时＜响应时间＜4小时的，承诺接到招标人紧急送货通知后将货物送达指定地点的送达时间为：4日＜送达时间＜5日的，得</w:t>
            </w:r>
            <w:r>
              <w:rPr>
                <w:rFonts w:hint="eastAsia" w:cs="宋体"/>
                <w:color w:val="auto"/>
                <w:kern w:val="2"/>
                <w:sz w:val="21"/>
                <w:szCs w:val="22"/>
                <w:highlight w:val="none"/>
                <w:lang w:val="en-US" w:eastAsia="zh-CN"/>
              </w:rPr>
              <w:t>1</w:t>
            </w:r>
            <w:r>
              <w:rPr>
                <w:rFonts w:hint="eastAsia" w:ascii="宋体" w:hAnsi="宋体" w:eastAsia="宋体" w:cs="宋体"/>
                <w:color w:val="auto"/>
                <w:kern w:val="2"/>
                <w:sz w:val="21"/>
                <w:szCs w:val="22"/>
                <w:highlight w:val="none"/>
                <w:lang w:val="en-US" w:eastAsia="zh-CN"/>
              </w:rPr>
              <w:t>分；</w:t>
            </w:r>
          </w:p>
          <w:p w14:paraId="3B8AA0B7">
            <w:pPr>
              <w:pStyle w:val="4"/>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auto"/>
                <w:kern w:val="2"/>
                <w:sz w:val="21"/>
                <w:szCs w:val="22"/>
                <w:highlight w:val="none"/>
                <w:lang w:val="en-US" w:eastAsia="zh-CN"/>
              </w:rPr>
            </w:pPr>
            <w:r>
              <w:rPr>
                <w:rFonts w:hint="eastAsia" w:ascii="宋体" w:hAnsi="宋体" w:eastAsia="宋体" w:cs="宋体"/>
                <w:color w:val="auto"/>
                <w:kern w:val="2"/>
                <w:sz w:val="21"/>
                <w:szCs w:val="22"/>
                <w:highlight w:val="none"/>
                <w:lang w:val="en-US" w:eastAsia="zh-CN"/>
              </w:rPr>
              <w:t>②承诺接到招标人的售后服务通知后响应时间为：响应时间≤2小时的，承诺接到招标人紧急送货通知后将货物送达指定地点的送达时间为：送达时间≤4日的，得</w:t>
            </w:r>
            <w:r>
              <w:rPr>
                <w:rFonts w:hint="eastAsia" w:cs="宋体"/>
                <w:color w:val="auto"/>
                <w:kern w:val="2"/>
                <w:sz w:val="21"/>
                <w:szCs w:val="22"/>
                <w:highlight w:val="none"/>
                <w:lang w:val="en-US" w:eastAsia="zh-CN"/>
              </w:rPr>
              <w:t>3</w:t>
            </w:r>
            <w:r>
              <w:rPr>
                <w:rFonts w:hint="eastAsia" w:ascii="宋体" w:hAnsi="宋体" w:eastAsia="宋体" w:cs="宋体"/>
                <w:color w:val="auto"/>
                <w:kern w:val="2"/>
                <w:sz w:val="21"/>
                <w:szCs w:val="22"/>
                <w:highlight w:val="none"/>
                <w:lang w:val="en-US" w:eastAsia="zh-CN"/>
              </w:rPr>
              <w:t>分。</w:t>
            </w:r>
          </w:p>
          <w:p w14:paraId="4C91659D">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outlineLvl w:val="2"/>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2"/>
                <w:sz w:val="21"/>
                <w:szCs w:val="22"/>
                <w:highlight w:val="none"/>
                <w:lang w:val="en-US" w:eastAsia="zh-CN"/>
              </w:rPr>
              <w:t>备注：根据《售后服务响应、紧急供货时间承诺表》进行评审。</w:t>
            </w:r>
          </w:p>
        </w:tc>
        <w:tc>
          <w:tcPr>
            <w:tcW w:w="437" w:type="pct"/>
            <w:tcBorders>
              <w:top w:val="single" w:color="auto" w:sz="4" w:space="0"/>
              <w:left w:val="single" w:color="auto" w:sz="4" w:space="0"/>
              <w:bottom w:val="single" w:color="auto" w:sz="4" w:space="0"/>
              <w:right w:val="single" w:color="auto" w:sz="4" w:space="0"/>
            </w:tcBorders>
            <w:vAlign w:val="center"/>
          </w:tcPr>
          <w:p w14:paraId="059D10A1">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宋体" w:hAnsi="宋体" w:eastAsia="宋体" w:cs="宋体"/>
                <w:color w:val="auto"/>
                <w:kern w:val="0"/>
                <w:szCs w:val="21"/>
                <w:highlight w:val="none"/>
                <w:lang w:val="en-US" w:eastAsia="zh-CN"/>
              </w:rPr>
            </w:pPr>
            <w:r>
              <w:rPr>
                <w:rFonts w:hint="eastAsia" w:cs="宋体"/>
                <w:color w:val="auto"/>
                <w:kern w:val="0"/>
                <w:szCs w:val="21"/>
                <w:highlight w:val="none"/>
                <w:lang w:val="en-US" w:eastAsia="zh-CN"/>
              </w:rPr>
              <w:t>3</w:t>
            </w:r>
            <w:r>
              <w:rPr>
                <w:rFonts w:hint="eastAsia" w:ascii="宋体" w:hAnsi="宋体" w:eastAsia="宋体" w:cs="宋体"/>
                <w:color w:val="auto"/>
                <w:kern w:val="0"/>
                <w:szCs w:val="21"/>
                <w:highlight w:val="none"/>
                <w:lang w:val="en-US" w:eastAsia="zh-CN"/>
              </w:rPr>
              <w:t>分</w:t>
            </w:r>
          </w:p>
        </w:tc>
      </w:tr>
      <w:tr w14:paraId="3F366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4562" w:type="pct"/>
            <w:gridSpan w:val="3"/>
            <w:tcBorders>
              <w:top w:val="single" w:color="auto" w:sz="4" w:space="0"/>
              <w:left w:val="single" w:color="auto" w:sz="4" w:space="0"/>
              <w:right w:val="single" w:color="auto" w:sz="4" w:space="0"/>
            </w:tcBorders>
            <w:vAlign w:val="center"/>
          </w:tcPr>
          <w:p w14:paraId="5DD6EDBC">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技术总分</w:t>
            </w:r>
          </w:p>
        </w:tc>
        <w:tc>
          <w:tcPr>
            <w:tcW w:w="437" w:type="pct"/>
            <w:tcBorders>
              <w:top w:val="single" w:color="auto" w:sz="4" w:space="0"/>
              <w:left w:val="single" w:color="auto" w:sz="4" w:space="0"/>
              <w:right w:val="single" w:color="auto" w:sz="4" w:space="0"/>
            </w:tcBorders>
            <w:vAlign w:val="center"/>
          </w:tcPr>
          <w:p w14:paraId="726A4385">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b/>
                <w:bCs/>
                <w:color w:val="auto"/>
                <w:kern w:val="0"/>
                <w:sz w:val="21"/>
                <w:szCs w:val="21"/>
                <w:highlight w:val="none"/>
                <w:lang w:val="en-US" w:eastAsia="zh-CN"/>
              </w:rPr>
            </w:pPr>
            <w:r>
              <w:rPr>
                <w:rFonts w:hint="eastAsia" w:cs="宋体"/>
                <w:b/>
                <w:bCs/>
                <w:color w:val="auto"/>
                <w:kern w:val="0"/>
                <w:sz w:val="21"/>
                <w:szCs w:val="21"/>
                <w:highlight w:val="none"/>
                <w:lang w:val="en-US" w:eastAsia="zh-CN"/>
              </w:rPr>
              <w:t>40</w:t>
            </w:r>
            <w:r>
              <w:rPr>
                <w:rFonts w:hint="eastAsia" w:ascii="宋体" w:hAnsi="宋体" w:eastAsia="宋体" w:cs="宋体"/>
                <w:b/>
                <w:bCs/>
                <w:color w:val="auto"/>
                <w:kern w:val="0"/>
                <w:sz w:val="21"/>
                <w:szCs w:val="21"/>
                <w:highlight w:val="none"/>
                <w:lang w:val="en-US" w:eastAsia="zh-CN"/>
              </w:rPr>
              <w:t>分</w:t>
            </w:r>
          </w:p>
        </w:tc>
      </w:tr>
      <w:bookmarkEnd w:id="1159"/>
    </w:tbl>
    <w:p w14:paraId="6AB9AF14">
      <w:pPr>
        <w:autoSpaceDE w:val="0"/>
        <w:autoSpaceDN w:val="0"/>
        <w:adjustRightInd w:val="0"/>
        <w:spacing w:line="360" w:lineRule="auto"/>
        <w:ind w:left="420" w:leftChars="200" w:firstLine="422" w:firstLineChars="200"/>
        <w:rPr>
          <w:rFonts w:hint="eastAsia" w:ascii="宋体" w:hAnsi="宋体" w:eastAsia="宋体" w:cs="宋体"/>
          <w:b/>
          <w:bCs/>
          <w:color w:val="auto"/>
          <w:szCs w:val="24"/>
          <w:highlight w:val="none"/>
          <w:lang w:val="zh-CN"/>
        </w:rPr>
      </w:pPr>
    </w:p>
    <w:p w14:paraId="5B87A8D4">
      <w:pPr>
        <w:autoSpaceDE w:val="0"/>
        <w:autoSpaceDN w:val="0"/>
        <w:adjustRightInd w:val="0"/>
        <w:spacing w:line="360" w:lineRule="auto"/>
        <w:ind w:left="420" w:leftChars="200" w:firstLine="422" w:firstLineChars="200"/>
        <w:rPr>
          <w:rFonts w:hint="eastAsia" w:ascii="宋体" w:hAnsi="宋体" w:eastAsia="宋体" w:cs="宋体"/>
          <w:b/>
          <w:bCs/>
          <w:color w:val="auto"/>
          <w:szCs w:val="24"/>
          <w:highlight w:val="none"/>
          <w:lang w:val="zh-CN"/>
        </w:rPr>
      </w:pPr>
      <w:r>
        <w:rPr>
          <w:rFonts w:hint="eastAsia" w:ascii="宋体" w:hAnsi="宋体" w:eastAsia="宋体" w:cs="宋体"/>
          <w:b/>
          <w:bCs/>
          <w:color w:val="auto"/>
          <w:szCs w:val="24"/>
          <w:highlight w:val="none"/>
          <w:lang w:val="zh-CN"/>
        </w:rPr>
        <w:t>备注：</w:t>
      </w:r>
    </w:p>
    <w:p w14:paraId="6991064B">
      <w:pPr>
        <w:autoSpaceDE w:val="0"/>
        <w:autoSpaceDN w:val="0"/>
        <w:adjustRightInd w:val="0"/>
        <w:spacing w:line="360" w:lineRule="auto"/>
        <w:ind w:left="420" w:leftChars="200" w:firstLine="420" w:firstLineChars="20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①表中“[”代表闭区间，“]”代表闭区间，如[0，1]代表该分数段范围为大于等于0且小于等于1。表中“（”代表开区间，“]”代表闭区间，如（1，2]代表该分数段范围为大于1且小于等于2。</w:t>
      </w:r>
    </w:p>
    <w:p w14:paraId="7AFA2476">
      <w:pPr>
        <w:autoSpaceDE w:val="0"/>
        <w:autoSpaceDN w:val="0"/>
        <w:adjustRightInd w:val="0"/>
        <w:spacing w:line="360" w:lineRule="auto"/>
        <w:ind w:left="420" w:leftChars="200" w:firstLine="420" w:firstLineChars="200"/>
        <w:rPr>
          <w:rFonts w:hint="eastAsia" w:ascii="宋体" w:hAnsi="宋体" w:eastAsia="宋体" w:cs="宋体"/>
          <w:color w:val="auto"/>
          <w:szCs w:val="24"/>
          <w:highlight w:val="none"/>
          <w:lang w:val="zh-CN"/>
        </w:rPr>
      </w:pPr>
      <w:r>
        <w:rPr>
          <w:rFonts w:hint="eastAsia" w:ascii="宋体" w:hAnsi="宋体" w:eastAsia="宋体" w:cs="宋体"/>
          <w:b w:val="0"/>
          <w:bCs/>
          <w:color w:val="auto"/>
          <w:szCs w:val="24"/>
          <w:highlight w:val="none"/>
          <w:lang w:val="en-US" w:eastAsia="zh-CN"/>
        </w:rPr>
        <w:t>②</w:t>
      </w:r>
      <w:r>
        <w:rPr>
          <w:rFonts w:hint="eastAsia" w:ascii="宋体" w:hAnsi="宋体" w:eastAsia="宋体" w:cs="宋体"/>
          <w:color w:val="auto"/>
          <w:szCs w:val="24"/>
          <w:highlight w:val="none"/>
          <w:lang w:val="zh-CN"/>
        </w:rPr>
        <w:t>分数出现小数点，保留小数点后2位，从小数点后第3位四舍五入。</w:t>
      </w:r>
    </w:p>
    <w:p w14:paraId="67602E46">
      <w:pPr>
        <w:autoSpaceDE w:val="0"/>
        <w:autoSpaceDN w:val="0"/>
        <w:adjustRightInd w:val="0"/>
        <w:spacing w:line="360" w:lineRule="auto"/>
        <w:ind w:left="420" w:leftChars="200" w:firstLine="422" w:firstLineChars="200"/>
        <w:rPr>
          <w:rFonts w:hint="eastAsia"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③上述“评分项目”中按“优、良、中、差”</w:t>
      </w:r>
      <w:r>
        <w:rPr>
          <w:rFonts w:hint="eastAsia" w:ascii="宋体" w:hAnsi="宋体" w:eastAsia="宋体" w:cs="宋体"/>
          <w:b/>
          <w:color w:val="auto"/>
          <w:szCs w:val="24"/>
          <w:highlight w:val="none"/>
          <w:lang w:val="en-US" w:eastAsia="zh-CN"/>
        </w:rPr>
        <w:t>区间</w:t>
      </w:r>
      <w:r>
        <w:rPr>
          <w:rFonts w:hint="eastAsia" w:ascii="宋体" w:hAnsi="宋体" w:eastAsia="宋体" w:cs="宋体"/>
          <w:b/>
          <w:color w:val="auto"/>
          <w:szCs w:val="24"/>
          <w:highlight w:val="none"/>
          <w:lang w:val="zh-CN"/>
        </w:rPr>
        <w:t>评审的，若低于该项满分分值60%时，评标专家需详细填写该项低分的充分理由，例如：该项目内容存在违反国家有关标准和规范或与项目实际不符等原则性问题。</w:t>
      </w:r>
    </w:p>
    <w:p w14:paraId="3B65D27A">
      <w:pPr>
        <w:autoSpaceDE w:val="0"/>
        <w:autoSpaceDN w:val="0"/>
        <w:adjustRightInd w:val="0"/>
        <w:spacing w:line="360" w:lineRule="auto"/>
        <w:ind w:left="420" w:leftChars="200" w:firstLine="422" w:firstLineChars="200"/>
        <w:rPr>
          <w:rFonts w:hint="eastAsia" w:ascii="宋体" w:hAnsi="宋体" w:eastAsia="宋体" w:cs="宋体"/>
          <w:b/>
          <w:color w:val="auto"/>
          <w:szCs w:val="24"/>
          <w:highlight w:val="none"/>
          <w:lang w:val="en-US" w:eastAsia="zh-CN"/>
        </w:rPr>
      </w:pPr>
      <w:r>
        <w:rPr>
          <w:rFonts w:hint="eastAsia" w:ascii="宋体" w:hAnsi="宋体" w:eastAsia="宋体" w:cs="宋体"/>
          <w:b/>
          <w:color w:val="auto"/>
          <w:szCs w:val="24"/>
          <w:highlight w:val="none"/>
        </w:rPr>
        <w:t>④</w:t>
      </w:r>
      <w:r>
        <w:rPr>
          <w:rFonts w:hint="eastAsia" w:ascii="宋体" w:hAnsi="宋体" w:eastAsia="宋体" w:cs="宋体"/>
          <w:b/>
          <w:color w:val="auto"/>
          <w:kern w:val="0"/>
          <w:szCs w:val="21"/>
          <w:highlight w:val="none"/>
          <w:lang w:val="zh-CN"/>
        </w:rPr>
        <w:t>对</w:t>
      </w:r>
      <w:r>
        <w:rPr>
          <w:rFonts w:hint="eastAsia" w:ascii="宋体" w:hAnsi="宋体" w:eastAsia="宋体" w:cs="宋体"/>
          <w:b/>
          <w:color w:val="auto"/>
          <w:kern w:val="0"/>
          <w:szCs w:val="21"/>
          <w:highlight w:val="none"/>
          <w:lang w:val="en-US" w:eastAsia="zh-CN"/>
        </w:rPr>
        <w:t>于各</w:t>
      </w:r>
      <w:r>
        <w:rPr>
          <w:rFonts w:hint="eastAsia" w:ascii="宋体" w:hAnsi="宋体" w:eastAsia="宋体" w:cs="宋体"/>
          <w:b/>
          <w:color w:val="auto"/>
          <w:kern w:val="0"/>
          <w:szCs w:val="21"/>
          <w:highlight w:val="none"/>
          <w:lang w:val="zh-CN"/>
        </w:rPr>
        <w:t>评标委员会成员</w:t>
      </w:r>
      <w:r>
        <w:rPr>
          <w:rFonts w:hint="eastAsia" w:ascii="宋体" w:hAnsi="宋体" w:eastAsia="宋体" w:cs="宋体"/>
          <w:b/>
          <w:color w:val="auto"/>
          <w:kern w:val="0"/>
          <w:szCs w:val="21"/>
          <w:highlight w:val="none"/>
          <w:lang w:val="en-US" w:eastAsia="zh-CN"/>
        </w:rPr>
        <w:t>存在客观分打分不一致时</w:t>
      </w:r>
      <w:r>
        <w:rPr>
          <w:rFonts w:hint="eastAsia" w:ascii="宋体" w:hAnsi="宋体" w:eastAsia="宋体" w:cs="宋体"/>
          <w:b/>
          <w:color w:val="auto"/>
          <w:kern w:val="0"/>
          <w:szCs w:val="21"/>
          <w:highlight w:val="none"/>
          <w:lang w:val="zh-CN"/>
        </w:rPr>
        <w:t>,根据少数服</w:t>
      </w:r>
      <w:r>
        <w:rPr>
          <w:rFonts w:hint="eastAsia" w:ascii="宋体" w:hAnsi="宋体" w:eastAsia="宋体" w:cs="宋体"/>
          <w:b/>
          <w:color w:val="auto"/>
          <w:kern w:val="0"/>
          <w:szCs w:val="21"/>
          <w:highlight w:val="none"/>
          <w:lang w:val="en-US" w:eastAsia="zh-CN"/>
        </w:rPr>
        <w:t>从</w:t>
      </w:r>
      <w:r>
        <w:rPr>
          <w:rFonts w:hint="eastAsia" w:ascii="宋体" w:hAnsi="宋体" w:eastAsia="宋体" w:cs="宋体"/>
          <w:b/>
          <w:color w:val="auto"/>
          <w:kern w:val="0"/>
          <w:szCs w:val="21"/>
          <w:highlight w:val="none"/>
          <w:lang w:val="zh-CN"/>
        </w:rPr>
        <w:t>多数的原则，以记名方式表决</w:t>
      </w:r>
      <w:r>
        <w:rPr>
          <w:rFonts w:hint="eastAsia" w:ascii="宋体" w:hAnsi="宋体" w:eastAsia="宋体" w:cs="宋体"/>
          <w:b/>
          <w:color w:val="auto"/>
          <w:kern w:val="0"/>
          <w:szCs w:val="21"/>
          <w:highlight w:val="none"/>
          <w:lang w:val="en-US" w:eastAsia="zh-CN"/>
        </w:rPr>
        <w:t>确定该项的评分。</w:t>
      </w:r>
    </w:p>
    <w:p w14:paraId="256C631C">
      <w:pPr>
        <w:rPr>
          <w:rFonts w:hint="eastAsia" w:ascii="宋体" w:hAnsi="宋体" w:eastAsia="宋体" w:cs="宋体"/>
          <w:b/>
          <w:bCs/>
          <w:color w:val="auto"/>
          <w:highlight w:val="none"/>
          <w:lang w:val="zh-CN"/>
        </w:rPr>
      </w:pPr>
      <w:r>
        <w:rPr>
          <w:rFonts w:hint="eastAsia" w:ascii="宋体" w:hAnsi="宋体" w:eastAsia="宋体" w:cs="宋体"/>
          <w:b/>
          <w:bCs/>
          <w:color w:val="auto"/>
          <w:highlight w:val="none"/>
          <w:lang w:val="zh-CN"/>
        </w:rPr>
        <w:t>（3）价格评分方法</w:t>
      </w:r>
    </w:p>
    <w:p w14:paraId="255F9C7F">
      <w:pPr>
        <w:ind w:firstLine="422" w:firstLineChars="200"/>
        <w:rPr>
          <w:rFonts w:hint="eastAsia" w:ascii="宋体" w:hAnsi="宋体" w:eastAsia="宋体" w:cs="宋体"/>
          <w:color w:val="auto"/>
          <w:highlight w:val="none"/>
          <w:lang w:val="zh-CN"/>
        </w:rPr>
      </w:pPr>
      <w:r>
        <w:rPr>
          <w:rFonts w:hint="eastAsia" w:ascii="宋体" w:hAnsi="宋体" w:eastAsia="宋体" w:cs="宋体"/>
          <w:b/>
          <w:bCs/>
          <w:color w:val="auto"/>
          <w:highlight w:val="none"/>
          <w:lang w:val="zh-CN"/>
        </w:rPr>
        <w:t>1）经济文件的符合性审查</w:t>
      </w:r>
    </w:p>
    <w:p w14:paraId="475E0522">
      <w:pPr>
        <w:ind w:firstLine="420" w:firstLineChars="20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评标委员会对合格的投标人的投标报价，进行详细分析、核准，检查其是否存在计算错误。评标委员会将按照本评标大纲的规定修正计算错误的投标报价，经投标人代表确认后，调整后的价格对投标人具有约束力。</w:t>
      </w:r>
      <w:r>
        <w:rPr>
          <w:rFonts w:hint="eastAsia" w:ascii="宋体" w:hAnsi="宋体" w:eastAsia="宋体" w:cs="宋体"/>
          <w:b/>
          <w:bCs/>
          <w:color w:val="auto"/>
          <w:highlight w:val="none"/>
          <w:u w:val="single"/>
          <w:lang w:val="zh-CN"/>
        </w:rPr>
        <w:t>如果投标人不接受修正后的报价，则其投标将被拒绝，作为无效投标处理。</w:t>
      </w:r>
    </w:p>
    <w:p w14:paraId="418D17E1">
      <w:pPr>
        <w:ind w:firstLine="420" w:firstLineChars="20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若投标人出现超低报价，</w:t>
      </w:r>
      <w:r>
        <w:rPr>
          <w:rFonts w:hint="eastAsia" w:ascii="宋体" w:hAnsi="宋体" w:eastAsia="宋体" w:cs="宋体"/>
          <w:color w:val="auto"/>
          <w:highlight w:val="none"/>
        </w:rPr>
        <w:t>有可能影响服务质量和不能诚信履约的，</w:t>
      </w:r>
      <w:r>
        <w:rPr>
          <w:rFonts w:hint="eastAsia" w:ascii="宋体" w:hAnsi="宋体" w:eastAsia="宋体" w:cs="宋体"/>
          <w:color w:val="auto"/>
          <w:highlight w:val="none"/>
          <w:lang w:val="zh-CN"/>
        </w:rPr>
        <w:t>评标委员会将要求该投标人作出书面说明并提供相关证明材料，以确定投标人是否以低于企业成本价报价。</w:t>
      </w:r>
      <w:r>
        <w:rPr>
          <w:rFonts w:hint="eastAsia" w:ascii="宋体" w:hAnsi="宋体" w:eastAsia="宋体" w:cs="宋体"/>
          <w:b/>
          <w:bCs/>
          <w:color w:val="auto"/>
          <w:highlight w:val="none"/>
          <w:u w:val="single"/>
          <w:lang w:val="zh-CN"/>
        </w:rPr>
        <w:t>若投标人不能合理说明或不能提供相关证明材料的，评标委员会将认定其投标报价低于成本，同时否决其投标。</w:t>
      </w:r>
    </w:p>
    <w:p w14:paraId="5DBAD135">
      <w:pPr>
        <w:ind w:firstLine="422" w:firstLineChars="200"/>
        <w:rPr>
          <w:rFonts w:hint="eastAsia" w:ascii="宋体" w:hAnsi="宋体" w:eastAsia="宋体" w:cs="宋体"/>
          <w:b/>
          <w:bCs/>
          <w:color w:val="auto"/>
          <w:highlight w:val="none"/>
          <w:lang w:val="zh-CN"/>
        </w:rPr>
      </w:pPr>
      <w:r>
        <w:rPr>
          <w:rFonts w:hint="eastAsia" w:ascii="宋体" w:hAnsi="宋体" w:eastAsia="宋体" w:cs="宋体"/>
          <w:b/>
          <w:bCs/>
          <w:color w:val="auto"/>
          <w:highlight w:val="none"/>
          <w:lang w:val="zh-CN"/>
        </w:rPr>
        <w:t>对是否低于企业成本价报价的事宜有争议的投标文件,评标委员会成员将以记名方式表决,根据少数服</w:t>
      </w:r>
      <w:r>
        <w:rPr>
          <w:rFonts w:hint="eastAsia" w:ascii="宋体" w:hAnsi="宋体" w:eastAsia="宋体" w:cs="宋体"/>
          <w:b/>
          <w:bCs/>
          <w:color w:val="auto"/>
          <w:highlight w:val="none"/>
        </w:rPr>
        <w:t>从</w:t>
      </w:r>
      <w:r>
        <w:rPr>
          <w:rFonts w:hint="eastAsia" w:ascii="宋体" w:hAnsi="宋体" w:eastAsia="宋体" w:cs="宋体"/>
          <w:b/>
          <w:bCs/>
          <w:color w:val="auto"/>
          <w:highlight w:val="none"/>
          <w:lang w:val="zh-CN"/>
        </w:rPr>
        <w:t>多数的原则，获多数表决通过的投标人才有资格进入下一阶段的评审,否则将按无效投标处理。</w:t>
      </w:r>
    </w:p>
    <w:p w14:paraId="60F35C7E">
      <w:pPr>
        <w:ind w:firstLine="422" w:firstLineChars="200"/>
        <w:rPr>
          <w:rFonts w:hint="eastAsia" w:ascii="宋体" w:hAnsi="宋体" w:eastAsia="宋体" w:cs="宋体"/>
          <w:b/>
          <w:bCs/>
          <w:color w:val="auto"/>
          <w:highlight w:val="none"/>
          <w:lang w:val="zh-CN"/>
        </w:rPr>
      </w:pPr>
      <w:r>
        <w:rPr>
          <w:rFonts w:hint="eastAsia" w:ascii="宋体" w:hAnsi="宋体" w:eastAsia="宋体" w:cs="宋体"/>
          <w:b/>
          <w:bCs/>
          <w:color w:val="auto"/>
          <w:highlight w:val="none"/>
          <w:lang w:val="zh-CN"/>
        </w:rPr>
        <w:t>2）价格评分：总分</w:t>
      </w:r>
      <w:r>
        <w:rPr>
          <w:rFonts w:hint="eastAsia" w:cs="宋体"/>
          <w:b/>
          <w:bCs/>
          <w:color w:val="auto"/>
          <w:highlight w:val="none"/>
          <w:lang w:val="en-US" w:eastAsia="zh-CN"/>
        </w:rPr>
        <w:t>40</w:t>
      </w:r>
      <w:r>
        <w:rPr>
          <w:rFonts w:hint="eastAsia" w:ascii="宋体" w:hAnsi="宋体" w:eastAsia="宋体" w:cs="宋体"/>
          <w:b/>
          <w:bCs/>
          <w:color w:val="auto"/>
          <w:highlight w:val="none"/>
          <w:lang w:val="zh-CN"/>
        </w:rPr>
        <w:t>分</w:t>
      </w:r>
    </w:p>
    <w:p w14:paraId="566D1760">
      <w:pPr>
        <w:ind w:firstLine="420" w:firstLineChars="20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A</w:t>
      </w:r>
      <w:r>
        <w:rPr>
          <w:rFonts w:hint="eastAsia" w:ascii="宋体" w:hAnsi="宋体" w:eastAsia="宋体" w:cs="宋体"/>
          <w:color w:val="auto"/>
          <w:highlight w:val="none"/>
          <w:lang w:val="en-US" w:eastAsia="zh-CN"/>
        </w:rPr>
        <w:t>.</w:t>
      </w:r>
      <w:r>
        <w:rPr>
          <w:rFonts w:hint="eastAsia" w:ascii="宋体" w:hAnsi="宋体" w:eastAsia="宋体" w:cs="宋体"/>
          <w:color w:val="auto"/>
          <w:highlight w:val="none"/>
          <w:lang w:val="zh-CN"/>
        </w:rPr>
        <w:t>根据有效投标人的投标“折扣系数”，最低投标“折扣系数”作为基准系数（Y）。投标人投标“折扣系数”（X）等于基准系数的得满分</w:t>
      </w:r>
      <w:r>
        <w:rPr>
          <w:rFonts w:hint="eastAsia" w:cs="宋体"/>
          <w:color w:val="auto"/>
          <w:highlight w:val="none"/>
          <w:lang w:val="en-US" w:eastAsia="zh-CN"/>
        </w:rPr>
        <w:t>40</w:t>
      </w:r>
      <w:r>
        <w:rPr>
          <w:rFonts w:hint="eastAsia" w:ascii="宋体" w:hAnsi="宋体" w:eastAsia="宋体" w:cs="宋体"/>
          <w:color w:val="auto"/>
          <w:highlight w:val="none"/>
          <w:lang w:val="zh-CN"/>
        </w:rPr>
        <w:t>分，其他投标人的价格得分统一按照下列公式计算：</w:t>
      </w:r>
    </w:p>
    <w:p w14:paraId="64CCAB52">
      <w:pPr>
        <w:ind w:firstLine="420" w:firstLineChars="200"/>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zh-CN"/>
        </w:rPr>
        <w:t xml:space="preserve">    价格得分=(基准系数／投标“折扣系数”)×</w:t>
      </w:r>
      <w:r>
        <w:rPr>
          <w:rFonts w:hint="eastAsia" w:cs="宋体"/>
          <w:color w:val="auto"/>
          <w:highlight w:val="none"/>
          <w:lang w:val="en-US" w:eastAsia="zh-CN"/>
        </w:rPr>
        <w:t>40</w:t>
      </w:r>
    </w:p>
    <w:p w14:paraId="069BF0E3">
      <w:pPr>
        <w:ind w:firstLine="420" w:firstLineChars="20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B</w:t>
      </w:r>
      <w:r>
        <w:rPr>
          <w:rFonts w:hint="eastAsia" w:ascii="宋体" w:hAnsi="宋体" w:eastAsia="宋体" w:cs="宋体"/>
          <w:color w:val="auto"/>
          <w:highlight w:val="none"/>
        </w:rPr>
        <w:t>.</w:t>
      </w:r>
      <w:r>
        <w:rPr>
          <w:rFonts w:hint="eastAsia" w:ascii="宋体" w:hAnsi="宋体" w:eastAsia="宋体" w:cs="宋体"/>
          <w:color w:val="auto"/>
          <w:highlight w:val="none"/>
          <w:lang w:val="zh-CN"/>
        </w:rPr>
        <w:t>分数出现小数点，保留小数点后2位，从小数点后第3位四舍五入。</w:t>
      </w:r>
    </w:p>
    <w:p w14:paraId="31FA0EC8">
      <w:pPr>
        <w:rPr>
          <w:rFonts w:hint="eastAsia" w:ascii="宋体" w:hAnsi="宋体" w:eastAsia="宋体" w:cs="宋体"/>
          <w:b/>
          <w:bCs/>
          <w:color w:val="auto"/>
          <w:highlight w:val="none"/>
          <w:lang w:val="zh-CN"/>
        </w:rPr>
      </w:pPr>
      <w:r>
        <w:rPr>
          <w:rFonts w:hint="eastAsia" w:ascii="宋体" w:hAnsi="宋体" w:eastAsia="宋体" w:cs="宋体"/>
          <w:b/>
          <w:bCs/>
          <w:color w:val="auto"/>
          <w:highlight w:val="none"/>
          <w:lang w:val="zh-CN"/>
        </w:rPr>
        <w:t>（4）综合得分</w:t>
      </w:r>
    </w:p>
    <w:p w14:paraId="59B22554">
      <w:pPr>
        <w:ind w:firstLine="420" w:firstLineChars="200"/>
        <w:rPr>
          <w:rFonts w:hint="eastAsia" w:ascii="宋体" w:hAnsi="宋体" w:eastAsia="宋体" w:cs="宋体"/>
          <w:color w:val="auto"/>
          <w:highlight w:val="none"/>
          <w:lang w:val="zh-CN"/>
        </w:rPr>
      </w:pPr>
      <w:bookmarkStart w:id="1160" w:name="_Toc31624_WPSOffice_Level2"/>
      <w:r>
        <w:rPr>
          <w:rFonts w:hint="eastAsia" w:ascii="宋体" w:hAnsi="宋体" w:eastAsia="宋体" w:cs="宋体"/>
          <w:color w:val="auto"/>
          <w:highlight w:val="none"/>
          <w:lang w:val="zh-CN"/>
        </w:rPr>
        <w:t>评标总得分=F1＋F2＋……+Fn</w:t>
      </w:r>
      <w:bookmarkEnd w:id="1160"/>
    </w:p>
    <w:p w14:paraId="10AB3D13">
      <w:pPr>
        <w:ind w:firstLine="420" w:firstLineChars="200"/>
        <w:rPr>
          <w:rFonts w:hint="eastAsia" w:ascii="宋体" w:hAnsi="宋体" w:eastAsia="宋体" w:cs="宋体"/>
          <w:color w:val="auto"/>
          <w:highlight w:val="none"/>
          <w:lang w:val="zh-CN"/>
        </w:rPr>
      </w:pPr>
      <w:bookmarkStart w:id="1161" w:name="_Toc13236_WPSOffice_Level2"/>
      <w:r>
        <w:rPr>
          <w:rFonts w:hint="eastAsia" w:ascii="宋体" w:hAnsi="宋体" w:eastAsia="宋体" w:cs="宋体"/>
          <w:color w:val="auto"/>
          <w:highlight w:val="none"/>
          <w:lang w:val="zh-CN"/>
        </w:rPr>
        <w:t>F1、F2、……Fn分别为各项评分因素的得分</w:t>
      </w:r>
      <w:bookmarkEnd w:id="1161"/>
      <w:r>
        <w:rPr>
          <w:rFonts w:hint="eastAsia" w:ascii="宋体" w:hAnsi="宋体" w:eastAsia="宋体" w:cs="宋体"/>
          <w:color w:val="auto"/>
          <w:highlight w:val="none"/>
          <w:lang w:val="zh-CN"/>
        </w:rPr>
        <w:t>。</w:t>
      </w:r>
    </w:p>
    <w:p w14:paraId="470C3B9A">
      <w:pPr>
        <w:rPr>
          <w:rFonts w:hint="eastAsia" w:ascii="宋体" w:hAnsi="宋体" w:eastAsia="宋体" w:cs="宋体"/>
          <w:color w:val="auto"/>
          <w:highlight w:val="none"/>
        </w:rPr>
      </w:pPr>
    </w:p>
    <w:p w14:paraId="7691E29D">
      <w:pPr>
        <w:jc w:val="center"/>
        <w:rPr>
          <w:rFonts w:hint="eastAsia" w:ascii="宋体" w:hAnsi="宋体" w:eastAsia="宋体" w:cs="宋体"/>
          <w:b/>
          <w:bCs/>
          <w:color w:val="auto"/>
          <w:sz w:val="28"/>
          <w:szCs w:val="32"/>
          <w:highlight w:val="none"/>
        </w:rPr>
      </w:pPr>
      <w:bookmarkStart w:id="1162" w:name="_Toc518_WPSOffice_Level1"/>
      <w:r>
        <w:rPr>
          <w:rFonts w:hint="eastAsia" w:ascii="宋体" w:hAnsi="宋体" w:eastAsia="宋体" w:cs="宋体"/>
          <w:b/>
          <w:bCs/>
          <w:color w:val="auto"/>
          <w:sz w:val="28"/>
          <w:szCs w:val="32"/>
          <w:highlight w:val="none"/>
          <w:lang w:val="zh-CN"/>
        </w:rPr>
        <w:t>五、推荐中标人</w:t>
      </w:r>
      <w:bookmarkEnd w:id="1162"/>
    </w:p>
    <w:p w14:paraId="0D21A8B2">
      <w:pPr>
        <w:ind w:left="315" w:hanging="315" w:hangingChars="150"/>
        <w:rPr>
          <w:rFonts w:hint="eastAsia" w:ascii="宋体" w:hAnsi="宋体" w:eastAsia="宋体" w:cs="宋体"/>
          <w:color w:val="auto"/>
          <w:highlight w:val="none"/>
        </w:rPr>
      </w:pPr>
      <w:r>
        <w:rPr>
          <w:rFonts w:hint="eastAsia" w:ascii="宋体" w:hAnsi="宋体" w:eastAsia="宋体" w:cs="宋体"/>
          <w:color w:val="auto"/>
          <w:highlight w:val="none"/>
        </w:rPr>
        <w:t>13.</w:t>
      </w:r>
      <w:r>
        <w:rPr>
          <w:rFonts w:hint="eastAsia" w:ascii="宋体" w:hAnsi="宋体" w:eastAsia="宋体" w:cs="宋体"/>
          <w:color w:val="auto"/>
          <w:highlight w:val="none"/>
          <w:lang w:val="zh-CN"/>
        </w:rPr>
        <w:t>评标委员会按评审后得分由高到低顺序排列</w:t>
      </w:r>
      <w:r>
        <w:rPr>
          <w:rFonts w:hint="eastAsia" w:ascii="宋体" w:hAnsi="宋体" w:eastAsia="宋体" w:cs="宋体"/>
          <w:color w:val="auto"/>
          <w:highlight w:val="none"/>
        </w:rPr>
        <w:t>，并向招标人推荐最后综合得分最高的前二名投标人为中标候选人（最后综合得分排名第一、第二的投标人分别为第一、第二中标候选人），招标人将确定第一中标候选人为中标人。</w:t>
      </w:r>
    </w:p>
    <w:p w14:paraId="44B48D77">
      <w:pPr>
        <w:ind w:left="315" w:leftChars="150" w:firstLine="420" w:firstLineChars="200"/>
        <w:rPr>
          <w:rFonts w:hint="eastAsia" w:ascii="宋体" w:hAnsi="宋体" w:eastAsia="宋体" w:cs="宋体"/>
          <w:color w:val="auto"/>
          <w:highlight w:val="none"/>
          <w:lang w:val="zh-CN"/>
        </w:rPr>
      </w:pPr>
      <w:r>
        <w:rPr>
          <w:rFonts w:hint="eastAsia" w:ascii="宋体" w:hAnsi="宋体" w:eastAsia="宋体" w:cs="宋体"/>
          <w:color w:val="auto"/>
          <w:highlight w:val="none"/>
        </w:rPr>
        <w:t>如果有两个或以上的投标人的最后综合得分相同，则在最后综合得分相同的投标人中按投标报价</w:t>
      </w:r>
      <w:r>
        <w:rPr>
          <w:rFonts w:hint="eastAsia" w:ascii="宋体" w:hAnsi="宋体" w:eastAsia="宋体" w:cs="宋体"/>
          <w:color w:val="auto"/>
          <w:highlight w:val="none"/>
          <w:lang w:val="zh-CN"/>
        </w:rPr>
        <w:t>由低到高顺序排出次序，报价低的排前，报价高的排后。</w:t>
      </w:r>
      <w:r>
        <w:rPr>
          <w:rFonts w:hint="eastAsia" w:ascii="宋体" w:hAnsi="宋体" w:eastAsia="宋体" w:cs="宋体"/>
          <w:color w:val="auto"/>
          <w:highlight w:val="none"/>
        </w:rPr>
        <w:t>如果出现投标人的最后综合得分及投标报价均相同时，则按技术标的评标得分高低排出次序，得分高的排前，得分低的排后。如果出现投标人的最后综合得分、投标报价及技术标得分均相同时，由评标委员会进行投票，得票多的排名在先。当第一轮投票结果为投标人得票数相同时，再次进行投票，如此类推，直到能确定排序次序为止。</w:t>
      </w:r>
    </w:p>
    <w:p w14:paraId="181F7031">
      <w:pPr>
        <w:rPr>
          <w:rFonts w:hint="eastAsia" w:ascii="宋体" w:hAnsi="宋体" w:eastAsia="宋体" w:cs="宋体"/>
          <w:color w:val="auto"/>
          <w:highlight w:val="none"/>
        </w:rPr>
      </w:pPr>
    </w:p>
    <w:p w14:paraId="6876A31A">
      <w:pPr>
        <w:jc w:val="center"/>
        <w:rPr>
          <w:rFonts w:hint="eastAsia" w:ascii="宋体" w:hAnsi="宋体" w:eastAsia="宋体" w:cs="宋体"/>
          <w:b/>
          <w:bCs/>
          <w:color w:val="auto"/>
          <w:sz w:val="28"/>
          <w:szCs w:val="32"/>
          <w:highlight w:val="none"/>
          <w:lang w:val="zh-CN"/>
        </w:rPr>
      </w:pPr>
      <w:bookmarkStart w:id="1163" w:name="_Toc22724_WPSOffice_Level1"/>
      <w:r>
        <w:rPr>
          <w:rFonts w:hint="eastAsia" w:ascii="宋体" w:hAnsi="宋体" w:eastAsia="宋体" w:cs="宋体"/>
          <w:b/>
          <w:bCs/>
          <w:color w:val="auto"/>
          <w:sz w:val="28"/>
          <w:szCs w:val="32"/>
          <w:highlight w:val="none"/>
          <w:lang w:val="zh-CN"/>
        </w:rPr>
        <w:t>六、编写评标报告</w:t>
      </w:r>
      <w:bookmarkEnd w:id="1163"/>
    </w:p>
    <w:p w14:paraId="15377635">
      <w:pPr>
        <w:ind w:left="315" w:hanging="315" w:hangingChars="15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14</w:t>
      </w:r>
      <w:r>
        <w:rPr>
          <w:rFonts w:hint="eastAsia" w:ascii="宋体" w:hAnsi="宋体" w:eastAsia="宋体" w:cs="宋体"/>
          <w:color w:val="auto"/>
          <w:highlight w:val="none"/>
        </w:rPr>
        <w:t>.</w:t>
      </w:r>
      <w:r>
        <w:rPr>
          <w:rFonts w:hint="eastAsia" w:ascii="宋体" w:hAnsi="宋体" w:eastAsia="宋体" w:cs="宋体"/>
          <w:color w:val="auto"/>
          <w:highlight w:val="none"/>
          <w:lang w:val="zh-CN"/>
        </w:rPr>
        <w:t>评标委员会根据评审结果撰写评标报告。评标报告是评标委员会根据全体评标委员会成员签字的原始评审记录和评审结果编写的报告，其主要内容包括：</w:t>
      </w:r>
    </w:p>
    <w:p w14:paraId="49708CDD">
      <w:pPr>
        <w:ind w:left="315" w:leftChars="15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（1）开标邀请时间、开标日期和地点；</w:t>
      </w:r>
    </w:p>
    <w:p w14:paraId="55FEF77F">
      <w:pPr>
        <w:ind w:left="315" w:leftChars="15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（2）投标人名单和评标委员会成员名单；</w:t>
      </w:r>
    </w:p>
    <w:p w14:paraId="37C9945F">
      <w:pPr>
        <w:ind w:left="315" w:leftChars="15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（3）开标评审方法和标准；</w:t>
      </w:r>
    </w:p>
    <w:p w14:paraId="71D0D547">
      <w:pPr>
        <w:ind w:left="315" w:leftChars="15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（4）开标评审记录和评审情况及说明，包括投标无效投标人名单及原因；</w:t>
      </w:r>
    </w:p>
    <w:p w14:paraId="60458162">
      <w:pPr>
        <w:ind w:left="315" w:leftChars="15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（5）评审结果和中标候选投标人排序表；</w:t>
      </w:r>
    </w:p>
    <w:p w14:paraId="2CC689C2">
      <w:pPr>
        <w:ind w:left="315" w:leftChars="15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（6）评标委员会的推荐建议。</w:t>
      </w:r>
    </w:p>
    <w:p w14:paraId="1C56E158">
      <w:pPr>
        <w:rPr>
          <w:rFonts w:hint="eastAsia" w:ascii="宋体" w:hAnsi="宋体" w:eastAsia="宋体" w:cs="宋体"/>
          <w:color w:val="auto"/>
          <w:highlight w:val="none"/>
          <w:lang w:val="zh-CN"/>
        </w:rPr>
      </w:pPr>
    </w:p>
    <w:p w14:paraId="6C96586A">
      <w:pPr>
        <w:jc w:val="center"/>
        <w:rPr>
          <w:rFonts w:hint="eastAsia" w:ascii="宋体" w:hAnsi="宋体" w:eastAsia="宋体" w:cs="宋体"/>
          <w:b/>
          <w:bCs/>
          <w:color w:val="auto"/>
          <w:sz w:val="28"/>
          <w:szCs w:val="32"/>
          <w:highlight w:val="none"/>
          <w:lang w:val="zh-CN"/>
        </w:rPr>
      </w:pPr>
      <w:bookmarkStart w:id="1164" w:name="_Toc23773_WPSOffice_Level1"/>
      <w:r>
        <w:rPr>
          <w:rFonts w:hint="eastAsia" w:ascii="宋体" w:hAnsi="宋体" w:eastAsia="宋体" w:cs="宋体"/>
          <w:b/>
          <w:bCs/>
          <w:color w:val="auto"/>
          <w:sz w:val="28"/>
          <w:szCs w:val="32"/>
          <w:highlight w:val="none"/>
          <w:lang w:val="zh-CN"/>
        </w:rPr>
        <w:t>七、注意事项</w:t>
      </w:r>
      <w:bookmarkEnd w:id="1164"/>
    </w:p>
    <w:p w14:paraId="1889CC6C">
      <w:pPr>
        <w:ind w:left="315" w:hanging="315" w:hangingChars="15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15</w:t>
      </w:r>
      <w:r>
        <w:rPr>
          <w:rFonts w:hint="eastAsia" w:ascii="宋体" w:hAnsi="宋体" w:eastAsia="宋体" w:cs="宋体"/>
          <w:color w:val="auto"/>
          <w:highlight w:val="none"/>
        </w:rPr>
        <w:t>.</w:t>
      </w:r>
      <w:r>
        <w:rPr>
          <w:rFonts w:hint="eastAsia" w:ascii="宋体" w:hAnsi="宋体" w:eastAsia="宋体" w:cs="宋体"/>
          <w:color w:val="auto"/>
          <w:highlight w:val="none"/>
          <w:lang w:val="zh-CN"/>
        </w:rPr>
        <w:t>为确保评审工作的顺利进行，防止因泄密或其它意外而造成的不良后果及影响，凡参加评审工作的人员都必须认真执行本规定：</w:t>
      </w:r>
    </w:p>
    <w:p w14:paraId="52B41C4D">
      <w:pPr>
        <w:ind w:left="525" w:hanging="525" w:hangingChars="25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（1）在评审工作期间，所有分发的投标文件、资料等仅限于在评审场所中使用，不得带往其它地方，所有的招标文件、投标文件、资料等一律编号登记；</w:t>
      </w:r>
    </w:p>
    <w:p w14:paraId="5112FF3F">
      <w:pPr>
        <w:ind w:left="525" w:hanging="525" w:hangingChars="25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（2）评审人员及工作人员不得在公共场合谈论有关评审内容；</w:t>
      </w:r>
    </w:p>
    <w:p w14:paraId="5DEF07C7">
      <w:pPr>
        <w:ind w:left="525" w:hanging="525" w:hangingChars="25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3）评审人员及工作人员不得以书信、电讯、口述等方式将有关评审内容（如资料、投标文件、投标报价、评审方式、评标委员会的决定、评审组织机构、评审人员名单等）披露给未参加评审的任何无关人员，包括上级领导、同级和下级人员，任何与评审无关的人员（包括亲朋好友和同事）不得进入评审场所；</w:t>
      </w:r>
    </w:p>
    <w:p w14:paraId="08B34721">
      <w:pPr>
        <w:ind w:left="525" w:hanging="525" w:hangingChars="25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（4）</w:t>
      </w:r>
      <w:r>
        <w:rPr>
          <w:rFonts w:hint="eastAsia" w:ascii="宋体" w:hAnsi="宋体" w:eastAsia="宋体" w:cs="宋体"/>
          <w:color w:val="auto"/>
          <w:highlight w:val="none"/>
        </w:rPr>
        <w:t>如有需要举行</w:t>
      </w:r>
      <w:r>
        <w:rPr>
          <w:rFonts w:hint="eastAsia" w:ascii="宋体" w:hAnsi="宋体" w:eastAsia="宋体" w:cs="宋体"/>
          <w:color w:val="auto"/>
          <w:highlight w:val="none"/>
          <w:lang w:val="zh-CN"/>
        </w:rPr>
        <w:t>澄清会</w:t>
      </w:r>
      <w:r>
        <w:rPr>
          <w:rFonts w:hint="eastAsia" w:ascii="宋体" w:hAnsi="宋体" w:eastAsia="宋体" w:cs="宋体"/>
          <w:color w:val="auto"/>
          <w:highlight w:val="none"/>
        </w:rPr>
        <w:t>，</w:t>
      </w:r>
      <w:r>
        <w:rPr>
          <w:rFonts w:hint="eastAsia" w:ascii="宋体" w:hAnsi="宋体" w:eastAsia="宋体" w:cs="宋体"/>
          <w:color w:val="auto"/>
          <w:highlight w:val="none"/>
          <w:lang w:val="zh-CN"/>
        </w:rPr>
        <w:t>在举行与各投标人的澄清会之前评标委员会应明确参加会议的人员及主谈人。任何需要投标人在澄清会上澄清的问题必须经评标委员会成员签字并由主谈人提出。在澄清期间，对于涉及本规定保密范畴的所有内容，主谈人不得向投标人透露；</w:t>
      </w:r>
    </w:p>
    <w:p w14:paraId="56ED09D2">
      <w:pPr>
        <w:ind w:left="525" w:hanging="525" w:hangingChars="25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（5）任何评审人员和工作人员不得对外公布评审的一切内容。</w:t>
      </w:r>
      <w:bookmarkEnd w:id="1137"/>
      <w:bookmarkEnd w:id="1138"/>
      <w:bookmarkEnd w:id="1139"/>
      <w:bookmarkEnd w:id="1140"/>
    </w:p>
    <w:sectPr>
      <w:headerReference r:id="rId6" w:type="first"/>
      <w:footerReference r:id="rId8" w:type="first"/>
      <w:headerReference r:id="rId5" w:type="default"/>
      <w:footerReference r:id="rId7" w:type="default"/>
      <w:pgSz w:w="12240" w:h="15840"/>
      <w:pgMar w:top="1440" w:right="1080" w:bottom="1440" w:left="1080" w:header="850" w:footer="992" w:gutter="0"/>
      <w:cols w:space="0" w:num="1"/>
      <w:titlePg/>
      <w:docGrid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Wingdings 2">
    <w:panose1 w:val="05020102010507070707"/>
    <w:charset w:val="02"/>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3C06EC">
    <w:pPr>
      <w:tabs>
        <w:tab w:val="center" w:pos="4153"/>
        <w:tab w:val="right" w:pos="8306"/>
      </w:tabs>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020653">
                          <w:pPr>
                            <w:pStyle w:val="15"/>
                          </w:pPr>
                          <w:r>
                            <w:t xml:space="preserve">第 </w:t>
                          </w:r>
                          <w:r>
                            <w:fldChar w:fldCharType="begin"/>
                          </w:r>
                          <w:r>
                            <w:instrText xml:space="preserve"> PAGE  \* MERGEFORMAT </w:instrText>
                          </w:r>
                          <w:r>
                            <w:fldChar w:fldCharType="separate"/>
                          </w:r>
                          <w:r>
                            <w:t>28</w:t>
                          </w:r>
                          <w:r>
                            <w:fldChar w:fldCharType="end"/>
                          </w:r>
                          <w:r>
                            <w:t xml:space="preserve"> 页 共 </w:t>
                          </w:r>
                          <w:r>
                            <w:fldChar w:fldCharType="begin"/>
                          </w:r>
                          <w:r>
                            <w:instrText xml:space="preserve"> NUMPAGES  \* MERGEFORMAT </w:instrText>
                          </w:r>
                          <w:r>
                            <w:fldChar w:fldCharType="separate"/>
                          </w:r>
                          <w:r>
                            <w:t>167</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vt69Ys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IbSjRTqPjpx/fT&#10;z4fTr28EZxCotX6GuHuLyNC9Mx2Ch3OPw8i7q5yKXzAi8EPe40Ve0QXC46XpZDrN4eLwDRvgZ4/X&#10;rfPhvTCKRKOgDvVLsrLDxoc+dAiJ2bRZN1KmGkpN2oJevX6b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K+3r1iwCAABXBAAADgAAAAAAAAABACAAAAAfAQAAZHJzL2Uyb0RvYy54bWxQSwUGAAAAAAYA&#10;BgBZAQAAvQUAAAAA&#10;">
              <v:fill on="f" focussize="0,0"/>
              <v:stroke on="f" weight="0.5pt"/>
              <v:imagedata o:title=""/>
              <o:lock v:ext="edit" aspectratio="f"/>
              <v:textbox inset="0mm,0mm,0mm,0mm" style="mso-fit-shape-to-text:t;">
                <w:txbxContent>
                  <w:p w14:paraId="24020653">
                    <w:pPr>
                      <w:pStyle w:val="15"/>
                    </w:pPr>
                    <w:r>
                      <w:t xml:space="preserve">第 </w:t>
                    </w:r>
                    <w:r>
                      <w:fldChar w:fldCharType="begin"/>
                    </w:r>
                    <w:r>
                      <w:instrText xml:space="preserve"> PAGE  \* MERGEFORMAT </w:instrText>
                    </w:r>
                    <w:r>
                      <w:fldChar w:fldCharType="separate"/>
                    </w:r>
                    <w:r>
                      <w:t>28</w:t>
                    </w:r>
                    <w:r>
                      <w:fldChar w:fldCharType="end"/>
                    </w:r>
                    <w:r>
                      <w:t xml:space="preserve"> 页 共 </w:t>
                    </w:r>
                    <w:r>
                      <w:fldChar w:fldCharType="begin"/>
                    </w:r>
                    <w:r>
                      <w:instrText xml:space="preserve"> NUMPAGES  \* MERGEFORMAT </w:instrText>
                    </w:r>
                    <w:r>
                      <w:fldChar w:fldCharType="separate"/>
                    </w:r>
                    <w:r>
                      <w:t>167</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FFDBBD">
    <w:pPr>
      <w:tabs>
        <w:tab w:val="center" w:pos="4153"/>
        <w:tab w:val="right" w:pos="8306"/>
      </w:tabs>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29786D">
                          <w:pPr>
                            <w:pStyle w:val="15"/>
                          </w:pPr>
                          <w:r>
                            <w:t xml:space="preserve">第 </w:t>
                          </w:r>
                          <w:r>
                            <w:fldChar w:fldCharType="begin"/>
                          </w:r>
                          <w:r>
                            <w:instrText xml:space="preserve"> PAGE  \* MERGEFORMAT </w:instrText>
                          </w:r>
                          <w:r>
                            <w:fldChar w:fldCharType="separate"/>
                          </w:r>
                          <w:r>
                            <w:t>74</w:t>
                          </w:r>
                          <w:r>
                            <w:fldChar w:fldCharType="end"/>
                          </w:r>
                          <w:r>
                            <w:t xml:space="preserve"> 页 共 </w:t>
                          </w:r>
                          <w:r>
                            <w:fldChar w:fldCharType="begin"/>
                          </w:r>
                          <w:r>
                            <w:instrText xml:space="preserve"> NUMPAGES  \* MERGEFORMAT </w:instrText>
                          </w:r>
                          <w:r>
                            <w:fldChar w:fldCharType="separate"/>
                          </w:r>
                          <w:r>
                            <w:t>167</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ILIsws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1dvx+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MgsizCwCAABXBAAADgAAAAAAAAABACAAAAAfAQAAZHJzL2Uyb0RvYy54bWxQSwUGAAAAAAYA&#10;BgBZAQAAvQUAAAAA&#10;">
              <v:fill on="f" focussize="0,0"/>
              <v:stroke on="f" weight="0.5pt"/>
              <v:imagedata o:title=""/>
              <o:lock v:ext="edit" aspectratio="f"/>
              <v:textbox inset="0mm,0mm,0mm,0mm" style="mso-fit-shape-to-text:t;">
                <w:txbxContent>
                  <w:p w14:paraId="2529786D">
                    <w:pPr>
                      <w:pStyle w:val="15"/>
                    </w:pPr>
                    <w:r>
                      <w:t xml:space="preserve">第 </w:t>
                    </w:r>
                    <w:r>
                      <w:fldChar w:fldCharType="begin"/>
                    </w:r>
                    <w:r>
                      <w:instrText xml:space="preserve"> PAGE  \* MERGEFORMAT </w:instrText>
                    </w:r>
                    <w:r>
                      <w:fldChar w:fldCharType="separate"/>
                    </w:r>
                    <w:r>
                      <w:t>74</w:t>
                    </w:r>
                    <w:r>
                      <w:fldChar w:fldCharType="end"/>
                    </w:r>
                    <w:r>
                      <w:t xml:space="preserve"> 页 共 </w:t>
                    </w:r>
                    <w:r>
                      <w:fldChar w:fldCharType="begin"/>
                    </w:r>
                    <w:r>
                      <w:instrText xml:space="preserve"> NUMPAGES  \* MERGEFORMAT </w:instrText>
                    </w:r>
                    <w:r>
                      <w:fldChar w:fldCharType="separate"/>
                    </w:r>
                    <w:r>
                      <w:t>167</w:t>
                    </w:r>
                    <w:r>
                      <w:fldChar w:fldCharType="end"/>
                    </w:r>
                    <w: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7E55F4">
    <w:pPr>
      <w:tabs>
        <w:tab w:val="center" w:pos="4153"/>
        <w:tab w:val="right" w:pos="8306"/>
      </w:tabs>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FA872D">
    <w:pPr>
      <w:pBdr>
        <w:bottom w:val="none" w:color="auto" w:sz="0" w:space="1"/>
      </w:pBdr>
      <w:tabs>
        <w:tab w:val="center" w:pos="4153"/>
        <w:tab w:val="right" w:pos="8306"/>
      </w:tabs>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42A3BA7"/>
    <w:multiLevelType w:val="multilevel"/>
    <w:tmpl w:val="442A3BA7"/>
    <w:lvl w:ilvl="0" w:tentative="0">
      <w:start w:val="1"/>
      <w:numFmt w:val="decimal"/>
      <w:lvlText w:val="%1"/>
      <w:lvlJc w:val="left"/>
      <w:pPr>
        <w:ind w:left="360" w:hanging="360"/>
      </w:pPr>
      <w:rPr>
        <w:rFonts w:hint="default" w:ascii="宋体" w:hAnsi="宋体"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MzYzQ2ZDI2MzQ4ODAwMjU3ZGQ0ZWFmNGI3ZDhjYjgifQ=="/>
    <w:docVar w:name="KSO_WPS_MARK_KEY" w:val="6ec1f98f-f3d0-41d0-8d66-851a4cbf3627"/>
  </w:docVars>
  <w:rsids>
    <w:rsidRoot w:val="00130ABA"/>
    <w:rsid w:val="00051A27"/>
    <w:rsid w:val="0008458E"/>
    <w:rsid w:val="000A67EC"/>
    <w:rsid w:val="000B5A71"/>
    <w:rsid w:val="000B5D30"/>
    <w:rsid w:val="00130ABA"/>
    <w:rsid w:val="0014671A"/>
    <w:rsid w:val="00161551"/>
    <w:rsid w:val="001B1300"/>
    <w:rsid w:val="001E2757"/>
    <w:rsid w:val="0020072E"/>
    <w:rsid w:val="00234B9C"/>
    <w:rsid w:val="00292558"/>
    <w:rsid w:val="00297339"/>
    <w:rsid w:val="002A0DEA"/>
    <w:rsid w:val="002B10D6"/>
    <w:rsid w:val="002E43F3"/>
    <w:rsid w:val="003549FA"/>
    <w:rsid w:val="0035758D"/>
    <w:rsid w:val="003624E3"/>
    <w:rsid w:val="00372550"/>
    <w:rsid w:val="003747A8"/>
    <w:rsid w:val="003F3D8A"/>
    <w:rsid w:val="004161B0"/>
    <w:rsid w:val="00436F87"/>
    <w:rsid w:val="00465C08"/>
    <w:rsid w:val="004716B8"/>
    <w:rsid w:val="00566858"/>
    <w:rsid w:val="005B3211"/>
    <w:rsid w:val="00621E70"/>
    <w:rsid w:val="00650457"/>
    <w:rsid w:val="00652EC6"/>
    <w:rsid w:val="00655814"/>
    <w:rsid w:val="00715112"/>
    <w:rsid w:val="007C6C39"/>
    <w:rsid w:val="00830902"/>
    <w:rsid w:val="008439DC"/>
    <w:rsid w:val="00893FD1"/>
    <w:rsid w:val="008D0151"/>
    <w:rsid w:val="008F51FA"/>
    <w:rsid w:val="00915603"/>
    <w:rsid w:val="00A04446"/>
    <w:rsid w:val="00A43896"/>
    <w:rsid w:val="00A830DF"/>
    <w:rsid w:val="00AD3EBB"/>
    <w:rsid w:val="00B12C67"/>
    <w:rsid w:val="00B337AB"/>
    <w:rsid w:val="00B709BD"/>
    <w:rsid w:val="00BA0381"/>
    <w:rsid w:val="00BA4E7F"/>
    <w:rsid w:val="00BB1DE1"/>
    <w:rsid w:val="00C04439"/>
    <w:rsid w:val="00C15258"/>
    <w:rsid w:val="00CA30B0"/>
    <w:rsid w:val="00CB09A9"/>
    <w:rsid w:val="00CB3F6E"/>
    <w:rsid w:val="00D276B6"/>
    <w:rsid w:val="00D525C5"/>
    <w:rsid w:val="00D610FC"/>
    <w:rsid w:val="00D65D05"/>
    <w:rsid w:val="00D814E3"/>
    <w:rsid w:val="00DB42AA"/>
    <w:rsid w:val="00DD6BF8"/>
    <w:rsid w:val="00E34985"/>
    <w:rsid w:val="00E45C96"/>
    <w:rsid w:val="00EE621C"/>
    <w:rsid w:val="00EF6F77"/>
    <w:rsid w:val="00F41EFC"/>
    <w:rsid w:val="00FF3D92"/>
    <w:rsid w:val="011E2A15"/>
    <w:rsid w:val="0124687C"/>
    <w:rsid w:val="013E3EBF"/>
    <w:rsid w:val="015B75DE"/>
    <w:rsid w:val="016E1C33"/>
    <w:rsid w:val="01A52CC1"/>
    <w:rsid w:val="01AD2CFE"/>
    <w:rsid w:val="02334B34"/>
    <w:rsid w:val="026E13C2"/>
    <w:rsid w:val="028700C3"/>
    <w:rsid w:val="02874EB6"/>
    <w:rsid w:val="029A335C"/>
    <w:rsid w:val="02A6194E"/>
    <w:rsid w:val="02DD63FD"/>
    <w:rsid w:val="02E82049"/>
    <w:rsid w:val="03576152"/>
    <w:rsid w:val="03C72C05"/>
    <w:rsid w:val="03CB3B6A"/>
    <w:rsid w:val="03D666F8"/>
    <w:rsid w:val="03EF1A15"/>
    <w:rsid w:val="03F82FC0"/>
    <w:rsid w:val="040B64A7"/>
    <w:rsid w:val="044F0764"/>
    <w:rsid w:val="047E62BE"/>
    <w:rsid w:val="04AA104C"/>
    <w:rsid w:val="04BF7BFE"/>
    <w:rsid w:val="04CE3550"/>
    <w:rsid w:val="051929A0"/>
    <w:rsid w:val="053B0381"/>
    <w:rsid w:val="05580779"/>
    <w:rsid w:val="05837F1D"/>
    <w:rsid w:val="05884D86"/>
    <w:rsid w:val="0596213E"/>
    <w:rsid w:val="05A31AC1"/>
    <w:rsid w:val="05FC32CE"/>
    <w:rsid w:val="067B61FC"/>
    <w:rsid w:val="06880188"/>
    <w:rsid w:val="06D93B05"/>
    <w:rsid w:val="071E3C0C"/>
    <w:rsid w:val="0762732D"/>
    <w:rsid w:val="0775005F"/>
    <w:rsid w:val="07C84A57"/>
    <w:rsid w:val="07E475CA"/>
    <w:rsid w:val="07EB249B"/>
    <w:rsid w:val="081449CC"/>
    <w:rsid w:val="088F2161"/>
    <w:rsid w:val="08B50B49"/>
    <w:rsid w:val="08CC6D82"/>
    <w:rsid w:val="08F81717"/>
    <w:rsid w:val="09337CF0"/>
    <w:rsid w:val="09611A4A"/>
    <w:rsid w:val="09B13A0A"/>
    <w:rsid w:val="09D917DB"/>
    <w:rsid w:val="09E265F1"/>
    <w:rsid w:val="09FD1E6C"/>
    <w:rsid w:val="0A40746F"/>
    <w:rsid w:val="0A940DEC"/>
    <w:rsid w:val="0AD142A1"/>
    <w:rsid w:val="0AE461EA"/>
    <w:rsid w:val="0AEE40C4"/>
    <w:rsid w:val="0B136D34"/>
    <w:rsid w:val="0B1C3A38"/>
    <w:rsid w:val="0B8D66E4"/>
    <w:rsid w:val="0B9661A6"/>
    <w:rsid w:val="0BD95AF9"/>
    <w:rsid w:val="0C4B4C3A"/>
    <w:rsid w:val="0CBB2901"/>
    <w:rsid w:val="0CC26BA3"/>
    <w:rsid w:val="0CF71CCD"/>
    <w:rsid w:val="0D1F0425"/>
    <w:rsid w:val="0D2E7A52"/>
    <w:rsid w:val="0D3161A1"/>
    <w:rsid w:val="0D8077B6"/>
    <w:rsid w:val="0D991370"/>
    <w:rsid w:val="0D9A0C44"/>
    <w:rsid w:val="0E08298E"/>
    <w:rsid w:val="0E082CB6"/>
    <w:rsid w:val="0E140CE4"/>
    <w:rsid w:val="0E4E1FFD"/>
    <w:rsid w:val="0E55673B"/>
    <w:rsid w:val="0EA36653"/>
    <w:rsid w:val="0EC20452"/>
    <w:rsid w:val="0ED47966"/>
    <w:rsid w:val="0F005A9F"/>
    <w:rsid w:val="0F035DA3"/>
    <w:rsid w:val="0F7D2A54"/>
    <w:rsid w:val="0F8055FE"/>
    <w:rsid w:val="0FB64345"/>
    <w:rsid w:val="0FD259E1"/>
    <w:rsid w:val="0FE968C3"/>
    <w:rsid w:val="100C3027"/>
    <w:rsid w:val="101767CC"/>
    <w:rsid w:val="106240D1"/>
    <w:rsid w:val="10F00C38"/>
    <w:rsid w:val="112112E0"/>
    <w:rsid w:val="112268FE"/>
    <w:rsid w:val="11427629"/>
    <w:rsid w:val="11496C09"/>
    <w:rsid w:val="11800B85"/>
    <w:rsid w:val="11EB4164"/>
    <w:rsid w:val="120D5D82"/>
    <w:rsid w:val="12415B32"/>
    <w:rsid w:val="12483481"/>
    <w:rsid w:val="126006AE"/>
    <w:rsid w:val="12BB06BA"/>
    <w:rsid w:val="12E8799F"/>
    <w:rsid w:val="130E3C80"/>
    <w:rsid w:val="133631BD"/>
    <w:rsid w:val="136B0817"/>
    <w:rsid w:val="139B74C4"/>
    <w:rsid w:val="13BC2C0C"/>
    <w:rsid w:val="13EE3A98"/>
    <w:rsid w:val="13F653D3"/>
    <w:rsid w:val="1420308A"/>
    <w:rsid w:val="143E73BA"/>
    <w:rsid w:val="14AF4812"/>
    <w:rsid w:val="14F82910"/>
    <w:rsid w:val="1511631C"/>
    <w:rsid w:val="15146C09"/>
    <w:rsid w:val="15155054"/>
    <w:rsid w:val="154D47EE"/>
    <w:rsid w:val="15695CAA"/>
    <w:rsid w:val="158F3130"/>
    <w:rsid w:val="15C6681E"/>
    <w:rsid w:val="16022748"/>
    <w:rsid w:val="16302145"/>
    <w:rsid w:val="165006DF"/>
    <w:rsid w:val="165B222C"/>
    <w:rsid w:val="173936C4"/>
    <w:rsid w:val="1745691D"/>
    <w:rsid w:val="17481711"/>
    <w:rsid w:val="177A32CC"/>
    <w:rsid w:val="177E515D"/>
    <w:rsid w:val="17967B20"/>
    <w:rsid w:val="17D31922"/>
    <w:rsid w:val="17D4047C"/>
    <w:rsid w:val="17E466BE"/>
    <w:rsid w:val="18167A61"/>
    <w:rsid w:val="18300B23"/>
    <w:rsid w:val="18365F2B"/>
    <w:rsid w:val="183B17B4"/>
    <w:rsid w:val="184256D6"/>
    <w:rsid w:val="18506ACF"/>
    <w:rsid w:val="18626802"/>
    <w:rsid w:val="1897193F"/>
    <w:rsid w:val="189F012D"/>
    <w:rsid w:val="18AD4266"/>
    <w:rsid w:val="18B90246"/>
    <w:rsid w:val="18D47700"/>
    <w:rsid w:val="18E910F1"/>
    <w:rsid w:val="19020270"/>
    <w:rsid w:val="19194EFF"/>
    <w:rsid w:val="19DF1C83"/>
    <w:rsid w:val="1A480A89"/>
    <w:rsid w:val="1A8F1FDF"/>
    <w:rsid w:val="1A91092D"/>
    <w:rsid w:val="1A9D4711"/>
    <w:rsid w:val="1ADD7698"/>
    <w:rsid w:val="1AF44089"/>
    <w:rsid w:val="1B0E3929"/>
    <w:rsid w:val="1B400101"/>
    <w:rsid w:val="1B5C7FD2"/>
    <w:rsid w:val="1B965141"/>
    <w:rsid w:val="1BC25F36"/>
    <w:rsid w:val="1BE0016A"/>
    <w:rsid w:val="1BF87D6F"/>
    <w:rsid w:val="1C3744D6"/>
    <w:rsid w:val="1C841C44"/>
    <w:rsid w:val="1C913B5A"/>
    <w:rsid w:val="1C9B4E75"/>
    <w:rsid w:val="1CEF4698"/>
    <w:rsid w:val="1D2502C4"/>
    <w:rsid w:val="1D3C3473"/>
    <w:rsid w:val="1D3F2601"/>
    <w:rsid w:val="1DB55626"/>
    <w:rsid w:val="1DCA10D2"/>
    <w:rsid w:val="1DD020E8"/>
    <w:rsid w:val="1E7238AA"/>
    <w:rsid w:val="1EA062D6"/>
    <w:rsid w:val="1EC625B7"/>
    <w:rsid w:val="1EF67CA4"/>
    <w:rsid w:val="1F1B770B"/>
    <w:rsid w:val="1F393723"/>
    <w:rsid w:val="1FA13B21"/>
    <w:rsid w:val="1FB54AC2"/>
    <w:rsid w:val="1FC14756"/>
    <w:rsid w:val="1FCD1704"/>
    <w:rsid w:val="201E2585"/>
    <w:rsid w:val="2036103D"/>
    <w:rsid w:val="20971684"/>
    <w:rsid w:val="20E93F65"/>
    <w:rsid w:val="211B0BF1"/>
    <w:rsid w:val="21240AF9"/>
    <w:rsid w:val="21287A47"/>
    <w:rsid w:val="214B7A58"/>
    <w:rsid w:val="215C170D"/>
    <w:rsid w:val="21747CD2"/>
    <w:rsid w:val="217A0F23"/>
    <w:rsid w:val="21D40771"/>
    <w:rsid w:val="21E9348A"/>
    <w:rsid w:val="22230121"/>
    <w:rsid w:val="2239569D"/>
    <w:rsid w:val="225A2921"/>
    <w:rsid w:val="22662DD0"/>
    <w:rsid w:val="22BA5BB9"/>
    <w:rsid w:val="22BD7457"/>
    <w:rsid w:val="22D1766D"/>
    <w:rsid w:val="22FE5B53"/>
    <w:rsid w:val="23220B0D"/>
    <w:rsid w:val="23281071"/>
    <w:rsid w:val="232C7C9D"/>
    <w:rsid w:val="235229D8"/>
    <w:rsid w:val="23DE44EE"/>
    <w:rsid w:val="23DF22F3"/>
    <w:rsid w:val="23ED2C95"/>
    <w:rsid w:val="23ED3C99"/>
    <w:rsid w:val="24123A6E"/>
    <w:rsid w:val="242D7C36"/>
    <w:rsid w:val="24B2092B"/>
    <w:rsid w:val="25304004"/>
    <w:rsid w:val="25327B2B"/>
    <w:rsid w:val="253C7672"/>
    <w:rsid w:val="25B97521"/>
    <w:rsid w:val="25F463D3"/>
    <w:rsid w:val="26211FF3"/>
    <w:rsid w:val="26446854"/>
    <w:rsid w:val="2645048E"/>
    <w:rsid w:val="26484C80"/>
    <w:rsid w:val="26674BEA"/>
    <w:rsid w:val="26782D8B"/>
    <w:rsid w:val="268268EB"/>
    <w:rsid w:val="26834AC8"/>
    <w:rsid w:val="269100D3"/>
    <w:rsid w:val="26A50CD6"/>
    <w:rsid w:val="26D52B04"/>
    <w:rsid w:val="270C51C5"/>
    <w:rsid w:val="274441DE"/>
    <w:rsid w:val="2752677F"/>
    <w:rsid w:val="276E7A17"/>
    <w:rsid w:val="278A75DF"/>
    <w:rsid w:val="27C24197"/>
    <w:rsid w:val="27E232A4"/>
    <w:rsid w:val="28537EBF"/>
    <w:rsid w:val="289A7F4A"/>
    <w:rsid w:val="28B36086"/>
    <w:rsid w:val="28D42E04"/>
    <w:rsid w:val="29A5267F"/>
    <w:rsid w:val="2A1E1CDB"/>
    <w:rsid w:val="2A411D9F"/>
    <w:rsid w:val="2A82573B"/>
    <w:rsid w:val="2AD27853"/>
    <w:rsid w:val="2AD90BA6"/>
    <w:rsid w:val="2AF95CF5"/>
    <w:rsid w:val="2B033E75"/>
    <w:rsid w:val="2B0439D3"/>
    <w:rsid w:val="2B147E30"/>
    <w:rsid w:val="2B314330"/>
    <w:rsid w:val="2B401557"/>
    <w:rsid w:val="2B61460A"/>
    <w:rsid w:val="2B7A35A5"/>
    <w:rsid w:val="2BA86521"/>
    <w:rsid w:val="2BBD3B95"/>
    <w:rsid w:val="2BC74EA2"/>
    <w:rsid w:val="2BDB639C"/>
    <w:rsid w:val="2C011C03"/>
    <w:rsid w:val="2C68486B"/>
    <w:rsid w:val="2C8D134E"/>
    <w:rsid w:val="2C9A764E"/>
    <w:rsid w:val="2CBE503B"/>
    <w:rsid w:val="2CD1099B"/>
    <w:rsid w:val="2CD755B9"/>
    <w:rsid w:val="2CE77BE1"/>
    <w:rsid w:val="2D0524B8"/>
    <w:rsid w:val="2D107BD6"/>
    <w:rsid w:val="2D5F12F3"/>
    <w:rsid w:val="2D840FA5"/>
    <w:rsid w:val="2DF07E90"/>
    <w:rsid w:val="2DF857E7"/>
    <w:rsid w:val="2E190FA2"/>
    <w:rsid w:val="2EBA0D8A"/>
    <w:rsid w:val="2EE24E4E"/>
    <w:rsid w:val="2F3967F7"/>
    <w:rsid w:val="2F4316F0"/>
    <w:rsid w:val="2F4341ED"/>
    <w:rsid w:val="2FC80E32"/>
    <w:rsid w:val="2FC92F3E"/>
    <w:rsid w:val="302575CB"/>
    <w:rsid w:val="303C1F33"/>
    <w:rsid w:val="30694209"/>
    <w:rsid w:val="30696528"/>
    <w:rsid w:val="306C7DC6"/>
    <w:rsid w:val="30B13928"/>
    <w:rsid w:val="30BC667B"/>
    <w:rsid w:val="30C13527"/>
    <w:rsid w:val="312C5B2F"/>
    <w:rsid w:val="31BD0FE7"/>
    <w:rsid w:val="31DB5EC0"/>
    <w:rsid w:val="31E367AE"/>
    <w:rsid w:val="320325B1"/>
    <w:rsid w:val="325D7451"/>
    <w:rsid w:val="32A163CB"/>
    <w:rsid w:val="32B72826"/>
    <w:rsid w:val="32FD3242"/>
    <w:rsid w:val="33174961"/>
    <w:rsid w:val="33470C3B"/>
    <w:rsid w:val="337D0143"/>
    <w:rsid w:val="33AD555A"/>
    <w:rsid w:val="33E53138"/>
    <w:rsid w:val="34044EE1"/>
    <w:rsid w:val="342C1A8C"/>
    <w:rsid w:val="34425619"/>
    <w:rsid w:val="34A56968"/>
    <w:rsid w:val="34D22B31"/>
    <w:rsid w:val="34D463BA"/>
    <w:rsid w:val="35303D7D"/>
    <w:rsid w:val="353A20B2"/>
    <w:rsid w:val="35614878"/>
    <w:rsid w:val="357D18F2"/>
    <w:rsid w:val="358418E4"/>
    <w:rsid w:val="358A766C"/>
    <w:rsid w:val="35FD01EF"/>
    <w:rsid w:val="36383CA0"/>
    <w:rsid w:val="364918FD"/>
    <w:rsid w:val="36655284"/>
    <w:rsid w:val="36951585"/>
    <w:rsid w:val="37024EF4"/>
    <w:rsid w:val="376C5840"/>
    <w:rsid w:val="37702DCA"/>
    <w:rsid w:val="37905B38"/>
    <w:rsid w:val="37AE5A9A"/>
    <w:rsid w:val="38321D7F"/>
    <w:rsid w:val="385F7C43"/>
    <w:rsid w:val="389B25CD"/>
    <w:rsid w:val="38A32434"/>
    <w:rsid w:val="3928606C"/>
    <w:rsid w:val="394C0D62"/>
    <w:rsid w:val="394F430B"/>
    <w:rsid w:val="397A3EE2"/>
    <w:rsid w:val="3A0379ED"/>
    <w:rsid w:val="3A2D0A2B"/>
    <w:rsid w:val="3A42476C"/>
    <w:rsid w:val="3A4D6EBA"/>
    <w:rsid w:val="3AAC09B4"/>
    <w:rsid w:val="3ACB48D2"/>
    <w:rsid w:val="3AE24BAA"/>
    <w:rsid w:val="3B2456B8"/>
    <w:rsid w:val="3B2C087E"/>
    <w:rsid w:val="3B2D45F6"/>
    <w:rsid w:val="3B344720"/>
    <w:rsid w:val="3B506366"/>
    <w:rsid w:val="3B820471"/>
    <w:rsid w:val="3BA5255C"/>
    <w:rsid w:val="3BE253E0"/>
    <w:rsid w:val="3C280083"/>
    <w:rsid w:val="3C5C2972"/>
    <w:rsid w:val="3C661245"/>
    <w:rsid w:val="3C971EA0"/>
    <w:rsid w:val="3CB22461"/>
    <w:rsid w:val="3CB76CDD"/>
    <w:rsid w:val="3D853A17"/>
    <w:rsid w:val="3DA62599"/>
    <w:rsid w:val="3DB70915"/>
    <w:rsid w:val="3E066515"/>
    <w:rsid w:val="3E497999"/>
    <w:rsid w:val="3E740EBA"/>
    <w:rsid w:val="3E860AB5"/>
    <w:rsid w:val="3EA21734"/>
    <w:rsid w:val="3EA572C5"/>
    <w:rsid w:val="3EBB7E34"/>
    <w:rsid w:val="3EDC25BB"/>
    <w:rsid w:val="3EE37DED"/>
    <w:rsid w:val="3F0479F2"/>
    <w:rsid w:val="3F197408"/>
    <w:rsid w:val="3F400570"/>
    <w:rsid w:val="3FD20CE1"/>
    <w:rsid w:val="3FF34CD9"/>
    <w:rsid w:val="402B25A9"/>
    <w:rsid w:val="40307062"/>
    <w:rsid w:val="404011E3"/>
    <w:rsid w:val="404651C2"/>
    <w:rsid w:val="405F34A4"/>
    <w:rsid w:val="406F1943"/>
    <w:rsid w:val="408347E6"/>
    <w:rsid w:val="409C456C"/>
    <w:rsid w:val="40C616FE"/>
    <w:rsid w:val="40ED716C"/>
    <w:rsid w:val="41231F74"/>
    <w:rsid w:val="41382B15"/>
    <w:rsid w:val="4155752F"/>
    <w:rsid w:val="41676AB4"/>
    <w:rsid w:val="417C2042"/>
    <w:rsid w:val="41BF1AB4"/>
    <w:rsid w:val="42254FE2"/>
    <w:rsid w:val="422E5823"/>
    <w:rsid w:val="424B207F"/>
    <w:rsid w:val="42894808"/>
    <w:rsid w:val="42A05B31"/>
    <w:rsid w:val="42B565A2"/>
    <w:rsid w:val="435450D8"/>
    <w:rsid w:val="43737A00"/>
    <w:rsid w:val="43912997"/>
    <w:rsid w:val="43C96F90"/>
    <w:rsid w:val="43D64FF6"/>
    <w:rsid w:val="442B3881"/>
    <w:rsid w:val="443A504F"/>
    <w:rsid w:val="443E4864"/>
    <w:rsid w:val="44426C22"/>
    <w:rsid w:val="444662BE"/>
    <w:rsid w:val="45624364"/>
    <w:rsid w:val="45722C35"/>
    <w:rsid w:val="459D036F"/>
    <w:rsid w:val="45AF072F"/>
    <w:rsid w:val="45DE0715"/>
    <w:rsid w:val="46024FFD"/>
    <w:rsid w:val="462C1D34"/>
    <w:rsid w:val="46D64008"/>
    <w:rsid w:val="46E2756D"/>
    <w:rsid w:val="47793279"/>
    <w:rsid w:val="47A66D56"/>
    <w:rsid w:val="47D92A25"/>
    <w:rsid w:val="47EA7AF7"/>
    <w:rsid w:val="47EB5F1A"/>
    <w:rsid w:val="48463477"/>
    <w:rsid w:val="487C1EC4"/>
    <w:rsid w:val="48963714"/>
    <w:rsid w:val="48DC3376"/>
    <w:rsid w:val="48E019BA"/>
    <w:rsid w:val="490258FE"/>
    <w:rsid w:val="49261E81"/>
    <w:rsid w:val="49384FE0"/>
    <w:rsid w:val="495D3907"/>
    <w:rsid w:val="4997184B"/>
    <w:rsid w:val="4999650B"/>
    <w:rsid w:val="49B029DB"/>
    <w:rsid w:val="49DB35B4"/>
    <w:rsid w:val="4A460B73"/>
    <w:rsid w:val="4A9262AC"/>
    <w:rsid w:val="4AA33811"/>
    <w:rsid w:val="4AAE5753"/>
    <w:rsid w:val="4ABF49AF"/>
    <w:rsid w:val="4AC36825"/>
    <w:rsid w:val="4B122F01"/>
    <w:rsid w:val="4B1C149D"/>
    <w:rsid w:val="4B5464E4"/>
    <w:rsid w:val="4B6B0F4E"/>
    <w:rsid w:val="4B8E7A8E"/>
    <w:rsid w:val="4B9F6E4A"/>
    <w:rsid w:val="4BE34E14"/>
    <w:rsid w:val="4C157818"/>
    <w:rsid w:val="4C251A45"/>
    <w:rsid w:val="4C4C5224"/>
    <w:rsid w:val="4C5D5627"/>
    <w:rsid w:val="4CB35560"/>
    <w:rsid w:val="4CC17D09"/>
    <w:rsid w:val="4CEA0599"/>
    <w:rsid w:val="4D2849D3"/>
    <w:rsid w:val="4DB1323F"/>
    <w:rsid w:val="4DB633E3"/>
    <w:rsid w:val="4E2E11A8"/>
    <w:rsid w:val="4E9640F3"/>
    <w:rsid w:val="4EA80EE9"/>
    <w:rsid w:val="4EAC185D"/>
    <w:rsid w:val="4EB404A6"/>
    <w:rsid w:val="4ECD3DA2"/>
    <w:rsid w:val="4F03389A"/>
    <w:rsid w:val="4F4328D6"/>
    <w:rsid w:val="50094C93"/>
    <w:rsid w:val="500E53BA"/>
    <w:rsid w:val="501E16DB"/>
    <w:rsid w:val="504A4631"/>
    <w:rsid w:val="508166BD"/>
    <w:rsid w:val="50AF7B2F"/>
    <w:rsid w:val="50BF708E"/>
    <w:rsid w:val="50F121D0"/>
    <w:rsid w:val="50FD38FE"/>
    <w:rsid w:val="5101065B"/>
    <w:rsid w:val="5114215E"/>
    <w:rsid w:val="512D60C4"/>
    <w:rsid w:val="51A41A56"/>
    <w:rsid w:val="51BF0246"/>
    <w:rsid w:val="51D63772"/>
    <w:rsid w:val="51EA3278"/>
    <w:rsid w:val="521E0702"/>
    <w:rsid w:val="52362352"/>
    <w:rsid w:val="526B3A44"/>
    <w:rsid w:val="52844E0B"/>
    <w:rsid w:val="52B103B0"/>
    <w:rsid w:val="52C57971"/>
    <w:rsid w:val="52F0394A"/>
    <w:rsid w:val="533833F2"/>
    <w:rsid w:val="533D2F4E"/>
    <w:rsid w:val="53766DD1"/>
    <w:rsid w:val="541B526D"/>
    <w:rsid w:val="54857525"/>
    <w:rsid w:val="54A95905"/>
    <w:rsid w:val="552075CD"/>
    <w:rsid w:val="55580A51"/>
    <w:rsid w:val="557A30A8"/>
    <w:rsid w:val="55B65AE3"/>
    <w:rsid w:val="55E50D92"/>
    <w:rsid w:val="56465FAC"/>
    <w:rsid w:val="56574EF1"/>
    <w:rsid w:val="56717635"/>
    <w:rsid w:val="56DF15AE"/>
    <w:rsid w:val="57193F55"/>
    <w:rsid w:val="5786241A"/>
    <w:rsid w:val="57935974"/>
    <w:rsid w:val="57F21B5A"/>
    <w:rsid w:val="5807444D"/>
    <w:rsid w:val="585B5F86"/>
    <w:rsid w:val="587442AD"/>
    <w:rsid w:val="587D0513"/>
    <w:rsid w:val="58E0346C"/>
    <w:rsid w:val="59174845"/>
    <w:rsid w:val="59232E69"/>
    <w:rsid w:val="593756E0"/>
    <w:rsid w:val="59380051"/>
    <w:rsid w:val="596274D2"/>
    <w:rsid w:val="59670247"/>
    <w:rsid w:val="599F2853"/>
    <w:rsid w:val="59A1611D"/>
    <w:rsid w:val="59B166C6"/>
    <w:rsid w:val="59F475D1"/>
    <w:rsid w:val="5A2C48CC"/>
    <w:rsid w:val="5A4D52DA"/>
    <w:rsid w:val="5A5A6003"/>
    <w:rsid w:val="5A9378D7"/>
    <w:rsid w:val="5AAC7035"/>
    <w:rsid w:val="5AB93BC9"/>
    <w:rsid w:val="5B0D365F"/>
    <w:rsid w:val="5B127639"/>
    <w:rsid w:val="5B350B22"/>
    <w:rsid w:val="5B39291B"/>
    <w:rsid w:val="5B5639C9"/>
    <w:rsid w:val="5B5B0FE0"/>
    <w:rsid w:val="5B60340D"/>
    <w:rsid w:val="5B6431F1"/>
    <w:rsid w:val="5B9A1948"/>
    <w:rsid w:val="5BC70423"/>
    <w:rsid w:val="5BF013D1"/>
    <w:rsid w:val="5C2E7207"/>
    <w:rsid w:val="5CAD614F"/>
    <w:rsid w:val="5CB244F5"/>
    <w:rsid w:val="5CD94447"/>
    <w:rsid w:val="5CF51FF8"/>
    <w:rsid w:val="5D6A375C"/>
    <w:rsid w:val="5D910E46"/>
    <w:rsid w:val="5D9211FA"/>
    <w:rsid w:val="5DB0462E"/>
    <w:rsid w:val="5DD72473"/>
    <w:rsid w:val="5DFE4C7B"/>
    <w:rsid w:val="5E14772C"/>
    <w:rsid w:val="5E1B3BBB"/>
    <w:rsid w:val="5E1C44E0"/>
    <w:rsid w:val="5E2F17F0"/>
    <w:rsid w:val="5E8F2D4E"/>
    <w:rsid w:val="5EDF7832"/>
    <w:rsid w:val="5F08322C"/>
    <w:rsid w:val="5F7A1C50"/>
    <w:rsid w:val="5FA016B7"/>
    <w:rsid w:val="5FA532D7"/>
    <w:rsid w:val="5FDE07E7"/>
    <w:rsid w:val="60B70017"/>
    <w:rsid w:val="60E25CA8"/>
    <w:rsid w:val="617630CA"/>
    <w:rsid w:val="6183303E"/>
    <w:rsid w:val="61940191"/>
    <w:rsid w:val="61BE0BAD"/>
    <w:rsid w:val="6203206D"/>
    <w:rsid w:val="620440FF"/>
    <w:rsid w:val="624C78D4"/>
    <w:rsid w:val="62E82F0B"/>
    <w:rsid w:val="63324C0A"/>
    <w:rsid w:val="634B4B90"/>
    <w:rsid w:val="63825358"/>
    <w:rsid w:val="63870498"/>
    <w:rsid w:val="638E5BFC"/>
    <w:rsid w:val="6397247E"/>
    <w:rsid w:val="639B1317"/>
    <w:rsid w:val="639B550B"/>
    <w:rsid w:val="640A6CEE"/>
    <w:rsid w:val="64A85D79"/>
    <w:rsid w:val="64C01EB3"/>
    <w:rsid w:val="65581FBD"/>
    <w:rsid w:val="65916111"/>
    <w:rsid w:val="65921444"/>
    <w:rsid w:val="65A901B4"/>
    <w:rsid w:val="65C41412"/>
    <w:rsid w:val="65C8296F"/>
    <w:rsid w:val="65F242EE"/>
    <w:rsid w:val="6637231A"/>
    <w:rsid w:val="66380F1F"/>
    <w:rsid w:val="67355410"/>
    <w:rsid w:val="674974BA"/>
    <w:rsid w:val="674A2385"/>
    <w:rsid w:val="67664529"/>
    <w:rsid w:val="678310A2"/>
    <w:rsid w:val="67EE0585"/>
    <w:rsid w:val="67EE70F0"/>
    <w:rsid w:val="683010FE"/>
    <w:rsid w:val="68EB6E00"/>
    <w:rsid w:val="68FD6F24"/>
    <w:rsid w:val="69054245"/>
    <w:rsid w:val="69771A6E"/>
    <w:rsid w:val="69A066F7"/>
    <w:rsid w:val="69AD00DC"/>
    <w:rsid w:val="69AE24B5"/>
    <w:rsid w:val="69B05857"/>
    <w:rsid w:val="69B22DB2"/>
    <w:rsid w:val="69B6118A"/>
    <w:rsid w:val="69B8584F"/>
    <w:rsid w:val="69D23634"/>
    <w:rsid w:val="69D92FBF"/>
    <w:rsid w:val="69DD3EE4"/>
    <w:rsid w:val="6A060B03"/>
    <w:rsid w:val="6A281164"/>
    <w:rsid w:val="6B1070BB"/>
    <w:rsid w:val="6B3479EF"/>
    <w:rsid w:val="6B3D71D1"/>
    <w:rsid w:val="6B3E732D"/>
    <w:rsid w:val="6B4D2364"/>
    <w:rsid w:val="6B513865"/>
    <w:rsid w:val="6B7F1541"/>
    <w:rsid w:val="6C1128DB"/>
    <w:rsid w:val="6C3B63BA"/>
    <w:rsid w:val="6C4E249B"/>
    <w:rsid w:val="6CAB0871"/>
    <w:rsid w:val="6CAE4CE7"/>
    <w:rsid w:val="6CCD4886"/>
    <w:rsid w:val="6D084C95"/>
    <w:rsid w:val="6D35525A"/>
    <w:rsid w:val="6D3D11D7"/>
    <w:rsid w:val="6D404A05"/>
    <w:rsid w:val="6D7A1728"/>
    <w:rsid w:val="6D7E771B"/>
    <w:rsid w:val="6D8F44C4"/>
    <w:rsid w:val="6DB82591"/>
    <w:rsid w:val="6DB904CC"/>
    <w:rsid w:val="6E0C3960"/>
    <w:rsid w:val="6E0F17B6"/>
    <w:rsid w:val="6E593E30"/>
    <w:rsid w:val="6E8B1784"/>
    <w:rsid w:val="6E9851EC"/>
    <w:rsid w:val="6EDC1099"/>
    <w:rsid w:val="6EFC5E95"/>
    <w:rsid w:val="6F5222A2"/>
    <w:rsid w:val="6F5D05AB"/>
    <w:rsid w:val="6F5D4433"/>
    <w:rsid w:val="6F614B28"/>
    <w:rsid w:val="6F704724"/>
    <w:rsid w:val="6F7B5F45"/>
    <w:rsid w:val="6F885CC3"/>
    <w:rsid w:val="6F92269E"/>
    <w:rsid w:val="6F9B1F31"/>
    <w:rsid w:val="6F9D07A9"/>
    <w:rsid w:val="6FBD3AD2"/>
    <w:rsid w:val="6FCB2EA1"/>
    <w:rsid w:val="6FFA70E5"/>
    <w:rsid w:val="6FFD3FBC"/>
    <w:rsid w:val="702C4355"/>
    <w:rsid w:val="70317E10"/>
    <w:rsid w:val="7032070A"/>
    <w:rsid w:val="7093364A"/>
    <w:rsid w:val="70C459C8"/>
    <w:rsid w:val="70CF3DA0"/>
    <w:rsid w:val="71683EB5"/>
    <w:rsid w:val="7190249A"/>
    <w:rsid w:val="71A56D17"/>
    <w:rsid w:val="71AD0966"/>
    <w:rsid w:val="71B36DE8"/>
    <w:rsid w:val="725620A9"/>
    <w:rsid w:val="72596ECB"/>
    <w:rsid w:val="727732A3"/>
    <w:rsid w:val="727D22A9"/>
    <w:rsid w:val="728E3B77"/>
    <w:rsid w:val="72A84683"/>
    <w:rsid w:val="72C91D53"/>
    <w:rsid w:val="73067FFD"/>
    <w:rsid w:val="73263829"/>
    <w:rsid w:val="73950A4E"/>
    <w:rsid w:val="74027C9B"/>
    <w:rsid w:val="74380971"/>
    <w:rsid w:val="743E4472"/>
    <w:rsid w:val="74822A6C"/>
    <w:rsid w:val="74890514"/>
    <w:rsid w:val="74A40DE6"/>
    <w:rsid w:val="74D06143"/>
    <w:rsid w:val="74F677D0"/>
    <w:rsid w:val="74FE3782"/>
    <w:rsid w:val="752A44AF"/>
    <w:rsid w:val="7547391B"/>
    <w:rsid w:val="755A3E5F"/>
    <w:rsid w:val="75AB36C9"/>
    <w:rsid w:val="75CB690A"/>
    <w:rsid w:val="76511110"/>
    <w:rsid w:val="76991BA7"/>
    <w:rsid w:val="76E958E3"/>
    <w:rsid w:val="77176F12"/>
    <w:rsid w:val="776353A0"/>
    <w:rsid w:val="77DE2AA0"/>
    <w:rsid w:val="77ED75BA"/>
    <w:rsid w:val="78013412"/>
    <w:rsid w:val="78485B52"/>
    <w:rsid w:val="785754AB"/>
    <w:rsid w:val="78AE5E2B"/>
    <w:rsid w:val="78B74FC1"/>
    <w:rsid w:val="78DF0786"/>
    <w:rsid w:val="78ED1F61"/>
    <w:rsid w:val="7940345B"/>
    <w:rsid w:val="795A3AC4"/>
    <w:rsid w:val="797F60F9"/>
    <w:rsid w:val="79BE416D"/>
    <w:rsid w:val="7A1C062B"/>
    <w:rsid w:val="7A344F2F"/>
    <w:rsid w:val="7A65344B"/>
    <w:rsid w:val="7AB83E43"/>
    <w:rsid w:val="7AC53928"/>
    <w:rsid w:val="7AC94B56"/>
    <w:rsid w:val="7B0D40DD"/>
    <w:rsid w:val="7B0F21BC"/>
    <w:rsid w:val="7B195238"/>
    <w:rsid w:val="7B48542E"/>
    <w:rsid w:val="7B493DC5"/>
    <w:rsid w:val="7B65435E"/>
    <w:rsid w:val="7B687984"/>
    <w:rsid w:val="7B737828"/>
    <w:rsid w:val="7B8418CC"/>
    <w:rsid w:val="7BC9713C"/>
    <w:rsid w:val="7C286864"/>
    <w:rsid w:val="7C7B545A"/>
    <w:rsid w:val="7CBC0D5A"/>
    <w:rsid w:val="7CD02AEB"/>
    <w:rsid w:val="7CDE6F23"/>
    <w:rsid w:val="7CF21CDC"/>
    <w:rsid w:val="7CFA4897"/>
    <w:rsid w:val="7D293545"/>
    <w:rsid w:val="7D3354C1"/>
    <w:rsid w:val="7D8C21B9"/>
    <w:rsid w:val="7DCC76C3"/>
    <w:rsid w:val="7DCF3A7A"/>
    <w:rsid w:val="7DDD3F95"/>
    <w:rsid w:val="7DF12C86"/>
    <w:rsid w:val="7E0D5FD3"/>
    <w:rsid w:val="7E4035BE"/>
    <w:rsid w:val="7E645E76"/>
    <w:rsid w:val="7E895925"/>
    <w:rsid w:val="7E9755DB"/>
    <w:rsid w:val="7EBA4781"/>
    <w:rsid w:val="7ED226E4"/>
    <w:rsid w:val="7EF06419"/>
    <w:rsid w:val="7F3948E4"/>
    <w:rsid w:val="7F975B02"/>
    <w:rsid w:val="7FCF6FF7"/>
    <w:rsid w:val="7FE72592"/>
    <w:rsid w:val="7FF058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iPriority="99" w:name="footnote text"/>
    <w:lsdException w:qFormat="1" w:unhideWhenUsed="0" w:uiPriority="0" w:semiHidden="0" w:name="annotation text"/>
    <w:lsdException w:unhideWhenUsed="0" w:uiPriority="0" w:semiHidden="0" w:name="header"/>
    <w:lsdException w:qFormat="1" w:unhideWhenUsed="0" w:uiPriority="0"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nhideWhenUsed="0" w:uiPriority="0" w:semiHidden="0"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nhideWhenUsed="0" w:uiPriority="0" w:semiHidden="0" w:name="toa heading"/>
    <w:lsdException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iPriority="99"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autoSpaceDE/>
      <w:autoSpaceDN/>
      <w:adjustRightInd w:val="0"/>
      <w:snapToGrid w:val="0"/>
      <w:spacing w:line="360" w:lineRule="auto"/>
      <w:jc w:val="both"/>
    </w:pPr>
    <w:rPr>
      <w:rFonts w:ascii="宋体" w:hAnsi="宋体" w:eastAsia="宋体" w:cstheme="minorBidi"/>
      <w:kern w:val="2"/>
      <w:sz w:val="21"/>
      <w:szCs w:val="22"/>
      <w:lang w:val="en-US" w:eastAsia="zh-CN" w:bidi="ar-SA"/>
    </w:rPr>
  </w:style>
  <w:style w:type="paragraph" w:styleId="2">
    <w:name w:val="heading 1"/>
    <w:basedOn w:val="1"/>
    <w:next w:val="3"/>
    <w:link w:val="33"/>
    <w:autoRedefine/>
    <w:qFormat/>
    <w:uiPriority w:val="1"/>
    <w:pPr>
      <w:jc w:val="center"/>
      <w:outlineLvl w:val="0"/>
    </w:pPr>
    <w:rPr>
      <w:sz w:val="32"/>
    </w:rPr>
  </w:style>
  <w:style w:type="paragraph" w:styleId="3">
    <w:name w:val="heading 2"/>
    <w:basedOn w:val="1"/>
    <w:next w:val="4"/>
    <w:link w:val="24"/>
    <w:autoRedefine/>
    <w:qFormat/>
    <w:uiPriority w:val="0"/>
    <w:pPr>
      <w:jc w:val="left"/>
      <w:outlineLvl w:val="1"/>
    </w:pPr>
    <w:rPr>
      <w:rFonts w:cs="Times New Roman"/>
      <w:b/>
      <w:kern w:val="0"/>
      <w:szCs w:val="24"/>
    </w:rPr>
  </w:style>
  <w:style w:type="paragraph" w:styleId="4">
    <w:name w:val="heading 3"/>
    <w:basedOn w:val="1"/>
    <w:next w:val="1"/>
    <w:link w:val="32"/>
    <w:autoRedefine/>
    <w:qFormat/>
    <w:uiPriority w:val="0"/>
    <w:pPr>
      <w:jc w:val="left"/>
      <w:outlineLvl w:val="2"/>
    </w:pPr>
    <w:rPr>
      <w:rFonts w:cs="Times New Roman"/>
      <w:kern w:val="0"/>
      <w:szCs w:val="24"/>
    </w:rPr>
  </w:style>
  <w:style w:type="paragraph" w:styleId="5">
    <w:name w:val="heading 4"/>
    <w:basedOn w:val="1"/>
    <w:link w:val="25"/>
    <w:autoRedefine/>
    <w:qFormat/>
    <w:uiPriority w:val="9"/>
    <w:pPr>
      <w:keepNext/>
      <w:keepLines/>
      <w:spacing w:before="280" w:after="290" w:line="376" w:lineRule="auto"/>
      <w:jc w:val="left"/>
      <w:outlineLvl w:val="3"/>
    </w:pPr>
    <w:rPr>
      <w:rFonts w:ascii="Arial" w:hAnsi="Arial" w:eastAsia="黑体" w:cs="Times New Roman"/>
      <w:b/>
      <w:bCs/>
      <w:kern w:val="0"/>
      <w:sz w:val="28"/>
      <w:szCs w:val="28"/>
    </w:rPr>
  </w:style>
  <w:style w:type="paragraph" w:styleId="6">
    <w:name w:val="heading 5"/>
    <w:basedOn w:val="1"/>
    <w:link w:val="30"/>
    <w:autoRedefine/>
    <w:qFormat/>
    <w:uiPriority w:val="9"/>
    <w:pPr>
      <w:keepNext/>
      <w:keepLines/>
      <w:spacing w:before="280" w:after="290" w:line="376" w:lineRule="auto"/>
      <w:jc w:val="left"/>
      <w:outlineLvl w:val="4"/>
    </w:pPr>
    <w:rPr>
      <w:rFonts w:hAnsi="Calibri" w:cs="Times New Roman"/>
      <w:b/>
      <w:bCs/>
      <w:kern w:val="0"/>
      <w:sz w:val="28"/>
      <w:szCs w:val="28"/>
    </w:rPr>
  </w:style>
  <w:style w:type="paragraph" w:styleId="7">
    <w:name w:val="heading 6"/>
    <w:basedOn w:val="1"/>
    <w:link w:val="31"/>
    <w:autoRedefine/>
    <w:qFormat/>
    <w:uiPriority w:val="9"/>
    <w:pPr>
      <w:keepLines/>
      <w:tabs>
        <w:tab w:val="left" w:pos="1152"/>
      </w:tabs>
      <w:spacing w:beforeLines="50"/>
      <w:ind w:left="1152" w:hanging="1152"/>
      <w:jc w:val="left"/>
      <w:textAlignment w:val="baseline"/>
      <w:outlineLvl w:val="5"/>
    </w:pPr>
    <w:rPr>
      <w:rFonts w:ascii="Times New Roman" w:hAnsi="Calibri" w:eastAsia="黑体" w:cs="Times New Roman"/>
      <w:b/>
      <w:bCs/>
      <w:kern w:val="0"/>
      <w:sz w:val="28"/>
      <w:szCs w:val="24"/>
    </w:rPr>
  </w:style>
  <w:style w:type="paragraph" w:styleId="8">
    <w:name w:val="heading 7"/>
    <w:basedOn w:val="1"/>
    <w:link w:val="26"/>
    <w:autoRedefine/>
    <w:qFormat/>
    <w:uiPriority w:val="9"/>
    <w:pPr>
      <w:keepNext/>
      <w:keepLines/>
      <w:tabs>
        <w:tab w:val="left" w:pos="1296"/>
      </w:tabs>
      <w:spacing w:before="240" w:after="120"/>
      <w:ind w:left="1296" w:hanging="1296"/>
      <w:textAlignment w:val="baseline"/>
      <w:outlineLvl w:val="6"/>
    </w:pPr>
    <w:rPr>
      <w:rFonts w:ascii="Times New Roman" w:hAnsi="Calibri" w:eastAsia="黑体" w:cs="Times New Roman"/>
      <w:b/>
      <w:bCs/>
      <w:kern w:val="0"/>
      <w:sz w:val="28"/>
      <w:szCs w:val="24"/>
    </w:rPr>
  </w:style>
  <w:style w:type="paragraph" w:styleId="9">
    <w:name w:val="heading 8"/>
    <w:basedOn w:val="1"/>
    <w:link w:val="27"/>
    <w:autoRedefine/>
    <w:qFormat/>
    <w:uiPriority w:val="9"/>
    <w:pPr>
      <w:keepNext/>
      <w:keepLines/>
      <w:tabs>
        <w:tab w:val="left" w:pos="1440"/>
      </w:tabs>
      <w:spacing w:before="240" w:after="120"/>
      <w:ind w:left="1440" w:hanging="1440"/>
      <w:outlineLvl w:val="7"/>
    </w:pPr>
    <w:rPr>
      <w:rFonts w:ascii="Times New Roman" w:hAnsi="Calibri" w:eastAsia="黑体" w:cs="Times New Roman"/>
      <w:b/>
      <w:kern w:val="0"/>
      <w:sz w:val="28"/>
      <w:szCs w:val="24"/>
    </w:rPr>
  </w:style>
  <w:style w:type="paragraph" w:styleId="10">
    <w:name w:val="heading 9"/>
    <w:basedOn w:val="1"/>
    <w:link w:val="28"/>
    <w:autoRedefine/>
    <w:qFormat/>
    <w:uiPriority w:val="9"/>
    <w:pPr>
      <w:keepNext/>
      <w:keepLines/>
      <w:tabs>
        <w:tab w:val="left" w:pos="1584"/>
      </w:tabs>
      <w:spacing w:before="240" w:after="120"/>
      <w:ind w:left="1584" w:hanging="1584"/>
      <w:outlineLvl w:val="8"/>
    </w:pPr>
    <w:rPr>
      <w:rFonts w:ascii="Times New Roman" w:hAnsi="Calibri" w:eastAsia="黑体" w:cs="Times New Roman"/>
      <w:b/>
      <w:kern w:val="0"/>
      <w:sz w:val="28"/>
      <w:szCs w:val="24"/>
    </w:rPr>
  </w:style>
  <w:style w:type="character" w:default="1" w:styleId="22">
    <w:name w:val="Default Paragraph Font"/>
    <w:autoRedefine/>
    <w:semiHidden/>
    <w:unhideWhenUsed/>
    <w:qFormat/>
    <w:uiPriority w:val="1"/>
  </w:style>
  <w:style w:type="table" w:default="1" w:styleId="20">
    <w:name w:val="Normal Table"/>
    <w:autoRedefine/>
    <w:semiHidden/>
    <w:unhideWhenUsed/>
    <w:qFormat/>
    <w:uiPriority w:val="99"/>
    <w:tblPr>
      <w:tblCellMar>
        <w:top w:w="0" w:type="dxa"/>
        <w:left w:w="108" w:type="dxa"/>
        <w:bottom w:w="0" w:type="dxa"/>
        <w:right w:w="108" w:type="dxa"/>
      </w:tblCellMar>
    </w:tblPr>
  </w:style>
  <w:style w:type="paragraph" w:styleId="11">
    <w:name w:val="annotation text"/>
    <w:basedOn w:val="1"/>
    <w:autoRedefine/>
    <w:qFormat/>
    <w:uiPriority w:val="0"/>
    <w:pPr>
      <w:jc w:val="left"/>
    </w:pPr>
  </w:style>
  <w:style w:type="paragraph" w:styleId="12">
    <w:name w:val="Body Text"/>
    <w:basedOn w:val="1"/>
    <w:next w:val="1"/>
    <w:autoRedefine/>
    <w:qFormat/>
    <w:uiPriority w:val="99"/>
    <w:pPr>
      <w:ind w:right="-26"/>
      <w:jc w:val="center"/>
    </w:pPr>
    <w:rPr>
      <w:b/>
      <w:bCs/>
      <w:sz w:val="84"/>
      <w:szCs w:val="84"/>
      <w:lang w:val="zh-CN"/>
    </w:rPr>
  </w:style>
  <w:style w:type="paragraph" w:styleId="13">
    <w:name w:val="Body Text Indent"/>
    <w:basedOn w:val="1"/>
    <w:next w:val="1"/>
    <w:autoRedefine/>
    <w:qFormat/>
    <w:uiPriority w:val="0"/>
    <w:pPr>
      <w:ind w:left="567" w:leftChars="270"/>
    </w:pPr>
    <w:rPr>
      <w:rFonts w:ascii="Times New Roman" w:hAnsi="Times New Roman" w:eastAsia="宋体" w:cs="Times New Roman"/>
      <w:szCs w:val="20"/>
    </w:rPr>
  </w:style>
  <w:style w:type="paragraph" w:styleId="14">
    <w:name w:val="toc 3"/>
    <w:basedOn w:val="1"/>
    <w:next w:val="1"/>
    <w:autoRedefine/>
    <w:qFormat/>
    <w:uiPriority w:val="0"/>
    <w:pPr>
      <w:ind w:left="840" w:leftChars="400"/>
    </w:pPr>
  </w:style>
  <w:style w:type="paragraph" w:styleId="15">
    <w:name w:val="footer"/>
    <w:basedOn w:val="1"/>
    <w:autoRedefine/>
    <w:qFormat/>
    <w:uiPriority w:val="0"/>
    <w:pPr>
      <w:tabs>
        <w:tab w:val="center" w:pos="4153"/>
        <w:tab w:val="right" w:pos="8306"/>
      </w:tabs>
      <w:jc w:val="left"/>
    </w:pPr>
    <w:rPr>
      <w:sz w:val="18"/>
    </w:rPr>
  </w:style>
  <w:style w:type="paragraph" w:styleId="16">
    <w:name w:val="toc 1"/>
    <w:basedOn w:val="1"/>
    <w:next w:val="1"/>
    <w:autoRedefine/>
    <w:qFormat/>
    <w:uiPriority w:val="0"/>
    <w:rPr>
      <w:b/>
    </w:rPr>
  </w:style>
  <w:style w:type="paragraph" w:styleId="17">
    <w:name w:val="toc 2"/>
    <w:basedOn w:val="1"/>
    <w:next w:val="1"/>
    <w:autoRedefine/>
    <w:qFormat/>
    <w:uiPriority w:val="0"/>
    <w:pPr>
      <w:ind w:left="420" w:leftChars="200"/>
    </w:pPr>
  </w:style>
  <w:style w:type="paragraph" w:styleId="18">
    <w:name w:val="Title"/>
    <w:basedOn w:val="1"/>
    <w:next w:val="1"/>
    <w:link w:val="29"/>
    <w:autoRedefine/>
    <w:qFormat/>
    <w:uiPriority w:val="10"/>
    <w:pPr>
      <w:spacing w:before="120" w:after="60" w:line="300" w:lineRule="auto"/>
      <w:jc w:val="left"/>
      <w:outlineLvl w:val="0"/>
    </w:pPr>
    <w:rPr>
      <w:rFonts w:ascii="等线 Light" w:hAnsi="等线 Light" w:eastAsia="仿宋"/>
      <w:b/>
      <w:bCs/>
      <w:sz w:val="28"/>
      <w:szCs w:val="32"/>
    </w:rPr>
  </w:style>
  <w:style w:type="paragraph" w:styleId="19">
    <w:name w:val="Body Text First Indent"/>
    <w:basedOn w:val="12"/>
    <w:autoRedefine/>
    <w:qFormat/>
    <w:uiPriority w:val="0"/>
    <w:pPr>
      <w:autoSpaceDE/>
      <w:autoSpaceDN/>
      <w:adjustRightInd/>
      <w:spacing w:after="120"/>
      <w:ind w:right="0" w:firstLine="420" w:firstLineChars="100"/>
      <w:jc w:val="both"/>
    </w:pPr>
    <w:rPr>
      <w:rFonts w:ascii="Times New Roman"/>
      <w:sz w:val="21"/>
      <w:szCs w:val="24"/>
    </w:rPr>
  </w:style>
  <w:style w:type="table" w:styleId="21">
    <w:name w:val="Table Grid"/>
    <w:basedOn w:val="20"/>
    <w:autoRedefine/>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Hyperlink"/>
    <w:basedOn w:val="22"/>
    <w:autoRedefine/>
    <w:qFormat/>
    <w:uiPriority w:val="0"/>
    <w:rPr>
      <w:color w:val="0000FF"/>
      <w:u w:val="single"/>
    </w:rPr>
  </w:style>
  <w:style w:type="character" w:customStyle="1" w:styleId="24">
    <w:name w:val="标题 2 字符"/>
    <w:basedOn w:val="22"/>
    <w:link w:val="3"/>
    <w:autoRedefine/>
    <w:qFormat/>
    <w:uiPriority w:val="0"/>
    <w:rPr>
      <w:rFonts w:ascii="宋体" w:hAnsi="宋体" w:eastAsia="宋体" w:cs="Times New Roman"/>
      <w:b/>
      <w:kern w:val="0"/>
      <w:sz w:val="21"/>
      <w:szCs w:val="24"/>
    </w:rPr>
  </w:style>
  <w:style w:type="character" w:customStyle="1" w:styleId="25">
    <w:name w:val="标题 4 字符"/>
    <w:basedOn w:val="22"/>
    <w:link w:val="5"/>
    <w:autoRedefine/>
    <w:qFormat/>
    <w:uiPriority w:val="9"/>
    <w:rPr>
      <w:rFonts w:ascii="Arial" w:hAnsi="Arial" w:eastAsia="黑体" w:cs="Times New Roman"/>
      <w:b/>
      <w:bCs/>
      <w:kern w:val="0"/>
      <w:sz w:val="28"/>
      <w:szCs w:val="28"/>
    </w:rPr>
  </w:style>
  <w:style w:type="character" w:customStyle="1" w:styleId="26">
    <w:name w:val="标题 7 字符"/>
    <w:basedOn w:val="22"/>
    <w:link w:val="8"/>
    <w:autoRedefine/>
    <w:qFormat/>
    <w:uiPriority w:val="9"/>
    <w:rPr>
      <w:rFonts w:ascii="Times New Roman" w:hAnsi="Calibri" w:eastAsia="黑体" w:cs="Times New Roman"/>
      <w:b/>
      <w:bCs/>
      <w:kern w:val="0"/>
      <w:sz w:val="28"/>
      <w:szCs w:val="24"/>
    </w:rPr>
  </w:style>
  <w:style w:type="character" w:customStyle="1" w:styleId="27">
    <w:name w:val="标题 8 字符"/>
    <w:basedOn w:val="22"/>
    <w:link w:val="9"/>
    <w:autoRedefine/>
    <w:qFormat/>
    <w:uiPriority w:val="9"/>
    <w:rPr>
      <w:rFonts w:ascii="Times New Roman" w:hAnsi="Calibri" w:eastAsia="黑体" w:cs="Times New Roman"/>
      <w:b/>
      <w:kern w:val="0"/>
      <w:sz w:val="28"/>
      <w:szCs w:val="24"/>
    </w:rPr>
  </w:style>
  <w:style w:type="character" w:customStyle="1" w:styleId="28">
    <w:name w:val="标题 9 字符"/>
    <w:basedOn w:val="22"/>
    <w:link w:val="10"/>
    <w:autoRedefine/>
    <w:qFormat/>
    <w:uiPriority w:val="9"/>
    <w:rPr>
      <w:rFonts w:ascii="Times New Roman" w:hAnsi="Calibri" w:eastAsia="黑体" w:cs="Times New Roman"/>
      <w:b/>
      <w:kern w:val="0"/>
      <w:sz w:val="28"/>
      <w:szCs w:val="24"/>
    </w:rPr>
  </w:style>
  <w:style w:type="character" w:customStyle="1" w:styleId="29">
    <w:name w:val="标题 字符"/>
    <w:link w:val="18"/>
    <w:autoRedefine/>
    <w:qFormat/>
    <w:uiPriority w:val="10"/>
    <w:rPr>
      <w:rFonts w:ascii="等线 Light" w:hAnsi="等线 Light" w:eastAsia="仿宋"/>
      <w:b/>
      <w:bCs/>
      <w:sz w:val="28"/>
      <w:szCs w:val="32"/>
    </w:rPr>
  </w:style>
  <w:style w:type="character" w:customStyle="1" w:styleId="30">
    <w:name w:val="标题 5 字符"/>
    <w:link w:val="6"/>
    <w:autoRedefine/>
    <w:qFormat/>
    <w:uiPriority w:val="9"/>
    <w:rPr>
      <w:rFonts w:ascii="宋体" w:hAnsi="Calibri" w:eastAsia="宋体" w:cs="Times New Roman"/>
      <w:b/>
      <w:bCs/>
      <w:kern w:val="0"/>
      <w:sz w:val="28"/>
      <w:szCs w:val="28"/>
    </w:rPr>
  </w:style>
  <w:style w:type="character" w:customStyle="1" w:styleId="31">
    <w:name w:val="标题 6 字符"/>
    <w:link w:val="7"/>
    <w:autoRedefine/>
    <w:qFormat/>
    <w:uiPriority w:val="9"/>
    <w:rPr>
      <w:rFonts w:ascii="Times New Roman" w:hAnsi="Calibri" w:eastAsia="黑体" w:cs="Times New Roman"/>
      <w:b/>
      <w:bCs/>
      <w:kern w:val="0"/>
      <w:sz w:val="28"/>
      <w:szCs w:val="24"/>
    </w:rPr>
  </w:style>
  <w:style w:type="character" w:customStyle="1" w:styleId="32">
    <w:name w:val="标题 3 字符"/>
    <w:link w:val="4"/>
    <w:autoRedefine/>
    <w:qFormat/>
    <w:uiPriority w:val="0"/>
    <w:rPr>
      <w:rFonts w:ascii="宋体" w:hAnsi="宋体" w:eastAsia="宋体" w:cs="Times New Roman"/>
      <w:kern w:val="0"/>
      <w:sz w:val="21"/>
      <w:szCs w:val="24"/>
    </w:rPr>
  </w:style>
  <w:style w:type="character" w:customStyle="1" w:styleId="33">
    <w:name w:val="标题 1 字符"/>
    <w:link w:val="2"/>
    <w:autoRedefine/>
    <w:qFormat/>
    <w:uiPriority w:val="1"/>
    <w:rPr>
      <w:rFonts w:ascii="宋体" w:hAnsi="宋体" w:eastAsia="宋体" w:cs="Times New Roman"/>
      <w:b/>
      <w:kern w:val="0"/>
      <w:sz w:val="32"/>
      <w:szCs w:val="24"/>
    </w:rPr>
  </w:style>
  <w:style w:type="paragraph" w:customStyle="1" w:styleId="34">
    <w:name w:val="修订2"/>
    <w:autoRedefine/>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35">
    <w:name w:val="修订3"/>
    <w:autoRedefine/>
    <w:hidden/>
    <w:unhideWhenUsed/>
    <w:qFormat/>
    <w:uiPriority w:val="99"/>
    <w:rPr>
      <w:rFonts w:asciiTheme="minorHAnsi" w:hAnsiTheme="minorHAnsi" w:eastAsiaTheme="minorEastAsia" w:cstheme="minorBidi"/>
      <w:kern w:val="2"/>
      <w:sz w:val="21"/>
      <w:szCs w:val="22"/>
      <w:lang w:val="en-US" w:eastAsia="zh-CN" w:bidi="ar-SA"/>
    </w:rPr>
  </w:style>
  <w:style w:type="table" w:customStyle="1" w:styleId="36">
    <w:name w:val="网格型1"/>
    <w:basedOn w:val="20"/>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
    <w:name w:val="网格型2"/>
    <w:basedOn w:val="20"/>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
    <w:name w:val="网格型3"/>
    <w:basedOn w:val="20"/>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
    <w:name w:val="网格型4"/>
    <w:basedOn w:val="20"/>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
    <w:name w:val="网格型5"/>
    <w:basedOn w:val="20"/>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1">
    <w:name w:val="网格型6"/>
    <w:basedOn w:val="20"/>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2">
    <w:name w:val="网格型7"/>
    <w:basedOn w:val="20"/>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3">
    <w:name w:val="网格型8"/>
    <w:basedOn w:val="20"/>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4">
    <w:name w:val="网格型9"/>
    <w:basedOn w:val="20"/>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5">
    <w:name w:val="网格型10"/>
    <w:basedOn w:val="20"/>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6">
    <w:name w:val="网格型11"/>
    <w:basedOn w:val="20"/>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7">
    <w:name w:val="网格型12"/>
    <w:basedOn w:val="20"/>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8">
    <w:name w:val="网格型13"/>
    <w:basedOn w:val="20"/>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9">
    <w:name w:val="网格型14"/>
    <w:basedOn w:val="20"/>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0">
    <w:name w:val="网格型15"/>
    <w:basedOn w:val="20"/>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1">
    <w:name w:val="网格型16"/>
    <w:basedOn w:val="20"/>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2">
    <w:name w:val="网格型17"/>
    <w:basedOn w:val="20"/>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3">
    <w:name w:val="网格型18"/>
    <w:basedOn w:val="20"/>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4">
    <w:name w:val="网格型19"/>
    <w:basedOn w:val="20"/>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5">
    <w:name w:val="网格型20"/>
    <w:basedOn w:val="20"/>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6">
    <w:name w:val="网格型21"/>
    <w:basedOn w:val="20"/>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7">
    <w:name w:val="网格型22"/>
    <w:basedOn w:val="20"/>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8">
    <w:name w:val="网格型23"/>
    <w:basedOn w:val="20"/>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9">
    <w:name w:val="网格型24"/>
    <w:basedOn w:val="20"/>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0">
    <w:name w:val="网格型25"/>
    <w:basedOn w:val="20"/>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1">
    <w:name w:val="网格型26"/>
    <w:basedOn w:val="20"/>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2">
    <w:name w:val="网格型27"/>
    <w:basedOn w:val="20"/>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3">
    <w:name w:val="网格型28"/>
    <w:basedOn w:val="20"/>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4">
    <w:name w:val="网格型29"/>
    <w:basedOn w:val="20"/>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5">
    <w:name w:val="网格型30"/>
    <w:basedOn w:val="20"/>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6">
    <w:name w:val="网格型31"/>
    <w:basedOn w:val="20"/>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7">
    <w:name w:val="网格型32"/>
    <w:basedOn w:val="20"/>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8">
    <w:name w:val="网格型33"/>
    <w:basedOn w:val="20"/>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9">
    <w:name w:val="网格型34"/>
    <w:basedOn w:val="20"/>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0">
    <w:name w:val="网格型35"/>
    <w:basedOn w:val="20"/>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1">
    <w:name w:val="网格型36"/>
    <w:basedOn w:val="20"/>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2">
    <w:name w:val="网格型37"/>
    <w:basedOn w:val="20"/>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3">
    <w:name w:val="网格型38"/>
    <w:basedOn w:val="20"/>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4">
    <w:name w:val="网格型39"/>
    <w:basedOn w:val="20"/>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5">
    <w:name w:val="网格型40"/>
    <w:basedOn w:val="20"/>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6">
    <w:name w:val="网格型41"/>
    <w:basedOn w:val="20"/>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7">
    <w:name w:val="网格型42"/>
    <w:basedOn w:val="20"/>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8">
    <w:name w:val="修订4"/>
    <w:autoRedefine/>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79">
    <w:name w:val="修订5"/>
    <w:next w:val="80"/>
    <w:autoRedefine/>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80">
    <w:name w:val="修订6"/>
    <w:autoRedefine/>
    <w:hidden/>
    <w:semiHidden/>
    <w:qFormat/>
    <w:uiPriority w:val="99"/>
    <w:rPr>
      <w:rFonts w:asciiTheme="minorHAnsi" w:hAnsiTheme="minorHAnsi" w:eastAsiaTheme="minorEastAsia" w:cstheme="minorBidi"/>
      <w:kern w:val="2"/>
      <w:sz w:val="21"/>
      <w:szCs w:val="22"/>
      <w:lang w:val="en-US" w:eastAsia="zh-CN" w:bidi="ar-SA"/>
    </w:rPr>
  </w:style>
  <w:style w:type="table" w:customStyle="1" w:styleId="81">
    <w:name w:val="网格型43"/>
    <w:basedOn w:val="20"/>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2">
    <w:name w:val="网格型44"/>
    <w:basedOn w:val="20"/>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3">
    <w:name w:val="网格型45"/>
    <w:basedOn w:val="20"/>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4">
    <w:name w:val="网格型46"/>
    <w:basedOn w:val="20"/>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5">
    <w:name w:val="网格型47"/>
    <w:basedOn w:val="20"/>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6">
    <w:name w:val="网格型48"/>
    <w:basedOn w:val="20"/>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7">
    <w:name w:val="网格型49"/>
    <w:basedOn w:val="20"/>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8">
    <w:name w:val="网格型50"/>
    <w:basedOn w:val="20"/>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9">
    <w:name w:val="网格型51"/>
    <w:basedOn w:val="20"/>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0">
    <w:name w:val="网格型52"/>
    <w:basedOn w:val="20"/>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1">
    <w:name w:val="网格型53"/>
    <w:basedOn w:val="20"/>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
    <w:name w:val="网格型54"/>
    <w:basedOn w:val="20"/>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3">
    <w:name w:val="网格型55"/>
    <w:basedOn w:val="20"/>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4">
    <w:name w:val="网格型56"/>
    <w:basedOn w:val="20"/>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5">
    <w:name w:val="网格型57"/>
    <w:basedOn w:val="20"/>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6">
    <w:name w:val="网格型58"/>
    <w:basedOn w:val="20"/>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7">
    <w:name w:val="网格型59"/>
    <w:basedOn w:val="20"/>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8">
    <w:name w:val="网格型60"/>
    <w:basedOn w:val="20"/>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9">
    <w:name w:val="网格型61"/>
    <w:basedOn w:val="20"/>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0">
    <w:name w:val="网格型62"/>
    <w:basedOn w:val="20"/>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1">
    <w:name w:val="网格型63"/>
    <w:basedOn w:val="20"/>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2">
    <w:name w:val="网格型64"/>
    <w:basedOn w:val="20"/>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3">
    <w:name w:val="网格型65"/>
    <w:basedOn w:val="20"/>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4">
    <w:name w:val="网格型66"/>
    <w:basedOn w:val="20"/>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5">
    <w:name w:val="网格型67"/>
    <w:basedOn w:val="20"/>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6">
    <w:name w:val="网格型68"/>
    <w:basedOn w:val="20"/>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7">
    <w:name w:val="网格型69"/>
    <w:basedOn w:val="20"/>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8">
    <w:name w:val="网格型70"/>
    <w:basedOn w:val="20"/>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9">
    <w:name w:val="网格型71"/>
    <w:basedOn w:val="20"/>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0">
    <w:name w:val="网格型72"/>
    <w:basedOn w:val="20"/>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1">
    <w:name w:val="网格型73"/>
    <w:basedOn w:val="20"/>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2">
    <w:name w:val="网格型74"/>
    <w:basedOn w:val="20"/>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3">
    <w:name w:val="网格型75"/>
    <w:basedOn w:val="20"/>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4">
    <w:name w:val="网格型76"/>
    <w:basedOn w:val="20"/>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5">
    <w:name w:val="网格型77"/>
    <w:basedOn w:val="20"/>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6">
    <w:name w:val="网格型78"/>
    <w:basedOn w:val="20"/>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7">
    <w:name w:val="网格型79"/>
    <w:basedOn w:val="20"/>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8">
    <w:name w:val="网格型80"/>
    <w:basedOn w:val="20"/>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9">
    <w:name w:val="网格型81"/>
    <w:basedOn w:val="20"/>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0">
    <w:name w:val="网格型82"/>
    <w:basedOn w:val="20"/>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1">
    <w:name w:val="网格型83"/>
    <w:basedOn w:val="20"/>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2">
    <w:name w:val="网格型84"/>
    <w:basedOn w:val="20"/>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3">
    <w:name w:val="修订7"/>
    <w:autoRedefine/>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124">
    <w:name w:val="修订8"/>
    <w:autoRedefine/>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125">
    <w:name w:val="修订9"/>
    <w:autoRedefine/>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126">
    <w:name w:val="修订10"/>
    <w:autoRedefine/>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127">
    <w:name w:val="修订11"/>
    <w:autoRedefine/>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128">
    <w:name w:val="修订12"/>
    <w:autoRedefine/>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129">
    <w:name w:val="null3"/>
    <w:autoRedefine/>
    <w:hidden/>
    <w:qFormat/>
    <w:uiPriority w:val="0"/>
    <w:rPr>
      <w:rFonts w:hint="eastAsia" w:asciiTheme="minorHAnsi" w:hAnsiTheme="minorHAnsi" w:eastAsiaTheme="minorEastAsia" w:cstheme="minorBidi"/>
      <w:lang w:val="en-US" w:eastAsia="zh-Hans" w:bidi="ar-SA"/>
    </w:rPr>
  </w:style>
  <w:style w:type="table" w:customStyle="1" w:styleId="130">
    <w:name w:val="Table Normal"/>
    <w:autoRedefine/>
    <w:semiHidden/>
    <w:unhideWhenUsed/>
    <w:qFormat/>
    <w:uiPriority w:val="0"/>
    <w:tblPr>
      <w:tblCellMar>
        <w:top w:w="0" w:type="dxa"/>
        <w:left w:w="0" w:type="dxa"/>
        <w:bottom w:w="0" w:type="dxa"/>
        <w:right w:w="0" w:type="dxa"/>
      </w:tblCellMar>
    </w:tblPr>
  </w:style>
  <w:style w:type="paragraph" w:customStyle="1" w:styleId="131">
    <w:name w:val="文档正文"/>
    <w:basedOn w:val="1"/>
    <w:autoRedefine/>
    <w:qFormat/>
    <w:uiPriority w:val="0"/>
    <w:pPr>
      <w:spacing w:line="360" w:lineRule="auto"/>
    </w:pPr>
    <w:rPr>
      <w:rFonts w:ascii="宋体" w:cs="Arial"/>
      <w:bCs/>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117</Pages>
  <Words>22034</Words>
  <Characters>23461</Characters>
  <Lines>820</Lines>
  <Paragraphs>231</Paragraphs>
  <TotalTime>0</TotalTime>
  <ScaleCrop>false</ScaleCrop>
  <LinksUpToDate>false</LinksUpToDate>
  <CharactersWithSpaces>23954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2025-04-29T04:11:00Z</dcterms:created>
  <dc:creator>Administrator</dc:creator>
  <cp:lastModifiedBy>YD-ho</cp:lastModifiedBy>
  <cp:lastPrinted>2026-01-04T02:28:00Z</cp:lastPrinted>
  <dcterms:modified xsi:type="dcterms:W3CDTF">2026-04-22T03:29:26Z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2E12B63A8CB14FBF8656CA0B3F0F7446_13</vt:lpwstr>
  </property>
  <property fmtid="{D5CDD505-2E9C-101B-9397-08002B2CF9AE}" pid="4" name="KSOTemplateDocerSaveRecord">
    <vt:lpwstr>eyJoZGlkIjoiZGIwNDZhMTMxM2EyYzUxY2RmNGE4YzgzZTdiOWQwYWQiLCJ1c2VySWQiOiI0MTQ1MDg4MDkifQ==</vt:lpwstr>
  </property>
</Properties>
</file>