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D6D03">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52"/>
          <w:szCs w:val="52"/>
          <w:highlight w:val="none"/>
          <w:lang w:val="zh-CN"/>
          <w14:textFill>
            <w14:solidFill>
              <w14:schemeClr w14:val="tx1"/>
            </w14:solidFill>
          </w14:textFill>
        </w:rPr>
      </w:pPr>
    </w:p>
    <w:p w14:paraId="1E0D02B2">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60"/>
          <w:szCs w:val="60"/>
          <w:highlight w:val="none"/>
          <w:lang w:val="zh-CN"/>
          <w14:textFill>
            <w14:solidFill>
              <w14:schemeClr w14:val="tx1"/>
            </w14:solidFill>
          </w14:textFill>
        </w:rPr>
      </w:pPr>
      <w:r>
        <w:rPr>
          <w:rFonts w:hint="eastAsia" w:ascii="宋体" w:hAnsi="宋体" w:eastAsia="宋体" w:cs="宋体"/>
          <w:b/>
          <w:bCs/>
          <w:color w:val="000000" w:themeColor="text1"/>
          <w:kern w:val="0"/>
          <w:sz w:val="60"/>
          <w:szCs w:val="60"/>
          <w:highlight w:val="none"/>
          <w:lang w:val="zh-CN"/>
          <w14:textFill>
            <w14:solidFill>
              <w14:schemeClr w14:val="tx1"/>
            </w14:solidFill>
          </w14:textFill>
        </w:rPr>
        <w:t>东莞市水务环境投资控股集团净水有限公司2026年五金材料及工器具物资采购项目</w:t>
      </w:r>
    </w:p>
    <w:p w14:paraId="782E659D">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44"/>
          <w:szCs w:val="44"/>
          <w:highlight w:val="none"/>
          <w:lang w:val="zh-CN"/>
          <w14:textFill>
            <w14:solidFill>
              <w14:schemeClr w14:val="tx1"/>
            </w14:solidFill>
          </w14:textFill>
        </w:rPr>
      </w:pPr>
    </w:p>
    <w:p w14:paraId="4700E71F">
      <w:pPr>
        <w:autoSpaceDE w:val="0"/>
        <w:autoSpaceDN w:val="0"/>
        <w:adjustRightInd w:val="0"/>
        <w:ind w:right="-23" w:rightChars="-11"/>
        <w:jc w:val="left"/>
        <w:rPr>
          <w:rFonts w:ascii="宋体" w:hAnsi="宋体" w:eastAsia="宋体" w:cs="宋体"/>
          <w:b/>
          <w:bCs/>
          <w:color w:val="000000" w:themeColor="text1"/>
          <w:sz w:val="44"/>
          <w:szCs w:val="44"/>
          <w:highlight w:val="none"/>
          <w:lang w:val="zh-CN"/>
          <w14:textFill>
            <w14:solidFill>
              <w14:schemeClr w14:val="tx1"/>
            </w14:solidFill>
          </w14:textFill>
        </w:rPr>
      </w:pPr>
    </w:p>
    <w:p w14:paraId="62420F84">
      <w:pPr>
        <w:autoSpaceDE w:val="0"/>
        <w:autoSpaceDN w:val="0"/>
        <w:adjustRightInd w:val="0"/>
        <w:ind w:right="-23" w:rightChars="-11"/>
        <w:jc w:val="center"/>
        <w:rPr>
          <w:rFonts w:hint="eastAsia" w:ascii="宋体" w:hAnsi="宋体" w:eastAsia="宋体" w:cs="Times New Roman"/>
          <w:b/>
          <w:bCs/>
          <w:color w:val="000000" w:themeColor="text1"/>
          <w:sz w:val="72"/>
          <w:szCs w:val="72"/>
          <w:highlight w:val="none"/>
          <w:lang w:val="en-US" w:eastAsia="zh-CN"/>
          <w14:textFill>
            <w14:solidFill>
              <w14:schemeClr w14:val="tx1"/>
            </w14:solidFill>
          </w14:textFill>
        </w:rPr>
      </w:pPr>
    </w:p>
    <w:p w14:paraId="318F8A0C">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r>
        <w:rPr>
          <w:rFonts w:hint="eastAsia" w:ascii="宋体" w:hAnsi="宋体" w:eastAsia="宋体" w:cs="Times New Roman"/>
          <w:b/>
          <w:bCs/>
          <w:color w:val="000000" w:themeColor="text1"/>
          <w:sz w:val="72"/>
          <w:szCs w:val="72"/>
          <w:highlight w:val="none"/>
          <w:lang w:val="zh-CN"/>
          <w14:textFill>
            <w14:solidFill>
              <w14:schemeClr w14:val="tx1"/>
            </w14:solidFill>
          </w14:textFill>
        </w:rPr>
        <w:t>招</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件</w:t>
      </w:r>
    </w:p>
    <w:p w14:paraId="4B4A7221">
      <w:pPr>
        <w:autoSpaceDE w:val="0"/>
        <w:autoSpaceDN w:val="0"/>
        <w:adjustRightInd w:val="0"/>
        <w:ind w:right="-23" w:rightChars="-11"/>
        <w:jc w:val="center"/>
        <w:rPr>
          <w:rFonts w:ascii="宋体" w:hAnsi="宋体" w:eastAsia="宋体" w:cs="宋体"/>
          <w:b/>
          <w:bCs/>
          <w:color w:val="000000" w:themeColor="text1"/>
          <w:sz w:val="32"/>
          <w:szCs w:val="32"/>
          <w:highlight w:val="none"/>
          <w:lang w:val="zh-CN"/>
          <w14:textFill>
            <w14:solidFill>
              <w14:schemeClr w14:val="tx1"/>
            </w14:solidFill>
          </w14:textFill>
        </w:rPr>
      </w:pPr>
    </w:p>
    <w:p w14:paraId="6E377E27">
      <w:pPr>
        <w:autoSpaceDE w:val="0"/>
        <w:autoSpaceDN w:val="0"/>
        <w:adjustRightInd w:val="0"/>
        <w:ind w:right="-23" w:rightChars="-11"/>
        <w:jc w:val="center"/>
        <w:rPr>
          <w:rFonts w:ascii="宋体" w:hAnsi="宋体" w:eastAsia="宋体" w:cs="宋体"/>
          <w:b/>
          <w:bCs/>
          <w:color w:val="000000" w:themeColor="text1"/>
          <w:sz w:val="44"/>
          <w:szCs w:val="44"/>
          <w:highlight w:val="none"/>
          <w:lang w:val="zh-CN"/>
          <w14:textFill>
            <w14:solidFill>
              <w14:schemeClr w14:val="tx1"/>
            </w14:solidFill>
          </w14:textFill>
        </w:rPr>
      </w:pPr>
    </w:p>
    <w:p w14:paraId="3CFF355D">
      <w:pPr>
        <w:autoSpaceDE w:val="0"/>
        <w:autoSpaceDN w:val="0"/>
        <w:adjustRightInd w:val="0"/>
        <w:ind w:right="-23" w:rightChars="-11"/>
        <w:jc w:val="left"/>
        <w:rPr>
          <w:rFonts w:ascii="宋体" w:hAnsi="宋体" w:eastAsia="宋体" w:cs="宋体"/>
          <w:b/>
          <w:bCs/>
          <w:color w:val="000000" w:themeColor="text1"/>
          <w:sz w:val="32"/>
          <w:szCs w:val="32"/>
          <w:highlight w:val="none"/>
          <w:u w:val="single"/>
          <w:lang w:val="zh-CN"/>
          <w14:textFill>
            <w14:solidFill>
              <w14:schemeClr w14:val="tx1"/>
            </w14:solidFill>
          </w14:textFill>
        </w:rPr>
      </w:pPr>
    </w:p>
    <w:p w14:paraId="77459354">
      <w:pPr>
        <w:tabs>
          <w:tab w:val="left" w:pos="9240"/>
        </w:tabs>
        <w:autoSpaceDE w:val="0"/>
        <w:autoSpaceDN w:val="0"/>
        <w:adjustRightInd w:val="0"/>
        <w:spacing w:line="700" w:lineRule="exact"/>
        <w:ind w:right="-23" w:rightChars="-11"/>
        <w:jc w:val="left"/>
        <w:rPr>
          <w:rFonts w:ascii="宋体" w:hAnsi="宋体" w:eastAsia="宋体" w:cs="宋体"/>
          <w:b/>
          <w:bCs/>
          <w:color w:val="000000" w:themeColor="text1"/>
          <w:sz w:val="32"/>
          <w:szCs w:val="32"/>
          <w:highlight w:val="none"/>
          <w:lang w:val="zh-CN"/>
          <w14:textFill>
            <w14:solidFill>
              <w14:schemeClr w14:val="tx1"/>
            </w14:solidFill>
          </w14:textFill>
        </w:rPr>
      </w:pPr>
    </w:p>
    <w:p w14:paraId="12835BB5">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编</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号：广建咨询（东招）2025-0122号</w:t>
      </w:r>
    </w:p>
    <w:p w14:paraId="334E3663">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人：东莞市水务环境投资控股集团净水有限公司</w:t>
      </w:r>
    </w:p>
    <w:p w14:paraId="3D1E8DB3">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招标代理机构：建成工程咨询股份有限公司</w:t>
      </w:r>
    </w:p>
    <w:p w14:paraId="678A09E9">
      <w:pPr>
        <w:autoSpaceDE w:val="0"/>
        <w:autoSpaceDN w:val="0"/>
        <w:adjustRightInd w:val="0"/>
        <w:ind w:right="-23" w:rightChars="-11"/>
        <w:jc w:val="center"/>
        <w:rPr>
          <w:rFonts w:ascii="宋体" w:hAnsi="宋体" w:eastAsia="宋体" w:cs="Times New Roman"/>
          <w:b/>
          <w:bCs/>
          <w:color w:val="000000" w:themeColor="text1"/>
          <w:kern w:val="0"/>
          <w:sz w:val="84"/>
          <w:szCs w:val="84"/>
          <w:highlight w:val="none"/>
          <w:lang w:val="zh-CN"/>
          <w14:textFill>
            <w14:solidFill>
              <w14:schemeClr w14:val="tx1"/>
            </w14:solidFill>
          </w14:textFill>
        </w:rPr>
      </w:pPr>
    </w:p>
    <w:p w14:paraId="1A3707A9">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000000" w:themeColor="text1"/>
          <w:kern w:val="0"/>
          <w:sz w:val="52"/>
          <w:szCs w:val="5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2026</w:t>
      </w:r>
      <w:r>
        <w:rPr>
          <w:rFonts w:hint="eastAsia" w:ascii="宋体" w:hAnsi="宋体" w:eastAsia="宋体" w:cs="宋体"/>
          <w:b/>
          <w:bCs/>
          <w:color w:val="000000" w:themeColor="text1"/>
          <w:sz w:val="32"/>
          <w:szCs w:val="32"/>
          <w:highlight w:val="none"/>
          <w:lang w:val="zh-CN"/>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4</w:t>
      </w:r>
      <w:r>
        <w:rPr>
          <w:rFonts w:hint="eastAsia" w:ascii="宋体" w:hAnsi="宋体" w:eastAsia="宋体" w:cs="宋体"/>
          <w:b/>
          <w:bCs/>
          <w:color w:val="000000" w:themeColor="text1"/>
          <w:sz w:val="32"/>
          <w:szCs w:val="32"/>
          <w:highlight w:val="none"/>
          <w:lang w:val="zh-CN"/>
          <w14:textFill>
            <w14:solidFill>
              <w14:schemeClr w14:val="tx1"/>
            </w14:solidFill>
          </w14:textFill>
        </w:rPr>
        <w:t>月</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22</w:t>
      </w:r>
      <w:r>
        <w:rPr>
          <w:rFonts w:hint="eastAsia" w:ascii="宋体" w:hAnsi="宋体" w:eastAsia="宋体" w:cs="宋体"/>
          <w:b/>
          <w:bCs/>
          <w:color w:val="000000" w:themeColor="text1"/>
          <w:sz w:val="32"/>
          <w:szCs w:val="32"/>
          <w:highlight w:val="none"/>
          <w:lang w:val="zh-CN"/>
          <w14:textFill>
            <w14:solidFill>
              <w14:schemeClr w14:val="tx1"/>
            </w14:solidFill>
          </w14:textFill>
        </w:rPr>
        <w:t>日</w:t>
      </w:r>
    </w:p>
    <w:p w14:paraId="4A86BEDB">
      <w:pPr>
        <w:tabs>
          <w:tab w:val="left" w:pos="9923"/>
          <w:tab w:val="left" w:pos="10206"/>
        </w:tabs>
        <w:autoSpaceDE w:val="0"/>
        <w:autoSpaceDN w:val="0"/>
        <w:adjustRightInd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sectPr>
          <w:footerReference r:id="rId4" w:type="first"/>
          <w:footerReference r:id="rId3" w:type="default"/>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bookmarkStart w:id="0" w:name="_Toc29891_WPSOffice_Type3"/>
      <w:r>
        <w:rPr>
          <w:rFonts w:ascii="宋体" w:hAnsi="宋体" w:eastAsia="宋体" w:cs="Times New Roman"/>
          <w:b/>
          <w:color w:val="000000" w:themeColor="text1"/>
          <w:kern w:val="0"/>
          <w:szCs w:val="21"/>
          <w:highlight w:val="none"/>
          <w14:textFill>
            <w14:solidFill>
              <w14:schemeClr w14:val="tx1"/>
            </w14:solidFill>
          </w14:textFill>
        </w:rPr>
        <w:br w:type="page"/>
      </w:r>
    </w:p>
    <w:p w14:paraId="04CAD7CB">
      <w:pPr>
        <w:tabs>
          <w:tab w:val="left" w:pos="9923"/>
          <w:tab w:val="left" w:pos="10206"/>
        </w:tabs>
        <w:autoSpaceDE w:val="0"/>
        <w:autoSpaceDN w:val="0"/>
        <w:adjustRightInd w:val="0"/>
        <w:spacing w:line="360" w:lineRule="auto"/>
        <w:jc w:val="center"/>
        <w:rPr>
          <w:rFonts w:ascii="宋体" w:hAnsi="宋体" w:eastAsia="宋体" w:cs="Times New Roman"/>
          <w:b/>
          <w:color w:val="000000" w:themeColor="text1"/>
          <w:kern w:val="0"/>
          <w:sz w:val="24"/>
          <w:szCs w:val="24"/>
          <w:highlight w:val="none"/>
          <w14:textFill>
            <w14:solidFill>
              <w14:schemeClr w14:val="tx1"/>
            </w14:solidFill>
          </w14:textFill>
        </w:rPr>
      </w:pPr>
      <w:r>
        <w:rPr>
          <w:rFonts w:ascii="宋体" w:hAnsi="宋体" w:eastAsia="宋体" w:cs="Times New Roman"/>
          <w:b/>
          <w:color w:val="000000" w:themeColor="text1"/>
          <w:kern w:val="0"/>
          <w:sz w:val="24"/>
          <w:szCs w:val="24"/>
          <w:highlight w:val="none"/>
          <w14:textFill>
            <w14:solidFill>
              <w14:schemeClr w14:val="tx1"/>
            </w14:solidFill>
          </w14:textFill>
        </w:rPr>
        <w:t>目</w:t>
      </w:r>
      <w:r>
        <w:rPr>
          <w:rFonts w:hint="eastAsia" w:ascii="宋体" w:hAnsi="宋体" w:eastAsia="宋体" w:cs="Times New Roman"/>
          <w:b/>
          <w:color w:val="000000" w:themeColor="text1"/>
          <w:kern w:val="0"/>
          <w:sz w:val="24"/>
          <w:szCs w:val="24"/>
          <w:highlight w:val="none"/>
          <w:lang w:val="en-US" w:eastAsia="zh-CN"/>
          <w14:textFill>
            <w14:solidFill>
              <w14:schemeClr w14:val="tx1"/>
            </w14:solidFill>
          </w14:textFill>
        </w:rPr>
        <w:t xml:space="preserve"> </w:t>
      </w:r>
      <w:r>
        <w:rPr>
          <w:rFonts w:ascii="宋体" w:hAnsi="宋体" w:eastAsia="宋体" w:cs="Times New Roman"/>
          <w:b/>
          <w:color w:val="000000" w:themeColor="text1"/>
          <w:kern w:val="0"/>
          <w:sz w:val="24"/>
          <w:szCs w:val="24"/>
          <w:highlight w:val="none"/>
          <w14:textFill>
            <w14:solidFill>
              <w14:schemeClr w14:val="tx1"/>
            </w14:solidFill>
          </w14:textFill>
        </w:rPr>
        <w:t>录</w:t>
      </w:r>
    </w:p>
    <w:p w14:paraId="78F2F0E6">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fldChar w:fldCharType="begin"/>
      </w:r>
      <w:r>
        <w:rPr>
          <w:rFonts w:hint="eastAsia" w:ascii="宋体" w:hAnsi="宋体" w:eastAsia="宋体" w:cs="宋体"/>
          <w:b/>
          <w:bCs/>
          <w:color w:val="000000" w:themeColor="text1"/>
          <w:szCs w:val="21"/>
          <w:highlight w:val="none"/>
          <w14:textFill>
            <w14:solidFill>
              <w14:schemeClr w14:val="tx1"/>
            </w14:solidFill>
          </w14:textFill>
        </w:rPr>
        <w:instrText xml:space="preserve">TOC \o "1-3" \h \u </w:instrText>
      </w:r>
      <w:r>
        <w:rPr>
          <w:rFonts w:hint="eastAsia" w:ascii="宋体" w:hAnsi="宋体" w:eastAsia="宋体" w:cs="宋体"/>
          <w:b/>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_Toc12046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第一篇 招标公告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_Toc12046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23A83E9">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_Toc26947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第二篇</w:t>
      </w:r>
      <w:r>
        <w:rPr>
          <w:rFonts w:hint="eastAsia" w:ascii="宋体" w:hAnsi="宋体" w:eastAsia="宋体" w:cs="宋体"/>
          <w:bCs/>
          <w:color w:val="000000" w:themeColor="text1"/>
          <w:kern w:val="44"/>
          <w:szCs w:val="32"/>
          <w:highlight w:val="none"/>
          <w14:textFill>
            <w14:solidFill>
              <w14:schemeClr w14:val="tx1"/>
            </w14:solidFill>
          </w14:textFill>
        </w:rPr>
        <w:t xml:space="preserve"> </w:t>
      </w:r>
      <w:r>
        <w:rPr>
          <w:rFonts w:hint="eastAsia" w:ascii="宋体" w:hAnsi="宋体" w:eastAsia="宋体" w:cs="宋体"/>
          <w:bCs/>
          <w:color w:val="000000" w:themeColor="text1"/>
          <w:kern w:val="44"/>
          <w:szCs w:val="32"/>
          <w:highlight w:val="none"/>
          <w:lang w:val="zh-CN"/>
          <w14:textFill>
            <w14:solidFill>
              <w14:schemeClr w14:val="tx1"/>
            </w14:solidFill>
          </w14:textFill>
        </w:rPr>
        <w:t>投标人须知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_Toc26947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CF15D69">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_Toc9501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一、总则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_Toc9501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846347B">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_Toc2001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 资金来源：企业自筹资金。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_Toc2001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7ABDC5F">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_Toc23516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 合格的投标人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_Toc23516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CE3BDE1">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_Toc28277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 合格的货物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_Toc28277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DC1C5E6">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_Toc16618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4 其它说明</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_Toc16618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9F5AB6E">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_Toc18301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二、招标文件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_Toc18301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9CD4D3E">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_Toc9183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5 招标文件的构成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_Toc9183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994E70A">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_Toc16536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6 招标文件的异议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_Toc16536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89A02FB">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_Toc3647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7 招标文件的澄清及修改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_Toc3647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6513F44">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_Toc19845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三、投标文件的编制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_Toc19845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2CB7AC3">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_Toc7150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8 投标使用的文字及度量衡单位</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_Toc7150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ADCB0C2">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_Toc15667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_Toc15667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7166C30">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_Toc24659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10 投标函</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_Toc24659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79EFC3D">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_Toc7384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11 投标报价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_Toc7384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12CDE68">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_Toc1422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12 投标报价货币</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_Toc1422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9AA11BA">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_Toc201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13 证明投标人的合格性和资格的声明文件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3451D76">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_Toc32369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14 证明货物的合格性并符合招标文件规定的声明文件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_Toc32369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7CBF713">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_Toc18718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15 投标保证金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_Toc18718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1D3978B">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_Toc10518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16 投标有效期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_Toc10518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55C5179">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_Toc26726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17 投标文件的式样和签署</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_Toc26726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7DA08F7">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_Toc28484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四、投标文件的递交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_Toc28484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991DDC9">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_Toc9455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18 投标文件的密封和标记</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_Toc9455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E76C96B">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_Toc6928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19 递交投标文件的截止日期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_Toc6928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716E9D1">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_Toc20855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20 迟交的投标文件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_Toc20855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320A548">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_Toc2385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21 投标文件的修改和撤回</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_Toc2385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0B7CDD2">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_Toc8258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五、开标与评标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_Toc8258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ABCA916">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_Toc28897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22 开标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_Toc28897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9C83BC5">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_Toc3038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 xml:space="preserve">23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_Toc3038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AF14FF4">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_Toc27845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24 评标委员会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_Toc27845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046BC00">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_Toc27432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25 投标文件的初审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_Toc27432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CEBF5EE">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_Toc10413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26 投标文件的澄清</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_Toc10413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C3655E8">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_Toc12870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27 对投标文件的比较和评价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_Toc12870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DDDDE57">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_Toc19057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28 评标原则及方法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_Toc19057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9789394">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_Toc12474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评标结果公示及异议、投诉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_Toc12474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B1C70E0">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_Toc18549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szCs w:val="21"/>
          <w:highlight w:val="none"/>
          <w:lang w:val="zh-CN"/>
          <w14:textFill>
            <w14:solidFill>
              <w14:schemeClr w14:val="tx1"/>
            </w14:solidFill>
          </w14:textFill>
        </w:rPr>
        <w:t xml:space="preserve"> 真实性审查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_Toc18549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185EF67">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_Toc23732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_Toc23732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0C62A47">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_Toc7187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六、授予合同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_Toc7187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555A9EA">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_Toc32335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 xml:space="preserve"> 授予合同的准则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_Toc32335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28B0DAF">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_Toc30850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33 中标通知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_Toc30850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DC64CE6">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_Toc24927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 xml:space="preserve"> 签署合同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_Toc24927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0227C9C">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_Toc12759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 xml:space="preserve">35 </w:t>
      </w:r>
      <w:r>
        <w:rPr>
          <w:rFonts w:hint="eastAsia" w:ascii="宋体" w:hAnsi="宋体" w:eastAsia="宋体" w:cs="宋体"/>
          <w:color w:val="000000" w:themeColor="text1"/>
          <w:szCs w:val="21"/>
          <w:highlight w:val="none"/>
          <w:lang w:val="zh-CN"/>
          <w14:textFill>
            <w14:solidFill>
              <w14:schemeClr w14:val="tx1"/>
            </w14:solidFill>
          </w14:textFill>
        </w:rPr>
        <w:t>履约担保</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_Toc12759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A3A0037">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_Toc10995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_Toc10995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4C65750">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_Toc7431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37</w:t>
      </w:r>
      <w:r>
        <w:rPr>
          <w:rFonts w:hint="eastAsia" w:ascii="宋体" w:hAnsi="宋体" w:eastAsia="宋体" w:cs="宋体"/>
          <w:color w:val="000000" w:themeColor="text1"/>
          <w:szCs w:val="21"/>
          <w:highlight w:val="none"/>
          <w:lang w:val="zh-CN"/>
          <w14:textFill>
            <w14:solidFill>
              <w14:schemeClr w14:val="tx1"/>
            </w14:solidFill>
          </w14:textFill>
        </w:rPr>
        <w:t xml:space="preserve"> 中标服务费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_Toc7431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7E215E0">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_Toc6082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_Toc6082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F86EB02">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_Toc14621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39 招标相关补充约定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_Toc14621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02405F6">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_Toc21269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40 本次招标活动的最终解释权归招标代理机构及招标人所有。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_Toc21269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2209575">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_Toc13058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第三篇 用户需求书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_Toc13058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10010FF">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_Toc9318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第四篇 合同条款格式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_Toc9318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2090B0C">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_Toc10038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lang w:val="zh-CN"/>
          <w14:textFill>
            <w14:solidFill>
              <w14:schemeClr w14:val="tx1"/>
            </w14:solidFill>
          </w14:textFill>
        </w:rPr>
        <w:t>第五篇 相关保函格式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_Toc10038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39239A8">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_Toc15502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第六篇 投标文件格式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_Toc15502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3FCF8CB">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_Toc30963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附件一：评标工作大纲</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_Toc30963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0F1264D">
      <w:pPr>
        <w:keepNext w:val="0"/>
        <w:keepLines w:val="0"/>
        <w:pageBreakBefore w:val="0"/>
        <w:widowControl w:val="0"/>
        <w:tabs>
          <w:tab w:val="left" w:pos="851"/>
          <w:tab w:val="right" w:leader="dot" w:pos="10206"/>
        </w:tabs>
        <w:kinsoku/>
        <w:wordWrap/>
        <w:overflowPunct/>
        <w:topLinePunct w:val="0"/>
        <w:autoSpaceDE/>
        <w:autoSpaceDN/>
        <w:bidi w:val="0"/>
        <w:adjustRightInd/>
        <w:snapToGrid/>
        <w:spacing w:line="360" w:lineRule="auto"/>
        <w:textAlignment w:val="auto"/>
        <w:rPr>
          <w:rFonts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end"/>
      </w:r>
    </w:p>
    <w:bookmarkEnd w:id="0"/>
    <w:p w14:paraId="176DEC99">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000000" w:themeColor="text1"/>
          <w:kern w:val="44"/>
          <w:sz w:val="44"/>
          <w:szCs w:val="44"/>
          <w:highlight w:val="none"/>
          <w:lang w:val="zh-CN"/>
          <w14:textFill>
            <w14:solidFill>
              <w14:schemeClr w14:val="tx1"/>
            </w14:solidFill>
          </w14:textFill>
        </w:rPr>
      </w:pPr>
      <w:bookmarkStart w:id="1" w:name="_Toc12046"/>
      <w:bookmarkStart w:id="2" w:name="_Toc450662846"/>
      <w:bookmarkStart w:id="3" w:name="_Toc142508310"/>
      <w:bookmarkStart w:id="4" w:name="_Toc28404"/>
      <w:bookmarkStart w:id="5" w:name="_Toc11638"/>
      <w:bookmarkStart w:id="6" w:name="_Toc2723_WPSOffice_Level1"/>
      <w:bookmarkStart w:id="7" w:name="_Toc486167660"/>
      <w:r>
        <w:rPr>
          <w:rFonts w:ascii="宋体" w:hAnsi="宋体" w:eastAsia="宋体" w:cs="Times New Roman"/>
          <w:b/>
          <w:bCs/>
          <w:color w:val="000000" w:themeColor="text1"/>
          <w:kern w:val="44"/>
          <w:sz w:val="32"/>
          <w:szCs w:val="32"/>
          <w:highlight w:val="none"/>
          <w:lang w:val="zh-CN"/>
          <w14:textFill>
            <w14:solidFill>
              <w14:schemeClr w14:val="tx1"/>
            </w14:solidFill>
          </w14:textFill>
        </w:rPr>
        <w:t>第一篇 招标公告</w:t>
      </w:r>
      <w:bookmarkEnd w:id="1"/>
      <w:bookmarkEnd w:id="2"/>
      <w:bookmarkEnd w:id="3"/>
      <w:bookmarkEnd w:id="4"/>
      <w:bookmarkEnd w:id="5"/>
      <w:bookmarkEnd w:id="6"/>
      <w:bookmarkEnd w:id="7"/>
    </w:p>
    <w:p w14:paraId="799E41ED">
      <w:pPr>
        <w:autoSpaceDE w:val="0"/>
        <w:autoSpaceDN w:val="0"/>
        <w:adjustRightInd w:val="0"/>
        <w:snapToGrid w:val="0"/>
        <w:spacing w:line="360" w:lineRule="auto"/>
        <w:ind w:right="-34" w:firstLine="420" w:firstLineChars="20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r>
        <w:rPr>
          <w:rFonts w:ascii="宋体" w:hAnsi="宋体" w:eastAsia="宋体" w:cs="Times New Roman"/>
          <w:color w:val="000000" w:themeColor="text1"/>
          <w:szCs w:val="21"/>
          <w:highlight w:val="none"/>
          <w:lang w:val="zh-CN"/>
          <w14:textFill>
            <w14:solidFill>
              <w14:schemeClr w14:val="tx1"/>
            </w14:solidFill>
          </w14:textFill>
        </w:rPr>
        <w:t>（以下简称“招标代理机构”）受</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东莞市水务环境投资控股集团净水有限公司</w:t>
      </w:r>
      <w:r>
        <w:rPr>
          <w:rFonts w:ascii="宋体" w:hAnsi="宋体" w:eastAsia="宋体" w:cs="Times New Roman"/>
          <w:color w:val="000000" w:themeColor="text1"/>
          <w:szCs w:val="21"/>
          <w:highlight w:val="none"/>
          <w:lang w:val="zh-CN"/>
          <w14:textFill>
            <w14:solidFill>
              <w14:schemeClr w14:val="tx1"/>
            </w14:solidFill>
          </w14:textFill>
        </w:rPr>
        <w:t>（以下简称“招标人”）的委托，对</w:t>
      </w:r>
      <w:bookmarkStart w:id="8" w:name="_Hlk41903390"/>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东莞市水务环境投资控股集团净水有限公司2026年五金材料及工器具物资采购项目</w:t>
      </w:r>
      <w:r>
        <w:rPr>
          <w:rFonts w:ascii="宋体" w:hAnsi="宋体" w:eastAsia="宋体" w:cs="Times New Roman"/>
          <w:color w:val="000000" w:themeColor="text1"/>
          <w:szCs w:val="21"/>
          <w:highlight w:val="none"/>
          <w:lang w:val="zh-CN"/>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广建咨询（东招）2025-0122号</w:t>
      </w:r>
      <w:r>
        <w:rPr>
          <w:rFonts w:ascii="宋体" w:hAnsi="宋体" w:eastAsia="宋体" w:cs="Times New Roman"/>
          <w:color w:val="000000" w:themeColor="text1"/>
          <w:szCs w:val="21"/>
          <w:highlight w:val="none"/>
          <w:lang w:val="zh-CN"/>
          <w14:textFill>
            <w14:solidFill>
              <w14:schemeClr w14:val="tx1"/>
            </w14:solidFill>
          </w14:textFill>
        </w:rPr>
        <w:t>)</w:t>
      </w:r>
      <w:bookmarkEnd w:id="8"/>
      <w:r>
        <w:rPr>
          <w:rFonts w:ascii="宋体" w:hAnsi="宋体" w:eastAsia="宋体" w:cs="Times New Roman"/>
          <w:color w:val="000000" w:themeColor="text1"/>
          <w:szCs w:val="21"/>
          <w:highlight w:val="none"/>
          <w:lang w:val="zh-CN"/>
          <w14:textFill>
            <w14:solidFill>
              <w14:schemeClr w14:val="tx1"/>
            </w14:solidFill>
          </w14:textFill>
        </w:rPr>
        <w:t>进行国内公开招标，</w:t>
      </w:r>
      <w:r>
        <w:rPr>
          <w:rFonts w:hint="eastAsia" w:ascii="宋体" w:hAnsi="宋体" w:eastAsia="宋体" w:cs="Times New Roman"/>
          <w:bCs/>
          <w:color w:val="000000" w:themeColor="text1"/>
          <w:kern w:val="0"/>
          <w:szCs w:val="21"/>
          <w:highlight w:val="none"/>
          <w14:textFill>
            <w14:solidFill>
              <w14:schemeClr w14:val="tx1"/>
            </w14:solidFill>
          </w14:textFill>
        </w:rPr>
        <w:t>详情请参见本招标文件</w:t>
      </w:r>
      <w:r>
        <w:rPr>
          <w:rFonts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欢迎符合条件的合格投标人参加投标，</w:t>
      </w:r>
      <w:r>
        <w:rPr>
          <w:rFonts w:hint="eastAsia" w:ascii="宋体" w:hAnsi="宋体" w:eastAsia="宋体" w:cs="Times New Roman"/>
          <w:bCs/>
          <w:color w:val="000000" w:themeColor="text1"/>
          <w:kern w:val="0"/>
          <w:szCs w:val="21"/>
          <w:highlight w:val="none"/>
          <w14:textFill>
            <w14:solidFill>
              <w14:schemeClr w14:val="tx1"/>
            </w14:solidFill>
          </w14:textFill>
        </w:rPr>
        <w:t>有关事项如下：</w:t>
      </w:r>
    </w:p>
    <w:p w14:paraId="21BA47B6">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097805C7">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招标范围：供货期内，招标人或招标人权属子公司202</w:t>
      </w:r>
      <w:r>
        <w:rPr>
          <w:rFonts w:hint="eastAsia" w:ascii="宋体" w:hAnsi="宋体" w:eastAsia="宋体" w:cs="Times New Roman"/>
          <w:color w:val="000000" w:themeColor="text1"/>
          <w:szCs w:val="21"/>
          <w:highlight w:val="none"/>
          <w:lang w:val="en-US" w:eastAsia="zh-CN"/>
          <w14:textFill>
            <w14:solidFill>
              <w14:schemeClr w14:val="tx1"/>
            </w14:solidFill>
          </w14:textFill>
        </w:rPr>
        <w:t>6</w:t>
      </w:r>
      <w:r>
        <w:rPr>
          <w:rFonts w:hint="eastAsia" w:ascii="宋体" w:hAnsi="宋体" w:eastAsia="宋体" w:cs="Times New Roman"/>
          <w:color w:val="000000" w:themeColor="text1"/>
          <w:szCs w:val="21"/>
          <w:highlight w:val="none"/>
          <w:lang w:val="zh-CN"/>
          <w14:textFill>
            <w14:solidFill>
              <w14:schemeClr w14:val="tx1"/>
            </w14:solidFill>
          </w14:textFill>
        </w:rPr>
        <w:t>年五金材料及工器具的采购，包供货及运输。（具体内容详见：第三篇用户需求书）</w:t>
      </w:r>
    </w:p>
    <w:p w14:paraId="06F2BA1A">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p>
    <w:p w14:paraId="70E02421">
      <w:pPr>
        <w:numPr>
          <w:ilvl w:val="0"/>
          <w:numId w:val="1"/>
        </w:numPr>
        <w:autoSpaceDE w:val="0"/>
        <w:autoSpaceDN w:val="0"/>
        <w:adjustRightInd w:val="0"/>
        <w:snapToGrid w:val="0"/>
        <w:spacing w:line="360" w:lineRule="auto"/>
        <w:ind w:right="-34"/>
        <w:jc w:val="left"/>
        <w:rPr>
          <w:rFonts w:ascii="宋体" w:hAnsi="宋体" w:eastAsia="宋体" w:cs="Times New Roman"/>
          <w:b/>
          <w:color w:val="000000" w:themeColor="text1"/>
          <w:szCs w:val="21"/>
          <w:highlight w:val="none"/>
          <w:lang w:val="zh-CN"/>
          <w14:textFill>
            <w14:solidFill>
              <w14:schemeClr w14:val="tx1"/>
            </w14:solidFill>
          </w14:textFill>
        </w:rPr>
      </w:pPr>
      <w:r>
        <w:rPr>
          <w:rFonts w:ascii="宋体" w:hAnsi="宋体" w:eastAsia="宋体" w:cs="Times New Roman"/>
          <w:b/>
          <w:color w:val="000000" w:themeColor="text1"/>
          <w:szCs w:val="21"/>
          <w:highlight w:val="none"/>
          <w:lang w:val="zh-CN"/>
          <w14:textFill>
            <w14:solidFill>
              <w14:schemeClr w14:val="tx1"/>
            </w14:solidFill>
          </w14:textFill>
        </w:rPr>
        <w:t>合格投标人</w:t>
      </w:r>
      <w:r>
        <w:rPr>
          <w:rFonts w:hint="eastAsia" w:ascii="宋体" w:hAnsi="宋体" w:eastAsia="宋体" w:cs="Times New Roman"/>
          <w:b/>
          <w:color w:val="000000" w:themeColor="text1"/>
          <w:szCs w:val="21"/>
          <w:highlight w:val="none"/>
          <w:lang w:val="zh-CN"/>
          <w14:textFill>
            <w14:solidFill>
              <w14:schemeClr w14:val="tx1"/>
            </w14:solidFill>
          </w14:textFill>
        </w:rPr>
        <w:t>资格要求</w:t>
      </w:r>
      <w:r>
        <w:rPr>
          <w:rFonts w:ascii="宋体" w:hAnsi="宋体" w:eastAsia="宋体" w:cs="Times New Roman"/>
          <w:b/>
          <w:color w:val="000000" w:themeColor="text1"/>
          <w:szCs w:val="21"/>
          <w:highlight w:val="none"/>
          <w:lang w:val="zh-CN"/>
          <w14:textFill>
            <w14:solidFill>
              <w14:schemeClr w14:val="tx1"/>
            </w14:solidFill>
          </w14:textFill>
        </w:rPr>
        <w:t>：</w:t>
      </w:r>
    </w:p>
    <w:p w14:paraId="01D62DD8">
      <w:pPr>
        <w:pStyle w:val="161"/>
        <w:spacing w:line="360" w:lineRule="auto"/>
        <w:ind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Ansi="宋体" w:eastAsia="宋体"/>
          <w:b/>
          <w:color w:val="000000" w:themeColor="text1"/>
          <w:sz w:val="21"/>
          <w:szCs w:val="21"/>
          <w:highlight w:val="none"/>
          <w:lang w:val="zh-CN"/>
          <w14:textFill>
            <w14:solidFill>
              <w14:schemeClr w14:val="tx1"/>
            </w14:solidFill>
          </w14:textFill>
        </w:rPr>
        <w:t xml:space="preserve">.1 </w:t>
      </w:r>
      <w:r>
        <w:rPr>
          <w:rFonts w:hint="eastAsia" w:hAnsi="宋体" w:eastAsia="宋体"/>
          <w:b/>
          <w:color w:val="000000" w:themeColor="text1"/>
          <w:sz w:val="21"/>
          <w:szCs w:val="21"/>
          <w:highlight w:val="none"/>
          <w:lang w:val="zh-CN"/>
          <w14:textFill>
            <w14:solidFill>
              <w14:schemeClr w14:val="tx1"/>
            </w14:solidFill>
          </w14:textFill>
        </w:rPr>
        <w:t>在中华人民共和国境内登记注册、合法存续、正常经营且具有独立承担民事责任能力的法人或其他组织</w:t>
      </w:r>
      <w:r>
        <w:rPr>
          <w:rFonts w:hAnsi="宋体" w:eastAsia="宋体"/>
          <w:b/>
          <w:color w:val="000000" w:themeColor="text1"/>
          <w:sz w:val="21"/>
          <w:szCs w:val="21"/>
          <w:highlight w:val="none"/>
          <w:lang w:val="zh-CN"/>
          <w14:textFill>
            <w14:solidFill>
              <w14:schemeClr w14:val="tx1"/>
            </w14:solidFill>
          </w14:textFill>
        </w:rPr>
        <w:t>；</w:t>
      </w:r>
    </w:p>
    <w:p w14:paraId="583F4D8D">
      <w:pPr>
        <w:pStyle w:val="161"/>
        <w:spacing w:line="360" w:lineRule="auto"/>
        <w:ind w:right="-29" w:rightChars="-14" w:firstLine="0" w:firstLineChars="0"/>
        <w:jc w:val="both"/>
        <w:rPr>
          <w:rFonts w:hint="eastAsia" w:ascii="宋体" w:hAnsi="宋体" w:eastAsia="宋体"/>
          <w:b/>
          <w:color w:val="000000" w:themeColor="text1"/>
          <w:sz w:val="21"/>
          <w:szCs w:val="21"/>
          <w:highlight w:val="none"/>
          <w:lang w:val="zh-CN"/>
          <w14:textFill>
            <w14:solidFill>
              <w14:schemeClr w14:val="tx1"/>
            </w14:solidFill>
          </w14:textFill>
        </w:rPr>
      </w:pPr>
      <w:r>
        <w:rPr>
          <w:rFonts w:hint="eastAsia" w:ascii="宋体" w:hAnsi="宋体" w:eastAsia="宋体"/>
          <w:b/>
          <w:color w:val="000000" w:themeColor="text1"/>
          <w:sz w:val="21"/>
          <w:szCs w:val="21"/>
          <w:highlight w:val="none"/>
          <w:lang w:val="en-US" w:eastAsia="zh-CN"/>
          <w14:textFill>
            <w14:solidFill>
              <w14:schemeClr w14:val="tx1"/>
            </w14:solidFill>
          </w14:textFill>
        </w:rPr>
        <w:t xml:space="preserve">2.2 </w:t>
      </w:r>
      <w:r>
        <w:rPr>
          <w:rFonts w:hint="eastAsia" w:ascii="宋体" w:hAnsi="宋体" w:eastAsia="宋体"/>
          <w:b/>
          <w:color w:val="000000" w:themeColor="text1"/>
          <w:sz w:val="21"/>
          <w:szCs w:val="21"/>
          <w:highlight w:val="none"/>
          <w:lang w:val="zh-CN"/>
          <w14:textFill>
            <w14:solidFill>
              <w14:schemeClr w14:val="tx1"/>
            </w14:solidFill>
          </w14:textFill>
        </w:rPr>
        <w:t>投标人</w:t>
      </w:r>
      <w:r>
        <w:rPr>
          <w:rFonts w:hint="eastAsia" w:hAnsi="宋体" w:eastAsia="宋体"/>
          <w:b/>
          <w:color w:val="000000" w:themeColor="text1"/>
          <w:sz w:val="21"/>
          <w:szCs w:val="21"/>
          <w:highlight w:val="none"/>
          <w:lang w:val="en-US" w:eastAsia="zh-CN"/>
          <w14:textFill>
            <w14:solidFill>
              <w14:schemeClr w14:val="tx1"/>
            </w14:solidFill>
          </w14:textFill>
        </w:rPr>
        <w:t>2023</w:t>
      </w:r>
      <w:r>
        <w:rPr>
          <w:rFonts w:hint="eastAsia" w:ascii="宋体" w:hAnsi="宋体" w:eastAsia="宋体"/>
          <w:b/>
          <w:color w:val="000000" w:themeColor="text1"/>
          <w:sz w:val="21"/>
          <w:szCs w:val="21"/>
          <w:highlight w:val="none"/>
          <w:lang w:val="zh-CN"/>
          <w14:textFill>
            <w14:solidFill>
              <w14:schemeClr w14:val="tx1"/>
            </w14:solidFill>
          </w14:textFill>
        </w:rPr>
        <w:t>年</w:t>
      </w:r>
      <w:r>
        <w:rPr>
          <w:rFonts w:hint="eastAsia" w:ascii="宋体" w:hAnsi="宋体" w:eastAsia="宋体"/>
          <w:b/>
          <w:color w:val="000000" w:themeColor="text1"/>
          <w:sz w:val="21"/>
          <w:szCs w:val="21"/>
          <w:highlight w:val="none"/>
          <w:lang w:val="en-US" w:eastAsia="zh-CN"/>
          <w14:textFill>
            <w14:solidFill>
              <w14:schemeClr w14:val="tx1"/>
            </w14:solidFill>
          </w14:textFill>
        </w:rPr>
        <w:t>1</w:t>
      </w:r>
      <w:r>
        <w:rPr>
          <w:rFonts w:hint="eastAsia" w:ascii="宋体" w:hAnsi="宋体" w:eastAsia="宋体"/>
          <w:b/>
          <w:color w:val="000000" w:themeColor="text1"/>
          <w:sz w:val="21"/>
          <w:szCs w:val="21"/>
          <w:highlight w:val="none"/>
          <w:lang w:val="zh-CN"/>
          <w14:textFill>
            <w14:solidFill>
              <w14:schemeClr w14:val="tx1"/>
            </w14:solidFill>
          </w14:textFill>
        </w:rPr>
        <w:t>月</w:t>
      </w:r>
      <w:r>
        <w:rPr>
          <w:rFonts w:hint="eastAsia" w:ascii="宋体" w:hAnsi="宋体" w:eastAsia="宋体"/>
          <w:b/>
          <w:color w:val="000000" w:themeColor="text1"/>
          <w:sz w:val="21"/>
          <w:szCs w:val="21"/>
          <w:highlight w:val="none"/>
          <w:lang w:val="en-US" w:eastAsia="zh-CN"/>
          <w14:textFill>
            <w14:solidFill>
              <w14:schemeClr w14:val="tx1"/>
            </w14:solidFill>
          </w14:textFill>
        </w:rPr>
        <w:t>1</w:t>
      </w:r>
      <w:r>
        <w:rPr>
          <w:rFonts w:hint="eastAsia" w:ascii="宋体" w:hAnsi="宋体" w:eastAsia="宋体"/>
          <w:b/>
          <w:color w:val="000000" w:themeColor="text1"/>
          <w:sz w:val="21"/>
          <w:szCs w:val="21"/>
          <w:highlight w:val="none"/>
          <w:lang w:val="zh-CN"/>
          <w14:textFill>
            <w14:solidFill>
              <w14:schemeClr w14:val="tx1"/>
            </w14:solidFill>
          </w14:textFill>
        </w:rPr>
        <w:t>日以来具有一份五金材料或工器具</w:t>
      </w:r>
      <w:r>
        <w:rPr>
          <w:rFonts w:hint="eastAsia" w:ascii="宋体" w:hAnsi="宋体" w:eastAsia="宋体"/>
          <w:b/>
          <w:color w:val="000000" w:themeColor="text1"/>
          <w:sz w:val="21"/>
          <w:szCs w:val="21"/>
          <w:highlight w:val="none"/>
          <w:lang w:val="en-US" w:eastAsia="zh-CN"/>
          <w14:textFill>
            <w14:solidFill>
              <w14:schemeClr w14:val="tx1"/>
            </w14:solidFill>
          </w14:textFill>
        </w:rPr>
        <w:t>在国内的销售</w:t>
      </w:r>
      <w:r>
        <w:rPr>
          <w:rFonts w:hint="eastAsia" w:ascii="宋体" w:hAnsi="宋体" w:eastAsia="宋体"/>
          <w:b/>
          <w:color w:val="000000" w:themeColor="text1"/>
          <w:sz w:val="21"/>
          <w:szCs w:val="21"/>
          <w:highlight w:val="none"/>
          <w:lang w:val="zh-CN"/>
          <w14:textFill>
            <w14:solidFill>
              <w14:schemeClr w14:val="tx1"/>
            </w14:solidFill>
          </w14:textFill>
        </w:rPr>
        <w:t>业绩（合同签订日期为</w:t>
      </w:r>
      <w:r>
        <w:rPr>
          <w:rFonts w:hint="eastAsia" w:ascii="宋体" w:hAnsi="宋体" w:eastAsia="宋体"/>
          <w:b/>
          <w:color w:val="000000" w:themeColor="text1"/>
          <w:sz w:val="21"/>
          <w:szCs w:val="21"/>
          <w:highlight w:val="none"/>
          <w:lang w:val="en-US" w:eastAsia="zh-CN"/>
          <w14:textFill>
            <w14:solidFill>
              <w14:schemeClr w14:val="tx1"/>
            </w14:solidFill>
          </w14:textFill>
        </w:rPr>
        <w:t>2023</w:t>
      </w:r>
      <w:r>
        <w:rPr>
          <w:rFonts w:hint="eastAsia" w:ascii="宋体" w:hAnsi="宋体" w:eastAsia="宋体"/>
          <w:b/>
          <w:color w:val="000000" w:themeColor="text1"/>
          <w:sz w:val="21"/>
          <w:szCs w:val="21"/>
          <w:highlight w:val="none"/>
          <w:lang w:val="zh-CN"/>
          <w14:textFill>
            <w14:solidFill>
              <w14:schemeClr w14:val="tx1"/>
            </w14:solidFill>
          </w14:textFill>
        </w:rPr>
        <w:t>年</w:t>
      </w:r>
      <w:r>
        <w:rPr>
          <w:rFonts w:hint="eastAsia" w:ascii="宋体" w:hAnsi="宋体" w:eastAsia="宋体"/>
          <w:b/>
          <w:color w:val="000000" w:themeColor="text1"/>
          <w:sz w:val="21"/>
          <w:szCs w:val="21"/>
          <w:highlight w:val="none"/>
          <w:lang w:val="en-US" w:eastAsia="zh-CN"/>
          <w14:textFill>
            <w14:solidFill>
              <w14:schemeClr w14:val="tx1"/>
            </w14:solidFill>
          </w14:textFill>
        </w:rPr>
        <w:t>1</w:t>
      </w:r>
      <w:r>
        <w:rPr>
          <w:rFonts w:hint="eastAsia" w:ascii="宋体" w:hAnsi="宋体" w:eastAsia="宋体"/>
          <w:b/>
          <w:color w:val="000000" w:themeColor="text1"/>
          <w:sz w:val="21"/>
          <w:szCs w:val="21"/>
          <w:highlight w:val="none"/>
          <w:lang w:val="zh-CN"/>
          <w14:textFill>
            <w14:solidFill>
              <w14:schemeClr w14:val="tx1"/>
            </w14:solidFill>
          </w14:textFill>
        </w:rPr>
        <w:t>月</w:t>
      </w:r>
      <w:r>
        <w:rPr>
          <w:rFonts w:hint="eastAsia" w:ascii="宋体" w:hAnsi="宋体" w:eastAsia="宋体"/>
          <w:b/>
          <w:color w:val="000000" w:themeColor="text1"/>
          <w:sz w:val="21"/>
          <w:szCs w:val="21"/>
          <w:highlight w:val="none"/>
          <w:lang w:val="en-US" w:eastAsia="zh-CN"/>
          <w14:textFill>
            <w14:solidFill>
              <w14:schemeClr w14:val="tx1"/>
            </w14:solidFill>
          </w14:textFill>
        </w:rPr>
        <w:t>1</w:t>
      </w:r>
      <w:r>
        <w:rPr>
          <w:rFonts w:hint="eastAsia" w:ascii="宋体" w:hAnsi="宋体" w:eastAsia="宋体"/>
          <w:b/>
          <w:color w:val="000000" w:themeColor="text1"/>
          <w:sz w:val="21"/>
          <w:szCs w:val="21"/>
          <w:highlight w:val="none"/>
          <w:lang w:val="zh-CN"/>
          <w14:textFill>
            <w14:solidFill>
              <w14:schemeClr w14:val="tx1"/>
            </w14:solidFill>
          </w14:textFill>
        </w:rPr>
        <w:t>日或以后）；</w:t>
      </w:r>
    </w:p>
    <w:p w14:paraId="6927C4AE">
      <w:pPr>
        <w:pStyle w:val="161"/>
        <w:spacing w:line="360" w:lineRule="auto"/>
        <w:ind w:right="-29" w:rightChars="-14" w:firstLine="0" w:firstLineChars="0"/>
        <w:jc w:val="both"/>
        <w:rPr>
          <w:rFonts w:hint="eastAsia" w:ascii="宋体" w:hAnsi="宋体" w:eastAsia="宋体"/>
          <w:b/>
          <w:color w:val="000000" w:themeColor="text1"/>
          <w:sz w:val="21"/>
          <w:szCs w:val="21"/>
          <w:highlight w:val="none"/>
          <w:lang w:val="zh-CN"/>
          <w14:textFill>
            <w14:solidFill>
              <w14:schemeClr w14:val="tx1"/>
            </w14:solidFill>
          </w14:textFill>
        </w:rPr>
      </w:pPr>
      <w:r>
        <w:rPr>
          <w:rFonts w:hint="eastAsia" w:ascii="宋体" w:hAnsi="宋体" w:eastAsia="宋体"/>
          <w:b/>
          <w:color w:val="000000" w:themeColor="text1"/>
          <w:sz w:val="21"/>
          <w:szCs w:val="21"/>
          <w:highlight w:val="none"/>
          <w:lang w:val="en-US" w:eastAsia="zh-CN"/>
          <w14:textFill>
            <w14:solidFill>
              <w14:schemeClr w14:val="tx1"/>
            </w14:solidFill>
          </w14:textFill>
        </w:rPr>
        <w:t xml:space="preserve">2.3 </w:t>
      </w:r>
      <w:r>
        <w:rPr>
          <w:rFonts w:hint="eastAsia" w:ascii="宋体" w:hAnsi="宋体" w:eastAsia="宋体"/>
          <w:b/>
          <w:color w:val="000000" w:themeColor="text1"/>
          <w:sz w:val="21"/>
          <w:szCs w:val="21"/>
          <w:highlight w:val="none"/>
          <w:lang w:val="zh-CN"/>
          <w14:textFill>
            <w14:solidFill>
              <w14:schemeClr w14:val="tx1"/>
            </w14:solidFill>
          </w14:textFill>
        </w:rPr>
        <w:t>本项目不接受联合体投标。</w:t>
      </w:r>
    </w:p>
    <w:p w14:paraId="4EF0B07F">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p>
    <w:p w14:paraId="4E84E4F9">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获取招标文件的方式：本项目采用“不记名网上下载”的方式发布招标文件，</w:t>
      </w:r>
      <w:r>
        <w:rPr>
          <w:rFonts w:hint="eastAsia" w:ascii="宋体" w:hAnsi="宋体" w:eastAsia="宋体" w:cs="Times New Roman"/>
          <w:color w:val="000000" w:themeColor="text1"/>
          <w:szCs w:val="21"/>
          <w:highlight w:val="none"/>
          <w:lang w:val="zh-CN"/>
          <w14:textFill>
            <w14:solidFill>
              <w14:schemeClr w14:val="tx1"/>
            </w14:solidFill>
          </w14:textFill>
        </w:rPr>
        <w:t>有意向的投标人可于本项目投标截止时间前，在本项目招标信息发布媒介</w:t>
      </w:r>
      <w:r>
        <w:rPr>
          <w:rFonts w:hint="eastAsia" w:ascii="宋体" w:hAnsi="宋体" w:eastAsia="宋体" w:cs="Times New Roman"/>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详见本招标公告第7点（除中国招标投标公共服务平台外）</w:t>
      </w:r>
      <w:r>
        <w:rPr>
          <w:rFonts w:hint="eastAsia" w:ascii="宋体" w:hAnsi="宋体" w:eastAsia="宋体" w:cs="Times New Roman"/>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下载招标文件。</w:t>
      </w:r>
    </w:p>
    <w:p w14:paraId="28A6BCD9">
      <w:pPr>
        <w:autoSpaceDE w:val="0"/>
        <w:autoSpaceDN w:val="0"/>
        <w:adjustRightInd w:val="0"/>
        <w:spacing w:line="360" w:lineRule="auto"/>
        <w:ind w:left="630" w:leftChars="100" w:right="-29" w:rightChars="-14" w:hanging="420" w:hangingChars="200"/>
        <w:rPr>
          <w:rFonts w:ascii="宋体" w:hAnsi="宋体" w:eastAsia="宋体" w:cs="Times New Roman"/>
          <w:color w:val="000000" w:themeColor="text1"/>
          <w:szCs w:val="21"/>
          <w:highlight w:val="none"/>
          <w:lang w:val="zh-CN"/>
          <w14:textFill>
            <w14:solidFill>
              <w14:schemeClr w14:val="tx1"/>
            </w14:solidFill>
          </w14:textFill>
        </w:rPr>
      </w:pPr>
    </w:p>
    <w:p w14:paraId="4A695139">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000000" w:themeColor="text1"/>
          <w:szCs w:val="21"/>
          <w:highlight w:val="none"/>
          <w:lang w:val="en-US" w:eastAsia="zh-CN"/>
          <w14:textFill>
            <w14:solidFill>
              <w14:schemeClr w14:val="tx1"/>
            </w14:solidFill>
          </w14:textFill>
        </w:rPr>
        <w:t>政府采购</w:t>
      </w:r>
      <w:r>
        <w:rPr>
          <w:rFonts w:hint="eastAsia" w:ascii="宋体" w:hAnsi="宋体" w:eastAsia="宋体" w:cs="Times New Roman"/>
          <w:color w:val="000000" w:themeColor="text1"/>
          <w:szCs w:val="21"/>
          <w:highlight w:val="none"/>
          <w:lang w:val="zh-CN"/>
          <w14:textFill>
            <w14:solidFill>
              <w14:schemeClr w14:val="tx1"/>
            </w14:solidFill>
          </w14:textFill>
        </w:rPr>
        <w:t>严重违法失信行为记录名单的投标人，做好相关记录（处罚期限届满的除外）</w:t>
      </w:r>
      <w:r>
        <w:rPr>
          <w:rFonts w:ascii="宋体" w:hAnsi="宋体" w:eastAsia="宋体" w:cs="Times New Roman"/>
          <w:color w:val="000000" w:themeColor="text1"/>
          <w:szCs w:val="21"/>
          <w:highlight w:val="none"/>
          <w:lang w:val="zh-CN"/>
          <w14:textFill>
            <w14:solidFill>
              <w14:schemeClr w14:val="tx1"/>
            </w14:solidFill>
          </w14:textFill>
        </w:rPr>
        <w:t>。</w:t>
      </w:r>
    </w:p>
    <w:p w14:paraId="4CCCAFF8">
      <w:pPr>
        <w:autoSpaceDE w:val="0"/>
        <w:autoSpaceDN w:val="0"/>
        <w:adjustRightInd w:val="0"/>
        <w:spacing w:line="360" w:lineRule="auto"/>
        <w:ind w:right="-29" w:rightChars="-14" w:firstLine="420"/>
        <w:rPr>
          <w:rFonts w:ascii="宋体" w:hAnsi="宋体" w:eastAsia="宋体" w:cs="Times New Roman"/>
          <w:color w:val="000000" w:themeColor="text1"/>
          <w:szCs w:val="21"/>
          <w:highlight w:val="none"/>
          <w:lang w:val="zh-CN"/>
          <w14:textFill>
            <w14:solidFill>
              <w14:schemeClr w14:val="tx1"/>
            </w14:solidFill>
          </w14:textFill>
        </w:rPr>
      </w:pPr>
    </w:p>
    <w:p w14:paraId="3A943E0C">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投标、开标时间及地点：</w:t>
      </w:r>
    </w:p>
    <w:p w14:paraId="2CADD526">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5.1 </w:t>
      </w:r>
      <w:r>
        <w:rPr>
          <w:rFonts w:ascii="宋体" w:hAnsi="宋体" w:eastAsia="宋体" w:cs="Times New Roman"/>
          <w:color w:val="000000" w:themeColor="text1"/>
          <w:szCs w:val="21"/>
          <w:highlight w:val="none"/>
          <w:lang w:val="zh-CN"/>
          <w14:textFill>
            <w14:solidFill>
              <w14:schemeClr w14:val="tx1"/>
            </w14:solidFill>
          </w14:textFill>
        </w:rPr>
        <w:t>投标文件递交时间：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2026</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5</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13</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13</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30</w:t>
      </w:r>
      <w:r>
        <w:rPr>
          <w:rFonts w:hint="eastAsia"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0E5FC97E">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5.2 </w:t>
      </w:r>
      <w:r>
        <w:rPr>
          <w:rFonts w:ascii="宋体" w:hAnsi="宋体" w:eastAsia="宋体" w:cs="Times New Roman"/>
          <w:color w:val="000000" w:themeColor="text1"/>
          <w:szCs w:val="21"/>
          <w:highlight w:val="none"/>
          <w:lang w:val="zh-CN"/>
          <w14:textFill>
            <w14:solidFill>
              <w14:schemeClr w14:val="tx1"/>
            </w14:solidFill>
          </w14:textFill>
        </w:rPr>
        <w:t>投标截止及开标时间：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2026</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5</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13</w:t>
      </w:r>
      <w:bookmarkStart w:id="731" w:name="_GoBack"/>
      <w:bookmarkEnd w:id="731"/>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2D18A59E">
      <w:pPr>
        <w:autoSpaceDE w:val="0"/>
        <w:autoSpaceDN w:val="0"/>
        <w:adjustRightInd w:val="0"/>
        <w:spacing w:line="360" w:lineRule="auto"/>
        <w:ind w:right="-29" w:rightChars="-14"/>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5.3 投标及开标地点：</w:t>
      </w:r>
      <w:r>
        <w:rPr>
          <w:rFonts w:hint="eastAsia" w:ascii="宋体" w:hAnsi="宋体" w:eastAsia="宋体" w:cs="Times New Roman"/>
          <w:color w:val="000000" w:themeColor="text1"/>
          <w:szCs w:val="21"/>
          <w:highlight w:val="none"/>
          <w:lang w:val="zh-CN"/>
          <w14:textFill>
            <w14:solidFill>
              <w14:schemeClr w14:val="tx1"/>
            </w14:solidFill>
          </w14:textFill>
        </w:rPr>
        <w:t>广东省东莞市南城街道西平宏伟三路39号联景商业大厦16层。</w:t>
      </w:r>
    </w:p>
    <w:p w14:paraId="069AA95F">
      <w:pPr>
        <w:autoSpaceDE w:val="0"/>
        <w:autoSpaceDN w:val="0"/>
        <w:adjustRightInd w:val="0"/>
        <w:spacing w:line="360" w:lineRule="auto"/>
        <w:ind w:right="-29" w:rightChars="-14" w:firstLine="210" w:firstLineChars="100"/>
        <w:rPr>
          <w:rFonts w:ascii="宋体" w:hAnsi="宋体" w:eastAsia="宋体" w:cs="Times New Roman"/>
          <w:color w:val="000000" w:themeColor="text1"/>
          <w:kern w:val="0"/>
          <w:szCs w:val="21"/>
          <w:highlight w:val="none"/>
          <w14:textFill>
            <w14:solidFill>
              <w14:schemeClr w14:val="tx1"/>
            </w14:solidFill>
          </w14:textFill>
        </w:rPr>
      </w:pPr>
    </w:p>
    <w:p w14:paraId="09B9634A">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000000" w:themeColor="text1"/>
          <w:szCs w:val="21"/>
          <w:highlight w:val="none"/>
          <w:lang w:val="zh-CN"/>
          <w14:textFill>
            <w14:solidFill>
              <w14:schemeClr w14:val="tx1"/>
            </w14:solidFill>
          </w14:textFill>
        </w:rPr>
        <w:t>。电报、传真形式的投标概不接受。</w:t>
      </w:r>
    </w:p>
    <w:p w14:paraId="54876D95">
      <w:pPr>
        <w:autoSpaceDE w:val="0"/>
        <w:autoSpaceDN w:val="0"/>
        <w:adjustRightInd w:val="0"/>
        <w:spacing w:line="360" w:lineRule="auto"/>
        <w:ind w:left="210" w:leftChars="100" w:right="-29" w:rightChars="-14"/>
        <w:rPr>
          <w:rFonts w:ascii="宋体" w:hAnsi="宋体" w:eastAsia="宋体" w:cs="Times New Roman"/>
          <w:color w:val="000000" w:themeColor="text1"/>
          <w:szCs w:val="21"/>
          <w:highlight w:val="none"/>
          <w:lang w:val="zh-CN"/>
          <w14:textFill>
            <w14:solidFill>
              <w14:schemeClr w14:val="tx1"/>
            </w14:solidFill>
          </w14:textFill>
        </w:rPr>
      </w:pPr>
    </w:p>
    <w:p w14:paraId="44D988D3">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本项目相关公告在以下媒介发布：</w:t>
      </w:r>
      <w:r>
        <w:rPr>
          <w:rFonts w:hint="eastAsia" w:ascii="宋体" w:hAnsi="宋体" w:eastAsia="宋体" w:cs="Times New Roman"/>
          <w:bCs/>
          <w:color w:val="000000" w:themeColor="text1"/>
          <w:szCs w:val="21"/>
          <w:highlight w:val="none"/>
          <w:lang w:eastAsia="zh-CN"/>
          <w14:textFill>
            <w14:solidFill>
              <w14:schemeClr w14:val="tx1"/>
            </w14:solidFill>
          </w14:textFill>
        </w:rPr>
        <w:t>广东省公共资源交易平台（ygp.gdzwfw.gov.cn）、</w:t>
      </w:r>
      <w:r>
        <w:rPr>
          <w:rFonts w:hint="eastAsia" w:ascii="宋体" w:hAnsi="宋体" w:eastAsia="宋体" w:cs="Times New Roman"/>
          <w:bCs/>
          <w:color w:val="000000" w:themeColor="text1"/>
          <w:szCs w:val="21"/>
          <w:highlight w:val="none"/>
          <w14:textFill>
            <w14:solidFill>
              <w14:schemeClr w14:val="tx1"/>
            </w14:solidFill>
          </w14:textFill>
        </w:rPr>
        <w:t>中国招标投标公共服务平台（www.cebpubservice.com）、</w:t>
      </w:r>
      <w:r>
        <w:rPr>
          <w:rFonts w:hint="eastAsia" w:ascii="宋体" w:hAnsi="宋体" w:eastAsia="宋体" w:cs="Times New Roman"/>
          <w:bCs/>
          <w:color w:val="000000" w:themeColor="text1"/>
          <w:szCs w:val="21"/>
          <w:highlight w:val="none"/>
          <w:lang w:eastAsia="zh-CN"/>
          <w14:textFill>
            <w14:solidFill>
              <w14:schemeClr w14:val="tx1"/>
            </w14:solidFill>
          </w14:textFill>
        </w:rPr>
        <w:t>东莞市水务环境投资控股集团有限公司</w:t>
      </w:r>
      <w:r>
        <w:rPr>
          <w:rFonts w:hint="eastAsia" w:ascii="宋体" w:hAnsi="宋体" w:eastAsia="宋体" w:cs="Times New Roman"/>
          <w:bCs/>
          <w:color w:val="000000" w:themeColor="text1"/>
          <w:szCs w:val="21"/>
          <w:highlight w:val="none"/>
          <w14:textFill>
            <w14:solidFill>
              <w14:schemeClr w14:val="tx1"/>
            </w14:solidFill>
          </w14:textFill>
        </w:rPr>
        <w:t>网（</w:t>
      </w:r>
      <w:r>
        <w:rPr>
          <w:rFonts w:hint="eastAsia" w:ascii="宋体" w:hAnsi="宋体" w:eastAsia="宋体" w:cs="Times New Roman"/>
          <w:bCs/>
          <w:color w:val="000000" w:themeColor="text1"/>
          <w:szCs w:val="21"/>
          <w:highlight w:val="none"/>
          <w:lang w:eastAsia="zh-CN"/>
          <w14:textFill>
            <w14:solidFill>
              <w14:schemeClr w14:val="tx1"/>
            </w14:solidFill>
          </w14:textFill>
        </w:rPr>
        <w:t>www.dgweg.cn</w:t>
      </w:r>
      <w:r>
        <w:rPr>
          <w:rFonts w:hint="eastAsia" w:ascii="宋体" w:hAnsi="宋体" w:eastAsia="宋体" w:cs="Times New Roman"/>
          <w:bCs/>
          <w:color w:val="000000" w:themeColor="text1"/>
          <w:szCs w:val="21"/>
          <w:highlight w:val="none"/>
          <w14:textFill>
            <w14:solidFill>
              <w14:schemeClr w14:val="tx1"/>
            </w14:solidFill>
          </w14:textFill>
        </w:rPr>
        <w:t>）、招标</w:t>
      </w:r>
      <w:r>
        <w:rPr>
          <w:rFonts w:hint="eastAsia" w:ascii="宋体" w:hAnsi="宋体" w:eastAsia="宋体" w:cs="Times New Roman"/>
          <w:color w:val="000000" w:themeColor="text1"/>
          <w:szCs w:val="21"/>
          <w:highlight w:val="none"/>
          <w:lang w:val="zh-CN"/>
          <w14:textFill>
            <w14:solidFill>
              <w14:schemeClr w14:val="tx1"/>
            </w14:solidFill>
          </w14:textFill>
        </w:rPr>
        <w:t>代理</w:t>
      </w:r>
      <w:r>
        <w:rPr>
          <w:rFonts w:hint="eastAsia" w:ascii="宋体" w:hAnsi="宋体" w:eastAsia="宋体" w:cs="Times New Roman"/>
          <w:color w:val="000000" w:themeColor="text1"/>
          <w:szCs w:val="21"/>
          <w:highlight w:val="none"/>
          <w:lang w:val="en-US" w:eastAsia="zh-CN"/>
          <w14:textFill>
            <w14:solidFill>
              <w14:schemeClr w14:val="tx1"/>
            </w14:solidFill>
          </w14:textFill>
        </w:rPr>
        <w:t>机构</w:t>
      </w:r>
      <w:r>
        <w:rPr>
          <w:rFonts w:hint="eastAsia" w:ascii="宋体" w:hAnsi="宋体" w:eastAsia="宋体" w:cs="Times New Roman"/>
          <w:color w:val="000000" w:themeColor="text1"/>
          <w:szCs w:val="21"/>
          <w:highlight w:val="none"/>
          <w:lang w:val="zh-CN"/>
          <w14:textFill>
            <w14:solidFill>
              <w14:schemeClr w14:val="tx1"/>
            </w14:solidFill>
          </w14:textFill>
        </w:rPr>
        <w:t>网站（www.gzjc.com.cn</w:t>
      </w:r>
      <w:r>
        <w:rPr>
          <w:rFonts w:ascii="宋体" w:hAnsi="宋体" w:eastAsia="宋体" w:cs="Times New Roman"/>
          <w:color w:val="000000" w:themeColor="text1"/>
          <w:szCs w:val="21"/>
          <w:highlight w:val="none"/>
          <w:lang w:val="zh-CN"/>
          <w14:textFill>
            <w14:solidFill>
              <w14:schemeClr w14:val="tx1"/>
            </w14:solidFill>
          </w14:textFill>
        </w:rPr>
        <w:t>）。</w:t>
      </w:r>
    </w:p>
    <w:p w14:paraId="2677857D">
      <w:pPr>
        <w:autoSpaceDE w:val="0"/>
        <w:autoSpaceDN w:val="0"/>
        <w:adjustRightInd w:val="0"/>
        <w:spacing w:line="360" w:lineRule="auto"/>
        <w:ind w:right="-29" w:rightChars="-14" w:firstLine="420"/>
        <w:rPr>
          <w:rFonts w:ascii="宋体" w:hAnsi="宋体" w:eastAsia="宋体" w:cs="Times New Roman"/>
          <w:bCs/>
          <w:color w:val="000000" w:themeColor="text1"/>
          <w:szCs w:val="21"/>
          <w:highlight w:val="none"/>
          <w14:textFill>
            <w14:solidFill>
              <w14:schemeClr w14:val="tx1"/>
            </w14:solidFill>
          </w14:textFill>
        </w:rPr>
      </w:pPr>
    </w:p>
    <w:p w14:paraId="4AA9B552">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bCs/>
          <w:color w:val="000000" w:themeColor="text1"/>
          <w:szCs w:val="21"/>
          <w:highlight w:val="none"/>
          <w:lang w:val="zh-CN"/>
          <w14:textFill>
            <w14:solidFill>
              <w14:schemeClr w14:val="tx1"/>
            </w14:solidFill>
          </w14:textFill>
        </w:rPr>
        <w:t>招标人联系方式</w:t>
      </w:r>
    </w:p>
    <w:p w14:paraId="54175EC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招标人：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东莞市水务环境投资控股集团净水有限公司</w:t>
      </w:r>
    </w:p>
    <w:p w14:paraId="1D266EF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w:t>
      </w:r>
      <w:r>
        <w:rPr>
          <w:rFonts w:hint="eastAsia" w:ascii="宋体" w:hAnsi="宋体" w:eastAsia="宋体" w:cs="Times New Roman"/>
          <w:color w:val="000000" w:themeColor="text1"/>
          <w:kern w:val="0"/>
          <w:szCs w:val="21"/>
          <w:highlight w:val="none"/>
          <w14:textFill>
            <w14:solidFill>
              <w14:schemeClr w14:val="tx1"/>
            </w14:solidFill>
          </w14:textFill>
        </w:rPr>
        <w:t xml:space="preserve"> </w:t>
      </w:r>
      <w:r>
        <w:rPr>
          <w:rFonts w:ascii="宋体" w:hAnsi="宋体" w:eastAsia="宋体" w:cs="Times New Roman"/>
          <w:color w:val="000000" w:themeColor="text1"/>
          <w:kern w:val="0"/>
          <w:szCs w:val="21"/>
          <w:highlight w:val="none"/>
          <w14:textFill>
            <w14:solidFill>
              <w14:schemeClr w14:val="tx1"/>
            </w14:solidFill>
          </w14:textFill>
        </w:rPr>
        <w:t xml:space="preserve"> 址：</w:t>
      </w:r>
      <w:r>
        <w:rPr>
          <w:rFonts w:hint="eastAsia" w:ascii="宋体" w:hAnsi="宋体" w:eastAsia="宋体" w:cs="Times New Roman"/>
          <w:color w:val="000000" w:themeColor="text1"/>
          <w:kern w:val="0"/>
          <w:szCs w:val="21"/>
          <w:highlight w:val="none"/>
          <w14:textFill>
            <w14:solidFill>
              <w14:schemeClr w14:val="tx1"/>
            </w14:solidFill>
          </w14:textFill>
        </w:rPr>
        <w:t>东莞市南城街道宏北路16号水业大厦</w:t>
      </w:r>
    </w:p>
    <w:p w14:paraId="643F329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：李建聪</w:t>
      </w:r>
    </w:p>
    <w:p w14:paraId="0E9852D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电  话：</w:t>
      </w:r>
      <w:r>
        <w:rPr>
          <w:rFonts w:hint="eastAsia" w:ascii="宋体" w:hAnsi="宋体" w:eastAsia="宋体" w:cs="Times New Roman"/>
          <w:color w:val="000000" w:themeColor="text1"/>
          <w:kern w:val="0"/>
          <w:szCs w:val="21"/>
          <w:highlight w:val="none"/>
          <w14:textFill>
            <w14:solidFill>
              <w14:schemeClr w14:val="tx1"/>
            </w14:solidFill>
          </w14:textFill>
        </w:rPr>
        <w:t>0769</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w:t>
      </w:r>
      <w:r>
        <w:rPr>
          <w:rFonts w:hint="eastAsia" w:ascii="宋体" w:hAnsi="宋体" w:eastAsia="宋体" w:cs="Times New Roman"/>
          <w:color w:val="000000" w:themeColor="text1"/>
          <w:kern w:val="0"/>
          <w:szCs w:val="21"/>
          <w:highlight w:val="none"/>
          <w:lang w:eastAsia="zh-CN"/>
          <w14:textFill>
            <w14:solidFill>
              <w14:schemeClr w14:val="tx1"/>
            </w14:solidFill>
          </w14:textFill>
        </w:rPr>
        <w:t>28823253</w:t>
      </w:r>
    </w:p>
    <w:p w14:paraId="6B575EF5">
      <w:pPr>
        <w:autoSpaceDE w:val="0"/>
        <w:autoSpaceDN w:val="0"/>
        <w:adjustRightInd w:val="0"/>
        <w:spacing w:line="360" w:lineRule="auto"/>
        <w:ind w:right="-29" w:rightChars="-14" w:firstLine="420"/>
        <w:rPr>
          <w:rFonts w:ascii="宋体" w:hAnsi="宋体" w:eastAsia="宋体" w:cs="Times New Roman"/>
          <w:color w:val="000000" w:themeColor="text1"/>
          <w:kern w:val="0"/>
          <w:szCs w:val="21"/>
          <w:highlight w:val="none"/>
          <w14:textFill>
            <w14:solidFill>
              <w14:schemeClr w14:val="tx1"/>
            </w14:solidFill>
          </w14:textFill>
        </w:rPr>
      </w:pPr>
    </w:p>
    <w:p w14:paraId="5C5E749E">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招标代理机构</w:t>
      </w:r>
      <w:r>
        <w:rPr>
          <w:rFonts w:hint="eastAsia" w:ascii="宋体" w:hAnsi="宋体" w:eastAsia="宋体" w:cs="Times New Roman"/>
          <w:color w:val="000000" w:themeColor="text1"/>
          <w:szCs w:val="21"/>
          <w:highlight w:val="none"/>
          <w14:textFill>
            <w14:solidFill>
              <w14:schemeClr w14:val="tx1"/>
            </w14:solidFill>
          </w14:textFill>
        </w:rPr>
        <w:t>及异议受理</w:t>
      </w:r>
      <w:r>
        <w:rPr>
          <w:rFonts w:ascii="宋体" w:hAnsi="宋体" w:eastAsia="宋体" w:cs="Times New Roman"/>
          <w:color w:val="000000" w:themeColor="text1"/>
          <w:szCs w:val="21"/>
          <w:highlight w:val="none"/>
          <w14:textFill>
            <w14:solidFill>
              <w14:schemeClr w14:val="tx1"/>
            </w14:solidFill>
          </w14:textFill>
        </w:rPr>
        <w:t>联系方式</w:t>
      </w:r>
    </w:p>
    <w:p w14:paraId="1A332F9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bookmarkStart w:id="9" w:name="_Toc486167661"/>
      <w:bookmarkStart w:id="10" w:name="_Toc450662847"/>
      <w:bookmarkStart w:id="11" w:name="_Toc31764_WPSOffice_Level1"/>
      <w:r>
        <w:rPr>
          <w:rFonts w:ascii="宋体" w:hAnsi="宋体" w:eastAsia="宋体" w:cs="Times New Roman"/>
          <w:color w:val="000000" w:themeColor="text1"/>
          <w:kern w:val="0"/>
          <w:szCs w:val="21"/>
          <w:highlight w:val="none"/>
          <w14:textFill>
            <w14:solidFill>
              <w14:schemeClr w14:val="tx1"/>
            </w14:solidFill>
          </w14:textFill>
        </w:rPr>
        <w:t>招标代理机构：</w:t>
      </w: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p>
    <w:p w14:paraId="213488F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  址：</w:t>
      </w:r>
      <w:r>
        <w:rPr>
          <w:rFonts w:hint="eastAsia" w:ascii="宋体" w:hAnsi="宋体" w:eastAsia="宋体" w:cs="Times New Roman"/>
          <w:color w:val="000000" w:themeColor="text1"/>
          <w:kern w:val="0"/>
          <w:szCs w:val="21"/>
          <w:highlight w:val="none"/>
          <w14:textFill>
            <w14:solidFill>
              <w14:schemeClr w14:val="tx1"/>
            </w14:solidFill>
          </w14:textFill>
        </w:rPr>
        <w:t>东莞市南城街道西平宏伟三路39号联景商业大厦16层</w:t>
      </w:r>
    </w:p>
    <w:p w14:paraId="6AD7D2B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叶沛琳</w:t>
      </w:r>
    </w:p>
    <w:p w14:paraId="05B8CBD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 xml:space="preserve">电 </w:t>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话</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0769-22801999</w:t>
      </w:r>
    </w:p>
    <w:p w14:paraId="234CBC4F">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12" w:name="_Toc24735"/>
      <w:bookmarkStart w:id="13" w:name="_Toc26947"/>
      <w:bookmarkStart w:id="14" w:name="_Toc142508311"/>
      <w:bookmarkStart w:id="15" w:name="_Toc12475"/>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第二篇</w:t>
      </w:r>
      <w:r>
        <w:rPr>
          <w:rFonts w:ascii="宋体" w:hAnsi="宋体" w:eastAsia="宋体" w:cs="宋体"/>
          <w:b/>
          <w:bCs/>
          <w:color w:val="000000" w:themeColor="text1"/>
          <w:kern w:val="44"/>
          <w:sz w:val="32"/>
          <w:szCs w:val="32"/>
          <w:highlight w:val="none"/>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投标人须知</w:t>
      </w:r>
      <w:bookmarkEnd w:id="9"/>
      <w:bookmarkEnd w:id="10"/>
      <w:bookmarkEnd w:id="11"/>
      <w:bookmarkEnd w:id="12"/>
      <w:bookmarkEnd w:id="13"/>
      <w:bookmarkEnd w:id="14"/>
      <w:bookmarkEnd w:id="15"/>
    </w:p>
    <w:p w14:paraId="3DC8B9CC">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6" w:name="_Toc9501"/>
      <w:bookmarkStart w:id="17" w:name="_Toc30360"/>
      <w:bookmarkStart w:id="18" w:name="_Toc486167662"/>
      <w:bookmarkStart w:id="19" w:name="_Toc16098"/>
      <w:bookmarkStart w:id="20" w:name="_Toc450662848"/>
      <w:bookmarkStart w:id="21" w:name="_Toc140596871"/>
      <w:bookmarkStart w:id="22" w:name="_Toc142508312"/>
      <w:bookmarkStart w:id="23" w:name="_Toc15366_WPSOffice_Level2"/>
      <w:r>
        <w:rPr>
          <w:rFonts w:hint="eastAsia" w:ascii="宋体" w:hAnsi="宋体" w:eastAsia="宋体" w:cs="宋体"/>
          <w:b/>
          <w:bCs/>
          <w:color w:val="000000" w:themeColor="text1"/>
          <w:kern w:val="44"/>
          <w:szCs w:val="21"/>
          <w:highlight w:val="none"/>
          <w:lang w:val="zh-CN"/>
          <w14:textFill>
            <w14:solidFill>
              <w14:schemeClr w14:val="tx1"/>
            </w14:solidFill>
          </w14:textFill>
        </w:rPr>
        <w:t>一、总则</w:t>
      </w:r>
      <w:bookmarkEnd w:id="16"/>
      <w:bookmarkEnd w:id="17"/>
      <w:bookmarkEnd w:id="18"/>
      <w:bookmarkEnd w:id="19"/>
      <w:bookmarkEnd w:id="20"/>
      <w:bookmarkEnd w:id="21"/>
      <w:bookmarkEnd w:id="22"/>
      <w:bookmarkEnd w:id="23"/>
    </w:p>
    <w:p w14:paraId="429B087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4" w:name="_Toc142508313"/>
      <w:bookmarkStart w:id="25" w:name="_Toc22130"/>
      <w:bookmarkStart w:id="26" w:name="_Toc16700"/>
      <w:bookmarkStart w:id="27" w:name="_Toc2001"/>
      <w:bookmarkStart w:id="28" w:name="_Toc450662849"/>
      <w:bookmarkStart w:id="29" w:name="_Toc486167663"/>
      <w:bookmarkStart w:id="30" w:name="_Toc21710_WPSOffice_Level3"/>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资金来源：企业自筹资金。</w:t>
      </w:r>
      <w:bookmarkEnd w:id="24"/>
      <w:bookmarkEnd w:id="25"/>
      <w:bookmarkEnd w:id="26"/>
      <w:bookmarkEnd w:id="27"/>
      <w:bookmarkEnd w:id="28"/>
      <w:bookmarkEnd w:id="29"/>
      <w:bookmarkEnd w:id="30"/>
    </w:p>
    <w:p w14:paraId="06B3340C">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2F0F027D">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31" w:name="_Toc142508314"/>
      <w:bookmarkStart w:id="32" w:name="_Toc486167664"/>
      <w:bookmarkStart w:id="33" w:name="_Toc80_WPSOffice_Level3"/>
      <w:bookmarkStart w:id="34" w:name="_Toc23516"/>
      <w:bookmarkStart w:id="35" w:name="_Toc450662850"/>
      <w:bookmarkStart w:id="36" w:name="_Toc27011"/>
      <w:bookmarkStart w:id="37" w:name="_Toc5550"/>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合格的投标人</w:t>
      </w:r>
      <w:bookmarkEnd w:id="31"/>
      <w:bookmarkEnd w:id="32"/>
      <w:bookmarkEnd w:id="33"/>
      <w:bookmarkEnd w:id="34"/>
      <w:bookmarkEnd w:id="35"/>
      <w:bookmarkEnd w:id="36"/>
      <w:bookmarkEnd w:id="37"/>
    </w:p>
    <w:p w14:paraId="0076180E">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2.1  合格的投标人条件见第一篇《招标公告》中第</w:t>
      </w:r>
      <w:r>
        <w:rPr>
          <w:rFonts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条的“合格投标人资格要求”及本条以下2.2款至2.</w:t>
      </w:r>
      <w:r>
        <w:rPr>
          <w:rFonts w:hint="eastAsia" w:ascii="宋体" w:hAnsi="宋体" w:eastAsia="宋体" w:cs="宋体"/>
          <w:b/>
          <w:color w:val="000000" w:themeColor="text1"/>
          <w:szCs w:val="21"/>
          <w:highlight w:val="none"/>
          <w:lang w:val="en-US" w:eastAsia="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款的通用要求。</w:t>
      </w:r>
    </w:p>
    <w:p w14:paraId="01BB2514">
      <w:pPr>
        <w:autoSpaceDE w:val="0"/>
        <w:autoSpaceDN w:val="0"/>
        <w:adjustRightInd w:val="0"/>
        <w:spacing w:line="360" w:lineRule="auto"/>
        <w:ind w:left="359" w:leftChars="-100" w:hanging="569" w:hangingChars="27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14:textFill>
            <w14:solidFill>
              <w14:schemeClr w14:val="tx1"/>
            </w14:solidFill>
          </w14:textFill>
        </w:rPr>
        <w:t>投标人</w:t>
      </w:r>
      <w:r>
        <w:rPr>
          <w:rFonts w:hint="eastAsia" w:ascii="宋体" w:hAnsi="宋体" w:eastAsia="宋体" w:cs="Times New Roman"/>
          <w:b/>
          <w:color w:val="000000" w:themeColor="text1"/>
          <w:kern w:val="0"/>
          <w:szCs w:val="21"/>
          <w:highlight w:val="none"/>
          <w14:textFill>
            <w14:solidFill>
              <w14:schemeClr w14:val="tx1"/>
            </w14:solidFill>
          </w14:textFill>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000000" w:themeColor="text1"/>
          <w:kern w:val="0"/>
          <w:szCs w:val="21"/>
          <w:highlight w:val="none"/>
          <w:lang w:val="zh-CN"/>
          <w14:textFill>
            <w14:solidFill>
              <w14:schemeClr w14:val="tx1"/>
            </w14:solidFill>
          </w14:textFill>
        </w:rPr>
        <w:t>处罚说明</w:t>
      </w:r>
      <w:r>
        <w:rPr>
          <w:rFonts w:hint="eastAsia" w:ascii="宋体" w:hAnsi="宋体" w:eastAsia="宋体" w:cs="Times New Roman"/>
          <w:b/>
          <w:color w:val="000000" w:themeColor="text1"/>
          <w:kern w:val="0"/>
          <w:szCs w:val="21"/>
          <w:highlight w:val="none"/>
          <w14:textFill>
            <w14:solidFill>
              <w14:schemeClr w14:val="tx1"/>
            </w14:solidFill>
          </w14:textFill>
        </w:rPr>
        <w:t>”，如果不主动填报而被事后发现的，将取消其投标（中标）资格，并按有关规定从重处理</w:t>
      </w:r>
      <w:r>
        <w:rPr>
          <w:rFonts w:hint="eastAsia" w:ascii="宋体" w:hAnsi="宋体" w:eastAsia="宋体" w:cs="宋体"/>
          <w:b/>
          <w:color w:val="000000" w:themeColor="text1"/>
          <w:kern w:val="0"/>
          <w:szCs w:val="21"/>
          <w:highlight w:val="none"/>
          <w14:textFill>
            <w14:solidFill>
              <w14:schemeClr w14:val="tx1"/>
            </w14:solidFill>
          </w14:textFill>
        </w:rPr>
        <w:t>。</w:t>
      </w:r>
    </w:p>
    <w:p w14:paraId="3C68BE7B">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2.</w:t>
      </w:r>
      <w:r>
        <w:rPr>
          <w:rFonts w:ascii="宋体" w:hAnsi="宋体" w:eastAsia="宋体" w:cs="宋体"/>
          <w:b/>
          <w:color w:val="000000" w:themeColor="text1"/>
          <w:kern w:val="0"/>
          <w:szCs w:val="21"/>
          <w:highlight w:val="none"/>
          <w:lang w:val="zh-CN"/>
          <w14:textFill>
            <w14:solidFill>
              <w14:schemeClr w14:val="tx1"/>
            </w14:solidFill>
          </w14:textFill>
        </w:rPr>
        <w:t>3</w:t>
      </w:r>
      <w:r>
        <w:rPr>
          <w:rFonts w:hint="eastAsia" w:ascii="宋体" w:hAnsi="宋体" w:eastAsia="宋体" w:cs="宋体"/>
          <w:b/>
          <w:color w:val="000000" w:themeColor="text1"/>
          <w:kern w:val="0"/>
          <w:szCs w:val="21"/>
          <w:highlight w:val="none"/>
          <w:lang w:val="zh-CN"/>
          <w14:textFill>
            <w14:solidFill>
              <w14:schemeClr w14:val="tx1"/>
            </w14:solidFill>
          </w14:textFill>
        </w:rPr>
        <w:t xml:space="preserve">  投标人</w:t>
      </w:r>
      <w:r>
        <w:rPr>
          <w:rFonts w:hint="eastAsia" w:ascii="宋体" w:hAnsi="宋体" w:eastAsia="宋体" w:cs="宋体"/>
          <w:b/>
          <w:color w:val="000000" w:themeColor="text1"/>
          <w:szCs w:val="21"/>
          <w:highlight w:val="none"/>
          <w:lang w:val="zh-CN"/>
          <w14:textFill>
            <w14:solidFill>
              <w14:schemeClr w14:val="tx1"/>
            </w14:solidFill>
          </w14:textFill>
        </w:rPr>
        <w:t>符合《中华人民共和国招标投标法》第二十六条规定。</w:t>
      </w:r>
    </w:p>
    <w:p w14:paraId="217F46C9">
      <w:pPr>
        <w:autoSpaceDE w:val="0"/>
        <w:autoSpaceDN w:val="0"/>
        <w:adjustRightInd w:val="0"/>
        <w:spacing w:line="360" w:lineRule="auto"/>
        <w:ind w:left="359" w:leftChars="-99" w:hanging="567" w:hangingChars="269"/>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w:t>
      </w:r>
      <w:r>
        <w:rPr>
          <w:rFonts w:ascii="宋体" w:hAnsi="宋体" w:eastAsia="宋体" w:cs="宋体"/>
          <w:b/>
          <w:color w:val="000000" w:themeColor="text1"/>
          <w:kern w:val="0"/>
          <w:szCs w:val="21"/>
          <w:highlight w:val="none"/>
          <w14:textFill>
            <w14:solidFill>
              <w14:schemeClr w14:val="tx1"/>
            </w14:solidFill>
          </w14:textFill>
        </w:rPr>
        <w:t>4</w:t>
      </w:r>
      <w:r>
        <w:rPr>
          <w:rFonts w:hint="eastAsia" w:ascii="宋体" w:hAnsi="宋体" w:eastAsia="宋体" w:cs="宋体"/>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投标人（含其不具有独立法人资格的分支机构）未被列入“信用中国”网站（ www.creditchina.gov.cn）失信被执行人、重大税收违法失信主体、</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Times New Roman"/>
          <w:b/>
          <w:color w:val="000000" w:themeColor="text1"/>
          <w:kern w:val="0"/>
          <w:szCs w:val="21"/>
          <w:highlight w:val="none"/>
          <w14:textFill>
            <w14:solidFill>
              <w14:schemeClr w14:val="tx1"/>
            </w14:solidFill>
          </w14:textFill>
        </w:rPr>
        <w:t>严重违法失信行为记录名单（处罚期限届满的除外）</w:t>
      </w:r>
      <w:r>
        <w:rPr>
          <w:rFonts w:hint="eastAsia" w:ascii="宋体" w:hAnsi="宋体" w:eastAsia="宋体" w:cs="宋体"/>
          <w:b/>
          <w:color w:val="000000" w:themeColor="text1"/>
          <w:kern w:val="0"/>
          <w:szCs w:val="21"/>
          <w:highlight w:val="none"/>
          <w14:textFill>
            <w14:solidFill>
              <w14:schemeClr w14:val="tx1"/>
            </w14:solidFill>
          </w14:textFill>
        </w:rPr>
        <w:t>。</w:t>
      </w:r>
    </w:p>
    <w:p w14:paraId="1EC2C4AA">
      <w:pPr>
        <w:autoSpaceDE w:val="0"/>
        <w:autoSpaceDN w:val="0"/>
        <w:adjustRightInd w:val="0"/>
        <w:spacing w:line="360" w:lineRule="auto"/>
        <w:ind w:left="317" w:leftChars="-100" w:hanging="527" w:hangingChars="25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000000" w:themeColor="text1"/>
          <w:szCs w:val="21"/>
          <w:highlight w:val="none"/>
          <w:lang w:val="zh-CN"/>
          <w14:textFill>
            <w14:solidFill>
              <w14:schemeClr w14:val="tx1"/>
            </w14:solidFill>
          </w14:textFill>
        </w:rPr>
        <w:t>。</w:t>
      </w:r>
    </w:p>
    <w:p w14:paraId="17E0BAF2">
      <w:pPr>
        <w:tabs>
          <w:tab w:val="left" w:pos="426"/>
        </w:tabs>
        <w:autoSpaceDE w:val="0"/>
        <w:autoSpaceDN w:val="0"/>
        <w:adjustRightInd w:val="0"/>
        <w:spacing w:line="360" w:lineRule="auto"/>
        <w:ind w:left="319" w:leftChars="-100" w:hanging="529" w:hangingChars="252"/>
        <w:rPr>
          <w:rFonts w:ascii="宋体" w:hAnsi="宋体" w:eastAsia="宋体" w:cs="宋体"/>
          <w:color w:val="000000" w:themeColor="text1"/>
          <w:kern w:val="0"/>
          <w:szCs w:val="24"/>
          <w:highlight w:val="none"/>
          <w14:textFill>
            <w14:solidFill>
              <w14:schemeClr w14:val="tx1"/>
            </w14:solidFill>
          </w14:textFill>
        </w:rPr>
      </w:pPr>
    </w:p>
    <w:p w14:paraId="5993981F">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38" w:name="_Toc28277"/>
      <w:bookmarkStart w:id="39" w:name="_Toc142508315"/>
      <w:bookmarkStart w:id="40" w:name="_Toc4257"/>
      <w:bookmarkStart w:id="41" w:name="_Toc8199"/>
      <w:bookmarkStart w:id="42" w:name="_Toc23847_WPSOffice_Level3"/>
      <w:bookmarkStart w:id="43" w:name="_Toc450662851"/>
      <w:bookmarkStart w:id="44" w:name="_Toc486167665"/>
      <w:r>
        <w:rPr>
          <w:rFonts w:hint="eastAsia" w:ascii="宋体" w:hAnsi="宋体" w:eastAsia="宋体" w:cs="宋体"/>
          <w:b/>
          <w:color w:val="000000" w:themeColor="text1"/>
          <w:szCs w:val="21"/>
          <w:highlight w:val="none"/>
          <w:lang w:val="zh-CN"/>
          <w14:textFill>
            <w14:solidFill>
              <w14:schemeClr w14:val="tx1"/>
            </w14:solidFill>
          </w14:textFill>
        </w:rPr>
        <w:t>3</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合格的货物</w:t>
      </w:r>
      <w:bookmarkEnd w:id="38"/>
      <w:bookmarkEnd w:id="39"/>
      <w:bookmarkEnd w:id="40"/>
      <w:bookmarkEnd w:id="41"/>
      <w:bookmarkEnd w:id="42"/>
    </w:p>
    <w:p w14:paraId="20CD0529">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3.</w:t>
      </w:r>
      <w:r>
        <w:rPr>
          <w:rFonts w:hint="eastAsia" w:ascii="宋体" w:hAnsi="宋体" w:eastAsia="宋体" w:cs="Times New Roman"/>
          <w:color w:val="000000" w:themeColor="text1"/>
          <w:szCs w:val="21"/>
          <w:highlight w:val="none"/>
          <w:lang w:val="zh-CN"/>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4C15F0FA">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45" w:name="_Toc1977663"/>
      <w:bookmarkStart w:id="46" w:name="_Toc533708063"/>
      <w:r>
        <w:rPr>
          <w:rFonts w:hint="eastAsia" w:ascii="宋体" w:hAnsi="宋体" w:eastAsia="宋体" w:cs="宋体"/>
          <w:color w:val="000000" w:themeColor="text1"/>
          <w:szCs w:val="21"/>
          <w:highlight w:val="none"/>
          <w:lang w:val="zh-CN"/>
          <w14:textFill>
            <w14:solidFill>
              <w14:schemeClr w14:val="tx1"/>
            </w14:solidFill>
          </w14:textFill>
        </w:rPr>
        <w:t>3.2  投标人</w:t>
      </w:r>
      <w:r>
        <w:rPr>
          <w:rFonts w:hint="eastAsia" w:ascii="宋体" w:hAnsi="宋体" w:eastAsia="宋体" w:cs="Times New Roman"/>
          <w:color w:val="000000" w:themeColor="text1"/>
          <w:szCs w:val="21"/>
          <w:highlight w:val="none"/>
          <w:lang w:val="zh-CN"/>
          <w14:textFill>
            <w14:solidFill>
              <w14:schemeClr w14:val="tx1"/>
            </w14:solidFill>
          </w14:textFill>
        </w:rPr>
        <w:t>中标后提供的货物</w:t>
      </w:r>
      <w:r>
        <w:rPr>
          <w:rFonts w:hint="eastAsia" w:ascii="宋体" w:hAnsi="宋体" w:eastAsia="宋体" w:cs="Times New Roman"/>
          <w:color w:val="000000" w:themeColor="text1"/>
          <w:kern w:val="0"/>
          <w:szCs w:val="21"/>
          <w:highlight w:val="none"/>
          <w14:textFill>
            <w14:solidFill>
              <w14:schemeClr w14:val="tx1"/>
            </w14:solidFill>
          </w14:textFill>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000000" w:themeColor="text1"/>
          <w:kern w:val="0"/>
          <w:szCs w:val="21"/>
          <w:highlight w:val="none"/>
          <w14:textFill>
            <w14:solidFill>
              <w14:schemeClr w14:val="tx1"/>
            </w14:solidFill>
          </w14:textFill>
        </w:rPr>
        <w:t>负责办理所有货物的进口及商检手续</w:t>
      </w:r>
      <w:r>
        <w:rPr>
          <w:rFonts w:hint="eastAsia" w:ascii="宋体" w:hAnsi="宋体" w:eastAsia="宋体" w:cs="Times New Roman"/>
          <w:color w:val="000000" w:themeColor="text1"/>
          <w:kern w:val="0"/>
          <w:szCs w:val="21"/>
          <w:highlight w:val="none"/>
          <w14:textFill>
            <w14:solidFill>
              <w14:schemeClr w14:val="tx1"/>
            </w14:solidFill>
          </w14:textFill>
        </w:rPr>
        <w:t>，并承担相关费用</w:t>
      </w:r>
      <w:r>
        <w:rPr>
          <w:rFonts w:hint="eastAsia" w:ascii="宋体" w:hAnsi="宋体" w:eastAsia="宋体" w:cs="宋体"/>
          <w:color w:val="000000" w:themeColor="text1"/>
          <w:szCs w:val="21"/>
          <w:highlight w:val="none"/>
          <w:lang w:val="zh-CN"/>
          <w14:textFill>
            <w14:solidFill>
              <w14:schemeClr w14:val="tx1"/>
            </w14:solidFill>
          </w14:textFill>
        </w:rPr>
        <w:t>。</w:t>
      </w:r>
    </w:p>
    <w:bookmarkEnd w:id="45"/>
    <w:bookmarkEnd w:id="46"/>
    <w:p w14:paraId="2E83D8C2">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47" w:name="_Toc1977664"/>
      <w:bookmarkStart w:id="48" w:name="_Toc533708064"/>
      <w:r>
        <w:rPr>
          <w:rFonts w:hint="eastAsia" w:ascii="宋体" w:hAnsi="宋体" w:eastAsia="宋体" w:cs="宋体"/>
          <w:color w:val="000000" w:themeColor="text1"/>
          <w:szCs w:val="21"/>
          <w:highlight w:val="none"/>
          <w:lang w:val="zh-CN"/>
          <w14:textFill>
            <w14:solidFill>
              <w14:schemeClr w14:val="tx1"/>
            </w14:solidFill>
          </w14:textFill>
        </w:rPr>
        <w:t xml:space="preserve">3.3  </w:t>
      </w:r>
      <w:bookmarkEnd w:id="47"/>
      <w:bookmarkEnd w:id="48"/>
      <w:bookmarkStart w:id="49" w:name="_Toc1977665"/>
      <w:bookmarkStart w:id="50" w:name="_Toc533708065"/>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必须保证提供的所有货物或货物的任何部分均为最新正式版本</w:t>
      </w:r>
      <w:r>
        <w:rPr>
          <w:rFonts w:hint="eastAsia" w:ascii="宋体" w:hAnsi="宋体" w:eastAsia="宋体" w:cs="宋体"/>
          <w:color w:val="000000" w:themeColor="text1"/>
          <w:szCs w:val="21"/>
          <w:highlight w:val="none"/>
          <w:lang w:val="zh-CN"/>
          <w14:textFill>
            <w14:solidFill>
              <w14:schemeClr w14:val="tx1"/>
            </w14:solidFill>
          </w14:textFill>
        </w:rPr>
        <w:t>。</w:t>
      </w:r>
      <w:bookmarkEnd w:id="49"/>
      <w:bookmarkEnd w:id="50"/>
    </w:p>
    <w:p w14:paraId="593FB75B">
      <w:pPr>
        <w:autoSpaceDE w:val="0"/>
        <w:autoSpaceDN w:val="0"/>
        <w:adjustRightInd w:val="0"/>
        <w:spacing w:line="360" w:lineRule="auto"/>
        <w:ind w:left="315" w:leftChars="-100" w:hanging="525" w:hangingChars="250"/>
        <w:rPr>
          <w:rFonts w:ascii="宋体" w:hAnsi="宋体" w:eastAsia="宋体" w:cs="Times New Roman"/>
          <w:color w:val="000000" w:themeColor="text1"/>
          <w:kern w:val="0"/>
          <w:szCs w:val="21"/>
          <w:highlight w:val="none"/>
          <w14:textFill>
            <w14:solidFill>
              <w14:schemeClr w14:val="tx1"/>
            </w14:solidFill>
          </w14:textFill>
        </w:rPr>
      </w:pPr>
      <w:bookmarkStart w:id="51" w:name="_Toc533708066"/>
      <w:bookmarkStart w:id="52" w:name="_Toc1977666"/>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1"/>
    <w:bookmarkEnd w:id="52"/>
    <w:p w14:paraId="2D6B1424">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3" w:name="_Toc1977667"/>
      <w:bookmarkStart w:id="54" w:name="_Toc533708067"/>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 xml:space="preserve">  投标人</w:t>
      </w:r>
      <w:r>
        <w:rPr>
          <w:rFonts w:hint="eastAsia" w:ascii="宋体" w:hAnsi="宋体" w:eastAsia="宋体" w:cs="Times New Roman"/>
          <w:color w:val="000000" w:themeColor="text1"/>
          <w:kern w:val="0"/>
          <w:szCs w:val="21"/>
          <w:highlight w:val="none"/>
          <w14:textFill>
            <w14:solidFill>
              <w14:schemeClr w14:val="tx1"/>
            </w14:solidFill>
          </w14:textFill>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53"/>
      <w:bookmarkEnd w:id="54"/>
    </w:p>
    <w:p w14:paraId="7E46C691">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5" w:name="_Toc533708068"/>
      <w:bookmarkStart w:id="56" w:name="_Toc1977668"/>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 xml:space="preserve">  无论投标人</w:t>
      </w:r>
      <w:r>
        <w:rPr>
          <w:rFonts w:hint="eastAsia" w:ascii="宋体" w:hAnsi="宋体" w:eastAsia="宋体" w:cs="Times New Roman"/>
          <w:color w:val="000000" w:themeColor="text1"/>
          <w:kern w:val="0"/>
          <w:szCs w:val="21"/>
          <w:highlight w:val="none"/>
          <w14:textFill>
            <w14:solidFill>
              <w14:schemeClr w14:val="tx1"/>
            </w14:solidFill>
          </w14:textFill>
        </w:rPr>
        <w:t>是否在投标报价表中明示，均视为投标报价已包含所有应支付的对专利权</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，造成招标人任何经济损失的，由投标人承担全部赔偿责任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55"/>
      <w:bookmarkEnd w:id="56"/>
    </w:p>
    <w:p w14:paraId="524652C1">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p>
    <w:p w14:paraId="6BCE4F9F">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57" w:name="_Toc9658_WPSOffice_Level3"/>
      <w:bookmarkStart w:id="58" w:name="_Toc16618"/>
      <w:bookmarkStart w:id="59" w:name="_Toc20936"/>
      <w:bookmarkStart w:id="60" w:name="_Toc23394"/>
      <w:bookmarkStart w:id="61" w:name="_Toc142508316"/>
      <w:r>
        <w:rPr>
          <w:rFonts w:hint="eastAsia" w:ascii="宋体" w:hAnsi="宋体" w:eastAsia="宋体" w:cs="宋体"/>
          <w:color w:val="000000" w:themeColor="text1"/>
          <w:szCs w:val="21"/>
          <w:highlight w:val="none"/>
          <w:lang w:val="zh-CN"/>
          <w14:textFill>
            <w14:solidFill>
              <w14:schemeClr w14:val="tx1"/>
            </w14:solidFill>
          </w14:textFill>
        </w:rPr>
        <w:t>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其它说明</w:t>
      </w:r>
      <w:bookmarkEnd w:id="57"/>
      <w:bookmarkEnd w:id="58"/>
      <w:bookmarkEnd w:id="59"/>
      <w:bookmarkEnd w:id="60"/>
      <w:bookmarkEnd w:id="61"/>
    </w:p>
    <w:p w14:paraId="797D2215">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2" w:name="_Toc1977670"/>
      <w:bookmarkStart w:id="63" w:name="_Toc533708070"/>
      <w:r>
        <w:rPr>
          <w:rFonts w:hint="eastAsia" w:ascii="宋体" w:hAnsi="宋体" w:eastAsia="宋体" w:cs="宋体"/>
          <w:color w:val="000000" w:themeColor="text1"/>
          <w:szCs w:val="21"/>
          <w:highlight w:val="none"/>
          <w:lang w:val="zh-CN"/>
          <w14:textFill>
            <w14:solidFill>
              <w14:schemeClr w14:val="tx1"/>
            </w14:solidFill>
          </w14:textFill>
        </w:rPr>
        <w:t>4.1  投标费用</w:t>
      </w:r>
      <w:bookmarkEnd w:id="62"/>
      <w:bookmarkEnd w:id="63"/>
    </w:p>
    <w:p w14:paraId="47A3EE01">
      <w:pPr>
        <w:autoSpaceDE w:val="0"/>
        <w:autoSpaceDN w:val="0"/>
        <w:adjustRightInd w:val="0"/>
        <w:spacing w:line="360" w:lineRule="auto"/>
        <w:ind w:left="210" w:leftChars="100" w:firstLine="420" w:firstLineChars="200"/>
        <w:rPr>
          <w:rFonts w:ascii="宋体" w:hAnsi="宋体" w:eastAsia="宋体" w:cs="宋体"/>
          <w:color w:val="000000" w:themeColor="text1"/>
          <w:szCs w:val="21"/>
          <w:highlight w:val="none"/>
          <w:lang w:val="zh-CN"/>
          <w14:textFill>
            <w14:solidFill>
              <w14:schemeClr w14:val="tx1"/>
            </w14:solidFill>
          </w14:textFill>
        </w:rPr>
      </w:pPr>
      <w:bookmarkStart w:id="64" w:name="_Toc533708072"/>
      <w:bookmarkStart w:id="65" w:name="_Toc1977672"/>
      <w:r>
        <w:rPr>
          <w:rFonts w:hint="eastAsia" w:ascii="宋体" w:hAnsi="宋体" w:eastAsia="宋体" w:cs="Times New Roman"/>
          <w:color w:val="000000" w:themeColor="text1"/>
          <w:szCs w:val="21"/>
          <w:highlight w:val="none"/>
          <w:lang w:val="zh-CN"/>
          <w14:textFill>
            <w14:solidFill>
              <w14:schemeClr w14:val="tx1"/>
            </w14:solidFill>
          </w14:textFill>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000000" w:themeColor="text1"/>
          <w:szCs w:val="21"/>
          <w:highlight w:val="none"/>
          <w:lang w:val="zh-CN"/>
          <w14:textFill>
            <w14:solidFill>
              <w14:schemeClr w14:val="tx1"/>
            </w14:solidFill>
          </w14:textFill>
        </w:rPr>
        <w:t>。</w:t>
      </w:r>
      <w:bookmarkEnd w:id="64"/>
      <w:bookmarkEnd w:id="65"/>
    </w:p>
    <w:p w14:paraId="15B98FAA">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6" w:name="_Toc1977673"/>
      <w:bookmarkStart w:id="67" w:name="_Toc533708073"/>
      <w:r>
        <w:rPr>
          <w:rFonts w:hint="eastAsia" w:ascii="宋体" w:hAnsi="宋体" w:eastAsia="宋体" w:cs="宋体"/>
          <w:color w:val="000000" w:themeColor="text1"/>
          <w:szCs w:val="21"/>
          <w:highlight w:val="none"/>
          <w:lang w:val="zh-CN"/>
          <w14:textFill>
            <w14:solidFill>
              <w14:schemeClr w14:val="tx1"/>
            </w14:solidFill>
          </w14:textFill>
        </w:rPr>
        <w:t>4.2  踏勘现场</w:t>
      </w:r>
      <w:bookmarkEnd w:id="66"/>
      <w:bookmarkEnd w:id="67"/>
    </w:p>
    <w:p w14:paraId="69F2C6E3">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bookmarkStart w:id="68" w:name="_Toc533708076"/>
      <w:bookmarkStart w:id="69" w:name="_Toc1977676"/>
      <w:r>
        <w:rPr>
          <w:rFonts w:hint="eastAsia" w:ascii="宋体" w:hAnsi="宋体" w:eastAsia="宋体" w:cs="Times New Roman"/>
          <w:color w:val="000000" w:themeColor="text1"/>
          <w:kern w:val="0"/>
          <w:szCs w:val="21"/>
          <w:highlight w:val="none"/>
          <w14:textFill>
            <w14:solidFill>
              <w14:schemeClr w14:val="tx1"/>
            </w14:solidFill>
          </w14:textFill>
        </w:rPr>
        <w:t>（1）本项目不组织集中踏勘现场和答疑，投标人应自行到实地踏勘考察。</w:t>
      </w:r>
    </w:p>
    <w:p w14:paraId="3D648151">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（2）潜在投标人应承担踏勘现场自身所发生的费用。</w:t>
      </w:r>
    </w:p>
    <w:p w14:paraId="2B5801B5">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（3）招标人和招标代理机构在踏勘现场中介绍的有关现场和相关的周边环境情况，供投标人在编制投标文件时参考，招标人不对投标人据此作出的判断和决策负责。</w:t>
      </w:r>
    </w:p>
    <w:p w14:paraId="3B786BD6">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（4）潜在投标人可为踏勘需要而进入招标人的项目现场，但潜在投标人不得因此使招标人承担有关的责任和蒙受损失。潜在投标人应承担踏勘现场的责任和风险。</w:t>
      </w:r>
    </w:p>
    <w:p w14:paraId="66D36531">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纪律与保密事项</w:t>
      </w:r>
      <w:bookmarkEnd w:id="43"/>
      <w:bookmarkEnd w:id="44"/>
      <w:bookmarkEnd w:id="68"/>
      <w:bookmarkEnd w:id="69"/>
    </w:p>
    <w:p w14:paraId="36B3233C">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（1）获得本招标文件的投标人，不得用作本次投标以外的任何用途。</w:t>
      </w:r>
    </w:p>
    <w:p w14:paraId="1A7EBD4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）凡参与招标工作的有关人员均应自觉接受有关主管部门的监督，不得向他人透露可能影响公平竞争的情况。</w:t>
      </w:r>
    </w:p>
    <w:p w14:paraId="0B54F736">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（3）开标后，直至向中标人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授予合同期间</w:t>
      </w:r>
      <w:r>
        <w:rPr>
          <w:rFonts w:hint="eastAsia" w:ascii="宋体" w:hAnsi="宋体" w:eastAsia="宋体" w:cs="Times New Roman"/>
          <w:color w:val="000000" w:themeColor="text1"/>
          <w:kern w:val="0"/>
          <w:szCs w:val="21"/>
          <w:highlight w:val="none"/>
          <w14:textFill>
            <w14:solidFill>
              <w14:schemeClr w14:val="tx1"/>
            </w14:solidFill>
          </w14:textFill>
        </w:rPr>
        <w:t>，凡与审查、澄清、评价和比较报价的有关资料以及授标意见等，参与评标工作的有关人员均不得向投标人及与评标无关的其他人透露。</w:t>
      </w:r>
    </w:p>
    <w:p w14:paraId="1ED9127F">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（4）除投标人被要求对投标文件进行澄清外，从递交投标文件截止之时起至授予合同期间，投标人不得就与其投标文件有关的事项主动与评标委员会、招标代理机构以及招标人联系。</w:t>
      </w:r>
    </w:p>
    <w:p w14:paraId="2371EAD2">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5C11C4B1">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（6）投标人不得串通作弊，以不正当的手段妨碍、排挤其他投标人，扰乱采购市场，破坏公平竞争原则。</w:t>
      </w:r>
    </w:p>
    <w:p w14:paraId="72605087">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p>
    <w:p w14:paraId="24416B03">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70" w:name="_Toc1482"/>
      <w:bookmarkStart w:id="71" w:name="_Toc140596876"/>
      <w:bookmarkStart w:id="72" w:name="_Toc9339"/>
      <w:bookmarkStart w:id="73" w:name="_Toc450662853"/>
      <w:bookmarkStart w:id="74" w:name="_Toc486167667"/>
      <w:bookmarkStart w:id="75" w:name="_Toc142508317"/>
      <w:bookmarkStart w:id="76" w:name="_Toc30507_WPSOffice_Level2"/>
      <w:bookmarkStart w:id="77" w:name="_Toc18301"/>
      <w:r>
        <w:rPr>
          <w:rFonts w:hint="eastAsia" w:ascii="宋体" w:hAnsi="宋体" w:eastAsia="宋体" w:cs="宋体"/>
          <w:b/>
          <w:bCs/>
          <w:color w:val="000000" w:themeColor="text1"/>
          <w:kern w:val="44"/>
          <w:szCs w:val="21"/>
          <w:highlight w:val="none"/>
          <w:lang w:val="zh-CN"/>
          <w14:textFill>
            <w14:solidFill>
              <w14:schemeClr w14:val="tx1"/>
            </w14:solidFill>
          </w14:textFill>
        </w:rPr>
        <w:t>二、招标文件</w:t>
      </w:r>
      <w:bookmarkEnd w:id="70"/>
      <w:bookmarkEnd w:id="71"/>
      <w:bookmarkEnd w:id="72"/>
      <w:bookmarkEnd w:id="73"/>
      <w:bookmarkEnd w:id="74"/>
      <w:bookmarkEnd w:id="75"/>
      <w:bookmarkEnd w:id="76"/>
      <w:bookmarkEnd w:id="77"/>
    </w:p>
    <w:p w14:paraId="55A276E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78" w:name="_Toc486167668"/>
      <w:bookmarkStart w:id="79" w:name="_Toc450662854"/>
      <w:bookmarkStart w:id="80" w:name="_Toc28179"/>
      <w:bookmarkStart w:id="81" w:name="_Toc9183"/>
      <w:bookmarkStart w:id="82" w:name="_Toc26635_WPSOffice_Level3"/>
      <w:bookmarkStart w:id="83" w:name="_Toc142508318"/>
      <w:bookmarkStart w:id="84" w:name="_Toc31963"/>
      <w:r>
        <w:rPr>
          <w:rFonts w:hint="eastAsia" w:ascii="宋体" w:hAnsi="宋体" w:eastAsia="宋体" w:cs="宋体"/>
          <w:color w:val="000000" w:themeColor="text1"/>
          <w:szCs w:val="21"/>
          <w:highlight w:val="none"/>
          <w:lang w:val="zh-CN"/>
          <w14:textFill>
            <w14:solidFill>
              <w14:schemeClr w14:val="tx1"/>
            </w14:solidFill>
          </w14:textFill>
        </w:rPr>
        <w:t>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招标文件的构成</w:t>
      </w:r>
      <w:bookmarkEnd w:id="78"/>
      <w:bookmarkEnd w:id="79"/>
      <w:bookmarkEnd w:id="80"/>
      <w:bookmarkEnd w:id="81"/>
      <w:bookmarkEnd w:id="82"/>
      <w:bookmarkEnd w:id="83"/>
      <w:bookmarkEnd w:id="84"/>
    </w:p>
    <w:p w14:paraId="055778D0">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招标文件包括：</w:t>
      </w:r>
    </w:p>
    <w:p w14:paraId="6FBDB9AB">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第一篇 招标公告</w:t>
      </w:r>
    </w:p>
    <w:p w14:paraId="2DD1E1BA">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第二篇 投标人须知</w:t>
      </w:r>
    </w:p>
    <w:p w14:paraId="45839CA5">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第三篇 用户需求书</w:t>
      </w:r>
    </w:p>
    <w:p w14:paraId="22A873AC">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第四篇 合同条款格式</w:t>
      </w:r>
    </w:p>
    <w:p w14:paraId="0F0BA8DB">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第五篇 相关保函格式</w:t>
      </w:r>
    </w:p>
    <w:p w14:paraId="2237CE12">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第六篇 投标文件格式</w:t>
      </w:r>
    </w:p>
    <w:p w14:paraId="5D89A3DA">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附件一：评标工作大纲</w:t>
      </w:r>
    </w:p>
    <w:p w14:paraId="1601CC6D">
      <w:pPr>
        <w:autoSpaceDE w:val="0"/>
        <w:autoSpaceDN w:val="0"/>
        <w:adjustRightInd w:val="0"/>
        <w:spacing w:line="360" w:lineRule="auto"/>
        <w:ind w:left="356" w:leftChars="-99" w:hanging="564" w:hangingChars="269"/>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5.2</w:t>
      </w:r>
      <w:r>
        <w:rPr>
          <w:rFonts w:hint="eastAsia" w:ascii="宋体" w:hAnsi="宋体" w:eastAsia="宋体" w:cs="宋体"/>
          <w:b/>
          <w:bCs/>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标志的部分为投标人、投标拟供货物必备的条件或重要指示），那么投标人的投标文件将有可能被拒绝接收或评审为无效投标文件</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033558B6">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5.3  本招标文件使用的词语有如下定义：</w:t>
      </w:r>
    </w:p>
    <w:p w14:paraId="145846D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（1）“招标人”指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东莞市水务环境投资控股集团净水有限公司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6FA6940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）“招标代理机构”指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4EF2143B">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）“投标人”指参加</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东莞市水务环境投资控股集团净水有限公司2026年五金材料及工器具物资采购项目</w:t>
      </w:r>
      <w:r>
        <w:rPr>
          <w:rFonts w:hint="eastAsia" w:ascii="宋体" w:hAnsi="宋体" w:eastAsia="宋体" w:cs="Times New Roman"/>
          <w:color w:val="000000" w:themeColor="text1"/>
          <w:kern w:val="0"/>
          <w:szCs w:val="21"/>
          <w:highlight w:val="none"/>
          <w14:textFill>
            <w14:solidFill>
              <w14:schemeClr w14:val="tx1"/>
            </w14:solidFill>
          </w14:textFill>
        </w:rPr>
        <w:t>所需的货物及有关服务的投标，并向招标代理机构提交投标文件的当事人；</w:t>
      </w:r>
    </w:p>
    <w:p w14:paraId="1B44428E">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）“评标委员会”是依照《中华人民共和国招标投标法》等法规组建的专门负责本次评标工作的临时性机构；</w:t>
      </w:r>
    </w:p>
    <w:p w14:paraId="34B686B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）“中标人”指其投标被招标人接受，并与招标人权属子公司签订合同的当事人；</w:t>
      </w:r>
    </w:p>
    <w:p w14:paraId="78E6CC82">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w:t>
      </w:r>
      <w:r>
        <w:rPr>
          <w:rFonts w:hint="eastAsia" w:ascii="宋体" w:hAnsi="宋体" w:eastAsia="宋体" w:cs="Times New Roman"/>
          <w:color w:val="000000" w:themeColor="text1"/>
          <w:kern w:val="0"/>
          <w:szCs w:val="21"/>
          <w:highlight w:val="none"/>
          <w14:textFill>
            <w14:solidFill>
              <w14:schemeClr w14:val="tx1"/>
            </w14:solidFill>
          </w14:textFill>
        </w:rPr>
        <w:t>）“甲方”指在合同条款中指明的购买货物及有关服务的单位，即东莞市水务环境投资控股集团净水有限公司</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、东莞市石鼓净水有限公司、东莞市樟村水质净化有限公司、东莞市清源净水科技有限公司、东莞市莞水装备科技有限公司、东莞市众源环境投资有限公司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28FEAE7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7</w:t>
      </w:r>
      <w:r>
        <w:rPr>
          <w:rFonts w:hint="eastAsia" w:ascii="宋体" w:hAnsi="宋体" w:eastAsia="宋体" w:cs="Times New Roman"/>
          <w:color w:val="000000" w:themeColor="text1"/>
          <w:kern w:val="0"/>
          <w:szCs w:val="21"/>
          <w:highlight w:val="none"/>
          <w14:textFill>
            <w14:solidFill>
              <w14:schemeClr w14:val="tx1"/>
            </w14:solidFill>
          </w14:textFill>
        </w:rPr>
        <w:t>）“乙方”指在合同条款中指明的本合同项下提供货物及有关服务的公司或实体；</w:t>
      </w:r>
    </w:p>
    <w:p w14:paraId="4DFA5A7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8</w:t>
      </w:r>
      <w:r>
        <w:rPr>
          <w:rFonts w:hint="eastAsia" w:ascii="宋体" w:hAnsi="宋体" w:eastAsia="宋体" w:cs="Times New Roman"/>
          <w:color w:val="000000" w:themeColor="text1"/>
          <w:kern w:val="0"/>
          <w:szCs w:val="21"/>
          <w:highlight w:val="none"/>
          <w14:textFill>
            <w14:solidFill>
              <w14:schemeClr w14:val="tx1"/>
            </w14:solidFill>
          </w14:textFill>
        </w:rPr>
        <w:t>）“招标文件”指包括招标公告和招标文件及其补充、变更和澄清等一系列文件；</w:t>
      </w:r>
    </w:p>
    <w:p w14:paraId="08C08AF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9</w:t>
      </w:r>
      <w:r>
        <w:rPr>
          <w:rFonts w:hint="eastAsia" w:ascii="宋体" w:hAnsi="宋体" w:eastAsia="宋体" w:cs="Times New Roman"/>
          <w:color w:val="000000" w:themeColor="text1"/>
          <w:kern w:val="0"/>
          <w:szCs w:val="21"/>
          <w:highlight w:val="none"/>
          <w14:textFill>
            <w14:solidFill>
              <w14:schemeClr w14:val="tx1"/>
            </w14:solidFill>
          </w14:textFill>
        </w:rPr>
        <w:t>）“投标文件”指投标人根据本招标文件向招标代理机构提交的全部文件；</w:t>
      </w:r>
    </w:p>
    <w:p w14:paraId="213AA11C">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0</w:t>
      </w:r>
      <w:r>
        <w:rPr>
          <w:rFonts w:hint="eastAsia" w:ascii="宋体" w:hAnsi="宋体" w:eastAsia="宋体" w:cs="Times New Roman"/>
          <w:color w:val="000000" w:themeColor="text1"/>
          <w:kern w:val="0"/>
          <w:szCs w:val="21"/>
          <w:highlight w:val="none"/>
          <w14:textFill>
            <w14:solidFill>
              <w14:schemeClr w14:val="tx1"/>
            </w14:solidFill>
          </w14:textFill>
        </w:rPr>
        <w:t>）“书面函件”指手写、打字或印刷的函件，包括电传、电报和传真；</w:t>
      </w:r>
    </w:p>
    <w:p w14:paraId="4D500739">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w:t>
      </w:r>
      <w:r>
        <w:rPr>
          <w:rFonts w:hint="eastAsia" w:ascii="宋体" w:hAnsi="宋体" w:eastAsia="宋体" w:cs="Times New Roman"/>
          <w:color w:val="000000" w:themeColor="text1"/>
          <w:kern w:val="0"/>
          <w:szCs w:val="21"/>
          <w:highlight w:val="none"/>
          <w14:textFill>
            <w14:solidFill>
              <w14:schemeClr w14:val="tx1"/>
            </w14:solidFill>
          </w14:textFill>
        </w:rPr>
        <w:t>）“合同”指由本次招标所产生的合同或合约文件；</w:t>
      </w:r>
    </w:p>
    <w:p w14:paraId="02B86DA1">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）“日期”指公历日，“时间”指北京时间；</w:t>
      </w:r>
    </w:p>
    <w:p w14:paraId="2C945036">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）本招标文件中的“境内”特指中华人民共和国海关关境以内，“境外”特指中华人民共和国海关关境以外；</w:t>
      </w:r>
    </w:p>
    <w:p w14:paraId="2B01593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）不含税价，即为《中华人民共和国增值税法实施条例》（国务院令第</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826</w:t>
      </w:r>
      <w:r>
        <w:rPr>
          <w:rFonts w:hint="eastAsia" w:ascii="宋体" w:hAnsi="宋体" w:eastAsia="宋体" w:cs="Times New Roman"/>
          <w:color w:val="000000" w:themeColor="text1"/>
          <w:kern w:val="0"/>
          <w:szCs w:val="21"/>
          <w:highlight w:val="none"/>
          <w14:textFill>
            <w14:solidFill>
              <w14:schemeClr w14:val="tx1"/>
            </w14:solidFill>
          </w14:textFill>
        </w:rPr>
        <w:t>号）规定的销售额。本招标文件所称的不含税价和不含税暂定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1B03B149">
      <w:pPr>
        <w:autoSpaceDE w:val="0"/>
        <w:autoSpaceDN w:val="0"/>
        <w:adjustRightInd w:val="0"/>
        <w:spacing w:line="360" w:lineRule="auto"/>
        <w:ind w:left="951" w:leftChars="78" w:hanging="787" w:hangingChars="375"/>
        <w:rPr>
          <w:rFonts w:ascii="宋体" w:hAnsi="宋体" w:eastAsia="宋体" w:cs="宋体"/>
          <w:color w:val="000000" w:themeColor="text1"/>
          <w:szCs w:val="21"/>
          <w:highlight w:val="none"/>
          <w:lang w:val="zh-CN"/>
          <w14:textFill>
            <w14:solidFill>
              <w14:schemeClr w14:val="tx1"/>
            </w14:solidFill>
          </w14:textFill>
        </w:rPr>
      </w:pPr>
    </w:p>
    <w:p w14:paraId="4CF6935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85" w:name="_Toc2435"/>
      <w:bookmarkStart w:id="86" w:name="_Toc29125_WPSOffice_Level3"/>
      <w:bookmarkStart w:id="87" w:name="_Toc450662855"/>
      <w:bookmarkStart w:id="88" w:name="_Toc486167669"/>
      <w:bookmarkStart w:id="89" w:name="_Toc18407"/>
      <w:bookmarkStart w:id="90" w:name="_Toc16536"/>
      <w:bookmarkStart w:id="91" w:name="_Toc142508319"/>
      <w:r>
        <w:rPr>
          <w:rFonts w:hint="eastAsia" w:ascii="宋体" w:hAnsi="宋体" w:eastAsia="宋体" w:cs="宋体"/>
          <w:color w:val="000000" w:themeColor="text1"/>
          <w:szCs w:val="21"/>
          <w:highlight w:val="none"/>
          <w:lang w:val="zh-CN"/>
          <w14:textFill>
            <w14:solidFill>
              <w14:schemeClr w14:val="tx1"/>
            </w14:solidFill>
          </w14:textFill>
        </w:rPr>
        <w:t>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招标文件的异议</w:t>
      </w:r>
      <w:bookmarkEnd w:id="85"/>
      <w:bookmarkEnd w:id="86"/>
      <w:bookmarkEnd w:id="87"/>
      <w:bookmarkEnd w:id="88"/>
      <w:bookmarkEnd w:id="89"/>
      <w:bookmarkEnd w:id="90"/>
      <w:bookmarkEnd w:id="91"/>
    </w:p>
    <w:p w14:paraId="7C981296">
      <w:pPr>
        <w:autoSpaceDE w:val="0"/>
        <w:autoSpaceDN w:val="0"/>
        <w:adjustRightInd w:val="0"/>
        <w:spacing w:line="360" w:lineRule="auto"/>
        <w:ind w:left="288" w:leftChars="137" w:firstLine="420" w:firstLineChars="200"/>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lang w:val="zh-CN"/>
          <w14:textFill>
            <w14:solidFill>
              <w14:schemeClr w14:val="tx1"/>
            </w14:solidFill>
          </w14:textFill>
        </w:rPr>
        <w:t>投标人或者其他利害关系人对招标文件有异议的，应当在投标截止时间10日前</w:t>
      </w:r>
      <w:r>
        <w:rPr>
          <w:rFonts w:ascii="宋体" w:hAnsi="宋体" w:eastAsia="宋体" w:cs="Times New Roman"/>
          <w:color w:val="000000" w:themeColor="text1"/>
          <w:szCs w:val="21"/>
          <w:highlight w:val="none"/>
          <w:lang w:val="zh-CN"/>
          <w14:textFill>
            <w14:solidFill>
              <w14:schemeClr w14:val="tx1"/>
            </w14:solidFill>
          </w14:textFill>
        </w:rPr>
        <w:t>以书面形式向</w:t>
      </w:r>
      <w:r>
        <w:rPr>
          <w:rFonts w:hint="eastAsia" w:ascii="宋体" w:hAnsi="宋体" w:eastAsia="宋体" w:cs="Times New Roman"/>
          <w:color w:val="000000" w:themeColor="text1"/>
          <w:szCs w:val="21"/>
          <w:highlight w:val="none"/>
          <w:lang w:val="zh-CN"/>
          <w14:textFill>
            <w14:solidFill>
              <w14:schemeClr w14:val="tx1"/>
            </w14:solidFill>
          </w14:textFill>
        </w:rPr>
        <w:t>招标代理机构</w:t>
      </w:r>
      <w:r>
        <w:rPr>
          <w:rFonts w:ascii="宋体" w:hAnsi="宋体" w:eastAsia="宋体" w:cs="Times New Roman"/>
          <w:color w:val="000000" w:themeColor="text1"/>
          <w:szCs w:val="21"/>
          <w:highlight w:val="none"/>
          <w:lang w:val="zh-CN"/>
          <w14:textFill>
            <w14:solidFill>
              <w14:schemeClr w14:val="tx1"/>
            </w14:solidFill>
          </w14:textFill>
        </w:rPr>
        <w:t>提出</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w:t>
      </w:r>
      <w:r>
        <w:rPr>
          <w:rFonts w:ascii="宋体" w:hAnsi="宋体" w:eastAsia="宋体" w:cs="Times New Roman"/>
          <w:color w:val="000000" w:themeColor="text1"/>
          <w:szCs w:val="21"/>
          <w:highlight w:val="none"/>
          <w:lang w:val="zh-CN"/>
          <w14:textFill>
            <w14:solidFill>
              <w14:schemeClr w14:val="tx1"/>
            </w14:solidFill>
          </w14:textFill>
        </w:rPr>
        <w:t>招标文件所有内容</w:t>
      </w:r>
      <w:r>
        <w:rPr>
          <w:rFonts w:hint="eastAsia" w:ascii="宋体" w:hAnsi="宋体" w:eastAsia="宋体" w:cs="Times New Roman"/>
          <w:color w:val="000000" w:themeColor="text1"/>
          <w:szCs w:val="21"/>
          <w:highlight w:val="none"/>
          <w:lang w:val="zh-CN"/>
          <w14:textFill>
            <w14:solidFill>
              <w14:schemeClr w14:val="tx1"/>
            </w14:solidFill>
          </w14:textFill>
        </w:rPr>
        <w:t>无异议</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异议</w:t>
      </w:r>
      <w:r>
        <w:rPr>
          <w:rFonts w:hint="eastAsia" w:ascii="宋体" w:hAnsi="宋体" w:eastAsia="宋体" w:cs="Times New Roman"/>
          <w:color w:val="000000" w:themeColor="text1"/>
          <w:szCs w:val="21"/>
          <w:highlight w:val="none"/>
          <w:lang w:val="zh-CN"/>
          <w14:textFill>
            <w14:solidFill>
              <w14:schemeClr w14:val="tx1"/>
            </w14:solidFill>
          </w14:textFill>
        </w:rPr>
        <w:t>书面材料必须</w:t>
      </w:r>
      <w:r>
        <w:rPr>
          <w:rFonts w:ascii="宋体" w:hAnsi="宋体" w:eastAsia="宋体" w:cs="Times New Roman"/>
          <w:color w:val="000000" w:themeColor="text1"/>
          <w:szCs w:val="21"/>
          <w:highlight w:val="none"/>
          <w:lang w:val="zh-CN"/>
          <w14:textFill>
            <w14:solidFill>
              <w14:schemeClr w14:val="tx1"/>
            </w14:solidFill>
          </w14:textFill>
        </w:rPr>
        <w:t>加盖投标人</w:t>
      </w:r>
      <w:r>
        <w:rPr>
          <w:rFonts w:hint="eastAsia" w:ascii="宋体" w:hAnsi="宋体" w:eastAsia="宋体" w:cs="Times New Roman"/>
          <w:color w:val="000000" w:themeColor="text1"/>
          <w:szCs w:val="21"/>
          <w:highlight w:val="none"/>
          <w:lang w:val="zh-CN"/>
          <w14:textFill>
            <w14:solidFill>
              <w14:schemeClr w14:val="tx1"/>
            </w14:solidFill>
          </w14:textFill>
        </w:rPr>
        <w:t>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w:t>
      </w:r>
      <w:r>
        <w:rPr>
          <w:rFonts w:hint="eastAsia" w:ascii="宋体" w:hAnsi="宋体" w:eastAsia="宋体" w:cs="Times New Roman"/>
          <w:bCs/>
          <w:color w:val="000000" w:themeColor="text1"/>
          <w:szCs w:val="21"/>
          <w:highlight w:val="none"/>
          <w:lang w:val="zh-CN"/>
          <w14:textFill>
            <w14:solidFill>
              <w14:schemeClr w14:val="tx1"/>
            </w14:solidFill>
          </w14:textFill>
        </w:rPr>
        <w:t>超出</w:t>
      </w:r>
      <w:r>
        <w:rPr>
          <w:rFonts w:hint="eastAsia" w:ascii="宋体" w:hAnsi="宋体" w:eastAsia="宋体" w:cs="Times New Roman"/>
          <w:color w:val="000000" w:themeColor="text1"/>
          <w:szCs w:val="21"/>
          <w:highlight w:val="none"/>
          <w:lang w:val="zh-CN"/>
          <w14:textFill>
            <w14:solidFill>
              <w14:schemeClr w14:val="tx1"/>
            </w14:solidFill>
          </w14:textFill>
        </w:rPr>
        <w:t>提交接收异议截止时间而</w:t>
      </w:r>
      <w:r>
        <w:rPr>
          <w:rFonts w:hint="eastAsia" w:ascii="宋体" w:hAnsi="宋体" w:eastAsia="宋体" w:cs="Times New Roman"/>
          <w:bCs/>
          <w:color w:val="000000" w:themeColor="text1"/>
          <w:szCs w:val="21"/>
          <w:highlight w:val="none"/>
          <w:lang w:val="zh-CN"/>
          <w14:textFill>
            <w14:solidFill>
              <w14:schemeClr w14:val="tx1"/>
            </w14:solidFill>
          </w14:textFill>
        </w:rPr>
        <w:t>提出的任何疑问，招标代理机构可不予答复。</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投标人必须在投标文件中提供投标承诺书（格式详见第六篇投标文件格式）</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1A047ACB">
      <w:pPr>
        <w:autoSpaceDE w:val="0"/>
        <w:autoSpaceDN w:val="0"/>
        <w:adjustRightInd w:val="0"/>
        <w:spacing w:line="360" w:lineRule="auto"/>
        <w:ind w:left="290" w:leftChars="137" w:hanging="2" w:hangingChars="1"/>
        <w:rPr>
          <w:rFonts w:ascii="宋体" w:hAnsi="宋体" w:eastAsia="宋体" w:cs="宋体"/>
          <w:b/>
          <w:bCs/>
          <w:color w:val="000000" w:themeColor="text1"/>
          <w:szCs w:val="21"/>
          <w:highlight w:val="none"/>
          <w:lang w:val="zh-CN"/>
          <w14:textFill>
            <w14:solidFill>
              <w14:schemeClr w14:val="tx1"/>
            </w14:solidFill>
          </w14:textFill>
        </w:rPr>
      </w:pPr>
    </w:p>
    <w:p w14:paraId="5083ACA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92" w:name="_Toc142508320"/>
      <w:bookmarkStart w:id="93" w:name="_Toc23483_WPSOffice_Level3"/>
      <w:bookmarkStart w:id="94" w:name="_Toc19618"/>
      <w:bookmarkStart w:id="95" w:name="_Toc26320"/>
      <w:bookmarkStart w:id="96" w:name="_Toc486167670"/>
      <w:bookmarkStart w:id="97" w:name="_Toc450662856"/>
      <w:bookmarkStart w:id="98" w:name="_Toc3647"/>
      <w:r>
        <w:rPr>
          <w:rFonts w:hint="eastAsia" w:ascii="宋体" w:hAnsi="宋体" w:eastAsia="宋体" w:cs="宋体"/>
          <w:color w:val="000000" w:themeColor="text1"/>
          <w:szCs w:val="21"/>
          <w:highlight w:val="none"/>
          <w:lang w:val="zh-CN"/>
          <w14:textFill>
            <w14:solidFill>
              <w14:schemeClr w14:val="tx1"/>
            </w14:solidFill>
          </w14:textFill>
        </w:rPr>
        <w:t>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招标文件的澄清及修改</w:t>
      </w:r>
      <w:bookmarkEnd w:id="92"/>
      <w:bookmarkEnd w:id="93"/>
      <w:bookmarkEnd w:id="94"/>
      <w:bookmarkEnd w:id="95"/>
      <w:bookmarkEnd w:id="96"/>
      <w:bookmarkEnd w:id="97"/>
      <w:bookmarkEnd w:id="98"/>
    </w:p>
    <w:p w14:paraId="0976CFBC">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7.1  招标代理机构对已发出的招标文件进行必要澄清或者修改的，将在招标文件要求提交投标文件截止时间1</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日前，在招标信息发布媒介上发布更正公告，请各投标人密切留意。该澄清或者修改的内容为招标文件的组成部分。</w:t>
      </w:r>
    </w:p>
    <w:p w14:paraId="53924A3B">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项目特定情况下，招标代理机构必须延长投标截止时间和开标时间时，将在招标文件要求提交投标文件的截止时间前，在招标信息发布媒介上发布变更公告。</w:t>
      </w:r>
    </w:p>
    <w:p w14:paraId="6C1C3925">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7.3  招标文件的修改、补充通知在</w:t>
      </w:r>
      <w:r>
        <w:rPr>
          <w:rFonts w:hint="eastAsia" w:ascii="宋体" w:hAnsi="宋体" w:eastAsia="宋体" w:cs="Times New Roman"/>
          <w:bCs/>
          <w:color w:val="000000" w:themeColor="text1"/>
          <w:szCs w:val="21"/>
          <w:highlight w:val="none"/>
          <w:lang w:eastAsia="zh-CN"/>
          <w14:textFill>
            <w14:solidFill>
              <w14:schemeClr w14:val="tx1"/>
            </w14:solidFill>
          </w14:textFill>
        </w:rPr>
        <w:t>广东省公共资源交易平台（ygp.gdzwfw.gov.cn）、</w:t>
      </w:r>
      <w:r>
        <w:rPr>
          <w:rFonts w:ascii="宋体" w:hAnsi="宋体" w:eastAsia="宋体" w:cs="Times New Roman"/>
          <w:color w:val="000000" w:themeColor="text1"/>
          <w:szCs w:val="21"/>
          <w:highlight w:val="none"/>
          <w:lang w:val="zh-CN"/>
          <w14:textFill>
            <w14:solidFill>
              <w14:schemeClr w14:val="tx1"/>
            </w14:solidFill>
          </w14:textFill>
        </w:rPr>
        <w:t>中国招标投标公共服务平台</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"http://www.cebpubservice.com）、广东省招标投标监管" </w:instrText>
      </w:r>
      <w:r>
        <w:rPr>
          <w:color w:val="000000" w:themeColor="text1"/>
          <w:highlight w:val="none"/>
          <w14:textFill>
            <w14:solidFill>
              <w14:schemeClr w14:val="tx1"/>
            </w14:solidFill>
          </w14:textFill>
        </w:rPr>
        <w:fldChar w:fldCharType="separate"/>
      </w:r>
      <w:r>
        <w:rPr>
          <w:rFonts w:ascii="宋体" w:hAnsi="宋体" w:eastAsia="宋体" w:cs="Times New Roman"/>
          <w:color w:val="000000" w:themeColor="text1"/>
          <w:szCs w:val="21"/>
          <w:highlight w:val="none"/>
          <w14:textFill>
            <w14:solidFill>
              <w14:schemeClr w14:val="tx1"/>
            </w14:solidFill>
          </w14:textFill>
        </w:rPr>
        <w:t>www.cebpubservice.com）</w:t>
      </w:r>
      <w:r>
        <w:rPr>
          <w:rFonts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fldChar w:fldCharType="end"/>
      </w:r>
      <w:r>
        <w:rPr>
          <w:rFonts w:hint="eastAsia" w:ascii="宋体" w:hAnsi="宋体" w:eastAsia="宋体" w:cs="Times New Roman"/>
          <w:color w:val="000000" w:themeColor="text1"/>
          <w:szCs w:val="21"/>
          <w:highlight w:val="none"/>
          <w:lang w:val="zh-CN"/>
          <w14:textFill>
            <w14:solidFill>
              <w14:schemeClr w14:val="tx1"/>
            </w14:solidFill>
          </w14:textFill>
        </w:rPr>
        <w:t>东莞市水务环境投资控股集团有限公司</w:t>
      </w:r>
      <w:r>
        <w:rPr>
          <w:rFonts w:ascii="宋体" w:hAnsi="宋体" w:eastAsia="宋体" w:cs="Times New Roman"/>
          <w:color w:val="000000" w:themeColor="text1"/>
          <w:szCs w:val="21"/>
          <w:highlight w:val="none"/>
          <w:lang w:val="zh-CN"/>
          <w14:textFill>
            <w14:solidFill>
              <w14:schemeClr w14:val="tx1"/>
            </w14:solidFill>
          </w14:textFill>
        </w:rPr>
        <w:t>网</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"www.dgswjt.cn）、招标代理公司网站（http://%20%20%20%20%20%20%20%20%20%20%20%20%20%20）" </w:instrText>
      </w:r>
      <w:r>
        <w:rPr>
          <w:color w:val="000000" w:themeColor="text1"/>
          <w:highlight w:val="none"/>
          <w14:textFill>
            <w14:solidFill>
              <w14:schemeClr w14:val="tx1"/>
            </w14:solidFill>
          </w14:textFill>
        </w:rPr>
        <w:fldChar w:fldCharType="separate"/>
      </w:r>
      <w:r>
        <w:rPr>
          <w:rStyle w:val="46"/>
          <w:rFonts w:hint="eastAsia" w:ascii="宋体" w:hAnsi="宋体" w:eastAsia="宋体" w:cs="Times New Roman"/>
          <w:color w:val="000000" w:themeColor="text1"/>
          <w:sz w:val="21"/>
          <w:szCs w:val="21"/>
          <w:highlight w:val="none"/>
          <w:lang w:eastAsia="zh-CN"/>
          <w14:textFill>
            <w14:solidFill>
              <w14:schemeClr w14:val="tx1"/>
            </w14:solidFill>
          </w14:textFill>
        </w:rPr>
        <w:t>www.dgweg.cn</w:t>
      </w:r>
      <w:r>
        <w:rPr>
          <w:rStyle w:val="46"/>
          <w:rFonts w:ascii="宋体" w:hAnsi="宋体" w:eastAsia="宋体" w:cs="Times New Roman"/>
          <w:color w:val="000000" w:themeColor="text1"/>
          <w:sz w:val="21"/>
          <w:szCs w:val="21"/>
          <w:highlight w:val="none"/>
          <w14:textFill>
            <w14:solidFill>
              <w14:schemeClr w14:val="tx1"/>
            </w14:solidFill>
          </w14:textFill>
        </w:rPr>
        <w:t>）</w:t>
      </w:r>
      <w:r>
        <w:rPr>
          <w:rStyle w:val="46"/>
          <w:rFonts w:ascii="宋体" w:hAnsi="宋体" w:eastAsia="宋体" w:cs="Times New Roman"/>
          <w:color w:val="000000" w:themeColor="text1"/>
          <w:sz w:val="21"/>
          <w:szCs w:val="21"/>
          <w:highlight w:val="none"/>
          <w:lang w:val="zh-CN"/>
          <w14:textFill>
            <w14:solidFill>
              <w14:schemeClr w14:val="tx1"/>
            </w14:solidFill>
          </w14:textFill>
        </w:rPr>
        <w:t>、</w:t>
      </w:r>
      <w:r>
        <w:rPr>
          <w:rStyle w:val="46"/>
          <w:rFonts w:hint="eastAsia" w:ascii="宋体" w:hAnsi="宋体" w:eastAsia="宋体" w:cs="Times New Roman"/>
          <w:bCs/>
          <w:color w:val="000000" w:themeColor="text1"/>
          <w:kern w:val="0"/>
          <w:sz w:val="21"/>
          <w:szCs w:val="21"/>
          <w:highlight w:val="none"/>
          <w14:textFill>
            <w14:solidFill>
              <w14:schemeClr w14:val="tx1"/>
            </w14:solidFill>
          </w14:textFill>
        </w:rPr>
        <w:t>招标代理</w:t>
      </w:r>
      <w:r>
        <w:rPr>
          <w:rStyle w:val="46"/>
          <w:rFonts w:hint="eastAsia" w:ascii="宋体" w:hAnsi="宋体" w:eastAsia="宋体" w:cs="Times New Roman"/>
          <w:bCs/>
          <w:color w:val="000000" w:themeColor="text1"/>
          <w:kern w:val="0"/>
          <w:sz w:val="21"/>
          <w:szCs w:val="21"/>
          <w:highlight w:val="none"/>
          <w:lang w:val="en-US" w:eastAsia="zh-CN"/>
          <w14:textFill>
            <w14:solidFill>
              <w14:schemeClr w14:val="tx1"/>
            </w14:solidFill>
          </w14:textFill>
        </w:rPr>
        <w:t>机构</w:t>
      </w:r>
      <w:r>
        <w:rPr>
          <w:rStyle w:val="46"/>
          <w:rFonts w:hint="eastAsia" w:ascii="宋体" w:hAnsi="宋体" w:eastAsia="宋体" w:cs="Times New Roman"/>
          <w:bCs/>
          <w:color w:val="000000" w:themeColor="text1"/>
          <w:kern w:val="0"/>
          <w:sz w:val="21"/>
          <w:szCs w:val="21"/>
          <w:highlight w:val="none"/>
          <w14:textFill>
            <w14:solidFill>
              <w14:schemeClr w14:val="tx1"/>
            </w14:solidFill>
          </w14:textFill>
        </w:rPr>
        <w:t>网站（www.gzjc.com.cn</w:t>
      </w:r>
      <w:r>
        <w:rPr>
          <w:rStyle w:val="46"/>
          <w:rFonts w:ascii="宋体" w:hAnsi="宋体" w:eastAsia="宋体" w:cs="Times New Roman"/>
          <w:bCs/>
          <w:color w:val="000000" w:themeColor="text1"/>
          <w:kern w:val="0"/>
          <w:sz w:val="21"/>
          <w:szCs w:val="21"/>
          <w:highlight w:val="none"/>
          <w14:textFill>
            <w14:solidFill>
              <w14:schemeClr w14:val="tx1"/>
            </w14:solidFill>
          </w14:textFill>
        </w:rPr>
        <w:t>）</w:t>
      </w:r>
      <w:r>
        <w:rPr>
          <w:rStyle w:val="46"/>
          <w:rFonts w:ascii="宋体" w:hAnsi="宋体" w:eastAsia="宋体" w:cs="Times New Roman"/>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公布，请各投标人密切留意。</w:t>
      </w:r>
    </w:p>
    <w:p w14:paraId="6DFC2F88">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p>
    <w:p w14:paraId="176783D1">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99" w:name="_Toc2222"/>
      <w:bookmarkStart w:id="100" w:name="_Toc29659_WPSOffice_Level2"/>
      <w:bookmarkStart w:id="101" w:name="_Toc6039"/>
      <w:bookmarkStart w:id="102" w:name="_Toc450662857"/>
      <w:bookmarkStart w:id="103" w:name="_Toc19845"/>
      <w:bookmarkStart w:id="104" w:name="_Toc142508321"/>
      <w:bookmarkStart w:id="105" w:name="_Toc140596880"/>
      <w:bookmarkStart w:id="106" w:name="_Toc486167671"/>
      <w:r>
        <w:rPr>
          <w:rFonts w:hint="eastAsia" w:ascii="宋体" w:hAnsi="宋体" w:eastAsia="宋体" w:cs="宋体"/>
          <w:b/>
          <w:bCs/>
          <w:color w:val="000000" w:themeColor="text1"/>
          <w:kern w:val="44"/>
          <w:szCs w:val="21"/>
          <w:highlight w:val="none"/>
          <w:lang w:val="zh-CN"/>
          <w14:textFill>
            <w14:solidFill>
              <w14:schemeClr w14:val="tx1"/>
            </w14:solidFill>
          </w14:textFill>
        </w:rPr>
        <w:t>三、投标文件的编制</w:t>
      </w:r>
      <w:bookmarkEnd w:id="99"/>
      <w:bookmarkEnd w:id="100"/>
      <w:bookmarkEnd w:id="101"/>
      <w:bookmarkEnd w:id="102"/>
      <w:bookmarkEnd w:id="103"/>
      <w:bookmarkEnd w:id="104"/>
      <w:bookmarkEnd w:id="105"/>
      <w:bookmarkEnd w:id="106"/>
    </w:p>
    <w:p w14:paraId="75E2ACD9">
      <w:pPr>
        <w:tabs>
          <w:tab w:val="left" w:pos="67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07" w:name="_Toc142508322"/>
      <w:bookmarkStart w:id="108" w:name="_Toc25773"/>
      <w:bookmarkStart w:id="109" w:name="_Toc450662858"/>
      <w:bookmarkStart w:id="110" w:name="_Toc486167672"/>
      <w:bookmarkStart w:id="111" w:name="_Toc7150"/>
      <w:bookmarkStart w:id="112" w:name="_Toc10015_WPSOffice_Level3"/>
      <w:bookmarkStart w:id="113" w:name="_Toc16966"/>
      <w:r>
        <w:rPr>
          <w:rFonts w:hint="eastAsia" w:ascii="宋体" w:hAnsi="宋体" w:eastAsia="宋体" w:cs="宋体"/>
          <w:color w:val="000000" w:themeColor="text1"/>
          <w:szCs w:val="21"/>
          <w:highlight w:val="none"/>
          <w:lang w:val="zh-CN"/>
          <w14:textFill>
            <w14:solidFill>
              <w14:schemeClr w14:val="tx1"/>
            </w14:solidFill>
          </w14:textFill>
        </w:rPr>
        <w:t>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投标使用的文字及度量衡单位</w:t>
      </w:r>
      <w:bookmarkEnd w:id="107"/>
      <w:bookmarkEnd w:id="108"/>
      <w:bookmarkEnd w:id="109"/>
      <w:bookmarkEnd w:id="110"/>
      <w:bookmarkEnd w:id="111"/>
      <w:bookmarkEnd w:id="112"/>
      <w:bookmarkEnd w:id="113"/>
    </w:p>
    <w:p w14:paraId="036A3A63">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8.1  投标人的投标文件以及投标人与招标代理机构就有关投标的所有往来函电均应使用简体中文。</w:t>
      </w:r>
    </w:p>
    <w:p w14:paraId="0A8FBE68">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8.2  投标文件使用的度量衡单位采用中华人民共和国法定计量单位。</w:t>
      </w:r>
    </w:p>
    <w:p w14:paraId="3F1AA858">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5675B98F">
      <w:pPr>
        <w:tabs>
          <w:tab w:val="left" w:pos="540"/>
        </w:tabs>
        <w:autoSpaceDE w:val="0"/>
        <w:autoSpaceDN w:val="0"/>
        <w:adjustRightInd w:val="0"/>
        <w:spacing w:line="360" w:lineRule="auto"/>
        <w:ind w:left="357" w:leftChars="-100" w:hanging="567"/>
        <w:jc w:val="left"/>
        <w:outlineLvl w:val="2"/>
        <w:rPr>
          <w:rFonts w:ascii="宋体" w:hAnsi="宋体" w:eastAsia="宋体" w:cs="宋体"/>
          <w:color w:val="000000" w:themeColor="text1"/>
          <w:sz w:val="24"/>
          <w:szCs w:val="24"/>
          <w:highlight w:val="none"/>
          <w:lang w:val="zh-CN"/>
          <w14:textFill>
            <w14:solidFill>
              <w14:schemeClr w14:val="tx1"/>
            </w14:solidFill>
          </w14:textFill>
        </w:rPr>
      </w:pPr>
      <w:bookmarkStart w:id="114" w:name="_Toc4729"/>
      <w:bookmarkStart w:id="115" w:name="_Toc24916_WPSOffice_Level3"/>
      <w:bookmarkStart w:id="116" w:name="_Toc142508323"/>
      <w:bookmarkStart w:id="117" w:name="_Toc1879"/>
      <w:bookmarkStart w:id="118" w:name="_Toc15667"/>
      <w:bookmarkStart w:id="119" w:name="_Toc486167673"/>
      <w:bookmarkStart w:id="120" w:name="_Toc450662859"/>
      <w:r>
        <w:rPr>
          <w:rFonts w:hint="eastAsia" w:ascii="宋体" w:hAnsi="宋体" w:eastAsia="宋体" w:cs="宋体"/>
          <w:color w:val="000000" w:themeColor="text1"/>
          <w:szCs w:val="21"/>
          <w:highlight w:val="none"/>
          <w:lang w:val="zh-CN"/>
          <w14:textFill>
            <w14:solidFill>
              <w14:schemeClr w14:val="tx1"/>
            </w14:solidFill>
          </w14:textFill>
        </w:rPr>
        <w:t>9</w:t>
      </w:r>
      <w:r>
        <w:rPr>
          <w:rFonts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bookmarkEnd w:id="114"/>
      <w:bookmarkEnd w:id="115"/>
      <w:bookmarkEnd w:id="116"/>
      <w:bookmarkEnd w:id="117"/>
      <w:bookmarkEnd w:id="118"/>
      <w:bookmarkEnd w:id="119"/>
      <w:bookmarkEnd w:id="120"/>
    </w:p>
    <w:p w14:paraId="35E8D788">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9.1  </w:t>
      </w:r>
      <w:r>
        <w:rPr>
          <w:rFonts w:hint="eastAsia" w:ascii="宋体" w:hAnsi="宋体" w:eastAsia="宋体" w:cs="宋体"/>
          <w:color w:val="000000" w:themeColor="text1"/>
          <w:kern w:val="0"/>
          <w:szCs w:val="24"/>
          <w:highlight w:val="none"/>
          <w14:textFill>
            <w14:solidFill>
              <w14:schemeClr w14:val="tx1"/>
            </w14:solidFill>
          </w14:textFill>
        </w:rPr>
        <w:t>投标文件的组成：</w:t>
      </w:r>
      <w:r>
        <w:rPr>
          <w:rFonts w:hint="eastAsia" w:ascii="宋体" w:hAnsi="宋体" w:eastAsia="宋体" w:cs="Times New Roman"/>
          <w:b/>
          <w:color w:val="000000" w:themeColor="text1"/>
          <w:kern w:val="0"/>
          <w:szCs w:val="21"/>
          <w:highlight w:val="none"/>
          <w:u w:val="single"/>
          <w14:textFill>
            <w14:solidFill>
              <w14:schemeClr w14:val="tx1"/>
            </w14:solidFill>
          </w14:textFill>
        </w:rPr>
        <w:t>商务文件、技术文件由投标人根据各自文件的实际情况决定是否分册装订，招标文件不做限制</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29D5418F">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9.1.1 商务文件：</w:t>
      </w:r>
    </w:p>
    <w:p w14:paraId="1D940F77">
      <w:pPr>
        <w:autoSpaceDE w:val="0"/>
        <w:autoSpaceDN w:val="0"/>
        <w:adjustRightInd w:val="0"/>
        <w:spacing w:line="360" w:lineRule="auto"/>
        <w:jc w:val="left"/>
        <w:rPr>
          <w:rFonts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zh-CN"/>
          <w14:textFill>
            <w14:solidFill>
              <w14:schemeClr w14:val="tx1"/>
            </w14:solidFill>
          </w14:textFill>
        </w:rPr>
        <w:t>目录：</w:t>
      </w:r>
    </w:p>
    <w:p w14:paraId="1AFB5439">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（1）投标函；</w:t>
      </w:r>
    </w:p>
    <w:p w14:paraId="44EBE4DA">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（2）投标承诺书；</w:t>
      </w:r>
    </w:p>
    <w:p w14:paraId="30CC7239">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）供货及/或提供服务过程承诺函；</w:t>
      </w:r>
    </w:p>
    <w:p w14:paraId="7C7D215A">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）投标报价表；</w:t>
      </w:r>
    </w:p>
    <w:p w14:paraId="2B0A49FB">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）投标人资格证明文件：</w:t>
      </w:r>
    </w:p>
    <w:p w14:paraId="25697701">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1）多证合一营业执照</w:t>
      </w:r>
      <w:r>
        <w:rPr>
          <w:rFonts w:hint="eastAsia" w:ascii="宋体" w:hAnsi="宋体" w:eastAsia="宋体" w:cs="Times New Roman"/>
          <w:color w:val="000000" w:themeColor="text1"/>
          <w:kern w:val="0"/>
          <w:szCs w:val="21"/>
          <w:highlight w:val="none"/>
          <w14:textFill>
            <w14:solidFill>
              <w14:schemeClr w14:val="tx1"/>
            </w14:solidFill>
          </w14:textFill>
        </w:rPr>
        <w:t>（或事业单位法人证书）</w:t>
      </w:r>
      <w:r>
        <w:rPr>
          <w:rFonts w:ascii="宋体" w:hAnsi="宋体" w:eastAsia="宋体" w:cs="Times New Roman"/>
          <w:color w:val="000000" w:themeColor="text1"/>
          <w:szCs w:val="21"/>
          <w:highlight w:val="none"/>
          <w:lang w:val="zh-CN"/>
          <w14:textFill>
            <w14:solidFill>
              <w14:schemeClr w14:val="tx1"/>
            </w14:solidFill>
          </w14:textFill>
        </w:rPr>
        <w:t>复印件；</w:t>
      </w:r>
    </w:p>
    <w:p w14:paraId="18BAC5D1">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开户许可证复印件（基本存款账户）</w:t>
      </w:r>
      <w:r>
        <w:rPr>
          <w:rFonts w:hint="eastAsia" w:ascii="宋体" w:hAnsi="宋体" w:eastAsia="宋体" w:cs="Times New Roman"/>
          <w:color w:val="000000" w:themeColor="text1"/>
          <w:szCs w:val="21"/>
          <w:highlight w:val="none"/>
          <w:lang w:val="zh-CN"/>
          <w14:textFill>
            <w14:solidFill>
              <w14:schemeClr w14:val="tx1"/>
            </w14:solidFill>
          </w14:textFill>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000000" w:themeColor="text1"/>
          <w:szCs w:val="21"/>
          <w:highlight w:val="none"/>
          <w:lang w:val="zh-CN"/>
          <w14:textFill>
            <w14:solidFill>
              <w14:schemeClr w14:val="tx1"/>
            </w14:solidFill>
          </w14:textFill>
        </w:rPr>
        <w:t>；</w:t>
      </w:r>
    </w:p>
    <w:p w14:paraId="3275A124">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ascii="宋体" w:hAnsi="宋体" w:eastAsia="宋体" w:cs="Times New Roman"/>
          <w:color w:val="000000" w:themeColor="text1"/>
          <w:szCs w:val="21"/>
          <w:highlight w:val="none"/>
          <w:lang w:val="zh-CN"/>
          <w14:textFill>
            <w14:solidFill>
              <w14:schemeClr w14:val="tx1"/>
            </w14:solidFill>
          </w14:textFill>
        </w:rPr>
        <w:t>）法定代表人身份证明书和法定代表人授权书原件（法定代表人投标时只提供法定代表人身份证明书，委托</w:t>
      </w:r>
      <w:r>
        <w:rPr>
          <w:rFonts w:ascii="宋体" w:hAnsi="宋体" w:eastAsia="宋体" w:cs="Times New Roman"/>
          <w:color w:val="000000" w:themeColor="text1"/>
          <w:szCs w:val="21"/>
          <w:highlight w:val="none"/>
          <w14:textFill>
            <w14:solidFill>
              <w14:schemeClr w14:val="tx1"/>
            </w14:solidFill>
          </w14:textFill>
        </w:rPr>
        <w:t>他人</w:t>
      </w:r>
      <w:r>
        <w:rPr>
          <w:rFonts w:ascii="宋体" w:hAnsi="宋体" w:eastAsia="宋体" w:cs="Times New Roman"/>
          <w:color w:val="000000" w:themeColor="text1"/>
          <w:szCs w:val="21"/>
          <w:highlight w:val="none"/>
          <w:lang w:val="zh-CN"/>
          <w14:textFill>
            <w14:solidFill>
              <w14:schemeClr w14:val="tx1"/>
            </w14:solidFill>
          </w14:textFill>
        </w:rPr>
        <w:t>为投标代表时同时提供法定代表人授权书）；</w:t>
      </w:r>
    </w:p>
    <w:p w14:paraId="6E8F6D05">
      <w:pPr>
        <w:autoSpaceDE w:val="0"/>
        <w:autoSpaceDN w:val="0"/>
        <w:adjustRightInd w:val="0"/>
        <w:spacing w:line="360" w:lineRule="auto"/>
        <w:ind w:left="283" w:hanging="283" w:hangingChars="135"/>
        <w:rPr>
          <w:rFonts w:hint="eastAsia"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）资格业绩【</w:t>
      </w:r>
      <w:r>
        <w:rPr>
          <w:rFonts w:hint="eastAsia" w:ascii="宋体" w:hAnsi="宋体" w:eastAsia="宋体" w:cs="Times New Roman"/>
          <w:color w:val="000000" w:themeColor="text1"/>
          <w:szCs w:val="21"/>
          <w:highlight w:val="none"/>
          <w:lang w:eastAsia="zh-CN"/>
          <w14:textFill>
            <w14:solidFill>
              <w14:schemeClr w14:val="tx1"/>
            </w14:solidFill>
          </w14:textFill>
        </w:rPr>
        <w:t>投标人</w:t>
      </w:r>
      <w:r>
        <w:rPr>
          <w:rFonts w:hint="eastAsia" w:ascii="宋体" w:hAnsi="宋体" w:eastAsia="宋体" w:cs="Times New Roman"/>
          <w:color w:val="000000" w:themeColor="text1"/>
          <w:szCs w:val="21"/>
          <w:highlight w:val="none"/>
          <w:lang w:val="en-US" w:eastAsia="zh-CN"/>
          <w14:textFill>
            <w14:solidFill>
              <w14:schemeClr w14:val="tx1"/>
            </w14:solidFill>
          </w14:textFill>
        </w:rPr>
        <w:t>提供一份</w:t>
      </w:r>
      <w:r>
        <w:rPr>
          <w:rFonts w:hint="eastAsia" w:ascii="宋体" w:hAnsi="宋体" w:eastAsia="宋体" w:cs="Times New Roman"/>
          <w:color w:val="000000" w:themeColor="text1"/>
          <w:szCs w:val="21"/>
          <w:highlight w:val="none"/>
          <w:lang w:eastAsia="zh-CN"/>
          <w14:textFill>
            <w14:solidFill>
              <w14:schemeClr w14:val="tx1"/>
            </w14:solidFill>
          </w14:textFill>
        </w:rPr>
        <w:t>2023年1月1日以来承接的五金材料或工器具在国内的销售业绩（合同签订日期为2023年1月1日或以后，合同标的必须包含五金材料或工器具）</w:t>
      </w:r>
      <w:r>
        <w:rPr>
          <w:rFonts w:hint="eastAsia" w:ascii="宋体" w:hAnsi="宋体" w:eastAsia="宋体" w:cs="Times New Roman"/>
          <w:color w:val="000000" w:themeColor="text1"/>
          <w:szCs w:val="21"/>
          <w:highlight w:val="none"/>
          <w14:textFill>
            <w14:solidFill>
              <w14:schemeClr w14:val="tx1"/>
            </w14:solidFill>
          </w14:textFill>
        </w:rPr>
        <w:t>，资格业绩证明材料提交要求详见招标文件第六篇投标文件格式</w:t>
      </w:r>
      <w:r>
        <w:rPr>
          <w:rFonts w:hint="eastAsia" w:ascii="宋体" w:hAnsi="宋体" w:eastAsia="宋体" w:cs="Times New Roman"/>
          <w:color w:val="000000" w:themeColor="text1"/>
          <w:szCs w:val="21"/>
          <w:highlight w:val="none"/>
          <w:lang w:val="en-US" w:eastAsia="zh-CN"/>
          <w14:textFill>
            <w14:solidFill>
              <w14:schemeClr w14:val="tx1"/>
            </w14:solidFill>
          </w14:textFill>
        </w:rPr>
        <w:t>5.4</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eastAsia="zh-CN"/>
          <w14:textFill>
            <w14:solidFill>
              <w14:schemeClr w14:val="tx1"/>
            </w14:solidFill>
          </w14:textFill>
        </w:rPr>
        <w:t>；</w:t>
      </w:r>
    </w:p>
    <w:p w14:paraId="383E7E47">
      <w:pPr>
        <w:autoSpaceDE w:val="0"/>
        <w:autoSpaceDN w:val="0"/>
        <w:adjustRightInd w:val="0"/>
        <w:spacing w:line="360" w:lineRule="auto"/>
        <w:ind w:left="913" w:hanging="913" w:hangingChars="435"/>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最近3年投标人牵涉的其他（失信和违法）</w:t>
      </w:r>
      <w:r>
        <w:rPr>
          <w:rFonts w:hint="eastAsia" w:ascii="宋体" w:hAnsi="宋体" w:eastAsia="宋体" w:cs="宋体"/>
          <w:color w:val="000000" w:themeColor="text1"/>
          <w:kern w:val="0"/>
          <w:szCs w:val="21"/>
          <w:highlight w:val="none"/>
          <w14:textFill>
            <w14:solidFill>
              <w14:schemeClr w14:val="tx1"/>
            </w14:solidFill>
          </w14:textFill>
        </w:rPr>
        <w:t>处罚说明</w:t>
      </w:r>
      <w:r>
        <w:rPr>
          <w:rFonts w:hint="eastAsia" w:ascii="宋体" w:hAnsi="宋体" w:eastAsia="宋体" w:cs="宋体"/>
          <w:color w:val="000000" w:themeColor="text1"/>
          <w:szCs w:val="21"/>
          <w:highlight w:val="none"/>
          <w:lang w:val="zh-CN"/>
          <w14:textFill>
            <w14:solidFill>
              <w14:schemeClr w14:val="tx1"/>
            </w14:solidFill>
          </w14:textFill>
        </w:rPr>
        <w:t>；</w:t>
      </w:r>
    </w:p>
    <w:p w14:paraId="20DD163D">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）投标人基本情况一览表；</w:t>
      </w:r>
    </w:p>
    <w:p w14:paraId="27E02A4A">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）投标人财务状况表；</w:t>
      </w:r>
    </w:p>
    <w:p w14:paraId="252B12D6">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default"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）合同条款响应程度（合同条款偏离表）；</w:t>
      </w:r>
    </w:p>
    <w:p w14:paraId="30F1504D">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default"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）业绩表；</w:t>
      </w:r>
    </w:p>
    <w:p w14:paraId="5B5DEB37">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default" w:ascii="宋体" w:hAnsi="宋体" w:eastAsia="宋体" w:cs="宋体"/>
          <w:color w:val="000000" w:themeColor="text1"/>
          <w:szCs w:val="21"/>
          <w:highlight w:val="none"/>
          <w:lang w:val="en-US"/>
          <w14:textFill>
            <w14:solidFill>
              <w14:schemeClr w14:val="tx1"/>
            </w14:solidFill>
          </w14:textFill>
        </w:rPr>
        <w:t>1</w:t>
      </w:r>
      <w:r>
        <w:rPr>
          <w:rFonts w:hint="default"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lang w:val="zh-CN"/>
          <w14:textFill>
            <w14:solidFill>
              <w14:schemeClr w14:val="tx1"/>
            </w14:solidFill>
          </w14:textFill>
        </w:rPr>
        <w:t>）投标保证金汇入情况说明；</w:t>
      </w:r>
    </w:p>
    <w:p w14:paraId="598FE91A">
      <w:pPr>
        <w:tabs>
          <w:tab w:val="left" w:pos="567"/>
        </w:tabs>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default" w:ascii="宋体" w:hAnsi="宋体" w:eastAsia="宋体" w:cs="宋体"/>
          <w:color w:val="000000" w:themeColor="text1"/>
          <w:szCs w:val="21"/>
          <w:highlight w:val="none"/>
          <w:lang w:val="en-US"/>
          <w14:textFill>
            <w14:solidFill>
              <w14:schemeClr w14:val="tx1"/>
            </w14:solidFill>
          </w14:textFill>
        </w:rPr>
        <w:t>1</w:t>
      </w:r>
      <w:r>
        <w:rPr>
          <w:rFonts w:hint="default"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w:t>
      </w:r>
      <w:r>
        <w:rPr>
          <w:rFonts w:hint="eastAsia" w:ascii="宋体" w:hAnsi="宋体" w:eastAsia="宋体" w:cs="宋体"/>
          <w:color w:val="000000" w:themeColor="text1"/>
          <w:szCs w:val="21"/>
          <w:highlight w:val="none"/>
          <w:lang w:val="zh-CN"/>
          <w14:textFill>
            <w14:solidFill>
              <w14:schemeClr w14:val="tx1"/>
            </w14:solidFill>
          </w14:textFill>
        </w:rPr>
        <w:t>服务能力的有关其它商务文件（不做强制要求）。</w:t>
      </w:r>
    </w:p>
    <w:p w14:paraId="5E2BC37C">
      <w:pPr>
        <w:autoSpaceDE w:val="0"/>
        <w:autoSpaceDN w:val="0"/>
        <w:adjustRightInd w:val="0"/>
        <w:spacing w:line="360" w:lineRule="auto"/>
        <w:ind w:left="422" w:leftChars="-100" w:hanging="632" w:hangingChars="300"/>
        <w:rPr>
          <w:rFonts w:ascii="宋体" w:hAnsi="宋体" w:eastAsia="宋体" w:cs="宋体"/>
          <w:b/>
          <w:color w:val="000000" w:themeColor="text1"/>
          <w:kern w:val="0"/>
          <w:szCs w:val="24"/>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9.1.2 技术文件：</w:t>
      </w:r>
    </w:p>
    <w:p w14:paraId="7A7A4D15">
      <w:pPr>
        <w:autoSpaceDE w:val="0"/>
        <w:autoSpaceDN w:val="0"/>
        <w:adjustRightInd w:val="0"/>
        <w:spacing w:line="360" w:lineRule="auto"/>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目录：</w:t>
      </w:r>
    </w:p>
    <w:p w14:paraId="306D1FDF">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（1）用户需求响应程度（即用户需求偏离表）；</w:t>
      </w:r>
    </w:p>
    <w:p w14:paraId="1240C11B">
      <w:pPr>
        <w:spacing w:line="360" w:lineRule="auto"/>
        <w:ind w:left="315" w:leftChars="-100" w:hanging="525" w:hangingChars="2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（2）投标品牌表：</w:t>
      </w:r>
    </w:p>
    <w:p w14:paraId="682DFCCA">
      <w:pPr>
        <w:spacing w:line="360" w:lineRule="auto"/>
        <w:ind w:left="315" w:leftChars="100" w:hanging="105" w:hangingChars="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 投标品牌不匹配情况汇总表；</w:t>
      </w:r>
    </w:p>
    <w:p w14:paraId="205E1CFB">
      <w:pPr>
        <w:spacing w:line="360" w:lineRule="auto"/>
        <w:ind w:left="315" w:leftChars="100" w:hanging="105" w:hangingChars="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 投标品牌表；</w:t>
      </w:r>
    </w:p>
    <w:p w14:paraId="79DF128E">
      <w:pPr>
        <w:spacing w:line="360" w:lineRule="auto"/>
        <w:ind w:left="315" w:leftChars="-100" w:hanging="525" w:hangingChars="2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（3）整体供货服务流程；</w:t>
      </w:r>
    </w:p>
    <w:p w14:paraId="2603F4FC">
      <w:pPr>
        <w:spacing w:line="360" w:lineRule="auto"/>
        <w:ind w:left="315" w:leftChars="-100" w:hanging="525" w:hangingChars="2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（4）供货计划及进度保证措施方案；</w:t>
      </w:r>
    </w:p>
    <w:p w14:paraId="7EA3CEBA">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（5）售后服务质量保证和承诺；</w:t>
      </w:r>
    </w:p>
    <w:p w14:paraId="29D683C9">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2E2A665D">
      <w:pPr>
        <w:autoSpaceDE w:val="0"/>
        <w:autoSpaceDN w:val="0"/>
        <w:adjustRightInd w:val="0"/>
        <w:spacing w:line="360" w:lineRule="auto"/>
        <w:ind w:left="422" w:leftChars="-100" w:hanging="632" w:hangingChars="3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9.1.3</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lang w:val="zh-CN"/>
          <w14:textFill>
            <w14:solidFill>
              <w14:schemeClr w14:val="tx1"/>
            </w14:solidFill>
          </w14:textFill>
        </w:rPr>
        <w:t>投标文件电子文件</w:t>
      </w:r>
      <w:r>
        <w:rPr>
          <w:rFonts w:hint="eastAsia" w:ascii="宋体" w:hAnsi="宋体" w:eastAsia="宋体" w:cs="宋体"/>
          <w:color w:val="000000" w:themeColor="text1"/>
          <w:kern w:val="0"/>
          <w:szCs w:val="21"/>
          <w:highlight w:val="none"/>
          <w:lang w:val="zh-CN"/>
          <w14:textFill>
            <w14:solidFill>
              <w14:schemeClr w14:val="tx1"/>
            </w14:solidFill>
          </w14:textFill>
        </w:rPr>
        <w:t>（详细要求见本篇第17.</w:t>
      </w:r>
      <w:r>
        <w:rPr>
          <w:rFonts w:ascii="宋体" w:hAnsi="宋体" w:eastAsia="宋体" w:cs="宋体"/>
          <w:color w:val="000000" w:themeColor="text1"/>
          <w:kern w:val="0"/>
          <w:szCs w:val="21"/>
          <w:highlight w:val="none"/>
          <w:lang w:val="zh-CN"/>
          <w14:textFill>
            <w14:solidFill>
              <w14:schemeClr w14:val="tx1"/>
            </w14:solidFill>
          </w14:textFill>
        </w:rPr>
        <w:t>5</w:t>
      </w:r>
      <w:r>
        <w:rPr>
          <w:rFonts w:hint="eastAsia" w:ascii="宋体" w:hAnsi="宋体" w:eastAsia="宋体" w:cs="宋体"/>
          <w:color w:val="000000" w:themeColor="text1"/>
          <w:kern w:val="0"/>
          <w:szCs w:val="21"/>
          <w:highlight w:val="none"/>
          <w:lang w:val="zh-CN"/>
          <w14:textFill>
            <w14:solidFill>
              <w14:schemeClr w14:val="tx1"/>
            </w14:solidFill>
          </w14:textFill>
        </w:rPr>
        <w:t>款）</w:t>
      </w:r>
    </w:p>
    <w:p w14:paraId="771FFA49">
      <w:pPr>
        <w:autoSpaceDE w:val="0"/>
        <w:autoSpaceDN w:val="0"/>
        <w:adjustRightInd w:val="0"/>
        <w:spacing w:line="360" w:lineRule="auto"/>
        <w:ind w:left="35" w:leftChars="-118" w:hanging="283" w:hangingChars="135"/>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（1）签字、盖章后的投标文件扫描版PDF格式电子文件。</w:t>
      </w:r>
    </w:p>
    <w:p w14:paraId="01936815">
      <w:pPr>
        <w:autoSpaceDE w:val="0"/>
        <w:autoSpaceDN w:val="0"/>
        <w:adjustRightInd w:val="0"/>
        <w:spacing w:line="360" w:lineRule="auto"/>
        <w:ind w:left="422" w:leftChars="-100" w:hanging="632" w:hangingChars="300"/>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9.1.4 唱标信封（单独密封）</w:t>
      </w:r>
    </w:p>
    <w:p w14:paraId="1244EF46">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（1）投标报价表；</w:t>
      </w:r>
    </w:p>
    <w:p w14:paraId="3B82548D">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（2）投标保证金汇入情况说明（一式两份）。</w:t>
      </w:r>
    </w:p>
    <w:p w14:paraId="69CE26BD">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48751E66">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9.3  </w:t>
      </w:r>
      <w:r>
        <w:rPr>
          <w:rFonts w:hint="eastAsia" w:ascii="宋体" w:hAnsi="宋体" w:eastAsia="宋体" w:cs="宋体"/>
          <w:b/>
          <w:color w:val="000000" w:themeColor="text1"/>
          <w:szCs w:val="21"/>
          <w:highlight w:val="none"/>
          <w:u w:val="single"/>
          <w:lang w:val="zh-CN"/>
          <w14:textFill>
            <w14:solidFill>
              <w14:schemeClr w14:val="tx1"/>
            </w14:solidFill>
          </w14:textFill>
        </w:rPr>
        <w:t>投标文件中相关证件、证书、合同、</w:t>
      </w:r>
      <w:r>
        <w:rPr>
          <w:rFonts w:hint="eastAsia" w:ascii="宋体" w:hAnsi="宋体" w:eastAsia="宋体" w:cs="Times New Roman"/>
          <w:b/>
          <w:color w:val="000000" w:themeColor="text1"/>
          <w:szCs w:val="21"/>
          <w:highlight w:val="none"/>
          <w:u w:val="single"/>
          <w:lang w:val="zh-CN"/>
          <w14:textFill>
            <w14:solidFill>
              <w14:schemeClr w14:val="tx1"/>
            </w14:solidFill>
          </w14:textFill>
        </w:rPr>
        <w:t>发票、照片</w:t>
      </w:r>
      <w:r>
        <w:rPr>
          <w:rFonts w:hint="eastAsia" w:ascii="宋体" w:hAnsi="宋体" w:eastAsia="宋体" w:cs="宋体"/>
          <w:b/>
          <w:color w:val="000000" w:themeColor="text1"/>
          <w:szCs w:val="21"/>
          <w:highlight w:val="none"/>
          <w:u w:val="single"/>
          <w:lang w:val="zh-CN"/>
          <w14:textFill>
            <w14:solidFill>
              <w14:schemeClr w14:val="tx1"/>
            </w14:solidFill>
          </w14:textFill>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000000" w:themeColor="text1"/>
          <w:szCs w:val="21"/>
          <w:highlight w:val="none"/>
          <w:lang w:val="zh-CN"/>
          <w14:textFill>
            <w14:solidFill>
              <w14:schemeClr w14:val="tx1"/>
            </w14:solidFill>
          </w14:textFill>
        </w:rPr>
        <w:t>。</w:t>
      </w:r>
    </w:p>
    <w:p w14:paraId="6B3C3246">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p>
    <w:p w14:paraId="4584B83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21" w:name="_Toc486167674"/>
      <w:bookmarkStart w:id="122" w:name="_Toc6234"/>
      <w:bookmarkStart w:id="123" w:name="_Toc24659"/>
      <w:bookmarkStart w:id="124" w:name="_Toc18697"/>
      <w:bookmarkStart w:id="125" w:name="_Toc450662860"/>
      <w:bookmarkStart w:id="126" w:name="_Toc8675_WPSOffice_Level3"/>
      <w:bookmarkStart w:id="127" w:name="_Toc142508324"/>
      <w:r>
        <w:rPr>
          <w:rFonts w:hint="eastAsia" w:ascii="宋体" w:hAnsi="宋体" w:eastAsia="宋体" w:cs="宋体"/>
          <w:color w:val="000000" w:themeColor="text1"/>
          <w:szCs w:val="21"/>
          <w:highlight w:val="none"/>
          <w:lang w:val="zh-CN"/>
          <w14:textFill>
            <w14:solidFill>
              <w14:schemeClr w14:val="tx1"/>
            </w14:solidFill>
          </w14:textFill>
        </w:rPr>
        <w:t>10</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投标函</w:t>
      </w:r>
      <w:bookmarkEnd w:id="121"/>
      <w:bookmarkEnd w:id="122"/>
      <w:bookmarkEnd w:id="123"/>
      <w:bookmarkEnd w:id="124"/>
      <w:bookmarkEnd w:id="125"/>
      <w:bookmarkEnd w:id="126"/>
      <w:bookmarkEnd w:id="127"/>
    </w:p>
    <w:p w14:paraId="051E4EF9">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投标人应完整填写投标文件格式中规定的投标函。</w:t>
      </w:r>
    </w:p>
    <w:p w14:paraId="2D764CA5">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p>
    <w:p w14:paraId="78DCC8C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28" w:name="_Toc28822"/>
      <w:bookmarkStart w:id="129" w:name="_Toc142508325"/>
      <w:bookmarkStart w:id="130" w:name="_Toc4385_WPSOffice_Level3"/>
      <w:bookmarkStart w:id="131" w:name="_Toc6905"/>
      <w:bookmarkStart w:id="132" w:name="_Toc450662861"/>
      <w:bookmarkStart w:id="133" w:name="_Toc486167675"/>
      <w:bookmarkStart w:id="134" w:name="_Toc7384"/>
      <w:r>
        <w:rPr>
          <w:rFonts w:hint="eastAsia" w:ascii="宋体" w:hAnsi="宋体" w:eastAsia="宋体" w:cs="宋体"/>
          <w:color w:val="000000" w:themeColor="text1"/>
          <w:szCs w:val="21"/>
          <w:highlight w:val="none"/>
          <w:lang w:val="zh-CN"/>
          <w14:textFill>
            <w14:solidFill>
              <w14:schemeClr w14:val="tx1"/>
            </w14:solidFill>
          </w14:textFill>
        </w:rPr>
        <w:t>11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投标报价</w:t>
      </w:r>
      <w:bookmarkEnd w:id="128"/>
      <w:bookmarkEnd w:id="129"/>
      <w:bookmarkEnd w:id="130"/>
      <w:bookmarkEnd w:id="131"/>
      <w:bookmarkEnd w:id="132"/>
      <w:bookmarkEnd w:id="133"/>
      <w:bookmarkEnd w:id="134"/>
    </w:p>
    <w:p w14:paraId="4E150CAD">
      <w:pPr>
        <w:tabs>
          <w:tab w:val="left" w:pos="567"/>
        </w:tabs>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11.1 本项目</w:t>
      </w:r>
      <w:r>
        <w:rPr>
          <w:rFonts w:hint="eastAsia" w:ascii="宋体" w:hAnsi="宋体" w:eastAsia="宋体" w:cs="Times New Roman"/>
          <w:b/>
          <w:color w:val="000000" w:themeColor="text1"/>
          <w:szCs w:val="21"/>
          <w:highlight w:val="none"/>
          <w:lang w:val="zh-CN"/>
          <w14:textFill>
            <w14:solidFill>
              <w14:schemeClr w14:val="tx1"/>
            </w14:solidFill>
          </w14:textFill>
        </w:rPr>
        <w:t>只允许有一个报价价格，任何有选择的或</w:t>
      </w:r>
      <w:r>
        <w:rPr>
          <w:rFonts w:hint="eastAsia" w:ascii="宋体" w:hAnsi="宋体" w:eastAsia="宋体" w:cs="Times New Roman"/>
          <w:b/>
          <w:color w:val="000000" w:themeColor="text1"/>
          <w:kern w:val="0"/>
          <w:szCs w:val="21"/>
          <w:highlight w:val="none"/>
          <w:lang w:val="zh-CN"/>
          <w14:textFill>
            <w14:solidFill>
              <w14:schemeClr w14:val="tx1"/>
            </w14:solidFill>
          </w14:textFill>
        </w:rPr>
        <w:t>不是固定价的</w:t>
      </w:r>
      <w:r>
        <w:rPr>
          <w:rFonts w:hint="eastAsia" w:ascii="宋体" w:hAnsi="宋体" w:eastAsia="宋体" w:cs="Times New Roman"/>
          <w:b/>
          <w:color w:val="000000" w:themeColor="text1"/>
          <w:szCs w:val="21"/>
          <w:highlight w:val="none"/>
          <w:lang w:val="zh-CN"/>
          <w14:textFill>
            <w14:solidFill>
              <w14:schemeClr w14:val="tx1"/>
            </w14:solidFill>
          </w14:textFill>
        </w:rPr>
        <w:t>投标报价将不予接受，</w:t>
      </w:r>
      <w:r>
        <w:rPr>
          <w:rFonts w:hint="eastAsia" w:ascii="宋体" w:hAnsi="宋体" w:eastAsia="宋体" w:cs="Times New Roman"/>
          <w:b/>
          <w:color w:val="000000" w:themeColor="text1"/>
          <w:kern w:val="0"/>
          <w:szCs w:val="21"/>
          <w:highlight w:val="none"/>
          <w:lang w:val="zh-CN"/>
          <w14:textFill>
            <w14:solidFill>
              <w14:schemeClr w14:val="tx1"/>
            </w14:solidFill>
          </w14:textFill>
        </w:rPr>
        <w:t>作为非实质性响应投标而予以拒绝。</w:t>
      </w:r>
      <w:r>
        <w:rPr>
          <w:rFonts w:hint="eastAsia" w:ascii="宋体" w:hAnsi="宋体" w:eastAsia="宋体" w:cs="Times New Roman"/>
          <w:b/>
          <w:color w:val="000000" w:themeColor="text1"/>
          <w:kern w:val="0"/>
          <w:szCs w:val="21"/>
          <w:highlight w:val="none"/>
          <w14:textFill>
            <w14:solidFill>
              <w14:schemeClr w14:val="tx1"/>
            </w14:solidFill>
          </w14:textFill>
        </w:rPr>
        <w:t>投标人不得以低于企业自身成本的价格竞投</w:t>
      </w:r>
      <w:r>
        <w:rPr>
          <w:rFonts w:hint="eastAsia" w:ascii="宋体" w:hAnsi="宋体" w:eastAsia="宋体" w:cs="宋体"/>
          <w:b/>
          <w:color w:val="000000" w:themeColor="text1"/>
          <w:szCs w:val="21"/>
          <w:highlight w:val="none"/>
          <w:lang w:val="zh-CN"/>
          <w14:textFill>
            <w14:solidFill>
              <w14:schemeClr w14:val="tx1"/>
            </w14:solidFill>
          </w14:textFill>
        </w:rPr>
        <w:t>。</w:t>
      </w:r>
    </w:p>
    <w:p w14:paraId="297B0E17">
      <w:pPr>
        <w:tabs>
          <w:tab w:val="left" w:pos="567"/>
        </w:tabs>
        <w:autoSpaceDE w:val="0"/>
        <w:autoSpaceDN w:val="0"/>
        <w:adjustRightInd w:val="0"/>
        <w:spacing w:line="360" w:lineRule="auto"/>
        <w:ind w:firstLine="567"/>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5B26EF14">
      <w:pPr>
        <w:tabs>
          <w:tab w:val="left" w:pos="567"/>
        </w:tabs>
        <w:autoSpaceDE w:val="0"/>
        <w:autoSpaceDN w:val="0"/>
        <w:adjustRightInd w:val="0"/>
        <w:spacing w:line="360" w:lineRule="auto"/>
        <w:ind w:firstLine="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对是否低于企业成本价报价的事宜有争议的投标文件，评标委员会成员将以记名方式表决，</w:t>
      </w:r>
      <w:r>
        <w:rPr>
          <w:rFonts w:hint="eastAsia" w:ascii="宋体" w:hAnsi="宋体" w:eastAsia="宋体" w:cs="宋体"/>
          <w:b/>
          <w:color w:val="000000" w:themeColor="text1"/>
          <w:szCs w:val="21"/>
          <w:highlight w:val="none"/>
          <w:lang w:val="en-US" w:eastAsia="zh-CN"/>
          <w14:textFill>
            <w14:solidFill>
              <w14:schemeClr w14:val="tx1"/>
            </w14:solidFill>
          </w14:textFill>
        </w:rPr>
        <w:t>根据少数服从多数的原则，获多数表决通过</w:t>
      </w:r>
      <w:r>
        <w:rPr>
          <w:rFonts w:hint="eastAsia" w:ascii="宋体" w:hAnsi="宋体" w:eastAsia="宋体" w:cs="宋体"/>
          <w:b/>
          <w:color w:val="000000" w:themeColor="text1"/>
          <w:szCs w:val="21"/>
          <w:highlight w:val="none"/>
          <w:lang w:val="zh-CN"/>
          <w14:textFill>
            <w14:solidFill>
              <w14:schemeClr w14:val="tx1"/>
            </w14:solidFill>
          </w14:textFill>
        </w:rPr>
        <w:t>的投标人才有资格进入下一阶段的评审，否则将按无效投标处理。</w:t>
      </w:r>
    </w:p>
    <w:p w14:paraId="46BEDCA4">
      <w:pPr>
        <w:tabs>
          <w:tab w:val="left" w:pos="567"/>
        </w:tabs>
        <w:autoSpaceDE w:val="0"/>
        <w:autoSpaceDN w:val="0"/>
        <w:adjustRightInd w:val="0"/>
        <w:spacing w:line="360" w:lineRule="auto"/>
        <w:ind w:firstLine="567"/>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若出现下列情形之一的，评审委员会应启动异常低价投标审查程序：</w:t>
      </w:r>
    </w:p>
    <w:p w14:paraId="641442AD">
      <w:pPr>
        <w:tabs>
          <w:tab w:val="left" w:pos="567"/>
        </w:tabs>
        <w:autoSpaceDE w:val="0"/>
        <w:autoSpaceDN w:val="0"/>
        <w:adjustRightInd w:val="0"/>
        <w:spacing w:line="360" w:lineRule="auto"/>
        <w:ind w:firstLine="567"/>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（1）投标报价低于合格投标人报价平均值50%的；</w:t>
      </w:r>
    </w:p>
    <w:p w14:paraId="54A82166">
      <w:pPr>
        <w:tabs>
          <w:tab w:val="left" w:pos="567"/>
        </w:tabs>
        <w:autoSpaceDE w:val="0"/>
        <w:autoSpaceDN w:val="0"/>
        <w:adjustRightInd w:val="0"/>
        <w:spacing w:line="360" w:lineRule="auto"/>
        <w:ind w:firstLine="567"/>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（2）投标报价低于合格且报价次低投标人报价50%的；</w:t>
      </w:r>
    </w:p>
    <w:p w14:paraId="6955EFAB">
      <w:pPr>
        <w:tabs>
          <w:tab w:val="left" w:pos="567"/>
        </w:tabs>
        <w:autoSpaceDE w:val="0"/>
        <w:autoSpaceDN w:val="0"/>
        <w:adjustRightInd w:val="0"/>
        <w:spacing w:line="360" w:lineRule="auto"/>
        <w:ind w:firstLine="567"/>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（3）投标报价低于采购项目采购限价45%的；</w:t>
      </w:r>
    </w:p>
    <w:p w14:paraId="12DC59D9">
      <w:pPr>
        <w:tabs>
          <w:tab w:val="left" w:pos="567"/>
        </w:tabs>
        <w:autoSpaceDE w:val="0"/>
        <w:autoSpaceDN w:val="0"/>
        <w:adjustRightInd w:val="0"/>
        <w:spacing w:line="360" w:lineRule="auto"/>
        <w:ind w:firstLine="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（4）评审委员会认为投标人报价过低，有可能影响产品质量或者不能诚信履约的。</w:t>
      </w:r>
    </w:p>
    <w:p w14:paraId="196DADBE">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lang w:val="zh-CN"/>
          <w14:textFill>
            <w14:solidFill>
              <w14:schemeClr w14:val="tx1"/>
            </w14:solidFill>
          </w14:textFill>
        </w:rPr>
        <w:t>本项目的投标报价采用统一折扣系数报价，合同履约过程中，采购清单中五金材料及工器具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000000" w:themeColor="text1"/>
          <w:szCs w:val="21"/>
          <w:highlight w:val="none"/>
          <w:u w:val="single"/>
          <w:lang w:val="zh-CN"/>
          <w14:textFill>
            <w14:solidFill>
              <w14:schemeClr w14:val="tx1"/>
            </w14:solidFill>
          </w14:textFill>
        </w:rPr>
        <w:t>本项目投标报价为不含税价，即为《</w:t>
      </w:r>
      <w:r>
        <w:rPr>
          <w:rFonts w:hint="eastAsia" w:ascii="宋体" w:hAnsi="宋体" w:eastAsia="宋体" w:cs="宋体"/>
          <w:bCs/>
          <w:color w:val="000000" w:themeColor="text1"/>
          <w:sz w:val="21"/>
          <w:szCs w:val="21"/>
          <w:highlight w:val="none"/>
          <w14:textFill>
            <w14:solidFill>
              <w14:schemeClr w14:val="tx1"/>
            </w14:solidFill>
          </w14:textFill>
        </w:rPr>
        <w:t>中华人民共和国增值税法实施条例</w:t>
      </w:r>
      <w:r>
        <w:rPr>
          <w:rFonts w:hint="eastAsia" w:ascii="宋体" w:hAnsi="宋体" w:eastAsia="宋体" w:cs="Times New Roman"/>
          <w:b/>
          <w:color w:val="000000" w:themeColor="text1"/>
          <w:szCs w:val="21"/>
          <w:highlight w:val="none"/>
          <w:u w:val="single"/>
          <w:lang w:val="zh-CN"/>
          <w14:textFill>
            <w14:solidFill>
              <w14:schemeClr w14:val="tx1"/>
            </w14:solidFill>
          </w14:textFill>
        </w:rPr>
        <w:t>》（国务院令第</w:t>
      </w:r>
      <w:r>
        <w:rPr>
          <w:rFonts w:hint="eastAsia" w:ascii="宋体" w:hAnsi="宋体" w:eastAsia="宋体" w:cs="Times New Roman"/>
          <w:b/>
          <w:color w:val="000000" w:themeColor="text1"/>
          <w:szCs w:val="21"/>
          <w:highlight w:val="none"/>
          <w:u w:val="single"/>
          <w:lang w:val="en-US" w:eastAsia="zh-CN"/>
          <w14:textFill>
            <w14:solidFill>
              <w14:schemeClr w14:val="tx1"/>
            </w14:solidFill>
          </w14:textFill>
        </w:rPr>
        <w:t>826</w:t>
      </w:r>
      <w:r>
        <w:rPr>
          <w:rFonts w:hint="eastAsia" w:ascii="宋体" w:hAnsi="宋体" w:eastAsia="宋体" w:cs="Times New Roman"/>
          <w:b/>
          <w:color w:val="000000" w:themeColor="text1"/>
          <w:szCs w:val="21"/>
          <w:highlight w:val="none"/>
          <w:u w:val="single"/>
          <w:lang w:val="zh-CN"/>
          <w14:textFill>
            <w14:solidFill>
              <w14:schemeClr w14:val="tx1"/>
            </w14:solidFill>
          </w14:textFill>
        </w:rPr>
        <w:t>号）规定的销售额</w:t>
      </w:r>
      <w:r>
        <w:rPr>
          <w:rFonts w:hint="eastAsia" w:ascii="宋体" w:hAnsi="宋体" w:eastAsia="宋体" w:cs="Times New Roman"/>
          <w:color w:val="000000" w:themeColor="text1"/>
          <w:szCs w:val="21"/>
          <w:highlight w:val="none"/>
          <w:lang w:val="zh-CN"/>
          <w14:textFill>
            <w14:solidFill>
              <w14:schemeClr w14:val="tx1"/>
            </w14:solidFill>
          </w14:textFill>
        </w:rPr>
        <w:t>。本招标文件所称的不含税价和不含税暂定合同价是指不含本采购项目投标人的销项税额，包含了投标人完成合同义务（含投标人代缴代扣、分包及委外服务、采购货物等所产生的价税）的其他全部费用。本采购项目的销项税额由招标人承担，不计入投标报价。</w:t>
      </w:r>
      <w:r>
        <w:rPr>
          <w:rFonts w:hint="eastAsia" w:ascii="宋体" w:hAnsi="宋体" w:eastAsia="宋体" w:cs="宋体"/>
          <w:color w:val="000000" w:themeColor="text1"/>
          <w:kern w:val="0"/>
          <w:szCs w:val="21"/>
          <w:highlight w:val="none"/>
          <w14:textFill>
            <w14:solidFill>
              <w14:schemeClr w14:val="tx1"/>
            </w14:solidFill>
          </w14:textFill>
        </w:rPr>
        <w:t xml:space="preserve">本采购项目投标报价已含投标人履行本招标内容全部义务的一切费用，包括但不限于： </w:t>
      </w:r>
    </w:p>
    <w:p w14:paraId="73718C32">
      <w:pPr>
        <w:autoSpaceDE w:val="0"/>
        <w:autoSpaceDN w:val="0"/>
        <w:adjustRightInd w:val="0"/>
        <w:spacing w:line="360" w:lineRule="auto"/>
        <w:ind w:left="357" w:leftChars="-100" w:hanging="567"/>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（1）货物及用户需求书采购清单中要求每项货物配备的附件、备品备件的采购、制造、检测、试验、送货、</w:t>
      </w:r>
      <w:r>
        <w:rPr>
          <w:rFonts w:hint="eastAsia" w:ascii="宋体" w:hAnsi="宋体" w:eastAsia="宋体" w:cs="宋体"/>
          <w:bCs/>
          <w:color w:val="000000" w:themeColor="text1"/>
          <w:szCs w:val="21"/>
          <w:highlight w:val="none"/>
          <w:lang w:val="en-US" w:eastAsia="zh-CN"/>
          <w14:textFill>
            <w14:solidFill>
              <w14:schemeClr w14:val="tx1"/>
            </w14:solidFill>
          </w14:textFill>
        </w:rPr>
        <w:t>装卸、</w:t>
      </w:r>
      <w:r>
        <w:rPr>
          <w:rFonts w:hint="eastAsia" w:ascii="宋体" w:hAnsi="宋体" w:eastAsia="宋体" w:cs="宋体"/>
          <w:bCs/>
          <w:color w:val="000000" w:themeColor="text1"/>
          <w:szCs w:val="21"/>
          <w:highlight w:val="none"/>
          <w14:textFill>
            <w14:solidFill>
              <w14:schemeClr w14:val="tx1"/>
            </w14:solidFill>
          </w14:textFill>
        </w:rPr>
        <w:t>搬运（含二次搬运至甲方指定仓储地点）、包装费、运费、保险、现场仓储等相关服务的全部费用；</w:t>
      </w:r>
    </w:p>
    <w:p w14:paraId="3BC20C06">
      <w:pPr>
        <w:autoSpaceDE w:val="0"/>
        <w:autoSpaceDN w:val="0"/>
        <w:adjustRightInd w:val="0"/>
        <w:spacing w:line="360" w:lineRule="auto"/>
        <w:ind w:left="357" w:leftChars="-100" w:hanging="56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2</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供货</w:t>
      </w:r>
      <w:r>
        <w:rPr>
          <w:rFonts w:hint="eastAsia" w:ascii="宋体" w:hAnsi="宋体" w:eastAsia="宋体" w:cs="宋体"/>
          <w:bCs/>
          <w:color w:val="000000" w:themeColor="text1"/>
          <w:szCs w:val="21"/>
          <w:highlight w:val="none"/>
          <w14:textFill>
            <w14:solidFill>
              <w14:schemeClr w14:val="tx1"/>
            </w14:solidFill>
          </w14:textFill>
        </w:rPr>
        <w:t>货物及其工艺所有制造方、使用方应支付的对专有技术、商标权、专利权和版权、设计或其他知识产权而需要向其他方支付的版税；</w:t>
      </w:r>
    </w:p>
    <w:p w14:paraId="5EA2FDA5">
      <w:pPr>
        <w:autoSpaceDE w:val="0"/>
        <w:autoSpaceDN w:val="0"/>
        <w:adjustRightInd w:val="0"/>
        <w:spacing w:line="360" w:lineRule="auto"/>
        <w:ind w:left="357" w:leftChars="-100" w:hanging="56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）日常技术指导，免费的质保服务，包括但不限于免费质量问题处理或更换失效产品；</w:t>
      </w:r>
    </w:p>
    <w:p w14:paraId="3069CC67">
      <w:pPr>
        <w:autoSpaceDE w:val="0"/>
        <w:autoSpaceDN w:val="0"/>
        <w:adjustRightInd w:val="0"/>
        <w:spacing w:line="360" w:lineRule="auto"/>
        <w:ind w:left="357" w:leftChars="-100" w:hanging="56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4</w:t>
      </w:r>
      <w:r>
        <w:rPr>
          <w:rFonts w:hint="eastAsia" w:ascii="宋体" w:hAnsi="宋体" w:eastAsia="宋体" w:cs="宋体"/>
          <w:bCs/>
          <w:color w:val="000000" w:themeColor="text1"/>
          <w:szCs w:val="21"/>
          <w:highlight w:val="none"/>
          <w14:textFill>
            <w14:solidFill>
              <w14:schemeClr w14:val="tx1"/>
            </w14:solidFill>
          </w14:textFill>
        </w:rPr>
        <w:t>）货物验收合格前发生的安全事故所产生的一切费用；</w:t>
      </w:r>
    </w:p>
    <w:p w14:paraId="335FD89D">
      <w:pPr>
        <w:autoSpaceDE w:val="0"/>
        <w:autoSpaceDN w:val="0"/>
        <w:adjustRightInd w:val="0"/>
        <w:spacing w:line="360" w:lineRule="auto"/>
        <w:ind w:left="357" w:leftChars="-100" w:hanging="56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）合理利润、投标人销项税额以外的税费、中标服务费等；</w:t>
      </w:r>
    </w:p>
    <w:p w14:paraId="456AFEA0">
      <w:pPr>
        <w:autoSpaceDE w:val="0"/>
        <w:autoSpaceDN w:val="0"/>
        <w:adjustRightInd w:val="0"/>
        <w:spacing w:line="360" w:lineRule="auto"/>
        <w:ind w:left="357" w:leftChars="-100" w:hanging="56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6</w:t>
      </w:r>
      <w:r>
        <w:rPr>
          <w:rFonts w:hint="eastAsia" w:ascii="宋体" w:hAnsi="宋体" w:eastAsia="宋体" w:cs="宋体"/>
          <w:bCs/>
          <w:color w:val="000000" w:themeColor="text1"/>
          <w:szCs w:val="21"/>
          <w:highlight w:val="none"/>
          <w14:textFill>
            <w14:solidFill>
              <w14:schemeClr w14:val="tx1"/>
            </w14:solidFill>
          </w14:textFill>
        </w:rPr>
        <w:t>）法律法规、商业公认、招标文件规定由投标人承担的其他直接及间接费用。</w:t>
      </w:r>
    </w:p>
    <w:p w14:paraId="720CBB89">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11.3</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投标人根据</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000000" w:themeColor="text1"/>
          <w:highlight w:val="none"/>
          <w14:textFill>
            <w14:solidFill>
              <w14:schemeClr w14:val="tx1"/>
            </w14:solidFill>
          </w14:textFill>
        </w:rPr>
        <w:fldChar w:fldCharType="separate"/>
      </w:r>
      <w:r>
        <w:rPr>
          <w:rFonts w:hint="eastAsia" w:ascii="宋体" w:hAnsi="宋体" w:eastAsia="宋体" w:cs="Times New Roman"/>
          <w:color w:val="000000" w:themeColor="text1"/>
          <w:szCs w:val="21"/>
          <w:highlight w:val="none"/>
          <w:lang w:val="zh-CN"/>
          <w14:textFill>
            <w14:solidFill>
              <w14:schemeClr w14:val="tx1"/>
            </w14:solidFill>
          </w14:textFill>
        </w:rPr>
        <w:t>第</w:t>
      </w:r>
      <w:r>
        <w:rPr>
          <w:rFonts w:ascii="宋体" w:hAnsi="宋体" w:eastAsia="宋体" w:cs="Times New Roman"/>
          <w:color w:val="000000" w:themeColor="text1"/>
          <w:szCs w:val="21"/>
          <w:highlight w:val="none"/>
          <w:lang w:val="zh-CN"/>
          <w14:textFill>
            <w14:solidFill>
              <w14:schemeClr w14:val="tx1"/>
            </w14:solidFill>
          </w14:textFill>
        </w:rPr>
        <w:t>11.</w:t>
      </w: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款</w:t>
      </w:r>
      <w:r>
        <w:rPr>
          <w:rFonts w:hint="eastAsia" w:ascii="宋体" w:hAnsi="宋体" w:eastAsia="宋体" w:cs="Times New Roman"/>
          <w:color w:val="000000" w:themeColor="text1"/>
          <w:szCs w:val="21"/>
          <w:highlight w:val="none"/>
          <w:lang w:val="zh-CN"/>
          <w14:textFill>
            <w14:solidFill>
              <w14:schemeClr w14:val="tx1"/>
            </w14:solidFill>
          </w14:textFill>
        </w:rPr>
        <w:fldChar w:fldCharType="end"/>
      </w:r>
      <w:r>
        <w:rPr>
          <w:rFonts w:hint="eastAsia" w:ascii="宋体" w:hAnsi="宋体" w:eastAsia="宋体" w:cs="Times New Roman"/>
          <w:color w:val="000000" w:themeColor="text1"/>
          <w:szCs w:val="21"/>
          <w:highlight w:val="none"/>
          <w:lang w:val="zh-CN"/>
          <w14:textFill>
            <w14:solidFill>
              <w14:schemeClr w14:val="tx1"/>
            </w14:solidFill>
          </w14:textFill>
        </w:rPr>
        <w:t>所报的价格分项仅供评标委员会评审时使用；在任何情况下不限制投标人以不同的条件中标的权利。</w:t>
      </w:r>
    </w:p>
    <w:p w14:paraId="56313012">
      <w:pPr>
        <w:autoSpaceDE w:val="0"/>
        <w:autoSpaceDN w:val="0"/>
        <w:adjustRightInd w:val="0"/>
        <w:spacing w:line="360" w:lineRule="auto"/>
        <w:ind w:left="268" w:leftChars="-100" w:hanging="478" w:hangingChars="228"/>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11.4 在合同期间，投标报价不随国家政策或法规、标准、市场因素及采购数量的变化而进行调整</w:t>
      </w:r>
      <w:r>
        <w:rPr>
          <w:rFonts w:hint="eastAsia" w:ascii="宋体" w:hAnsi="宋体" w:eastAsia="宋体" w:cs="Times New Roman"/>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272ACE3F">
      <w:pPr>
        <w:autoSpaceDE w:val="0"/>
        <w:autoSpaceDN w:val="0"/>
        <w:adjustRightInd w:val="0"/>
        <w:spacing w:line="360" w:lineRule="auto"/>
        <w:ind w:left="357" w:leftChars="-100" w:hanging="567"/>
        <w:rPr>
          <w:rFonts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11.5 </w:t>
      </w:r>
      <w:r>
        <w:rPr>
          <w:rFonts w:hint="eastAsia" w:ascii="宋体" w:hAnsi="宋体" w:eastAsia="宋体" w:cs="Times New Roman"/>
          <w:b/>
          <w:bCs/>
          <w:color w:val="000000" w:themeColor="text1"/>
          <w:szCs w:val="21"/>
          <w:highlight w:val="none"/>
          <w:lang w:val="zh-CN"/>
          <w14:textFill>
            <w14:solidFill>
              <w14:schemeClr w14:val="tx1"/>
            </w14:solidFill>
          </w14:textFill>
        </w:rPr>
        <w:t>合同项下，招标人需要的货物及</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有关</w:t>
      </w:r>
      <w:r>
        <w:rPr>
          <w:rFonts w:hint="eastAsia" w:ascii="宋体" w:hAnsi="宋体" w:eastAsia="宋体" w:cs="Times New Roman"/>
          <w:b/>
          <w:bCs/>
          <w:color w:val="000000" w:themeColor="text1"/>
          <w:szCs w:val="21"/>
          <w:highlight w:val="none"/>
          <w:lang w:val="zh-CN"/>
          <w14:textFill>
            <w14:solidFill>
              <w14:schemeClr w14:val="tx1"/>
            </w14:solidFill>
          </w14:textFill>
        </w:rPr>
        <w:t>服务所需的费用，投标人都应计入投标报价总价。</w:t>
      </w:r>
    </w:p>
    <w:p w14:paraId="13309442">
      <w:pPr>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11.6</w:t>
      </w:r>
      <w:r>
        <w:rPr>
          <w:rFonts w:hint="eastAsia" w:ascii="宋体" w:hAnsi="宋体" w:eastAsia="宋体" w:cs="Times New Roman"/>
          <w:b/>
          <w:bCs/>
          <w:color w:val="000000" w:themeColor="text1"/>
          <w:szCs w:val="21"/>
          <w:highlight w:val="none"/>
          <w:u w:val="single"/>
          <w14:textFill>
            <w14:solidFill>
              <w14:schemeClr w14:val="tx1"/>
            </w14:solidFill>
          </w14:textFill>
        </w:rPr>
        <w:t xml:space="preserve"> </w:t>
      </w:r>
      <w:r>
        <w:rPr>
          <w:rFonts w:hint="eastAsia" w:ascii="宋体" w:hAnsi="宋体" w:eastAsia="宋体" w:cs="宋体"/>
          <w:b/>
          <w:color w:val="000000" w:themeColor="text1"/>
          <w:szCs w:val="21"/>
          <w:highlight w:val="none"/>
          <w:u w:val="single"/>
          <w:lang w:val="zh-CN"/>
          <w14:textFill>
            <w14:solidFill>
              <w14:schemeClr w14:val="tx1"/>
            </w14:solidFill>
          </w14:textFill>
        </w:rPr>
        <w:t>投标人的投标折扣系数报价不得超过1，且不能为0或负数，投标折扣系数报价最多保留小数点后两位。投标人未按招标文件要求进行投标折扣系数报价的，该投标人的投标文件将被视为无效投标。本项目不含税暂定采购预算金额为</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4,774,367.39</w:t>
      </w:r>
      <w:r>
        <w:rPr>
          <w:rFonts w:hint="eastAsia" w:ascii="宋体" w:hAnsi="宋体" w:eastAsia="宋体" w:cs="宋体"/>
          <w:b/>
          <w:color w:val="000000" w:themeColor="text1"/>
          <w:szCs w:val="21"/>
          <w:highlight w:val="none"/>
          <w:u w:val="single"/>
          <w:lang w:val="zh-CN"/>
          <w14:textFill>
            <w14:solidFill>
              <w14:schemeClr w14:val="tx1"/>
            </w14:solidFill>
          </w14:textFill>
        </w:rPr>
        <w:t>元（大写：人民币</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肆佰柒拾柒万肆仟叁佰陆拾柒元叁角玖分</w:t>
      </w:r>
      <w:r>
        <w:rPr>
          <w:rFonts w:hint="eastAsia" w:ascii="宋体" w:hAnsi="宋体" w:eastAsia="宋体" w:cs="宋体"/>
          <w:b/>
          <w:color w:val="000000" w:themeColor="text1"/>
          <w:szCs w:val="21"/>
          <w:highlight w:val="none"/>
          <w:u w:val="single"/>
          <w:lang w:val="zh-CN"/>
          <w14:textFill>
            <w14:solidFill>
              <w14:schemeClr w14:val="tx1"/>
            </w14:solidFill>
          </w14:textFill>
        </w:rPr>
        <w:t>）。</w:t>
      </w:r>
    </w:p>
    <w:p w14:paraId="2E4CB8E9">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lang w:val="zh-CN"/>
          <w14:textFill>
            <w14:solidFill>
              <w14:schemeClr w14:val="tx1"/>
            </w14:solidFill>
          </w14:textFill>
        </w:rPr>
        <w:t xml:space="preserve">     </w:t>
      </w:r>
    </w:p>
    <w:p w14:paraId="6DCD34A0">
      <w:pPr>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135" w:name="_Toc30042_WPSOffice_Level3"/>
      <w:bookmarkStart w:id="136" w:name="_Toc450662862"/>
      <w:bookmarkStart w:id="137" w:name="_Toc486167676"/>
      <w:bookmarkStart w:id="138" w:name="_Toc142508326"/>
      <w:bookmarkStart w:id="139" w:name="_Toc1422"/>
      <w:bookmarkStart w:id="140" w:name="_Toc14068"/>
      <w:bookmarkStart w:id="141" w:name="_Toc12103"/>
      <w:r>
        <w:rPr>
          <w:rFonts w:hint="eastAsia" w:ascii="宋体" w:hAnsi="宋体" w:eastAsia="宋体" w:cs="宋体"/>
          <w:b/>
          <w:color w:val="000000" w:themeColor="text1"/>
          <w:szCs w:val="21"/>
          <w:highlight w:val="none"/>
          <w:lang w:val="zh-CN"/>
          <w14:textFill>
            <w14:solidFill>
              <w14:schemeClr w14:val="tx1"/>
            </w14:solidFill>
          </w14:textFill>
        </w:rPr>
        <w:t>12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投标报价货币</w:t>
      </w:r>
      <w:bookmarkEnd w:id="135"/>
      <w:bookmarkEnd w:id="136"/>
      <w:bookmarkEnd w:id="137"/>
      <w:bookmarkEnd w:id="138"/>
      <w:bookmarkEnd w:id="139"/>
      <w:bookmarkEnd w:id="140"/>
      <w:bookmarkEnd w:id="141"/>
    </w:p>
    <w:p w14:paraId="2A88068C">
      <w:pPr>
        <w:autoSpaceDE w:val="0"/>
        <w:autoSpaceDN w:val="0"/>
        <w:adjustRightInd w:val="0"/>
        <w:spacing w:line="360" w:lineRule="auto"/>
        <w:ind w:left="265" w:leftChars="119" w:hanging="15"/>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投标</w:t>
      </w:r>
      <w:r>
        <w:rPr>
          <w:rFonts w:hint="eastAsia" w:ascii="宋体" w:hAnsi="宋体" w:eastAsia="宋体" w:cs="Times New Roman"/>
          <w:b/>
          <w:color w:val="000000" w:themeColor="text1"/>
          <w:szCs w:val="21"/>
          <w:highlight w:val="none"/>
          <w:lang w:val="zh-CN"/>
          <w14:textFill>
            <w14:solidFill>
              <w14:schemeClr w14:val="tx1"/>
            </w14:solidFill>
          </w14:textFill>
        </w:rPr>
        <w:t>报价表上的价格须以人民币报价，以其</w:t>
      </w:r>
      <w:r>
        <w:rPr>
          <w:rFonts w:hint="eastAsia" w:ascii="宋体" w:hAnsi="宋体" w:eastAsia="宋体" w:cs="Times New Roman"/>
          <w:b/>
          <w:color w:val="000000" w:themeColor="text1"/>
          <w:szCs w:val="21"/>
          <w:highlight w:val="none"/>
          <w:lang w:val="en-US" w:eastAsia="zh-CN"/>
          <w14:textFill>
            <w14:solidFill>
              <w14:schemeClr w14:val="tx1"/>
            </w14:solidFill>
          </w14:textFill>
        </w:rPr>
        <w:t>他</w:t>
      </w:r>
      <w:r>
        <w:rPr>
          <w:rFonts w:hint="eastAsia" w:ascii="宋体" w:hAnsi="宋体" w:eastAsia="宋体" w:cs="Times New Roman"/>
          <w:b/>
          <w:color w:val="000000" w:themeColor="text1"/>
          <w:szCs w:val="21"/>
          <w:highlight w:val="none"/>
          <w:lang w:val="zh-CN"/>
          <w14:textFill>
            <w14:solidFill>
              <w14:schemeClr w14:val="tx1"/>
            </w14:solidFill>
          </w14:textFill>
        </w:rPr>
        <w:t>货币标价的投标将予以拒绝</w:t>
      </w:r>
      <w:r>
        <w:rPr>
          <w:rFonts w:hint="eastAsia" w:ascii="宋体" w:hAnsi="宋体" w:eastAsia="宋体" w:cs="宋体"/>
          <w:b/>
          <w:color w:val="000000" w:themeColor="text1"/>
          <w:szCs w:val="21"/>
          <w:highlight w:val="none"/>
          <w:lang w:val="zh-CN"/>
          <w14:textFill>
            <w14:solidFill>
              <w14:schemeClr w14:val="tx1"/>
            </w14:solidFill>
          </w14:textFill>
        </w:rPr>
        <w:t>。</w:t>
      </w:r>
    </w:p>
    <w:p w14:paraId="5DE96147">
      <w:pPr>
        <w:autoSpaceDE w:val="0"/>
        <w:autoSpaceDN w:val="0"/>
        <w:adjustRightInd w:val="0"/>
        <w:spacing w:line="360" w:lineRule="auto"/>
        <w:ind w:left="265" w:leftChars="119" w:hanging="15"/>
        <w:rPr>
          <w:rFonts w:ascii="宋体" w:hAnsi="宋体" w:eastAsia="宋体" w:cs="宋体"/>
          <w:color w:val="000000" w:themeColor="text1"/>
          <w:szCs w:val="21"/>
          <w:highlight w:val="none"/>
          <w14:textFill>
            <w14:solidFill>
              <w14:schemeClr w14:val="tx1"/>
            </w14:solidFill>
          </w14:textFill>
        </w:rPr>
      </w:pPr>
    </w:p>
    <w:p w14:paraId="241C0E1A">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42" w:name="_Toc21258"/>
      <w:bookmarkStart w:id="143" w:name="_Toc142508327"/>
      <w:bookmarkStart w:id="144" w:name="_Toc25596"/>
      <w:bookmarkStart w:id="145" w:name="_Toc201"/>
      <w:bookmarkStart w:id="146" w:name="_Toc486167677"/>
      <w:bookmarkStart w:id="147" w:name="_Toc450662863"/>
      <w:bookmarkStart w:id="148" w:name="_Toc9411_WPSOffice_Level3"/>
      <w:r>
        <w:rPr>
          <w:rFonts w:hint="eastAsia" w:ascii="宋体" w:hAnsi="宋体" w:eastAsia="宋体" w:cs="宋体"/>
          <w:color w:val="000000" w:themeColor="text1"/>
          <w:szCs w:val="21"/>
          <w:highlight w:val="none"/>
          <w:lang w:val="zh-CN"/>
          <w14:textFill>
            <w14:solidFill>
              <w14:schemeClr w14:val="tx1"/>
            </w14:solidFill>
          </w14:textFill>
        </w:rPr>
        <w:t>13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证明投标人的合格性和资格的声明文件</w:t>
      </w:r>
      <w:bookmarkEnd w:id="142"/>
      <w:bookmarkEnd w:id="143"/>
      <w:bookmarkEnd w:id="144"/>
      <w:bookmarkEnd w:id="145"/>
      <w:bookmarkEnd w:id="146"/>
      <w:bookmarkEnd w:id="147"/>
      <w:bookmarkEnd w:id="148"/>
    </w:p>
    <w:p w14:paraId="606C9531">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根据第2条、第13.2款规定，投标人须提交证明其有资格进行投标和有能力履行合同的文件，作为投标文件的一部分。</w:t>
      </w:r>
    </w:p>
    <w:p w14:paraId="42CF78FE">
      <w:pPr>
        <w:autoSpaceDE w:val="0"/>
        <w:autoSpaceDN w:val="0"/>
        <w:adjustRightInd w:val="0"/>
        <w:spacing w:line="360" w:lineRule="auto"/>
        <w:ind w:left="357" w:leftChars="-100" w:hanging="567"/>
        <w:rPr>
          <w:rFonts w:ascii="宋体" w:hAnsi="宋体" w:eastAsia="宋体" w:cs="宋体"/>
          <w:color w:val="000000" w:themeColor="text1"/>
          <w:szCs w:val="21"/>
          <w:highlight w:val="none"/>
          <w:vertAlign w:val="superscript"/>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投标人提供的履行合同的资格声明文件应符合：</w:t>
      </w:r>
    </w:p>
    <w:p w14:paraId="1095EF8D">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（1）符合《中华人民共和国招标投标法》《中华人民共和国招标投标法实施条例》投标人应当具备的条件；</w:t>
      </w:r>
    </w:p>
    <w:p w14:paraId="4C6AB66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（2）投标人具有履行本项目所必须的证明文件；</w:t>
      </w:r>
    </w:p>
    <w:p w14:paraId="42AD15C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（3）投标人证明其相应资格</w:t>
      </w:r>
      <w:r>
        <w:rPr>
          <w:rFonts w:hint="eastAsia" w:ascii="宋体" w:hAnsi="宋体" w:eastAsia="宋体" w:cs="Times New Roman"/>
          <w:color w:val="000000" w:themeColor="text1"/>
          <w:szCs w:val="21"/>
          <w:highlight w:val="none"/>
          <w:lang w:val="zh-CN"/>
          <w14:textFill>
            <w14:solidFill>
              <w14:schemeClr w14:val="tx1"/>
            </w14:solidFill>
          </w14:textFill>
        </w:rPr>
        <w:t>符合或</w:t>
      </w:r>
      <w:r>
        <w:rPr>
          <w:rFonts w:hint="eastAsia" w:ascii="宋体" w:hAnsi="宋体" w:eastAsia="宋体" w:cs="宋体"/>
          <w:color w:val="000000" w:themeColor="text1"/>
          <w:szCs w:val="21"/>
          <w:highlight w:val="none"/>
          <w:lang w:val="zh-CN"/>
          <w14:textFill>
            <w14:solidFill>
              <w14:schemeClr w14:val="tx1"/>
            </w14:solidFill>
          </w14:textFill>
        </w:rPr>
        <w:t>优于招标文件要求的其它文件。</w:t>
      </w:r>
    </w:p>
    <w:p w14:paraId="5FCED1C1">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000000" w:themeColor="text1"/>
          <w:szCs w:val="21"/>
          <w:highlight w:val="none"/>
          <w:lang w:val="zh-CN"/>
          <w14:textFill>
            <w14:solidFill>
              <w14:schemeClr w14:val="tx1"/>
            </w14:solidFill>
          </w14:textFill>
        </w:rPr>
        <w:t>。</w:t>
      </w:r>
    </w:p>
    <w:p w14:paraId="7ED6B701">
      <w:pPr>
        <w:autoSpaceDE w:val="0"/>
        <w:autoSpaceDN w:val="0"/>
        <w:adjustRightInd w:val="0"/>
        <w:spacing w:line="360" w:lineRule="auto"/>
        <w:ind w:left="560" w:leftChars="128" w:hanging="291" w:hangingChars="139"/>
        <w:rPr>
          <w:rFonts w:ascii="宋体" w:hAnsi="宋体" w:eastAsia="宋体" w:cs="宋体"/>
          <w:color w:val="000000" w:themeColor="text1"/>
          <w:szCs w:val="21"/>
          <w:highlight w:val="none"/>
          <w14:textFill>
            <w14:solidFill>
              <w14:schemeClr w14:val="tx1"/>
            </w14:solidFill>
          </w14:textFill>
        </w:rPr>
      </w:pPr>
    </w:p>
    <w:p w14:paraId="15237A2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49" w:name="_Toc26154"/>
      <w:bookmarkStart w:id="150" w:name="_Toc32369"/>
      <w:bookmarkStart w:id="151" w:name="_Toc142508328"/>
      <w:bookmarkStart w:id="152" w:name="_Toc486167678"/>
      <w:bookmarkStart w:id="153" w:name="_Toc30441"/>
      <w:bookmarkStart w:id="154" w:name="_Toc27771_WPSOffice_Level3"/>
      <w:bookmarkStart w:id="155" w:name="_Toc450662864"/>
      <w:r>
        <w:rPr>
          <w:rFonts w:hint="eastAsia" w:ascii="宋体" w:hAnsi="宋体" w:eastAsia="宋体" w:cs="宋体"/>
          <w:color w:val="000000" w:themeColor="text1"/>
          <w:szCs w:val="21"/>
          <w:highlight w:val="none"/>
          <w:lang w:val="zh-CN"/>
          <w14:textFill>
            <w14:solidFill>
              <w14:schemeClr w14:val="tx1"/>
            </w14:solidFill>
          </w14:textFill>
        </w:rPr>
        <w:t>14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证明货物的合格性并符合招标文件规定的声明文件</w:t>
      </w:r>
      <w:bookmarkEnd w:id="149"/>
      <w:bookmarkEnd w:id="150"/>
      <w:bookmarkEnd w:id="151"/>
      <w:bookmarkEnd w:id="152"/>
      <w:bookmarkEnd w:id="153"/>
      <w:bookmarkEnd w:id="154"/>
      <w:bookmarkEnd w:id="155"/>
    </w:p>
    <w:p w14:paraId="4E08E76B">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w:t>
      </w:r>
      <w:r>
        <w:rPr>
          <w:rFonts w:hint="eastAsia" w:ascii="宋体" w:hAnsi="宋体" w:eastAsia="宋体" w:cs="宋体"/>
          <w:color w:val="000000" w:themeColor="text1"/>
          <w:kern w:val="0"/>
          <w:szCs w:val="21"/>
          <w:highlight w:val="none"/>
          <w14:textFill>
            <w14:solidFill>
              <w14:schemeClr w14:val="tx1"/>
            </w14:solidFill>
          </w14:textFill>
        </w:rPr>
        <w:t>第9</w:t>
      </w:r>
      <w:r>
        <w:rPr>
          <w:rFonts w:hint="eastAsia" w:ascii="宋体" w:hAnsi="宋体" w:eastAsia="宋体" w:cs="宋体"/>
          <w:color w:val="000000" w:themeColor="text1"/>
          <w:szCs w:val="21"/>
          <w:highlight w:val="none"/>
          <w:lang w:val="zh-CN"/>
          <w14:textFill>
            <w14:solidFill>
              <w14:schemeClr w14:val="tx1"/>
            </w14:solidFill>
          </w14:textFill>
        </w:rPr>
        <w:t>条规定，投标人须提交证明其拟供货物的合格性并符合招标文件规定的声明文件，作为投标文件的一部分。</w:t>
      </w:r>
    </w:p>
    <w:p w14:paraId="61C4FCF7">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14.2  证明</w:t>
      </w:r>
      <w:r>
        <w:rPr>
          <w:rFonts w:hint="eastAsia" w:ascii="宋体" w:hAnsi="宋体" w:eastAsia="宋体" w:cs="宋体"/>
          <w:color w:val="000000" w:themeColor="text1"/>
          <w:kern w:val="0"/>
          <w:szCs w:val="21"/>
          <w:highlight w:val="none"/>
          <w14:textFill>
            <w14:solidFill>
              <w14:schemeClr w14:val="tx1"/>
            </w14:solidFill>
          </w14:textFill>
        </w:rPr>
        <w:t>货物及有关服务</w:t>
      </w:r>
      <w:r>
        <w:rPr>
          <w:rFonts w:hint="eastAsia" w:ascii="宋体" w:hAnsi="宋体" w:eastAsia="宋体" w:cs="宋体"/>
          <w:color w:val="000000" w:themeColor="text1"/>
          <w:szCs w:val="21"/>
          <w:highlight w:val="none"/>
          <w:lang w:val="zh-CN"/>
          <w14:textFill>
            <w14:solidFill>
              <w14:schemeClr w14:val="tx1"/>
            </w14:solidFill>
          </w14:textFill>
        </w:rPr>
        <w:t>与招标文件的要求相一致的文件可以是文字资料、图纸和数据资料。</w:t>
      </w:r>
    </w:p>
    <w:p w14:paraId="0C35A3A6">
      <w:pPr>
        <w:autoSpaceDE w:val="0"/>
        <w:autoSpaceDN w:val="0"/>
        <w:adjustRightInd w:val="0"/>
        <w:spacing w:line="360" w:lineRule="auto"/>
        <w:ind w:left="317" w:leftChars="-100" w:hanging="527" w:hangingChars="25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14.3 </w:t>
      </w:r>
      <w:r>
        <w:rPr>
          <w:rFonts w:hint="eastAsia" w:ascii="宋体" w:hAnsi="宋体" w:eastAsia="宋体" w:cs="宋体"/>
          <w:b/>
          <w:color w:val="000000" w:themeColor="text1"/>
          <w:szCs w:val="21"/>
          <w:highlight w:val="none"/>
          <w:lang w:val="zh-CN"/>
          <w14:textFill>
            <w14:solidFill>
              <w14:schemeClr w14:val="tx1"/>
            </w14:solidFill>
          </w14:textFill>
        </w:rPr>
        <w:t>为说明第14.2款的规定，</w:t>
      </w:r>
      <w:r>
        <w:rPr>
          <w:rFonts w:hint="eastAsia" w:ascii="宋体" w:hAnsi="宋体" w:eastAsia="宋体" w:cs="Times New Roman"/>
          <w:b/>
          <w:color w:val="000000" w:themeColor="text1"/>
          <w:szCs w:val="21"/>
          <w:highlight w:val="none"/>
          <w:lang w:val="zh-CN"/>
          <w14:textFill>
            <w14:solidFill>
              <w14:schemeClr w14:val="tx1"/>
            </w14:solidFill>
          </w14:textFill>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000000" w:themeColor="text1"/>
          <w:szCs w:val="21"/>
          <w:highlight w:val="none"/>
          <w:lang w:val="zh-CN"/>
          <w14:textFill>
            <w14:solidFill>
              <w14:schemeClr w14:val="tx1"/>
            </w14:solidFill>
          </w14:textFill>
        </w:rPr>
        <w:t>凡标有“</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szCs w:val="21"/>
          <w:highlight w:val="none"/>
          <w:lang w:val="zh-CN"/>
          <w14:textFill>
            <w14:solidFill>
              <w14:schemeClr w14:val="tx1"/>
            </w14:solidFill>
          </w14:textFill>
        </w:rPr>
        <w:t>人</w:t>
      </w:r>
      <w:r>
        <w:rPr>
          <w:rFonts w:ascii="宋体" w:hAnsi="宋体" w:eastAsia="宋体" w:cs="Times New Roman"/>
          <w:b/>
          <w:color w:val="000000" w:themeColor="text1"/>
          <w:szCs w:val="21"/>
          <w:highlight w:val="none"/>
          <w:lang w:val="zh-CN"/>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否则若有一项带“</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”的指标未响应或不满足，将按</w:t>
      </w:r>
      <w:r>
        <w:rPr>
          <w:rFonts w:hint="eastAsia" w:ascii="宋体" w:hAnsi="宋体" w:eastAsia="宋体" w:cs="Times New Roman"/>
          <w:b/>
          <w:color w:val="000000" w:themeColor="text1"/>
          <w:szCs w:val="21"/>
          <w:highlight w:val="none"/>
          <w:lang w:val="zh-CN"/>
          <w14:textFill>
            <w14:solidFill>
              <w14:schemeClr w14:val="tx1"/>
            </w14:solidFill>
          </w14:textFill>
        </w:rPr>
        <w:t>无效投标</w:t>
      </w:r>
      <w:r>
        <w:rPr>
          <w:rFonts w:ascii="宋体" w:hAnsi="宋体" w:eastAsia="宋体" w:cs="Times New Roman"/>
          <w:b/>
          <w:color w:val="000000" w:themeColor="text1"/>
          <w:szCs w:val="21"/>
          <w:highlight w:val="none"/>
          <w:lang w:val="zh-CN"/>
          <w14:textFill>
            <w14:solidFill>
              <w14:schemeClr w14:val="tx1"/>
            </w14:solidFill>
          </w14:textFill>
        </w:rPr>
        <w:t>处理</w:t>
      </w:r>
      <w:r>
        <w:rPr>
          <w:rFonts w:hint="eastAsia" w:ascii="宋体" w:hAnsi="宋体" w:eastAsia="宋体" w:cs="宋体"/>
          <w:b/>
          <w:color w:val="000000" w:themeColor="text1"/>
          <w:szCs w:val="21"/>
          <w:highlight w:val="none"/>
          <w:lang w:val="zh-CN"/>
          <w14:textFill>
            <w14:solidFill>
              <w14:schemeClr w14:val="tx1"/>
            </w14:solidFill>
          </w14:textFill>
        </w:rPr>
        <w:t>。</w:t>
      </w:r>
    </w:p>
    <w:p w14:paraId="57E50475">
      <w:pPr>
        <w:autoSpaceDE w:val="0"/>
        <w:autoSpaceDN w:val="0"/>
        <w:adjustRightInd w:val="0"/>
        <w:spacing w:line="360" w:lineRule="auto"/>
        <w:ind w:left="392" w:leftChars="-100" w:hanging="602" w:hangingChars="251"/>
        <w:rPr>
          <w:rFonts w:ascii="宋体" w:hAnsi="宋体" w:eastAsia="宋体" w:cs="Times New Roman"/>
          <w:color w:val="000000" w:themeColor="text1"/>
          <w:kern w:val="0"/>
          <w:sz w:val="24"/>
          <w:szCs w:val="24"/>
          <w:highlight w:val="none"/>
          <w14:textFill>
            <w14:solidFill>
              <w14:schemeClr w14:val="tx1"/>
            </w14:solidFill>
          </w14:textFill>
        </w:rPr>
      </w:pPr>
    </w:p>
    <w:p w14:paraId="1873DC7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56" w:name="_Toc18718"/>
      <w:bookmarkStart w:id="157" w:name="_Toc24774"/>
      <w:bookmarkStart w:id="158" w:name="_Toc4163"/>
      <w:bookmarkStart w:id="159" w:name="_Toc5356_WPSOffice_Level3"/>
      <w:bookmarkStart w:id="160" w:name="_Toc486167679"/>
      <w:bookmarkStart w:id="161" w:name="_Toc142508329"/>
      <w:r>
        <w:rPr>
          <w:rFonts w:hint="eastAsia" w:ascii="宋体" w:hAnsi="宋体" w:eastAsia="宋体" w:cs="宋体"/>
          <w:color w:val="000000" w:themeColor="text1"/>
          <w:szCs w:val="21"/>
          <w:highlight w:val="none"/>
          <w:lang w:val="zh-CN"/>
          <w14:textFill>
            <w14:solidFill>
              <w14:schemeClr w14:val="tx1"/>
            </w14:solidFill>
          </w14:textFill>
        </w:rPr>
        <w:t>15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投标保证金</w:t>
      </w:r>
      <w:bookmarkEnd w:id="156"/>
      <w:bookmarkEnd w:id="157"/>
      <w:bookmarkEnd w:id="158"/>
      <w:bookmarkEnd w:id="159"/>
      <w:bookmarkEnd w:id="160"/>
      <w:bookmarkEnd w:id="161"/>
    </w:p>
    <w:p w14:paraId="2D5BFC80">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15.1</w:t>
      </w:r>
      <w:r>
        <w:rPr>
          <w:rFonts w:ascii="宋体" w:hAnsi="宋体" w:eastAsia="宋体" w:cs="宋体"/>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u w:val="single"/>
          <w:lang w:val="zh-CN"/>
          <w14:textFill>
            <w14:solidFill>
              <w14:schemeClr w14:val="tx1"/>
            </w14:solidFill>
          </w14:textFill>
        </w:rPr>
        <w:t>投标人投标时须附有投标保证金</w:t>
      </w:r>
      <w:r>
        <w:rPr>
          <w:rFonts w:hint="eastAsia" w:ascii="宋体" w:hAnsi="宋体" w:eastAsia="宋体" w:cs="宋体"/>
          <w:b/>
          <w:bCs/>
          <w:color w:val="000000" w:themeColor="text1"/>
          <w:kern w:val="0"/>
          <w:szCs w:val="21"/>
          <w:highlight w:val="none"/>
          <w:u w:val="single"/>
          <w:lang w:val="en-US" w:eastAsia="zh-CN"/>
          <w14:textFill>
            <w14:solidFill>
              <w14:schemeClr w14:val="tx1"/>
            </w14:solidFill>
          </w14:textFill>
        </w:rPr>
        <w:t>95,000.00</w:t>
      </w:r>
      <w:r>
        <w:rPr>
          <w:rFonts w:hint="eastAsia" w:ascii="宋体" w:hAnsi="宋体" w:eastAsia="宋体" w:cs="宋体"/>
          <w:b/>
          <w:color w:val="000000" w:themeColor="text1"/>
          <w:kern w:val="0"/>
          <w:szCs w:val="21"/>
          <w:highlight w:val="none"/>
          <w:u w:val="single"/>
          <w14:textFill>
            <w14:solidFill>
              <w14:schemeClr w14:val="tx1"/>
            </w14:solidFill>
          </w14:textFill>
        </w:rPr>
        <w:t>元（大写：人民币</w:t>
      </w:r>
      <w:r>
        <w:rPr>
          <w:rFonts w:hint="eastAsia" w:ascii="宋体" w:hAnsi="宋体" w:eastAsia="宋体" w:cs="宋体"/>
          <w:b/>
          <w:color w:val="000000" w:themeColor="text1"/>
          <w:kern w:val="0"/>
          <w:szCs w:val="21"/>
          <w:highlight w:val="none"/>
          <w:u w:val="single"/>
          <w:lang w:val="en-US" w:eastAsia="zh-CN"/>
          <w14:textFill>
            <w14:solidFill>
              <w14:schemeClr w14:val="tx1"/>
            </w14:solidFill>
          </w14:textFill>
        </w:rPr>
        <w:t>玖万伍仟元整</w:t>
      </w:r>
      <w:r>
        <w:rPr>
          <w:rFonts w:hint="eastAsia" w:ascii="宋体" w:hAnsi="宋体" w:eastAsia="宋体" w:cs="宋体"/>
          <w:b/>
          <w:color w:val="000000" w:themeColor="text1"/>
          <w:kern w:val="0"/>
          <w:szCs w:val="21"/>
          <w:highlight w:val="none"/>
          <w:u w:val="single"/>
          <w14:textFill>
            <w14:solidFill>
              <w14:schemeClr w14:val="tx1"/>
            </w14:solidFill>
          </w14:textFill>
        </w:rPr>
        <w:t>）</w:t>
      </w:r>
      <w:r>
        <w:rPr>
          <w:rFonts w:hint="eastAsia" w:ascii="宋体" w:hAnsi="宋体" w:eastAsia="宋体" w:cs="宋体"/>
          <w:b/>
          <w:color w:val="000000" w:themeColor="text1"/>
          <w:kern w:val="0"/>
          <w:szCs w:val="21"/>
          <w:highlight w:val="none"/>
          <w14:textFill>
            <w14:solidFill>
              <w14:schemeClr w14:val="tx1"/>
            </w14:solidFill>
          </w14:textFill>
        </w:rPr>
        <w:t>。</w:t>
      </w:r>
    </w:p>
    <w:p w14:paraId="13EBC8EA">
      <w:pPr>
        <w:spacing w:line="360" w:lineRule="auto"/>
        <w:ind w:left="315" w:leftChars="-100" w:hanging="525" w:hangingChars="25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 xml:space="preserve">15.2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应按要求提交投标保证金，</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000000" w:themeColor="text1"/>
          <w:kern w:val="0"/>
          <w:szCs w:val="21"/>
          <w:highlight w:val="none"/>
          <w14:textFill>
            <w14:solidFill>
              <w14:schemeClr w14:val="tx1"/>
            </w14:solidFill>
          </w14:textFill>
        </w:rPr>
        <w:t>。</w:t>
      </w:r>
    </w:p>
    <w:p w14:paraId="269A0AD5">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15.3 提交保证金时应符合下列规定：</w:t>
      </w:r>
    </w:p>
    <w:p w14:paraId="24C5C1C7">
      <w:pPr>
        <w:spacing w:line="360" w:lineRule="auto"/>
        <w:ind w:firstLine="777" w:firstLineChars="3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必须通过本单位基本账户采用银行转账、电汇方式提交，且在递交投标文件截止时间前</w:t>
      </w:r>
      <w:r>
        <w:rPr>
          <w:rFonts w:hint="eastAsia" w:ascii="宋体" w:hAnsi="宋体" w:eastAsia="宋体" w:cs="Times New Roman"/>
          <w:color w:val="000000" w:themeColor="text1"/>
          <w:kern w:val="0"/>
          <w:szCs w:val="21"/>
          <w:highlight w:val="none"/>
          <w14:textFill>
            <w14:solidFill>
              <w14:schemeClr w14:val="tx1"/>
            </w14:solidFill>
          </w14:textFill>
        </w:rPr>
        <w:t>到达</w:t>
      </w:r>
      <w:r>
        <w:rPr>
          <w:rFonts w:hint="eastAsia" w:ascii="宋体" w:hAnsi="宋体" w:eastAsia="宋体" w:cs="宋体"/>
          <w:color w:val="000000" w:themeColor="text1"/>
          <w:kern w:val="0"/>
          <w:szCs w:val="21"/>
          <w:highlight w:val="none"/>
          <w14:textFill>
            <w14:solidFill>
              <w14:schemeClr w14:val="tx1"/>
            </w14:solidFill>
          </w14:textFill>
        </w:rPr>
        <w:t>以下账户上。</w:t>
      </w:r>
    </w:p>
    <w:p w14:paraId="6E658DAF">
      <w:pPr>
        <w:autoSpaceDE w:val="0"/>
        <w:autoSpaceDN w:val="0"/>
        <w:adjustRightInd w:val="0"/>
        <w:spacing w:line="360" w:lineRule="auto"/>
        <w:ind w:left="225" w:leftChars="107" w:firstLine="489" w:firstLineChars="233"/>
        <w:jc w:val="left"/>
        <w:rPr>
          <w:rFonts w:hint="eastAsia" w:ascii="宋体" w:hAnsi="宋体" w:eastAsia="宋体" w:cs="Times New Roman"/>
          <w:color w:val="000000" w:themeColor="text1"/>
          <w:kern w:val="0"/>
          <w:szCs w:val="21"/>
          <w:highlight w:val="none"/>
          <w:lang w:val="zh-CN" w:eastAsia="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开户名称：东莞市水务环境投资控股集团净水有限公司</w:t>
      </w:r>
    </w:p>
    <w:p w14:paraId="0BC199B2">
      <w:pPr>
        <w:autoSpaceDE w:val="0"/>
        <w:autoSpaceDN w:val="0"/>
        <w:adjustRightInd w:val="0"/>
        <w:spacing w:line="360" w:lineRule="auto"/>
        <w:ind w:left="225" w:leftChars="107" w:firstLine="489" w:firstLineChars="233"/>
        <w:jc w:val="left"/>
        <w:rPr>
          <w:rFonts w:ascii="宋体" w:hAnsi="宋体" w:eastAsia="宋体" w:cs="Times New Roman"/>
          <w:b w:val="0"/>
          <w:bCs w:val="0"/>
          <w:color w:val="000000" w:themeColor="text1"/>
          <w:kern w:val="0"/>
          <w:szCs w:val="21"/>
          <w:highlight w:val="none"/>
          <w:u w:val="none"/>
          <w:lang w:val="zh-CN"/>
          <w14:textFill>
            <w14:solidFill>
              <w14:schemeClr w14:val="tx1"/>
            </w14:solidFill>
          </w14:textFill>
        </w:rPr>
      </w:pPr>
      <w:r>
        <w:rPr>
          <w:rFonts w:hint="eastAsia" w:ascii="宋体" w:hAnsi="宋体" w:eastAsia="宋体" w:cs="Times New Roman"/>
          <w:b w:val="0"/>
          <w:bCs w:val="0"/>
          <w:color w:val="000000" w:themeColor="text1"/>
          <w:kern w:val="0"/>
          <w:szCs w:val="21"/>
          <w:highlight w:val="none"/>
          <w:u w:val="none"/>
          <w:lang w:val="zh-CN"/>
          <w14:textFill>
            <w14:solidFill>
              <w14:schemeClr w14:val="tx1"/>
            </w14:solidFill>
          </w14:textFill>
        </w:rPr>
        <w:t>开户银行：东莞银行股份有限公司东莞分行营业部</w:t>
      </w:r>
    </w:p>
    <w:p w14:paraId="2FDB508B">
      <w:pPr>
        <w:autoSpaceDE w:val="0"/>
        <w:autoSpaceDN w:val="0"/>
        <w:adjustRightInd w:val="0"/>
        <w:spacing w:line="360" w:lineRule="auto"/>
        <w:ind w:left="225" w:leftChars="107" w:firstLine="489" w:firstLineChars="233"/>
        <w:jc w:val="left"/>
        <w:rPr>
          <w:rFonts w:ascii="宋体" w:hAnsi="宋体" w:eastAsia="宋体" w:cs="Times New Roman"/>
          <w:b w:val="0"/>
          <w:bCs w:val="0"/>
          <w:color w:val="000000" w:themeColor="text1"/>
          <w:kern w:val="0"/>
          <w:szCs w:val="21"/>
          <w:highlight w:val="none"/>
          <w:u w:val="none"/>
          <w14:textFill>
            <w14:solidFill>
              <w14:schemeClr w14:val="tx1"/>
            </w14:solidFill>
          </w14:textFill>
        </w:rPr>
      </w:pPr>
      <w:r>
        <w:rPr>
          <w:rFonts w:hint="eastAsia" w:ascii="宋体" w:hAnsi="宋体" w:eastAsia="宋体" w:cs="Times New Roman"/>
          <w:b w:val="0"/>
          <w:bCs w:val="0"/>
          <w:color w:val="000000" w:themeColor="text1"/>
          <w:kern w:val="0"/>
          <w:szCs w:val="21"/>
          <w:highlight w:val="none"/>
          <w:u w:val="none"/>
          <w:lang w:val="zh-CN"/>
          <w14:textFill>
            <w14:solidFill>
              <w14:schemeClr w14:val="tx1"/>
            </w14:solidFill>
          </w14:textFill>
        </w:rPr>
        <w:t>银行账号：</w:t>
      </w:r>
      <w:r>
        <w:rPr>
          <w:rFonts w:hint="eastAsia" w:ascii="宋体" w:hAnsi="宋体" w:eastAsia="宋体" w:cs="Times New Roman"/>
          <w:b w:val="0"/>
          <w:bCs w:val="0"/>
          <w:color w:val="000000" w:themeColor="text1"/>
          <w:kern w:val="0"/>
          <w:szCs w:val="21"/>
          <w:highlight w:val="none"/>
          <w:u w:val="none"/>
          <w14:textFill>
            <w14:solidFill>
              <w14:schemeClr w14:val="tx1"/>
            </w14:solidFill>
          </w14:textFill>
        </w:rPr>
        <w:t>540008801002628</w:t>
      </w:r>
    </w:p>
    <w:p w14:paraId="5263611D">
      <w:pPr>
        <w:spacing w:line="360" w:lineRule="auto"/>
        <w:ind w:left="210" w:leftChars="100" w:firstLine="211" w:firstLineChars="1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u w:val="single"/>
          <w14:textFill>
            <w14:solidFill>
              <w14:schemeClr w14:val="tx1"/>
            </w14:solidFill>
          </w14:textFill>
        </w:rPr>
        <w:t>投标保证金未按规定时间到达指定账户或提交金额不足的，将被视为无效投标保证金</w:t>
      </w:r>
      <w:r>
        <w:rPr>
          <w:rFonts w:hint="eastAsia" w:ascii="宋体" w:hAnsi="宋体" w:eastAsia="宋体" w:cs="宋体"/>
          <w:b/>
          <w:color w:val="000000" w:themeColor="text1"/>
          <w:kern w:val="0"/>
          <w:szCs w:val="21"/>
          <w:highlight w:val="none"/>
          <w14:textFill>
            <w14:solidFill>
              <w14:schemeClr w14:val="tx1"/>
            </w14:solidFill>
          </w14:textFill>
        </w:rPr>
        <w:t>。</w:t>
      </w:r>
    </w:p>
    <w:p w14:paraId="30FAFBF0">
      <w:pPr>
        <w:autoSpaceDE w:val="0"/>
        <w:autoSpaceDN w:val="0"/>
        <w:adjustRightInd w:val="0"/>
        <w:spacing w:line="360" w:lineRule="auto"/>
        <w:ind w:left="357" w:leftChars="-100" w:hanging="567" w:hangingChars="270"/>
        <w:jc w:val="left"/>
        <w:rPr>
          <w:rFonts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15.4</w:t>
      </w:r>
      <w:r>
        <w:rPr>
          <w:rFonts w:ascii="宋体" w:hAnsi="宋体" w:eastAsia="宋体" w:cs="宋体"/>
          <w:bCs/>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kern w:val="0"/>
          <w:szCs w:val="24"/>
          <w:highlight w:val="none"/>
          <w:u w:val="single"/>
          <w14:textFill>
            <w14:solidFill>
              <w14:schemeClr w14:val="tx1"/>
            </w14:solidFill>
          </w14:textFill>
        </w:rPr>
        <w:t>任何未按第15.1款、第15.2款、第15.3款规定提交投标保证金的投标，将被视为无效投标</w:t>
      </w:r>
      <w:r>
        <w:rPr>
          <w:rFonts w:hint="eastAsia" w:ascii="宋体" w:hAnsi="宋体" w:eastAsia="宋体" w:cs="宋体"/>
          <w:b/>
          <w:color w:val="000000" w:themeColor="text1"/>
          <w:kern w:val="0"/>
          <w:szCs w:val="24"/>
          <w:highlight w:val="none"/>
          <w14:textFill>
            <w14:solidFill>
              <w14:schemeClr w14:val="tx1"/>
            </w14:solidFill>
          </w14:textFill>
        </w:rPr>
        <w:t>。</w:t>
      </w:r>
    </w:p>
    <w:p w14:paraId="4D36325C">
      <w:pPr>
        <w:autoSpaceDE/>
        <w:autoSpaceDN/>
        <w:adjustRightInd w:val="0"/>
        <w:spacing w:line="360" w:lineRule="auto"/>
        <w:ind w:left="315" w:leftChars="150" w:firstLine="0" w:firstLineChars="0"/>
        <w:jc w:val="left"/>
        <w:rPr>
          <w:rFonts w:hint="eastAsia" w:ascii="宋体" w:hAnsi="宋体" w:eastAsia="宋体" w:cs="宋体"/>
          <w:b w:val="0"/>
          <w:color w:val="000000" w:themeColor="text1"/>
          <w:kern w:val="2"/>
          <w:szCs w:val="21"/>
          <w:highlight w:val="none"/>
          <w:lang w:val="zh-CN"/>
          <w14:textFill>
            <w14:solidFill>
              <w14:schemeClr w14:val="tx1"/>
            </w14:solidFill>
          </w14:textFill>
        </w:rPr>
      </w:pPr>
      <w:r>
        <w:rPr>
          <w:rFonts w:hint="eastAsia" w:ascii="宋体" w:hAnsi="宋体" w:eastAsia="宋体" w:cs="宋体"/>
          <w:b w:val="0"/>
          <w:color w:val="000000" w:themeColor="text1"/>
          <w:kern w:val="2"/>
          <w:szCs w:val="21"/>
          <w:highlight w:val="none"/>
          <w:lang w:val="zh-CN"/>
          <w14:textFill>
            <w14:solidFill>
              <w14:schemeClr w14:val="tx1"/>
            </w14:solidFill>
          </w14:textFill>
        </w:rPr>
        <w:t>为更快捷将投标保证金关联到本项目，</w:t>
      </w:r>
      <w:r>
        <w:rPr>
          <w:rFonts w:hint="eastAsia" w:ascii="宋体" w:hAnsi="宋体" w:eastAsia="宋体" w:cs="宋体"/>
          <w:b/>
          <w:bCs/>
          <w:color w:val="000000" w:themeColor="text1"/>
          <w:kern w:val="2"/>
          <w:szCs w:val="21"/>
          <w:highlight w:val="none"/>
          <w:lang w:val="zh-CN"/>
          <w14:textFill>
            <w14:solidFill>
              <w14:schemeClr w14:val="tx1"/>
            </w14:solidFill>
          </w14:textFill>
        </w:rPr>
        <w:t>投标人应在转账时注明招标编号</w:t>
      </w:r>
      <w:r>
        <w:rPr>
          <w:rFonts w:hint="eastAsia" w:ascii="宋体" w:hAnsi="宋体" w:eastAsia="宋体" w:cs="宋体"/>
          <w:b w:val="0"/>
          <w:color w:val="000000" w:themeColor="text1"/>
          <w:kern w:val="2"/>
          <w:szCs w:val="21"/>
          <w:highlight w:val="none"/>
          <w:lang w:val="zh-CN"/>
          <w14:textFill>
            <w14:solidFill>
              <w14:schemeClr w14:val="tx1"/>
            </w14:solidFill>
          </w14:textFill>
        </w:rPr>
        <w:t>，否则因此导致的无法识别投标保证金对应项目等不利后果将由投标人承担。</w:t>
      </w:r>
    </w:p>
    <w:p w14:paraId="19A42B38">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15.5 </w:t>
      </w:r>
      <w:r>
        <w:rPr>
          <w:rFonts w:hint="eastAsia" w:ascii="宋体" w:hAnsi="宋体" w:eastAsia="宋体" w:cs="宋体"/>
          <w:color w:val="000000" w:themeColor="text1"/>
          <w:kern w:val="0"/>
          <w:szCs w:val="21"/>
          <w:highlight w:val="none"/>
          <w14:textFill>
            <w14:solidFill>
              <w14:schemeClr w14:val="tx1"/>
            </w14:solidFill>
          </w14:textFill>
        </w:rPr>
        <w:t>未</w:t>
      </w:r>
      <w:r>
        <w:rPr>
          <w:rFonts w:hint="eastAsia" w:ascii="宋体" w:hAnsi="宋体" w:eastAsia="宋体" w:cs="宋体"/>
          <w:color w:val="000000" w:themeColor="text1"/>
          <w:szCs w:val="21"/>
          <w:highlight w:val="none"/>
          <w:lang w:val="zh-CN"/>
          <w14:textFill>
            <w14:solidFill>
              <w14:schemeClr w14:val="tx1"/>
            </w14:solidFill>
          </w14:textFill>
        </w:rPr>
        <w:t>中标</w:t>
      </w:r>
      <w:r>
        <w:rPr>
          <w:rFonts w:hint="eastAsia" w:ascii="宋体" w:hAnsi="宋体" w:eastAsia="宋体" w:cs="宋体"/>
          <w:color w:val="000000" w:themeColor="text1"/>
          <w:kern w:val="0"/>
          <w:szCs w:val="21"/>
          <w:highlight w:val="none"/>
          <w14:textFill>
            <w14:solidFill>
              <w14:schemeClr w14:val="tx1"/>
            </w14:solidFill>
          </w14:textFill>
        </w:rPr>
        <w:t>的投标人的投标保证金，最迟应</w:t>
      </w:r>
      <w:r>
        <w:rPr>
          <w:rFonts w:hint="eastAsia" w:ascii="宋体" w:hAnsi="宋体" w:eastAsia="宋体" w:cs="宋体"/>
          <w:color w:val="000000" w:themeColor="text1"/>
          <w:kern w:val="0"/>
          <w:szCs w:val="21"/>
          <w:highlight w:val="none"/>
          <w:lang w:eastAsia="zh-CN"/>
          <w14:textFill>
            <w14:solidFill>
              <w14:schemeClr w14:val="tx1"/>
            </w14:solidFill>
          </w14:textFill>
        </w:rPr>
        <w:t>在本项目的书面合同签订后5日内</w:t>
      </w:r>
      <w:r>
        <w:rPr>
          <w:rFonts w:hint="eastAsia" w:ascii="宋体" w:hAnsi="宋体" w:eastAsia="宋体" w:cs="宋体"/>
          <w:color w:val="000000" w:themeColor="text1"/>
          <w:kern w:val="0"/>
          <w:szCs w:val="21"/>
          <w:highlight w:val="none"/>
          <w14:textFill>
            <w14:solidFill>
              <w14:schemeClr w14:val="tx1"/>
            </w14:solidFill>
          </w14:textFill>
        </w:rPr>
        <w:t>，按照其投标保证金支付凭证上注明的收款人名称和账号予以退还，除非</w:t>
      </w:r>
      <w:r>
        <w:rPr>
          <w:rFonts w:hint="eastAsia" w:ascii="宋体" w:hAnsi="宋体" w:eastAsia="宋体" w:cs="Times New Roman"/>
          <w:color w:val="000000" w:themeColor="text1"/>
          <w:kern w:val="0"/>
          <w:szCs w:val="21"/>
          <w:highlight w:val="none"/>
          <w14:textFill>
            <w14:solidFill>
              <w14:schemeClr w14:val="tx1"/>
            </w14:solidFill>
          </w14:textFill>
        </w:rPr>
        <w:t>投标保证金</w:t>
      </w:r>
      <w:r>
        <w:rPr>
          <w:rFonts w:hint="eastAsia" w:ascii="宋体" w:hAnsi="宋体" w:eastAsia="宋体" w:cs="宋体"/>
          <w:color w:val="000000" w:themeColor="text1"/>
          <w:kern w:val="0"/>
          <w:szCs w:val="21"/>
          <w:highlight w:val="none"/>
          <w14:textFill>
            <w14:solidFill>
              <w14:schemeClr w14:val="tx1"/>
            </w14:solidFill>
          </w14:textFill>
        </w:rPr>
        <w:t>有效期已延长。</w:t>
      </w:r>
    </w:p>
    <w:p w14:paraId="54456E56">
      <w:pPr>
        <w:spacing w:line="360" w:lineRule="auto"/>
        <w:ind w:left="357" w:leftChars="-100"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15.6 </w:t>
      </w:r>
      <w:r>
        <w:rPr>
          <w:rFonts w:hint="eastAsia" w:ascii="宋体" w:hAnsi="宋体" w:eastAsia="宋体" w:cs="宋体"/>
          <w:color w:val="000000" w:themeColor="text1"/>
          <w:kern w:val="0"/>
          <w:szCs w:val="21"/>
          <w:highlight w:val="none"/>
          <w14:textFill>
            <w14:solidFill>
              <w14:schemeClr w14:val="tx1"/>
            </w14:solidFill>
          </w14:textFill>
        </w:rPr>
        <w:t>中标人的投标保证金，满足下列要求，并最迟应在本项目的书面合同签订后5日内退还。</w:t>
      </w:r>
    </w:p>
    <w:p w14:paraId="73178C69">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（1）中标</w:t>
      </w:r>
      <w:r>
        <w:rPr>
          <w:rFonts w:hint="eastAsia" w:ascii="宋体" w:hAnsi="宋体" w:eastAsia="宋体" w:cs="宋体"/>
          <w:color w:val="000000" w:themeColor="text1"/>
          <w:szCs w:val="21"/>
          <w:highlight w:val="none"/>
          <w:lang w:val="zh-CN"/>
          <w14:textFill>
            <w14:solidFill>
              <w14:schemeClr w14:val="tx1"/>
            </w14:solidFill>
          </w14:textFill>
        </w:rPr>
        <w:t>人提交了履约担保；</w:t>
      </w:r>
    </w:p>
    <w:p w14:paraId="531E16A8">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（2）在投标过程中</w:t>
      </w:r>
      <w:r>
        <w:rPr>
          <w:rFonts w:hint="eastAsia" w:ascii="宋体" w:hAnsi="宋体" w:eastAsia="宋体" w:cs="宋体"/>
          <w:color w:val="000000" w:themeColor="text1"/>
          <w:kern w:val="0"/>
          <w:szCs w:val="21"/>
          <w:highlight w:val="none"/>
          <w14:textFill>
            <w14:solidFill>
              <w14:schemeClr w14:val="tx1"/>
            </w14:solidFill>
          </w14:textFill>
        </w:rPr>
        <w:t>不存在违反本招标文件或《中华人民共和国招标投标法》及其实施条例等规定的行为。</w:t>
      </w:r>
    </w:p>
    <w:p w14:paraId="38295DFE">
      <w:pPr>
        <w:spacing w:line="360" w:lineRule="auto"/>
        <w:ind w:left="315" w:leftChars="-100" w:hanging="525" w:hangingChars="250"/>
        <w:rPr>
          <w:rFonts w:ascii="宋体" w:hAnsi="宋体" w:eastAsia="宋体" w:cs="宋体"/>
          <w:b/>
          <w:bCs/>
          <w:color w:val="000000" w:themeColor="text1"/>
          <w:kern w:val="0"/>
          <w:szCs w:val="20"/>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15.7 </w:t>
      </w:r>
      <w:r>
        <w:rPr>
          <w:rFonts w:hint="eastAsia" w:ascii="宋体" w:hAnsi="宋体" w:eastAsia="宋体" w:cs="宋体"/>
          <w:color w:val="000000" w:themeColor="text1"/>
          <w:kern w:val="0"/>
          <w:szCs w:val="20"/>
          <w:highlight w:val="none"/>
          <w14:textFill>
            <w14:solidFill>
              <w14:schemeClr w14:val="tx1"/>
            </w14:solidFill>
          </w14:textFill>
        </w:rPr>
        <w:t>若</w:t>
      </w:r>
      <w:r>
        <w:rPr>
          <w:rFonts w:hint="eastAsia" w:ascii="宋体" w:hAnsi="宋体" w:eastAsia="宋体" w:cs="宋体"/>
          <w:color w:val="000000" w:themeColor="text1"/>
          <w:szCs w:val="21"/>
          <w:highlight w:val="none"/>
          <w:lang w:val="zh-CN"/>
          <w14:textFill>
            <w14:solidFill>
              <w14:schemeClr w14:val="tx1"/>
            </w14:solidFill>
          </w14:textFill>
        </w:rPr>
        <w:t>发生</w:t>
      </w:r>
      <w:r>
        <w:rPr>
          <w:rFonts w:hint="eastAsia" w:ascii="宋体" w:hAnsi="宋体" w:eastAsia="宋体" w:cs="宋体"/>
          <w:color w:val="000000" w:themeColor="text1"/>
          <w:kern w:val="0"/>
          <w:szCs w:val="20"/>
          <w:highlight w:val="none"/>
          <w14:textFill>
            <w14:solidFill>
              <w14:schemeClr w14:val="tx1"/>
            </w14:solidFill>
          </w14:textFill>
        </w:rPr>
        <w:t>下列情况，招标人在书面通知投标人（或中标人）后有权不予退还投标保证金：</w:t>
      </w:r>
    </w:p>
    <w:p w14:paraId="72DC8D65">
      <w:pPr>
        <w:numPr>
          <w:ilvl w:val="2"/>
          <w:numId w:val="0"/>
        </w:numPr>
        <w:autoSpaceDE w:val="0"/>
        <w:autoSpaceDN w:val="0"/>
        <w:adjustRightInd w:val="0"/>
        <w:spacing w:line="360" w:lineRule="auto"/>
        <w:ind w:left="853" w:leftChars="136" w:hanging="567"/>
        <w:jc w:val="left"/>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如果投标人（或中标人）：</w:t>
      </w:r>
    </w:p>
    <w:p w14:paraId="6A9D31C3">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（1）投标</w:t>
      </w:r>
      <w:r>
        <w:rPr>
          <w:rFonts w:hint="eastAsia" w:ascii="宋体" w:hAnsi="宋体" w:eastAsia="宋体" w:cs="宋体"/>
          <w:color w:val="000000" w:themeColor="text1"/>
          <w:szCs w:val="21"/>
          <w:highlight w:val="none"/>
          <w:lang w:val="zh-CN"/>
          <w14:textFill>
            <w14:solidFill>
              <w14:schemeClr w14:val="tx1"/>
            </w14:solidFill>
          </w14:textFill>
        </w:rPr>
        <w:t>人在规定的投标截止时间后至投标有效期满之前撤销或修改其投标文件；</w:t>
      </w:r>
    </w:p>
    <w:p w14:paraId="3BD4CEF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（2）中标人未能在规定期限内提交履约担保；</w:t>
      </w:r>
    </w:p>
    <w:p w14:paraId="6499A600">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（3）未根据第34条规定签署合同；</w:t>
      </w:r>
    </w:p>
    <w:p w14:paraId="599BE8DC">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）将中标项目转让给他人，或者在投标文件中未说明，且未经招标人同意，将中标项目的合同</w:t>
      </w:r>
      <w:r>
        <w:rPr>
          <w:rFonts w:ascii="宋体" w:hAnsi="宋体" w:eastAsia="宋体" w:cs="宋体"/>
          <w:color w:val="000000" w:themeColor="text1"/>
          <w:szCs w:val="21"/>
          <w:highlight w:val="none"/>
          <w:lang w:val="zh-CN"/>
          <w14:textFill>
            <w14:solidFill>
              <w14:schemeClr w14:val="tx1"/>
            </w14:solidFill>
          </w14:textFill>
        </w:rPr>
        <w:t>的权利义务转让</w:t>
      </w:r>
      <w:r>
        <w:rPr>
          <w:rFonts w:hint="eastAsia" w:ascii="宋体" w:hAnsi="宋体" w:eastAsia="宋体" w:cs="宋体"/>
          <w:color w:val="000000" w:themeColor="text1"/>
          <w:szCs w:val="21"/>
          <w:highlight w:val="none"/>
          <w:lang w:val="zh-CN"/>
          <w14:textFill>
            <w14:solidFill>
              <w14:schemeClr w14:val="tx1"/>
            </w14:solidFill>
          </w14:textFill>
        </w:rPr>
        <w:t>给第三</w:t>
      </w:r>
      <w:r>
        <w:rPr>
          <w:rFonts w:ascii="宋体" w:hAnsi="宋体" w:eastAsia="宋体" w:cs="宋体"/>
          <w:color w:val="000000" w:themeColor="text1"/>
          <w:szCs w:val="21"/>
          <w:highlight w:val="none"/>
          <w:lang w:val="zh-CN"/>
          <w14:textFill>
            <w14:solidFill>
              <w14:schemeClr w14:val="tx1"/>
            </w14:solidFill>
          </w14:textFill>
        </w:rPr>
        <w:t>方</w:t>
      </w:r>
      <w:r>
        <w:rPr>
          <w:rFonts w:hint="eastAsia" w:ascii="宋体" w:hAnsi="宋体" w:eastAsia="宋体" w:cs="宋体"/>
          <w:color w:val="000000" w:themeColor="text1"/>
          <w:szCs w:val="21"/>
          <w:highlight w:val="none"/>
          <w:lang w:val="zh-CN"/>
          <w14:textFill>
            <w14:solidFill>
              <w14:schemeClr w14:val="tx1"/>
            </w14:solidFill>
          </w14:textFill>
        </w:rPr>
        <w:t>的；</w:t>
      </w:r>
    </w:p>
    <w:p w14:paraId="63CCA829">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）提供虚假投标文</w:t>
      </w:r>
      <w:r>
        <w:rPr>
          <w:rFonts w:hint="eastAsia" w:ascii="宋体" w:hAnsi="宋体" w:eastAsia="宋体" w:cs="宋体"/>
          <w:color w:val="000000" w:themeColor="text1"/>
          <w:kern w:val="0"/>
          <w:szCs w:val="21"/>
          <w:highlight w:val="none"/>
          <w14:textFill>
            <w14:solidFill>
              <w14:schemeClr w14:val="tx1"/>
            </w14:solidFill>
          </w14:textFill>
        </w:rPr>
        <w:t>件或虚假补充文件的，或违反《中华人民共和国招标投标法》等有关法律、法规、规章及招标投标相关规定的行为。</w:t>
      </w:r>
    </w:p>
    <w:p w14:paraId="7D000904">
      <w:pPr>
        <w:tabs>
          <w:tab w:val="left" w:pos="1134"/>
        </w:tabs>
        <w:autoSpaceDE w:val="0"/>
        <w:autoSpaceDN w:val="0"/>
        <w:adjustRightInd w:val="0"/>
        <w:spacing w:line="360" w:lineRule="auto"/>
        <w:ind w:left="840" w:leftChars="150" w:hanging="525" w:hangingChars="250"/>
        <w:jc w:val="left"/>
        <w:rPr>
          <w:rFonts w:ascii="宋体" w:hAnsi="宋体" w:eastAsia="宋体" w:cs="宋体"/>
          <w:color w:val="000000" w:themeColor="text1"/>
          <w:kern w:val="0"/>
          <w:szCs w:val="21"/>
          <w:highlight w:val="none"/>
          <w14:textFill>
            <w14:solidFill>
              <w14:schemeClr w14:val="tx1"/>
            </w14:solidFill>
          </w14:textFill>
        </w:rPr>
      </w:pPr>
    </w:p>
    <w:p w14:paraId="149B6DF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62" w:name="_Toc10518"/>
      <w:bookmarkStart w:id="163" w:name="_Toc450662865"/>
      <w:bookmarkStart w:id="164" w:name="_Toc142508330"/>
      <w:bookmarkStart w:id="165" w:name="_Toc10550"/>
      <w:bookmarkStart w:id="166" w:name="_Toc2942"/>
      <w:bookmarkStart w:id="167" w:name="_Toc22649_WPSOffice_Level3"/>
      <w:bookmarkStart w:id="168" w:name="_Toc486167680"/>
      <w:r>
        <w:rPr>
          <w:rFonts w:hint="eastAsia" w:ascii="宋体" w:hAnsi="宋体" w:eastAsia="宋体" w:cs="宋体"/>
          <w:color w:val="000000" w:themeColor="text1"/>
          <w:szCs w:val="21"/>
          <w:highlight w:val="none"/>
          <w:lang w:val="zh-CN"/>
          <w14:textFill>
            <w14:solidFill>
              <w14:schemeClr w14:val="tx1"/>
            </w14:solidFill>
          </w14:textFill>
        </w:rPr>
        <w:t>16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投标有效期</w:t>
      </w:r>
      <w:bookmarkEnd w:id="162"/>
      <w:bookmarkEnd w:id="163"/>
      <w:bookmarkEnd w:id="164"/>
      <w:bookmarkEnd w:id="165"/>
      <w:bookmarkEnd w:id="166"/>
      <w:bookmarkEnd w:id="167"/>
      <w:bookmarkEnd w:id="168"/>
    </w:p>
    <w:p w14:paraId="2CF59B3A">
      <w:pPr>
        <w:tabs>
          <w:tab w:val="left" w:pos="567"/>
        </w:tabs>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投标文件将在递交投标文件截止时间届满后90日内有效。投标有效期比规定时间短的按无效投标文件处理</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7CF072F8">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中标人的投标文件作为合同附件，合同失效时同时失效。</w:t>
      </w:r>
    </w:p>
    <w:p w14:paraId="29AE6B20">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000000" w:themeColor="text1"/>
          <w:szCs w:val="21"/>
          <w:highlight w:val="none"/>
          <w:lang w:val="zh-CN"/>
          <w14:textFill>
            <w14:solidFill>
              <w14:schemeClr w14:val="tx1"/>
            </w14:solidFill>
          </w14:textFill>
        </w:rPr>
        <w:t>，招标</w:t>
      </w:r>
      <w:r>
        <w:rPr>
          <w:rFonts w:hint="eastAsia" w:ascii="宋体" w:hAnsi="宋体" w:eastAsia="宋体" w:cs="Times New Roman"/>
          <w:color w:val="000000" w:themeColor="text1"/>
          <w:szCs w:val="21"/>
          <w:highlight w:val="none"/>
          <w:lang w:val="en-US" w:eastAsia="zh-CN"/>
          <w14:textFill>
            <w14:solidFill>
              <w14:schemeClr w14:val="tx1"/>
            </w14:solidFill>
          </w14:textFill>
        </w:rPr>
        <w:t>人</w:t>
      </w:r>
      <w:r>
        <w:rPr>
          <w:rFonts w:hint="eastAsia" w:ascii="宋体" w:hAnsi="宋体" w:eastAsia="宋体" w:cs="Times New Roman"/>
          <w:color w:val="000000" w:themeColor="text1"/>
          <w:szCs w:val="21"/>
          <w:highlight w:val="none"/>
          <w:lang w:val="zh-CN"/>
          <w14:textFill>
            <w14:solidFill>
              <w14:schemeClr w14:val="tx1"/>
            </w14:solidFill>
          </w14:textFill>
        </w:rPr>
        <w:t>将退还</w:t>
      </w:r>
      <w:r>
        <w:rPr>
          <w:rFonts w:hint="eastAsia" w:ascii="宋体" w:hAnsi="宋体" w:eastAsia="宋体" w:cs="宋体"/>
          <w:color w:val="000000" w:themeColor="text1"/>
          <w:szCs w:val="21"/>
          <w:highlight w:val="none"/>
          <w:lang w:val="zh-CN"/>
          <w14:textFill>
            <w14:solidFill>
              <w14:schemeClr w14:val="tx1"/>
            </w14:solidFill>
          </w14:textFill>
        </w:rPr>
        <w:t>其投标保证金。对于同意该要求的投标人，既不要求也不允许其修改投标文件，但将要求其相应延长投标保证金的有效期。第15条投标保证金的有关规定在投标保证金延长期内仍适用。</w:t>
      </w:r>
    </w:p>
    <w:p w14:paraId="54E06B3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054DDD4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69" w:name="_Toc13311"/>
      <w:bookmarkStart w:id="170" w:name="_Toc358"/>
      <w:bookmarkStart w:id="171" w:name="_Toc486167681"/>
      <w:bookmarkStart w:id="172" w:name="_Toc25637_WPSOffice_Level3"/>
      <w:bookmarkStart w:id="173" w:name="_Toc26726"/>
      <w:bookmarkStart w:id="174" w:name="_Toc450662866"/>
      <w:bookmarkStart w:id="175" w:name="_Toc142508331"/>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投标文件的式样和签署</w:t>
      </w:r>
      <w:bookmarkEnd w:id="169"/>
      <w:bookmarkEnd w:id="170"/>
      <w:bookmarkEnd w:id="171"/>
      <w:bookmarkEnd w:id="172"/>
      <w:bookmarkEnd w:id="173"/>
      <w:bookmarkEnd w:id="174"/>
      <w:bookmarkEnd w:id="175"/>
    </w:p>
    <w:p w14:paraId="41897FFE">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投标人应准备一份“唱标信封”、</w:t>
      </w:r>
      <w:r>
        <w:rPr>
          <w:rFonts w:hint="eastAsia" w:ascii="宋体" w:hAnsi="宋体" w:eastAsia="宋体" w:cs="Times New Roman"/>
          <w:b/>
          <w:color w:val="000000" w:themeColor="text1"/>
          <w:szCs w:val="21"/>
          <w:highlight w:val="none"/>
          <w:u w:val="single"/>
          <w:lang w:val="zh-CN"/>
          <w14:textFill>
            <w14:solidFill>
              <w14:schemeClr w14:val="tx1"/>
            </w14:solidFill>
          </w14:textFill>
        </w:rPr>
        <w:t>一份投标文件电子文件、</w:t>
      </w:r>
      <w:r>
        <w:rPr>
          <w:rFonts w:hint="eastAsia" w:ascii="宋体" w:hAnsi="宋体" w:eastAsia="宋体" w:cs="宋体"/>
          <w:b/>
          <w:color w:val="000000" w:themeColor="text1"/>
          <w:szCs w:val="21"/>
          <w:highlight w:val="none"/>
          <w:u w:val="single"/>
          <w:lang w:val="zh-CN"/>
          <w14:textFill>
            <w14:solidFill>
              <w14:schemeClr w14:val="tx1"/>
            </w14:solidFill>
          </w14:textFill>
        </w:rPr>
        <w:t>一份正本和五份副本“投标文件”</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000000" w:themeColor="text1"/>
          <w:szCs w:val="21"/>
          <w:highlight w:val="none"/>
          <w:lang w:val="zh-CN"/>
          <w14:textFill>
            <w14:solidFill>
              <w14:schemeClr w14:val="tx1"/>
            </w14:solidFill>
          </w14:textFill>
        </w:rPr>
        <w:t>。</w:t>
      </w:r>
    </w:p>
    <w:p w14:paraId="1E8BF5A6">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Cs/>
          <w:color w:val="000000" w:themeColor="text1"/>
          <w:szCs w:val="21"/>
          <w:highlight w:val="none"/>
          <w:lang w:val="zh-CN"/>
          <w14:textFill>
            <w14:solidFill>
              <w14:schemeClr w14:val="tx1"/>
            </w14:solidFill>
          </w14:textFill>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法定代表人授权书</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以书面形式附在投标文件中。</w:t>
      </w:r>
      <w:r>
        <w:rPr>
          <w:rFonts w:hint="eastAsia" w:ascii="宋体" w:hAnsi="宋体" w:eastAsia="宋体" w:cs="Times New Roman"/>
          <w:color w:val="000000" w:themeColor="text1"/>
          <w:szCs w:val="21"/>
          <w:highlight w:val="none"/>
          <w:lang w:val="zh-CN"/>
          <w14:textFill>
            <w14:solidFill>
              <w14:schemeClr w14:val="tx1"/>
            </w14:solidFill>
          </w14:textFill>
        </w:rPr>
        <w:t>副本文件可由正本文件复印而成。</w:t>
      </w:r>
    </w:p>
    <w:p w14:paraId="0EBDD61B">
      <w:pPr>
        <w:autoSpaceDE w:val="0"/>
        <w:autoSpaceDN w:val="0"/>
        <w:adjustRightInd w:val="0"/>
        <w:spacing w:line="360" w:lineRule="auto"/>
        <w:ind w:left="357" w:leftChars="-100" w:hanging="567"/>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除投标人对错处作必要修改外，投标文件中不许有加行、涂抹或改写。</w:t>
      </w:r>
      <w:r>
        <w:rPr>
          <w:rFonts w:hint="eastAsia" w:ascii="宋体" w:hAnsi="宋体" w:eastAsia="宋体" w:cs="宋体"/>
          <w:bCs/>
          <w:color w:val="000000" w:themeColor="text1"/>
          <w:szCs w:val="21"/>
          <w:highlight w:val="none"/>
          <w:lang w:val="zh-CN"/>
          <w14:textFill>
            <w14:solidFill>
              <w14:schemeClr w14:val="tx1"/>
            </w14:solidFill>
          </w14:textFill>
        </w:rPr>
        <w:t>若有修改须由签署投标文件的人进行签字（或盖私章），并加盖投标人</w:t>
      </w:r>
      <w:r>
        <w:rPr>
          <w:rFonts w:hint="eastAsia" w:ascii="宋体" w:hAnsi="宋体" w:eastAsia="宋体" w:cs="Times New Roman"/>
          <w:bCs/>
          <w:color w:val="000000" w:themeColor="text1"/>
          <w:szCs w:val="21"/>
          <w:highlight w:val="none"/>
          <w:lang w:val="zh-CN"/>
          <w14:textFill>
            <w14:solidFill>
              <w14:schemeClr w14:val="tx1"/>
            </w14:solidFill>
          </w14:textFill>
        </w:rPr>
        <w:t>法人</w:t>
      </w:r>
      <w:r>
        <w:rPr>
          <w:rFonts w:hint="eastAsia" w:ascii="宋体" w:hAnsi="宋体" w:eastAsia="宋体" w:cs="宋体"/>
          <w:bCs/>
          <w:color w:val="000000" w:themeColor="text1"/>
          <w:szCs w:val="21"/>
          <w:highlight w:val="none"/>
          <w:lang w:val="zh-CN"/>
          <w14:textFill>
            <w14:solidFill>
              <w14:schemeClr w14:val="tx1"/>
            </w14:solidFill>
          </w14:textFill>
        </w:rPr>
        <w:t>公章。</w:t>
      </w:r>
    </w:p>
    <w:p w14:paraId="67D4903A">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投标文件的封面应注明“项目名称、招标编号、投标人名称、投标日期等”。</w:t>
      </w:r>
    </w:p>
    <w:p w14:paraId="14EE40F6">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电子文件内容包括：电子文件不可设置密码，用DVD或CD-R光盘或U盘储存，</w:t>
      </w:r>
      <w:r>
        <w:rPr>
          <w:rFonts w:hint="eastAsia" w:ascii="宋体" w:hAnsi="宋体" w:eastAsia="宋体" w:cs="Times New Roman"/>
          <w:color w:val="000000" w:themeColor="text1"/>
          <w:szCs w:val="21"/>
          <w:highlight w:val="none"/>
          <w:lang w:val="zh-CN"/>
          <w14:textFill>
            <w14:solidFill>
              <w14:schemeClr w14:val="tx1"/>
            </w14:solidFill>
          </w14:textFill>
        </w:rPr>
        <w:t>可密封于</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内（若电子文件单独密封，其包装封面需注明项目名称、招标编号、投标人单位名称，并加盖投标人法人公章）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55B83A6B">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电报、电传、传真的投标概不接受。</w:t>
      </w:r>
    </w:p>
    <w:p w14:paraId="53CEE19D">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bookmarkStart w:id="176" w:name="_Toc450662867"/>
    </w:p>
    <w:p w14:paraId="3D712F52">
      <w:pPr>
        <w:keepNext/>
        <w:keepLines/>
        <w:tabs>
          <w:tab w:val="left" w:pos="509"/>
        </w:tabs>
        <w:autoSpaceDE w:val="0"/>
        <w:autoSpaceDN w:val="0"/>
        <w:adjustRightInd w:val="0"/>
        <w:spacing w:line="360" w:lineRule="auto"/>
        <w:jc w:val="left"/>
        <w:outlineLvl w:val="0"/>
        <w:rPr>
          <w:rFonts w:ascii="宋体" w:hAnsi="宋体" w:eastAsia="宋体" w:cs="宋体"/>
          <w:color w:val="000000" w:themeColor="text1"/>
          <w:kern w:val="0"/>
          <w:sz w:val="24"/>
          <w:szCs w:val="24"/>
          <w:highlight w:val="none"/>
          <w14:textFill>
            <w14:solidFill>
              <w14:schemeClr w14:val="tx1"/>
            </w14:solidFill>
          </w14:textFill>
        </w:rPr>
      </w:pPr>
      <w:bookmarkStart w:id="177" w:name="_Toc486167682"/>
      <w:bookmarkStart w:id="178" w:name="_Toc11345"/>
      <w:bookmarkStart w:id="179" w:name="_Toc17608"/>
      <w:bookmarkStart w:id="180" w:name="_Toc140596891"/>
      <w:bookmarkStart w:id="181" w:name="_Toc28484"/>
      <w:bookmarkStart w:id="182" w:name="_Toc142508332"/>
      <w:bookmarkStart w:id="183" w:name="_Toc22356_WPSOffice_Level2"/>
      <w:r>
        <w:rPr>
          <w:rFonts w:hint="eastAsia" w:ascii="宋体" w:hAnsi="宋体" w:eastAsia="宋体" w:cs="宋体"/>
          <w:b/>
          <w:bCs/>
          <w:color w:val="000000" w:themeColor="text1"/>
          <w:kern w:val="44"/>
          <w:szCs w:val="21"/>
          <w:highlight w:val="none"/>
          <w:lang w:val="zh-CN"/>
          <w14:textFill>
            <w14:solidFill>
              <w14:schemeClr w14:val="tx1"/>
            </w14:solidFill>
          </w14:textFill>
        </w:rPr>
        <w:t>四、投标文件的递交</w:t>
      </w:r>
      <w:bookmarkEnd w:id="176"/>
      <w:bookmarkEnd w:id="177"/>
      <w:bookmarkEnd w:id="178"/>
      <w:bookmarkEnd w:id="179"/>
      <w:bookmarkEnd w:id="180"/>
      <w:bookmarkEnd w:id="181"/>
      <w:bookmarkEnd w:id="182"/>
      <w:bookmarkEnd w:id="183"/>
    </w:p>
    <w:p w14:paraId="1DDEF90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84" w:name="_Toc9455"/>
      <w:bookmarkStart w:id="185" w:name="_Toc9900"/>
      <w:bookmarkStart w:id="186" w:name="_Toc12192_WPSOffice_Level3"/>
      <w:bookmarkStart w:id="187" w:name="_Toc450662868"/>
      <w:bookmarkStart w:id="188" w:name="_Toc486167683"/>
      <w:bookmarkStart w:id="189" w:name="_Toc31579"/>
      <w:bookmarkStart w:id="190" w:name="_Toc142508333"/>
      <w:r>
        <w:rPr>
          <w:rFonts w:hint="eastAsia" w:ascii="宋体" w:hAnsi="宋体" w:eastAsia="宋体" w:cs="宋体"/>
          <w:color w:val="000000" w:themeColor="text1"/>
          <w:szCs w:val="21"/>
          <w:highlight w:val="none"/>
          <w:lang w:val="zh-CN"/>
          <w14:textFill>
            <w14:solidFill>
              <w14:schemeClr w14:val="tx1"/>
            </w14:solidFill>
          </w14:textFill>
        </w:rPr>
        <w:t>18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投标文件的密封和标记</w:t>
      </w:r>
      <w:bookmarkEnd w:id="184"/>
      <w:bookmarkEnd w:id="185"/>
      <w:bookmarkEnd w:id="186"/>
      <w:bookmarkEnd w:id="187"/>
      <w:bookmarkEnd w:id="188"/>
      <w:bookmarkEnd w:id="189"/>
      <w:bookmarkEnd w:id="190"/>
    </w:p>
    <w:p w14:paraId="13A7EC36">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投标人应将正本和副本投标文件（本处不含唱标信封</w:t>
      </w:r>
      <w:r>
        <w:rPr>
          <w:rFonts w:hint="eastAsia" w:ascii="宋体" w:hAnsi="宋体" w:eastAsia="宋体" w:cs="Times New Roman"/>
          <w:color w:val="000000" w:themeColor="text1"/>
          <w:szCs w:val="21"/>
          <w:highlight w:val="none"/>
          <w:lang w:val="zh-CN"/>
          <w14:textFill>
            <w14:solidFill>
              <w14:schemeClr w14:val="tx1"/>
            </w14:solidFill>
          </w14:textFill>
        </w:rPr>
        <w:t>、投标文件电子文件</w:t>
      </w:r>
      <w:r>
        <w:rPr>
          <w:rFonts w:hint="eastAsia" w:ascii="宋体" w:hAnsi="宋体" w:eastAsia="宋体" w:cs="宋体"/>
          <w:color w:val="000000" w:themeColor="text1"/>
          <w:szCs w:val="21"/>
          <w:highlight w:val="none"/>
          <w:lang w:val="zh-CN"/>
          <w14:textFill>
            <w14:solidFill>
              <w14:schemeClr w14:val="tx1"/>
            </w14:solidFill>
          </w14:textFill>
        </w:rPr>
        <w:t>）密封在不透明的外层封装中。</w:t>
      </w:r>
    </w:p>
    <w:p w14:paraId="21519051">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lang w:val="zh-CN"/>
          <w14:textFill>
            <w14:solidFill>
              <w14:schemeClr w14:val="tx1"/>
            </w14:solidFill>
          </w14:textFill>
        </w:rPr>
        <w:t>唱标信封应单独密封</w:t>
      </w:r>
      <w:r>
        <w:rPr>
          <w:rFonts w:hint="eastAsia" w:ascii="宋体" w:hAnsi="宋体" w:eastAsia="宋体" w:cs="Times New Roman"/>
          <w:b/>
          <w:bCs/>
          <w:color w:val="000000" w:themeColor="text1"/>
          <w:szCs w:val="21"/>
          <w:highlight w:val="none"/>
          <w:lang w:val="zh-CN"/>
          <w14:textFill>
            <w14:solidFill>
              <w14:schemeClr w14:val="tx1"/>
            </w14:solidFill>
          </w14:textFill>
        </w:rPr>
        <w:t>，与18.1款的投标文件一同提交。</w:t>
      </w:r>
    </w:p>
    <w:p w14:paraId="496698B6">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投标文件密封封装标记：</w:t>
      </w:r>
    </w:p>
    <w:p w14:paraId="388BE682">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）外层密封封装表面应正确注明项目名称、招标编号、投标人单位名称、并注明投标文件递交截止时间之前不得开封（在封口位置的封条上标注注明），封口位置的封条上须加盖投标人法人公章；</w:t>
      </w:r>
    </w:p>
    <w:p w14:paraId="5ABA319E">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）投标文件已密封但不按前述标志封包，由此而引起的提前开封或错放责任由投标人承担；</w:t>
      </w:r>
    </w:p>
    <w:p w14:paraId="1EC0CB84">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（3）不足以造成投标文件可以从外包装内散出而导致投标文件泄密的，不认定为投标文件未密封。</w:t>
      </w:r>
    </w:p>
    <w:p w14:paraId="47518B36">
      <w:pPr>
        <w:tabs>
          <w:tab w:val="left" w:pos="567"/>
        </w:tabs>
        <w:autoSpaceDE w:val="0"/>
        <w:autoSpaceDN w:val="0"/>
        <w:adjustRightInd w:val="0"/>
        <w:spacing w:line="360" w:lineRule="auto"/>
        <w:ind w:left="357" w:leftChars="-100" w:right="15" w:rightChars="7"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18.4</w:t>
      </w:r>
      <w:r>
        <w:rPr>
          <w:rFonts w:hint="eastAsia" w:ascii="宋体" w:hAnsi="宋体" w:eastAsia="宋体" w:cs="宋体"/>
          <w:b/>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lang w:val="zh-CN"/>
          <w14:textFill>
            <w14:solidFill>
              <w14:schemeClr w14:val="tx1"/>
            </w14:solidFill>
          </w14:textFill>
        </w:rPr>
        <w:t>如果</w:t>
      </w:r>
      <w:r>
        <w:rPr>
          <w:rFonts w:hint="eastAsia" w:ascii="宋体" w:hAnsi="宋体" w:eastAsia="宋体" w:cs="Times New Roman"/>
          <w:b/>
          <w:color w:val="000000" w:themeColor="text1"/>
          <w:szCs w:val="21"/>
          <w:highlight w:val="none"/>
          <w:lang w:val="zh-CN"/>
          <w14:textFill>
            <w14:solidFill>
              <w14:schemeClr w14:val="tx1"/>
            </w14:solidFill>
          </w14:textFill>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000000" w:themeColor="text1"/>
          <w:szCs w:val="21"/>
          <w:highlight w:val="none"/>
          <w:lang w:val="zh-CN"/>
          <w14:textFill>
            <w14:solidFill>
              <w14:schemeClr w14:val="tx1"/>
            </w14:solidFill>
          </w14:textFill>
        </w:rPr>
        <w:t>。</w:t>
      </w:r>
    </w:p>
    <w:p w14:paraId="148FA253">
      <w:pPr>
        <w:autoSpaceDE w:val="0"/>
        <w:autoSpaceDN w:val="0"/>
        <w:adjustRightInd w:val="0"/>
        <w:spacing w:line="360" w:lineRule="auto"/>
        <w:ind w:left="355" w:leftChars="-101" w:right="15" w:rightChars="7"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18.5 开标前，</w:t>
      </w:r>
      <w:r>
        <w:rPr>
          <w:rFonts w:hint="eastAsia" w:ascii="宋体" w:hAnsi="宋体" w:eastAsia="宋体" w:cs="Times New Roman"/>
          <w:color w:val="000000" w:themeColor="text1"/>
          <w:szCs w:val="21"/>
          <w:highlight w:val="none"/>
          <w:lang w:val="zh-CN"/>
          <w14:textFill>
            <w14:solidFill>
              <w14:schemeClr w14:val="tx1"/>
            </w14:solidFill>
          </w14:textFill>
        </w:rPr>
        <w:t>由投标人代表</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第一位递交投标文件的投标人代表及主动自愿参与检查的投标人代表</w:t>
      </w:r>
      <w:r>
        <w:rPr>
          <w:rFonts w:ascii="宋体" w:hAnsi="宋体" w:eastAsia="宋体" w:cs="Times New Roman"/>
          <w:color w:val="000000" w:themeColor="text1"/>
          <w:szCs w:val="21"/>
          <w:highlight w:val="none"/>
          <w:lang w:val="zh-CN"/>
          <w14:textFill>
            <w14:solidFill>
              <w14:schemeClr w14:val="tx1"/>
            </w14:solidFill>
          </w14:textFill>
        </w:rPr>
        <w:t>）和招标人代表</w:t>
      </w:r>
      <w:r>
        <w:rPr>
          <w:rFonts w:hint="eastAsia" w:ascii="宋体" w:hAnsi="宋体" w:eastAsia="宋体" w:cs="Times New Roman"/>
          <w:color w:val="000000" w:themeColor="text1"/>
          <w:kern w:val="0"/>
          <w:szCs w:val="21"/>
          <w:highlight w:val="none"/>
          <w:lang w:val="zh-CN"/>
          <w14:textFill>
            <w14:solidFill>
              <w14:schemeClr w14:val="tx1"/>
            </w14:solidFill>
          </w14:textFill>
        </w:rPr>
        <w:t>将对所有的投标文件的密封性进行检查</w:t>
      </w:r>
      <w:r>
        <w:rPr>
          <w:rFonts w:ascii="宋体" w:hAnsi="宋体" w:eastAsia="宋体" w:cs="Times New Roman"/>
          <w:color w:val="000000" w:themeColor="text1"/>
          <w:szCs w:val="21"/>
          <w:highlight w:val="none"/>
          <w:lang w:val="zh-CN"/>
          <w14:textFill>
            <w14:solidFill>
              <w14:schemeClr w14:val="tx1"/>
            </w14:solidFill>
          </w14:textFill>
        </w:rPr>
        <w:t>，并签署进行确认</w:t>
      </w:r>
      <w:r>
        <w:rPr>
          <w:rFonts w:hint="eastAsia" w:ascii="宋体" w:hAnsi="宋体" w:eastAsia="宋体" w:cs="宋体"/>
          <w:color w:val="000000" w:themeColor="text1"/>
          <w:szCs w:val="21"/>
          <w:highlight w:val="none"/>
          <w:lang w:val="zh-CN"/>
          <w14:textFill>
            <w14:solidFill>
              <w14:schemeClr w14:val="tx1"/>
            </w14:solidFill>
          </w14:textFill>
        </w:rPr>
        <w:t>。</w:t>
      </w:r>
    </w:p>
    <w:p w14:paraId="2D16CBF9">
      <w:pPr>
        <w:tabs>
          <w:tab w:val="left" w:pos="567"/>
        </w:tabs>
        <w:autoSpaceDE w:val="0"/>
        <w:autoSpaceDN w:val="0"/>
        <w:adjustRightInd w:val="0"/>
        <w:spacing w:line="360" w:lineRule="auto"/>
        <w:ind w:right="15" w:rightChars="7" w:firstLine="525" w:firstLineChars="250"/>
        <w:rPr>
          <w:rFonts w:ascii="宋体" w:hAnsi="宋体" w:eastAsia="宋体" w:cs="宋体"/>
          <w:color w:val="000000" w:themeColor="text1"/>
          <w:szCs w:val="21"/>
          <w:highlight w:val="none"/>
          <w:lang w:val="zh-CN"/>
          <w14:textFill>
            <w14:solidFill>
              <w14:schemeClr w14:val="tx1"/>
            </w14:solidFill>
          </w14:textFill>
        </w:rPr>
      </w:pPr>
    </w:p>
    <w:p w14:paraId="5C48DCB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91" w:name="_Toc32205"/>
      <w:bookmarkStart w:id="192" w:name="_Toc6928"/>
      <w:bookmarkStart w:id="193" w:name="_Toc3384"/>
      <w:bookmarkStart w:id="194" w:name="_Toc142508334"/>
      <w:bookmarkStart w:id="195" w:name="_Toc450662869"/>
      <w:bookmarkStart w:id="196" w:name="_Toc29665_WPSOffice_Level3"/>
      <w:bookmarkStart w:id="197" w:name="_Toc486167684"/>
      <w:r>
        <w:rPr>
          <w:rFonts w:hint="eastAsia" w:ascii="宋体" w:hAnsi="宋体" w:eastAsia="宋体" w:cs="宋体"/>
          <w:color w:val="000000" w:themeColor="text1"/>
          <w:szCs w:val="21"/>
          <w:highlight w:val="none"/>
          <w:lang w:val="zh-CN"/>
          <w14:textFill>
            <w14:solidFill>
              <w14:schemeClr w14:val="tx1"/>
            </w14:solidFill>
          </w14:textFill>
        </w:rPr>
        <w:t>19</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递交投标文件的截止日期</w:t>
      </w:r>
      <w:bookmarkEnd w:id="191"/>
      <w:bookmarkEnd w:id="192"/>
      <w:bookmarkEnd w:id="193"/>
      <w:bookmarkEnd w:id="194"/>
      <w:bookmarkEnd w:id="195"/>
      <w:bookmarkEnd w:id="196"/>
      <w:bookmarkEnd w:id="197"/>
    </w:p>
    <w:p w14:paraId="5832E75C">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收到投标文件的时间不得迟于第一篇</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招标公告</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中规定的截止时间</w:t>
      </w:r>
      <w:r>
        <w:rPr>
          <w:rFonts w:hint="eastAsia" w:ascii="宋体" w:hAnsi="宋体" w:eastAsia="宋体" w:cs="宋体"/>
          <w:color w:val="000000" w:themeColor="text1"/>
          <w:szCs w:val="21"/>
          <w:highlight w:val="none"/>
          <w:lang w:val="zh-CN"/>
          <w14:textFill>
            <w14:solidFill>
              <w14:schemeClr w14:val="tx1"/>
            </w14:solidFill>
          </w14:textFill>
        </w:rPr>
        <w:t>。</w:t>
      </w:r>
    </w:p>
    <w:p w14:paraId="277EDB96">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可按照第</w:t>
      </w:r>
      <w:r>
        <w:rPr>
          <w:rFonts w:ascii="宋体" w:hAnsi="宋体" w:eastAsia="宋体" w:cs="Times New Roman"/>
          <w:color w:val="000000" w:themeColor="text1"/>
          <w:szCs w:val="21"/>
          <w:highlight w:val="none"/>
          <w:lang w:val="zh-CN"/>
          <w14:textFill>
            <w14:solidFill>
              <w14:schemeClr w14:val="tx1"/>
            </w14:solidFill>
          </w14:textFill>
        </w:rPr>
        <w:t>7</w:t>
      </w:r>
      <w:r>
        <w:rPr>
          <w:rFonts w:hint="eastAsia" w:ascii="宋体" w:hAnsi="宋体" w:eastAsia="宋体" w:cs="Times New Roman"/>
          <w:color w:val="000000" w:themeColor="text1"/>
          <w:szCs w:val="21"/>
          <w:highlight w:val="none"/>
          <w:lang w:val="zh-CN"/>
          <w14:textFill>
            <w14:solidFill>
              <w14:schemeClr w14:val="tx1"/>
            </w14:solidFill>
          </w14:textFill>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000000" w:themeColor="text1"/>
          <w:szCs w:val="21"/>
          <w:highlight w:val="none"/>
          <w:lang w:val="zh-CN"/>
          <w14:textFill>
            <w14:solidFill>
              <w14:schemeClr w14:val="tx1"/>
            </w14:solidFill>
          </w14:textFill>
        </w:rPr>
        <w:t>。</w:t>
      </w:r>
    </w:p>
    <w:p w14:paraId="07FC08A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730A84A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kern w:val="0"/>
          <w:sz w:val="24"/>
          <w:szCs w:val="24"/>
          <w:highlight w:val="none"/>
          <w14:textFill>
            <w14:solidFill>
              <w14:schemeClr w14:val="tx1"/>
            </w14:solidFill>
          </w14:textFill>
        </w:rPr>
      </w:pPr>
      <w:bookmarkStart w:id="198" w:name="_Toc486167685"/>
      <w:bookmarkStart w:id="199" w:name="_Toc20855"/>
      <w:bookmarkStart w:id="200" w:name="_Toc6684"/>
      <w:bookmarkStart w:id="201" w:name="_Toc142508335"/>
      <w:bookmarkStart w:id="202" w:name="_Toc22431_WPSOffice_Level3"/>
      <w:bookmarkStart w:id="203" w:name="_Toc450662870"/>
      <w:bookmarkStart w:id="204" w:name="_Toc19193"/>
      <w:r>
        <w:rPr>
          <w:rFonts w:hint="eastAsia" w:ascii="宋体" w:hAnsi="宋体" w:eastAsia="宋体" w:cs="宋体"/>
          <w:color w:val="000000" w:themeColor="text1"/>
          <w:szCs w:val="21"/>
          <w:highlight w:val="none"/>
          <w:lang w:val="zh-CN"/>
          <w14:textFill>
            <w14:solidFill>
              <w14:schemeClr w14:val="tx1"/>
            </w14:solidFill>
          </w14:textFill>
        </w:rPr>
        <w:t>20 迟交的投标文件</w:t>
      </w:r>
      <w:bookmarkEnd w:id="198"/>
      <w:bookmarkEnd w:id="199"/>
      <w:bookmarkEnd w:id="200"/>
      <w:bookmarkEnd w:id="201"/>
      <w:bookmarkEnd w:id="202"/>
      <w:bookmarkEnd w:id="203"/>
      <w:bookmarkEnd w:id="204"/>
    </w:p>
    <w:p w14:paraId="34F9A8CD">
      <w:pPr>
        <w:autoSpaceDE w:val="0"/>
        <w:autoSpaceDN w:val="0"/>
        <w:adjustRightInd w:val="0"/>
        <w:spacing w:line="360" w:lineRule="auto"/>
        <w:ind w:firstLine="315" w:firstLineChars="1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根据第19条规定，招标代理机构将拒绝任何晚于递交投标文件的截止时间交到的投标文件。</w:t>
      </w:r>
    </w:p>
    <w:p w14:paraId="411E86BE">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B613A6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05" w:name="_Toc2385"/>
      <w:bookmarkStart w:id="206" w:name="_Toc486167686"/>
      <w:bookmarkStart w:id="207" w:name="_Toc16964"/>
      <w:bookmarkStart w:id="208" w:name="_Toc142508336"/>
      <w:bookmarkStart w:id="209" w:name="_Toc4883_WPSOffice_Level3"/>
      <w:bookmarkStart w:id="210" w:name="_Toc15452"/>
      <w:bookmarkStart w:id="211" w:name="_Toc450662871"/>
      <w:r>
        <w:rPr>
          <w:rFonts w:hint="eastAsia" w:ascii="宋体" w:hAnsi="宋体" w:eastAsia="宋体" w:cs="宋体"/>
          <w:color w:val="000000" w:themeColor="text1"/>
          <w:szCs w:val="21"/>
          <w:highlight w:val="none"/>
          <w:lang w:val="zh-CN"/>
          <w14:textFill>
            <w14:solidFill>
              <w14:schemeClr w14:val="tx1"/>
            </w14:solidFill>
          </w14:textFill>
        </w:rPr>
        <w:t>21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投标文件的修改和撤回</w:t>
      </w:r>
      <w:bookmarkEnd w:id="205"/>
      <w:bookmarkEnd w:id="206"/>
      <w:bookmarkEnd w:id="207"/>
      <w:bookmarkEnd w:id="208"/>
      <w:bookmarkEnd w:id="209"/>
      <w:bookmarkEnd w:id="210"/>
      <w:bookmarkEnd w:id="211"/>
    </w:p>
    <w:p w14:paraId="17C2534B">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投标人在提交投标文件后可对其投标文件进行修改或撤回，但招标代理机构须在提交投标文件截止日期前收到该修改或撤回的书面通知。</w:t>
      </w:r>
    </w:p>
    <w:p w14:paraId="7260BE00">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color w:val="000000" w:themeColor="text1"/>
          <w:szCs w:val="21"/>
          <w:highlight w:val="none"/>
          <w:lang w:val="zh-CN"/>
          <w14:textFill>
            <w14:solidFill>
              <w14:schemeClr w14:val="tx1"/>
            </w14:solidFill>
          </w14:textFill>
        </w:rPr>
        <w:t>投标人对投标文件的修改或撤回的通知应按第</w:t>
      </w:r>
      <w:r>
        <w:rPr>
          <w:rFonts w:ascii="宋体" w:hAnsi="宋体" w:eastAsia="宋体" w:cs="Times New Roman"/>
          <w:color w:val="000000" w:themeColor="text1"/>
          <w:szCs w:val="21"/>
          <w:highlight w:val="none"/>
          <w:lang w:val="zh-CN"/>
          <w14:textFill>
            <w14:solidFill>
              <w14:schemeClr w14:val="tx1"/>
            </w14:solidFill>
          </w14:textFill>
        </w:rPr>
        <w:t>17</w:t>
      </w:r>
      <w:r>
        <w:rPr>
          <w:rFonts w:hint="eastAsia" w:ascii="宋体" w:hAnsi="宋体" w:eastAsia="宋体" w:cs="Times New Roman"/>
          <w:color w:val="000000" w:themeColor="text1"/>
          <w:szCs w:val="21"/>
          <w:highlight w:val="none"/>
          <w:lang w:val="zh-CN"/>
          <w14:textFill>
            <w14:solidFill>
              <w14:schemeClr w14:val="tx1"/>
            </w14:solidFill>
          </w14:textFill>
        </w:rPr>
        <w:t>条和第18条规定进行准备、密封、标注和递送</w:t>
      </w:r>
      <w:r>
        <w:rPr>
          <w:rFonts w:hint="eastAsia" w:ascii="宋体" w:hAnsi="宋体" w:eastAsia="宋体" w:cs="宋体"/>
          <w:color w:val="000000" w:themeColor="text1"/>
          <w:szCs w:val="21"/>
          <w:highlight w:val="none"/>
          <w:lang w:val="zh-CN"/>
          <w14:textFill>
            <w14:solidFill>
              <w14:schemeClr w14:val="tx1"/>
            </w14:solidFill>
          </w14:textFill>
        </w:rPr>
        <w:t>。</w:t>
      </w:r>
    </w:p>
    <w:p w14:paraId="4E065B4D">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递交投标文件截止时间后不得修改投标文件。</w:t>
      </w:r>
    </w:p>
    <w:p w14:paraId="54E2D9DF">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投标人不得在递交投标文件截止时间起至第16条规定的投标文件有效期期满前撤销投标文件。否则招标</w:t>
      </w:r>
      <w:r>
        <w:rPr>
          <w:rFonts w:hint="eastAsia" w:ascii="宋体" w:hAnsi="宋体" w:eastAsia="宋体" w:cs="宋体"/>
          <w:color w:val="000000" w:themeColor="text1"/>
          <w:szCs w:val="21"/>
          <w:highlight w:val="none"/>
          <w:lang w:val="en-US" w:eastAsia="zh-CN"/>
          <w14:textFill>
            <w14:solidFill>
              <w14:schemeClr w14:val="tx1"/>
            </w14:solidFill>
          </w14:textFill>
        </w:rPr>
        <w:t>人</w:t>
      </w:r>
      <w:r>
        <w:rPr>
          <w:rFonts w:hint="eastAsia" w:ascii="宋体" w:hAnsi="宋体" w:eastAsia="宋体" w:cs="宋体"/>
          <w:color w:val="000000" w:themeColor="text1"/>
          <w:szCs w:val="21"/>
          <w:highlight w:val="none"/>
          <w:lang w:val="zh-CN"/>
          <w14:textFill>
            <w14:solidFill>
              <w14:schemeClr w14:val="tx1"/>
            </w14:solidFill>
          </w14:textFill>
        </w:rPr>
        <w:t>将按第15.7款（1）规定不予退还其投标保证金。</w:t>
      </w:r>
    </w:p>
    <w:p w14:paraId="7A1426B0">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73BCDEEA">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12" w:name="_Toc486167687"/>
      <w:bookmarkStart w:id="213" w:name="_Toc450662872"/>
      <w:bookmarkStart w:id="214" w:name="_Toc140596896"/>
      <w:bookmarkStart w:id="215" w:name="_Toc8258"/>
      <w:bookmarkStart w:id="216" w:name="_Toc27648"/>
      <w:bookmarkStart w:id="217" w:name="_Toc1049_WPSOffice_Level2"/>
      <w:bookmarkStart w:id="218" w:name="_Toc142508337"/>
      <w:bookmarkStart w:id="219" w:name="_Toc6702"/>
      <w:r>
        <w:rPr>
          <w:rFonts w:hint="eastAsia" w:ascii="宋体" w:hAnsi="宋体" w:eastAsia="宋体" w:cs="宋体"/>
          <w:b/>
          <w:bCs/>
          <w:color w:val="000000" w:themeColor="text1"/>
          <w:kern w:val="44"/>
          <w:szCs w:val="21"/>
          <w:highlight w:val="none"/>
          <w:lang w:val="zh-CN"/>
          <w14:textFill>
            <w14:solidFill>
              <w14:schemeClr w14:val="tx1"/>
            </w14:solidFill>
          </w14:textFill>
        </w:rPr>
        <w:t>五、开标与评标</w:t>
      </w:r>
      <w:bookmarkEnd w:id="212"/>
      <w:bookmarkEnd w:id="213"/>
      <w:bookmarkEnd w:id="214"/>
      <w:bookmarkEnd w:id="215"/>
      <w:bookmarkEnd w:id="216"/>
      <w:bookmarkEnd w:id="217"/>
      <w:bookmarkEnd w:id="218"/>
      <w:bookmarkEnd w:id="219"/>
    </w:p>
    <w:p w14:paraId="345CE87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20" w:name="_Toc29881"/>
      <w:bookmarkStart w:id="221" w:name="_Toc142508338"/>
      <w:bookmarkStart w:id="222" w:name="_Toc450662873"/>
      <w:bookmarkStart w:id="223" w:name="_Toc144_WPSOffice_Level3"/>
      <w:bookmarkStart w:id="224" w:name="_Toc486167688"/>
      <w:bookmarkStart w:id="225" w:name="_Toc28897"/>
      <w:bookmarkStart w:id="226" w:name="_Toc7200"/>
      <w:r>
        <w:rPr>
          <w:rFonts w:hint="eastAsia" w:ascii="宋体" w:hAnsi="宋体" w:eastAsia="宋体" w:cs="宋体"/>
          <w:color w:val="000000" w:themeColor="text1"/>
          <w:szCs w:val="21"/>
          <w:highlight w:val="none"/>
          <w:lang w:val="zh-CN"/>
          <w14:textFill>
            <w14:solidFill>
              <w14:schemeClr w14:val="tx1"/>
            </w14:solidFill>
          </w14:textFill>
        </w:rPr>
        <w:t>22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开标</w:t>
      </w:r>
      <w:bookmarkEnd w:id="220"/>
      <w:bookmarkEnd w:id="221"/>
      <w:bookmarkEnd w:id="222"/>
      <w:bookmarkEnd w:id="223"/>
      <w:bookmarkEnd w:id="224"/>
      <w:bookmarkEnd w:id="225"/>
      <w:bookmarkEnd w:id="226"/>
    </w:p>
    <w:p w14:paraId="5E6425A1">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招标代理机构在投标人代表自愿出席的情况下，在第一篇“招标公告”规定的地点和时间开标，出席代表需登记以示出席。</w:t>
      </w:r>
    </w:p>
    <w:p w14:paraId="36D7785E">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按照第21条规定，提交了可接受的“撤回”通知的投标文件将不予开封。</w:t>
      </w:r>
    </w:p>
    <w:p w14:paraId="6DAD77B0">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000000" w:themeColor="text1"/>
          <w:szCs w:val="21"/>
          <w:highlight w:val="none"/>
          <w:lang w:val="en-US" w:eastAsia="zh-CN"/>
          <w14:textFill>
            <w14:solidFill>
              <w14:schemeClr w14:val="tx1"/>
            </w14:solidFill>
          </w14:textFill>
        </w:rPr>
        <w:t>当</w:t>
      </w:r>
      <w:r>
        <w:rPr>
          <w:rFonts w:hint="eastAsia" w:ascii="宋体" w:hAnsi="宋体" w:eastAsia="宋体" w:cs="宋体"/>
          <w:color w:val="000000" w:themeColor="text1"/>
          <w:szCs w:val="21"/>
          <w:highlight w:val="none"/>
          <w:lang w:val="zh-CN"/>
          <w14:textFill>
            <w14:solidFill>
              <w14:schemeClr w14:val="tx1"/>
            </w14:solidFill>
          </w14:textFill>
        </w:rPr>
        <w:t>场核查确认之后，可重新宣读其投标文件</w:t>
      </w:r>
      <w:r>
        <w:rPr>
          <w:rFonts w:hint="eastAsia" w:ascii="宋体" w:hAnsi="宋体" w:eastAsia="宋体" w:cs="宋体"/>
          <w:color w:val="000000" w:themeColor="text1"/>
          <w:szCs w:val="21"/>
          <w:highlight w:val="none"/>
          <w:lang w:val="en-US" w:eastAsia="zh-CN"/>
          <w14:textFill>
            <w14:solidFill>
              <w14:schemeClr w14:val="tx1"/>
            </w14:solidFill>
          </w14:textFill>
        </w:rPr>
        <w:t>相关内容</w:t>
      </w:r>
      <w:r>
        <w:rPr>
          <w:rFonts w:hint="eastAsia" w:ascii="宋体" w:hAnsi="宋体" w:eastAsia="宋体" w:cs="宋体"/>
          <w:color w:val="000000" w:themeColor="text1"/>
          <w:szCs w:val="21"/>
          <w:highlight w:val="none"/>
          <w:lang w:val="zh-CN"/>
          <w14:textFill>
            <w14:solidFill>
              <w14:schemeClr w14:val="tx1"/>
            </w14:solidFill>
          </w14:textFill>
        </w:rPr>
        <w:t>。若投标人现场未提出异议，则视为投标人确认宣读的结果。</w:t>
      </w:r>
    </w:p>
    <w:p w14:paraId="09237D6C">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当以数字表示的报价系数与以文字表示的报价系数不一致时，以文字表示的报价系数为准。对不同文字文本投标文件的解释发生异议的，以中文文本为准。</w:t>
      </w:r>
    </w:p>
    <w:p w14:paraId="613AFD85">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22.5 投标人对开标有异议的，应当在开标现场提出，招标代理机构应当当场作出答复，并制作记录。投标人法定代表人或其授权代表未出席的，视同认可开标结果。</w:t>
      </w:r>
    </w:p>
    <w:p w14:paraId="1E75C555">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22.6 招标代理机构将做开标记录，开标记录包括第22.5款发生的异议及答复、按第22.3款的规定在开标时宣读的全部内容。</w:t>
      </w:r>
    </w:p>
    <w:p w14:paraId="3823EE38">
      <w:pPr>
        <w:autoSpaceDE w:val="0"/>
        <w:autoSpaceDN w:val="0"/>
        <w:adjustRightInd w:val="0"/>
        <w:spacing w:line="360" w:lineRule="auto"/>
        <w:ind w:left="357" w:leftChars="-100" w:right="15" w:rightChars="7" w:hanging="567"/>
        <w:rPr>
          <w:rFonts w:ascii="宋体" w:hAnsi="宋体" w:eastAsia="宋体" w:cs="宋体"/>
          <w:color w:val="000000" w:themeColor="text1"/>
          <w:kern w:val="0"/>
          <w:szCs w:val="21"/>
          <w:highlight w:val="none"/>
          <w14:textFill>
            <w14:solidFill>
              <w14:schemeClr w14:val="tx1"/>
            </w14:solidFill>
          </w14:textFill>
        </w:rPr>
      </w:pPr>
    </w:p>
    <w:p w14:paraId="1FAFFEF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27" w:name="_Toc3038"/>
      <w:bookmarkStart w:id="228" w:name="_Toc142508339"/>
      <w:bookmarkStart w:id="229" w:name="_Toc12165_WPSOffice_Level3"/>
      <w:bookmarkStart w:id="230" w:name="_Toc450662874"/>
      <w:bookmarkStart w:id="231" w:name="_Toc2038"/>
      <w:bookmarkStart w:id="232" w:name="_Toc11072"/>
      <w:bookmarkStart w:id="233" w:name="_Toc486167689"/>
      <w:r>
        <w:rPr>
          <w:rFonts w:hint="eastAsia" w:ascii="宋体" w:hAnsi="宋体" w:eastAsia="宋体" w:cs="宋体"/>
          <w:color w:val="000000" w:themeColor="text1"/>
          <w:szCs w:val="21"/>
          <w:highlight w:val="none"/>
          <w:lang w:val="zh-CN"/>
          <w14:textFill>
            <w14:solidFill>
              <w14:schemeClr w14:val="tx1"/>
            </w14:solidFill>
          </w14:textFill>
        </w:rPr>
        <w:t>23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bookmarkEnd w:id="227"/>
      <w:bookmarkEnd w:id="228"/>
      <w:bookmarkEnd w:id="229"/>
      <w:bookmarkEnd w:id="230"/>
      <w:bookmarkEnd w:id="231"/>
      <w:bookmarkEnd w:id="232"/>
      <w:bookmarkEnd w:id="233"/>
    </w:p>
    <w:p w14:paraId="2168E7FC">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递交投标文件后，</w:t>
      </w:r>
      <w:r>
        <w:rPr>
          <w:rFonts w:hint="eastAsia" w:ascii="宋体" w:hAnsi="宋体" w:eastAsia="宋体" w:cs="Times New Roman"/>
          <w:color w:val="000000" w:themeColor="text1"/>
          <w:szCs w:val="21"/>
          <w:highlight w:val="none"/>
          <w:lang w:val="zh-CN"/>
          <w14:textFill>
            <w14:solidFill>
              <w14:schemeClr w14:val="tx1"/>
            </w14:solidFill>
          </w14:textFill>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000000" w:themeColor="text1"/>
          <w:szCs w:val="21"/>
          <w:highlight w:val="none"/>
          <w:lang w:val="zh-CN"/>
          <w14:textFill>
            <w14:solidFill>
              <w14:schemeClr w14:val="tx1"/>
            </w14:solidFill>
          </w14:textFill>
        </w:rPr>
        <w:t>。</w:t>
      </w:r>
    </w:p>
    <w:p w14:paraId="17449F3C">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在评标过程中，如果投标人试图在投标文件审查、澄清、比较及授予合同方面向招标代理机构和招标人施加任何影响，其投标文件将被拒绝。</w:t>
      </w:r>
    </w:p>
    <w:p w14:paraId="6A2F3EDD">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6B414B3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34" w:name="_Toc3748"/>
      <w:bookmarkStart w:id="235" w:name="_Toc486167690"/>
      <w:bookmarkStart w:id="236" w:name="_Toc450662875"/>
      <w:bookmarkStart w:id="237" w:name="_Toc142508340"/>
      <w:bookmarkStart w:id="238" w:name="_Toc833"/>
      <w:bookmarkStart w:id="239" w:name="_Toc15565_WPSOffice_Level3"/>
      <w:bookmarkStart w:id="240" w:name="_Toc27845"/>
      <w:r>
        <w:rPr>
          <w:rFonts w:hint="eastAsia" w:ascii="宋体" w:hAnsi="宋体" w:eastAsia="宋体" w:cs="宋体"/>
          <w:color w:val="000000" w:themeColor="text1"/>
          <w:szCs w:val="21"/>
          <w:highlight w:val="none"/>
          <w:lang w:val="zh-CN"/>
          <w14:textFill>
            <w14:solidFill>
              <w14:schemeClr w14:val="tx1"/>
            </w14:solidFill>
          </w14:textFill>
        </w:rPr>
        <w:t>24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评标委员会</w:t>
      </w:r>
      <w:bookmarkEnd w:id="234"/>
      <w:bookmarkEnd w:id="235"/>
      <w:bookmarkEnd w:id="236"/>
      <w:bookmarkEnd w:id="237"/>
      <w:bookmarkEnd w:id="238"/>
      <w:bookmarkEnd w:id="239"/>
      <w:bookmarkEnd w:id="240"/>
    </w:p>
    <w:p w14:paraId="0C6CF889">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依法组建评标委员会。评标委员会的成员在评审过程中必须严格遵守国家及地方招标投标的有关规定。</w:t>
      </w:r>
    </w:p>
    <w:p w14:paraId="57AE4CDB">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评标委员会依法根据招标文件的规定，进行投标文件的评审、得出评审结果，并向招标人推荐中标候选人。</w:t>
      </w:r>
    </w:p>
    <w:p w14:paraId="020091C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02033E8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241" w:name="_Toc830"/>
      <w:bookmarkStart w:id="242" w:name="_Toc486167691"/>
      <w:bookmarkStart w:id="243" w:name="_Toc142508341"/>
      <w:bookmarkStart w:id="244" w:name="_Toc450662876"/>
      <w:bookmarkStart w:id="245" w:name="_Toc28910_WPSOffice_Level3"/>
      <w:bookmarkStart w:id="246" w:name="_Toc31399"/>
      <w:bookmarkStart w:id="247" w:name="_Toc27432"/>
      <w:r>
        <w:rPr>
          <w:rFonts w:hint="eastAsia" w:ascii="宋体" w:hAnsi="宋体" w:eastAsia="宋体" w:cs="宋体"/>
          <w:b/>
          <w:color w:val="000000" w:themeColor="text1"/>
          <w:szCs w:val="21"/>
          <w:highlight w:val="none"/>
          <w:lang w:val="zh-CN"/>
          <w14:textFill>
            <w14:solidFill>
              <w14:schemeClr w14:val="tx1"/>
            </w14:solidFill>
          </w14:textFill>
        </w:rPr>
        <w:t>25</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投标文件的初审</w:t>
      </w:r>
      <w:bookmarkEnd w:id="241"/>
      <w:bookmarkEnd w:id="242"/>
      <w:bookmarkEnd w:id="243"/>
      <w:bookmarkEnd w:id="244"/>
      <w:bookmarkEnd w:id="245"/>
      <w:bookmarkEnd w:id="246"/>
      <w:bookmarkEnd w:id="247"/>
    </w:p>
    <w:p w14:paraId="0E71C80E">
      <w:pPr>
        <w:autoSpaceDE w:val="0"/>
        <w:autoSpaceDN w:val="0"/>
        <w:adjustRightInd w:val="0"/>
        <w:spacing w:line="360" w:lineRule="auto"/>
        <w:ind w:left="357" w:leftChars="-100" w:hanging="56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25.1 资格性检查：依据法律法规和招标文件的规定，对投标文件中的资格证明、投标保证金等进行审查，以确定投标人是否具备投标资格。</w:t>
      </w:r>
    </w:p>
    <w:p w14:paraId="0F6C2F14">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25.2 符合性检查：依据招标文件的规定，从投标文件的有效性、完整性和对招标文件的响应程度进行审查，以确定是否对招标文件的实质性要求作出响应。</w:t>
      </w:r>
    </w:p>
    <w:p w14:paraId="1E5F63AA">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p>
    <w:p w14:paraId="4FB9B1AA">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48" w:name="_Toc10130"/>
      <w:bookmarkStart w:id="249" w:name="_Toc142508342"/>
      <w:bookmarkStart w:id="250" w:name="_Toc486167692"/>
      <w:bookmarkStart w:id="251" w:name="_Toc450662877"/>
      <w:bookmarkStart w:id="252" w:name="_Toc338_WPSOffice_Level3"/>
      <w:bookmarkStart w:id="253" w:name="_Toc9436"/>
      <w:bookmarkStart w:id="254" w:name="_Toc10413"/>
      <w:r>
        <w:rPr>
          <w:rFonts w:hint="eastAsia" w:ascii="宋体" w:hAnsi="宋体" w:eastAsia="宋体" w:cs="宋体"/>
          <w:color w:val="000000" w:themeColor="text1"/>
          <w:szCs w:val="21"/>
          <w:highlight w:val="none"/>
          <w:lang w:val="zh-CN"/>
          <w14:textFill>
            <w14:solidFill>
              <w14:schemeClr w14:val="tx1"/>
            </w14:solidFill>
          </w14:textFill>
        </w:rPr>
        <w:t>26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投标文件的澄清</w:t>
      </w:r>
      <w:bookmarkEnd w:id="248"/>
      <w:bookmarkEnd w:id="249"/>
      <w:bookmarkEnd w:id="250"/>
      <w:bookmarkEnd w:id="251"/>
      <w:bookmarkEnd w:id="252"/>
      <w:bookmarkEnd w:id="253"/>
      <w:bookmarkEnd w:id="254"/>
    </w:p>
    <w:p w14:paraId="69EEAEAA">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3B31E9E1">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bookmarkStart w:id="255" w:name="_Toc450662879"/>
      <w:r>
        <w:rPr>
          <w:rFonts w:hint="eastAsia" w:ascii="宋体" w:hAnsi="宋体" w:eastAsia="宋体" w:cs="宋体"/>
          <w:color w:val="000000" w:themeColor="text1"/>
          <w:szCs w:val="21"/>
          <w:highlight w:val="none"/>
          <w:lang w:val="zh-CN"/>
          <w14:textFill>
            <w14:solidFill>
              <w14:schemeClr w14:val="tx1"/>
            </w14:solidFill>
          </w14:textFill>
        </w:rPr>
        <w:t xml:space="preserve">26.2 </w:t>
      </w:r>
      <w:r>
        <w:rPr>
          <w:rFonts w:hint="eastAsia" w:ascii="宋体" w:hAnsi="宋体" w:eastAsia="宋体" w:cs="宋体"/>
          <w:color w:val="000000" w:themeColor="text1"/>
          <w:szCs w:val="21"/>
          <w:highlight w:val="none"/>
          <w:lang w:val="en-US" w:eastAsia="zh-CN"/>
          <w14:textFill>
            <w14:solidFill>
              <w14:schemeClr w14:val="tx1"/>
            </w14:solidFill>
          </w14:textFill>
        </w:rPr>
        <w:t>开标当天</w:t>
      </w:r>
      <w:r>
        <w:rPr>
          <w:rFonts w:hint="eastAsia" w:ascii="宋体" w:hAnsi="宋体" w:eastAsia="宋体" w:cs="宋体"/>
          <w:color w:val="000000" w:themeColor="text1"/>
          <w:szCs w:val="21"/>
          <w:highlight w:val="none"/>
          <w:lang w:val="zh-CN"/>
          <w14:textFill>
            <w14:solidFill>
              <w14:schemeClr w14:val="tx1"/>
            </w14:solidFill>
          </w14:textFill>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55"/>
    <w:p w14:paraId="1F2075FD">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000000" w:themeColor="text1"/>
          <w:szCs w:val="21"/>
          <w:highlight w:val="none"/>
          <w:lang w:val="zh-CN"/>
          <w14:textFill>
            <w14:solidFill>
              <w14:schemeClr w14:val="tx1"/>
            </w14:solidFill>
          </w14:textFill>
        </w:rPr>
      </w:pPr>
      <w:bookmarkStart w:id="256" w:name="_Toc521918096"/>
      <w:bookmarkStart w:id="257" w:name="_Toc522047355"/>
      <w:bookmarkStart w:id="258" w:name="_Toc142508343"/>
      <w:bookmarkStart w:id="259" w:name="_Toc18368_WPSOffice_Level3"/>
    </w:p>
    <w:p w14:paraId="4B6F1D0F">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0" w:name="_Toc15022"/>
      <w:bookmarkStart w:id="261" w:name="_Toc26392"/>
      <w:bookmarkStart w:id="262" w:name="_Toc12870"/>
      <w:r>
        <w:rPr>
          <w:rFonts w:hint="eastAsia" w:ascii="宋体" w:hAnsi="宋体" w:eastAsia="宋体" w:cs="宋体"/>
          <w:color w:val="000000" w:themeColor="text1"/>
          <w:szCs w:val="21"/>
          <w:highlight w:val="none"/>
          <w:lang w:val="zh-CN"/>
          <w14:textFill>
            <w14:solidFill>
              <w14:schemeClr w14:val="tx1"/>
            </w14:solidFill>
          </w14:textFill>
        </w:rPr>
        <w:t>27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对投标文件的比较和评价</w:t>
      </w:r>
      <w:bookmarkEnd w:id="256"/>
      <w:bookmarkEnd w:id="257"/>
      <w:bookmarkEnd w:id="258"/>
      <w:bookmarkEnd w:id="259"/>
      <w:bookmarkEnd w:id="260"/>
      <w:bookmarkEnd w:id="261"/>
      <w:bookmarkEnd w:id="262"/>
    </w:p>
    <w:p w14:paraId="7DDE7C46">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评标委员会将对资格性检查和符合性检查合格的投标文件进行比较和评价，包括商务、技术和价格的详细评审。</w:t>
      </w:r>
    </w:p>
    <w:p w14:paraId="37889E0C">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对投标文件商务的评审详见评标工作大纲。</w:t>
      </w:r>
    </w:p>
    <w:p w14:paraId="0641FB7F">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对投标文件技术的评审详见评标工作大纲。</w:t>
      </w:r>
    </w:p>
    <w:p w14:paraId="452CD588">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对投标价格的评审详见评标工作大纲。</w:t>
      </w:r>
    </w:p>
    <w:p w14:paraId="71D52D8E">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本次评标的评分权重详见评标工作大纲。</w:t>
      </w:r>
    </w:p>
    <w:p w14:paraId="31177EFF">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根据上述商务、技术及价格综合评价的权重分配计算出各投标人的综合得分。</w:t>
      </w:r>
    </w:p>
    <w:p w14:paraId="16FD88C9">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263" w:name="_Toc521918097"/>
      <w:bookmarkStart w:id="264" w:name="_Toc522047356"/>
    </w:p>
    <w:p w14:paraId="0BCE8B7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5" w:name="_Toc31279"/>
      <w:bookmarkStart w:id="266" w:name="_Toc142508344"/>
      <w:bookmarkStart w:id="267" w:name="_Toc19057"/>
      <w:bookmarkStart w:id="268" w:name="_Toc18255"/>
      <w:bookmarkStart w:id="269" w:name="_Toc21460_WPSOffice_Level3"/>
      <w:r>
        <w:rPr>
          <w:rFonts w:hint="eastAsia" w:ascii="宋体" w:hAnsi="宋体" w:eastAsia="宋体" w:cs="宋体"/>
          <w:color w:val="000000" w:themeColor="text1"/>
          <w:szCs w:val="21"/>
          <w:highlight w:val="none"/>
          <w:lang w:val="zh-CN"/>
          <w14:textFill>
            <w14:solidFill>
              <w14:schemeClr w14:val="tx1"/>
            </w14:solidFill>
          </w14:textFill>
        </w:rPr>
        <w:t>28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评标原则及方法</w:t>
      </w:r>
      <w:bookmarkEnd w:id="263"/>
      <w:bookmarkEnd w:id="264"/>
      <w:bookmarkEnd w:id="265"/>
      <w:bookmarkEnd w:id="266"/>
      <w:bookmarkEnd w:id="267"/>
      <w:bookmarkEnd w:id="268"/>
      <w:bookmarkEnd w:id="269"/>
    </w:p>
    <w:p w14:paraId="3E4EA7A1">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对所有投标文件的评审，都采用相同的程序和标准。按步骤先进行初步评审，再进行商务、技术、价格评审。</w:t>
      </w:r>
    </w:p>
    <w:p w14:paraId="0CEAC532">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28.2 评标严格按照招标文件的要求和条件进行。</w:t>
      </w:r>
    </w:p>
    <w:p w14:paraId="1460E9C3">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在评标时将根据第27</w:t>
      </w:r>
      <w:r>
        <w:rPr>
          <w:rFonts w:hint="eastAsia" w:ascii="宋体" w:hAnsi="宋体" w:eastAsia="宋体" w:cs="Times New Roman"/>
          <w:color w:val="000000" w:themeColor="text1"/>
          <w:szCs w:val="21"/>
          <w:highlight w:val="none"/>
          <w:lang w:val="zh-CN"/>
          <w14:textFill>
            <w14:solidFill>
              <w14:schemeClr w14:val="tx1"/>
            </w14:solidFill>
          </w14:textFill>
        </w:rPr>
        <w:t>条</w:t>
      </w:r>
      <w:r>
        <w:rPr>
          <w:rFonts w:hint="eastAsia" w:ascii="宋体" w:hAnsi="宋体" w:eastAsia="宋体" w:cs="宋体"/>
          <w:color w:val="000000" w:themeColor="text1"/>
          <w:szCs w:val="21"/>
          <w:highlight w:val="none"/>
          <w:lang w:val="zh-CN"/>
          <w14:textFill>
            <w14:solidFill>
              <w14:schemeClr w14:val="tx1"/>
            </w14:solidFill>
          </w14:textFill>
        </w:rPr>
        <w:t>，采用综合评分法的评审方法，对所有实质响应性投标文件进行综合打分。</w:t>
      </w:r>
    </w:p>
    <w:p w14:paraId="4C42A95D">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28.3 </w:t>
      </w:r>
      <w:r>
        <w:rPr>
          <w:rFonts w:hint="eastAsia" w:ascii="宋体" w:hAnsi="宋体" w:eastAsia="宋体" w:cs="宋体"/>
          <w:b/>
          <w:bCs/>
          <w:color w:val="000000" w:themeColor="text1"/>
          <w:szCs w:val="21"/>
          <w:highlight w:val="none"/>
          <w:lang w:val="zh-CN"/>
          <w14:textFill>
            <w14:solidFill>
              <w14:schemeClr w14:val="tx1"/>
            </w14:solidFill>
          </w14:textFill>
        </w:rPr>
        <w:t>（1）若本次招标过程中，参与投标的投标人不足3个时，本项目公开招标失败。</w:t>
      </w:r>
    </w:p>
    <w:p w14:paraId="4D0695AC">
      <w:pPr>
        <w:autoSpaceDE w:val="0"/>
        <w:autoSpaceDN w:val="0"/>
        <w:adjustRightInd w:val="0"/>
        <w:spacing w:line="360" w:lineRule="auto"/>
        <w:ind w:left="319" w:leftChars="82" w:hanging="147" w:hangingChars="70"/>
        <w:rPr>
          <w:rFonts w:hint="eastAsia"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szCs w:val="21"/>
          <w:highlight w:val="none"/>
          <w:lang w:val="zh-CN"/>
          <w14:textFill>
            <w14:solidFill>
              <w14:schemeClr w14:val="tx1"/>
            </w14:solidFill>
          </w14:textFill>
        </w:rPr>
        <w:t>（2）当参与投标的投标人不少于3个，经评标委员会评审，有效投标人只有2个时，经评标委员会对招标文件进行论证，招标文件没有不合理条款、招标程序符合规定的，本项目将根据招标文件附件一 评标工作大纲的要求继续进行评审；当有效投标人只有1个时，本项目公开招标失败。</w:t>
      </w:r>
    </w:p>
    <w:p w14:paraId="3BC348EA">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p>
    <w:p w14:paraId="0146E0FA">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70" w:name="_Toc15841"/>
      <w:bookmarkStart w:id="271" w:name="_Toc142508345"/>
      <w:bookmarkStart w:id="272" w:name="_Toc465358969"/>
      <w:bookmarkStart w:id="273" w:name="_Toc12474"/>
      <w:bookmarkStart w:id="274" w:name="_Toc486167694"/>
      <w:bookmarkStart w:id="275" w:name="_Toc466882017"/>
      <w:bookmarkStart w:id="276" w:name="_Toc32498_WPSOffice_Level3"/>
      <w:bookmarkStart w:id="277" w:name="_Toc25047"/>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w:t>
      </w:r>
      <w:r>
        <w:rPr>
          <w:rFonts w:hint="eastAsia" w:ascii="宋体" w:hAnsi="宋体" w:eastAsia="宋体" w:cs="Times New Roman"/>
          <w:color w:val="000000" w:themeColor="text1"/>
          <w:szCs w:val="21"/>
          <w:highlight w:val="none"/>
          <w:lang w:val="zh-CN"/>
          <w14:textFill>
            <w14:solidFill>
              <w14:schemeClr w14:val="tx1"/>
            </w14:solidFill>
          </w14:textFill>
        </w:rPr>
        <w:t>示</w:t>
      </w:r>
      <w:r>
        <w:rPr>
          <w:rFonts w:hint="eastAsia" w:ascii="宋体" w:hAnsi="宋体" w:eastAsia="宋体" w:cs="宋体"/>
          <w:color w:val="000000" w:themeColor="text1"/>
          <w:szCs w:val="21"/>
          <w:highlight w:val="none"/>
          <w:lang w:val="zh-CN"/>
          <w14:textFill>
            <w14:solidFill>
              <w14:schemeClr w14:val="tx1"/>
            </w14:solidFill>
          </w14:textFill>
        </w:rPr>
        <w:t>及异议、投诉</w:t>
      </w:r>
      <w:bookmarkEnd w:id="270"/>
      <w:bookmarkEnd w:id="271"/>
      <w:bookmarkEnd w:id="272"/>
      <w:bookmarkEnd w:id="273"/>
      <w:bookmarkEnd w:id="274"/>
      <w:bookmarkEnd w:id="275"/>
      <w:bookmarkEnd w:id="276"/>
      <w:bookmarkEnd w:id="277"/>
    </w:p>
    <w:p w14:paraId="460F28C9">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000000" w:themeColor="text1"/>
          <w:szCs w:val="21"/>
          <w:highlight w:val="none"/>
          <w14:textFill>
            <w14:solidFill>
              <w14:schemeClr w14:val="tx1"/>
            </w14:solidFill>
          </w14:textFill>
        </w:rPr>
        <w:t>评标结果</w:t>
      </w:r>
      <w:r>
        <w:rPr>
          <w:rFonts w:hint="eastAsia" w:ascii="宋体" w:hAnsi="宋体" w:eastAsia="宋体" w:cs="Times New Roman"/>
          <w:color w:val="000000" w:themeColor="text1"/>
          <w:szCs w:val="21"/>
          <w:highlight w:val="none"/>
          <w:lang w:val="zh-CN"/>
          <w14:textFill>
            <w14:solidFill>
              <w14:schemeClr w14:val="tx1"/>
            </w14:solidFill>
          </w14:textFill>
        </w:rPr>
        <w:t>公示期间向招标代理机构以书面的形式提出，</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将完整的异议书面材料原件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对评标结果无异议。超出提交异议截止时间而提出的任何疑问，招标代理机构可不予答复</w:t>
      </w:r>
      <w:r>
        <w:rPr>
          <w:rFonts w:hint="eastAsia" w:ascii="宋体" w:hAnsi="宋体" w:eastAsia="宋体" w:cs="宋体"/>
          <w:color w:val="000000" w:themeColor="text1"/>
          <w:szCs w:val="21"/>
          <w:highlight w:val="none"/>
          <w:lang w:val="zh-CN"/>
          <w14:textFill>
            <w14:solidFill>
              <w14:schemeClr w14:val="tx1"/>
            </w14:solidFill>
          </w14:textFill>
        </w:rPr>
        <w:t>。</w:t>
      </w:r>
    </w:p>
    <w:p w14:paraId="55C91F89">
      <w:pPr>
        <w:autoSpaceDE w:val="0"/>
        <w:autoSpaceDN w:val="0"/>
        <w:adjustRightInd w:val="0"/>
        <w:snapToGrid w:val="0"/>
        <w:spacing w:line="360" w:lineRule="auto"/>
        <w:ind w:left="210" w:leftChars="100" w:firstLine="525" w:firstLineChars="2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招标代理机构将拒收未能提供完整异议书面材料的异议，完整的异议书面材料必须同时包含：异议书（加盖法人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，并注明联系人、联系电话、联系地址）、授权提交异议的法定代表人授权书原件、反映异议人主体资格的营业执照复印件（加盖法人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）、以及合法来源的证据证明材料</w:t>
      </w:r>
      <w:r>
        <w:rPr>
          <w:rFonts w:hint="eastAsia" w:ascii="宋体" w:hAnsi="宋体" w:eastAsia="宋体" w:cs="宋体"/>
          <w:color w:val="000000" w:themeColor="text1"/>
          <w:kern w:val="0"/>
          <w:szCs w:val="21"/>
          <w:highlight w:val="none"/>
          <w:lang w:val="zh-CN"/>
          <w14:textFill>
            <w14:solidFill>
              <w14:schemeClr w14:val="tx1"/>
            </w14:solidFill>
          </w14:textFill>
        </w:rPr>
        <w:t>。</w:t>
      </w:r>
    </w:p>
    <w:p w14:paraId="5B212489">
      <w:pPr>
        <w:autoSpaceDE w:val="0"/>
        <w:autoSpaceDN w:val="0"/>
        <w:adjustRightInd w:val="0"/>
        <w:spacing w:line="360" w:lineRule="auto"/>
        <w:ind w:left="284" w:hanging="568"/>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 xml:space="preserve">29.2 </w:t>
      </w:r>
      <w:r>
        <w:rPr>
          <w:rFonts w:hint="eastAsia" w:ascii="宋体" w:hAnsi="宋体" w:eastAsia="宋体" w:cs="Times New Roman"/>
          <w:b/>
          <w:color w:val="000000" w:themeColor="text1"/>
          <w:szCs w:val="21"/>
          <w:highlight w:val="none"/>
          <w:lang w:val="zh-CN"/>
          <w14:textFill>
            <w14:solidFill>
              <w14:schemeClr w14:val="tx1"/>
            </w14:solidFill>
          </w14:textFill>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000000" w:themeColor="text1"/>
          <w:szCs w:val="21"/>
          <w:highlight w:val="none"/>
          <w:lang w:val="zh-CN"/>
          <w14:textFill>
            <w14:solidFill>
              <w14:schemeClr w14:val="tx1"/>
            </w14:solidFill>
          </w14:textFill>
        </w:rPr>
        <w:t>移交司法机关处理</w:t>
      </w:r>
      <w:r>
        <w:rPr>
          <w:rFonts w:hint="eastAsia" w:ascii="宋体" w:hAnsi="宋体" w:eastAsia="宋体" w:cs="Times New Roman"/>
          <w:b/>
          <w:color w:val="000000" w:themeColor="text1"/>
          <w:szCs w:val="21"/>
          <w:highlight w:val="none"/>
          <w:lang w:val="zh-CN"/>
          <w14:textFill>
            <w14:solidFill>
              <w14:schemeClr w14:val="tx1"/>
            </w14:solidFill>
          </w14:textFill>
        </w:rPr>
        <w:t>。</w:t>
      </w:r>
    </w:p>
    <w:p w14:paraId="46C703A7">
      <w:pPr>
        <w:autoSpaceDE w:val="0"/>
        <w:autoSpaceDN w:val="0"/>
        <w:adjustRightInd w:val="0"/>
        <w:snapToGrid w:val="0"/>
        <w:spacing w:line="360" w:lineRule="auto"/>
        <w:ind w:left="246" w:leftChars="117" w:firstLine="422" w:firstLineChars="200"/>
        <w:jc w:val="left"/>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000000" w:themeColor="text1"/>
          <w:kern w:val="0"/>
          <w:szCs w:val="21"/>
          <w:highlight w:val="none"/>
          <w14:textFill>
            <w14:solidFill>
              <w14:schemeClr w14:val="tx1"/>
            </w14:solidFill>
          </w14:textFill>
        </w:rPr>
        <w:t>第一中标候选人未能在招标人（或其委托的招标代理机构</w:t>
      </w:r>
      <w:r>
        <w:rPr>
          <w:rFonts w:ascii="宋体" w:hAnsi="宋体" w:eastAsia="宋体" w:cs="Times New Roman"/>
          <w:b/>
          <w:color w:val="000000" w:themeColor="text1"/>
          <w:kern w:val="0"/>
          <w:szCs w:val="21"/>
          <w:highlight w:val="none"/>
          <w14:textFill>
            <w14:solidFill>
              <w14:schemeClr w14:val="tx1"/>
            </w14:solidFill>
          </w14:textFill>
        </w:rPr>
        <w:t>) 书面要求的时间(一般不少于三个工作日) 内提供完整的材料原件进行核查的</w:t>
      </w:r>
      <w:r>
        <w:rPr>
          <w:rFonts w:hint="eastAsia" w:ascii="宋体" w:hAnsi="宋体" w:eastAsia="宋体" w:cs="Times New Roman"/>
          <w:b/>
          <w:color w:val="000000" w:themeColor="text1"/>
          <w:szCs w:val="21"/>
          <w:highlight w:val="none"/>
          <w:lang w:val="zh-CN"/>
          <w14:textFill>
            <w14:solidFill>
              <w14:schemeClr w14:val="tx1"/>
            </w14:solidFill>
          </w14:textFill>
        </w:rPr>
        <w:t>，视为其无法提供真实的资料，招标人有权取消其中标候选人资格。</w:t>
      </w:r>
    </w:p>
    <w:p w14:paraId="63908423">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2839180E">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（一）投诉人和被投诉人的姓名或者名称、通讯地址、邮编、联系人及联系电话；</w:t>
      </w:r>
    </w:p>
    <w:p w14:paraId="528256AC">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（二）异议和异议答复情况说明及相关证明材料；</w:t>
      </w:r>
    </w:p>
    <w:p w14:paraId="7807D057">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（三）具体、明确的投诉事项和与投诉事项相关的投诉请求；</w:t>
      </w:r>
    </w:p>
    <w:p w14:paraId="4B38D92B">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（四）事实依据；</w:t>
      </w:r>
    </w:p>
    <w:p w14:paraId="698D0F10">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（五）法律依据；</w:t>
      </w:r>
    </w:p>
    <w:p w14:paraId="7BF5DCF3">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（六）提起投诉的日期。</w:t>
      </w:r>
    </w:p>
    <w:p w14:paraId="28F51E81">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投诉人为法人或者其他组织的，应当由法定代表人、主要负责人，或者其授权代表签字或者盖章，并加盖公章。</w:t>
      </w:r>
    </w:p>
    <w:p w14:paraId="281ED5BC">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投诉人投诉的事项不得超出已异议事项的范围，但基于异议答复内容提出的投诉事项除外。</w:t>
      </w:r>
    </w:p>
    <w:p w14:paraId="45A2B97A">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监督部门：东莞市水务环境投资控股集团有限公司，联系人：邓先生，联系电话：0769-28823251。</w:t>
      </w:r>
    </w:p>
    <w:p w14:paraId="038F513A">
      <w:pPr>
        <w:autoSpaceDE w:val="0"/>
        <w:autoSpaceDN w:val="0"/>
        <w:adjustRightInd w:val="0"/>
        <w:snapToGrid w:val="0"/>
        <w:spacing w:line="360" w:lineRule="auto"/>
        <w:ind w:left="296" w:leftChars="100" w:hanging="86" w:hangingChars="41"/>
        <w:jc w:val="left"/>
        <w:rPr>
          <w:rFonts w:ascii="宋体" w:hAnsi="宋体" w:eastAsia="宋体" w:cs="宋体"/>
          <w:color w:val="000000" w:themeColor="text1"/>
          <w:szCs w:val="21"/>
          <w:highlight w:val="none"/>
          <w:lang w:val="zh-CN"/>
          <w14:textFill>
            <w14:solidFill>
              <w14:schemeClr w14:val="tx1"/>
            </w14:solidFill>
          </w14:textFill>
        </w:rPr>
      </w:pPr>
    </w:p>
    <w:p w14:paraId="330C6311">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000000" w:themeColor="text1"/>
          <w:szCs w:val="21"/>
          <w:highlight w:val="none"/>
          <w:lang w:val="zh-CN"/>
          <w14:textFill>
            <w14:solidFill>
              <w14:schemeClr w14:val="tx1"/>
            </w14:solidFill>
          </w14:textFill>
        </w:rPr>
      </w:pPr>
      <w:bookmarkStart w:id="278" w:name="_Toc26138"/>
      <w:bookmarkStart w:id="279" w:name="_Toc18549"/>
      <w:bookmarkStart w:id="280" w:name="_Toc486167695"/>
      <w:bookmarkStart w:id="281" w:name="_Toc142508346"/>
      <w:bookmarkStart w:id="282" w:name="_Toc1848_WPSOffice_Level3"/>
      <w:bookmarkStart w:id="283" w:name="_Toc4325"/>
      <w:bookmarkStart w:id="284" w:name="_Toc466882018"/>
      <w:bookmarkStart w:id="285" w:name="_Toc465358970"/>
      <w:r>
        <w:rPr>
          <w:rFonts w:hint="eastAsia"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 xml:space="preserve"> 真实性审查</w:t>
      </w:r>
      <w:bookmarkEnd w:id="278"/>
      <w:bookmarkEnd w:id="279"/>
      <w:bookmarkEnd w:id="280"/>
      <w:bookmarkEnd w:id="281"/>
      <w:bookmarkEnd w:id="282"/>
      <w:bookmarkEnd w:id="283"/>
      <w:bookmarkEnd w:id="284"/>
      <w:bookmarkEnd w:id="285"/>
    </w:p>
    <w:p w14:paraId="0580B4CA">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30.1 在</w:t>
      </w:r>
      <w:r>
        <w:rPr>
          <w:rFonts w:hint="eastAsia" w:ascii="宋体" w:hAnsi="宋体" w:eastAsia="宋体" w:cs="Times New Roman"/>
          <w:b/>
          <w:color w:val="000000" w:themeColor="text1"/>
          <w:kern w:val="0"/>
          <w:szCs w:val="21"/>
          <w:highlight w:val="none"/>
          <w14:textFill>
            <w14:solidFill>
              <w14:schemeClr w14:val="tx1"/>
            </w14:solidFill>
          </w14:textFill>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000000" w:themeColor="text1"/>
          <w:szCs w:val="21"/>
          <w:highlight w:val="none"/>
          <w:lang w:val="zh-CN"/>
          <w14:textFill>
            <w14:solidFill>
              <w14:schemeClr w14:val="tx1"/>
            </w14:solidFill>
          </w14:textFill>
        </w:rPr>
        <w:t>如有需要，投标人有义务提供投标文件外其他相关证明资料原件（包括但不限于业绩合同对应的发票等）供招标人核查。</w:t>
      </w:r>
      <w:r>
        <w:rPr>
          <w:rFonts w:hint="eastAsia" w:ascii="宋体" w:hAnsi="宋体" w:eastAsia="宋体" w:cs="Times New Roman"/>
          <w:b/>
          <w:color w:val="000000" w:themeColor="text1"/>
          <w:kern w:val="0"/>
          <w:szCs w:val="21"/>
          <w:highlight w:val="none"/>
          <w14:textFill>
            <w14:solidFill>
              <w14:schemeClr w14:val="tx1"/>
            </w14:solidFill>
          </w14:textFill>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0913E3D6">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30.2 投标人</w:t>
      </w:r>
      <w:r>
        <w:rPr>
          <w:rFonts w:hint="eastAsia" w:ascii="宋体" w:hAnsi="宋体" w:eastAsia="宋体" w:cs="Times New Roman"/>
          <w:b/>
          <w:color w:val="000000" w:themeColor="text1"/>
          <w:kern w:val="0"/>
          <w:szCs w:val="21"/>
          <w:highlight w:val="none"/>
          <w14:textFill>
            <w14:solidFill>
              <w14:schemeClr w14:val="tx1"/>
            </w14:solidFill>
          </w14:textFill>
        </w:rPr>
        <w:t>在招标人（或其委托的招标代理机构）、或评标委员会通知其提供</w:t>
      </w:r>
      <w:r>
        <w:rPr>
          <w:rFonts w:hint="eastAsia" w:ascii="宋体" w:hAnsi="宋体" w:eastAsia="宋体" w:cs="Times New Roman"/>
          <w:b/>
          <w:color w:val="000000" w:themeColor="text1"/>
          <w:szCs w:val="21"/>
          <w:highlight w:val="none"/>
          <w:lang w:val="zh-CN"/>
          <w14:textFill>
            <w14:solidFill>
              <w14:schemeClr w14:val="tx1"/>
            </w14:solidFill>
          </w14:textFill>
        </w:rPr>
        <w:t>上述投标文件或投标文件外其他相关（包括但不限于业绩合同对应的发票等）的证明资料原件</w:t>
      </w:r>
      <w:r>
        <w:rPr>
          <w:rFonts w:hint="eastAsia" w:ascii="宋体" w:hAnsi="宋体" w:eastAsia="宋体" w:cs="Times New Roman"/>
          <w:b/>
          <w:color w:val="000000" w:themeColor="text1"/>
          <w:kern w:val="0"/>
          <w:szCs w:val="21"/>
          <w:highlight w:val="none"/>
          <w14:textFill>
            <w14:solidFill>
              <w14:schemeClr w14:val="tx1"/>
            </w14:solidFill>
          </w14:textFill>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1995C2E4">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30.3 若投标人在投标或履约过程中存在提供虚假材料、</w:t>
      </w:r>
      <w:r>
        <w:rPr>
          <w:rFonts w:ascii="宋体" w:hAnsi="宋体" w:eastAsia="宋体" w:cs="宋体"/>
          <w:b/>
          <w:color w:val="000000" w:themeColor="text1"/>
          <w:szCs w:val="21"/>
          <w:highlight w:val="none"/>
          <w14:textFill>
            <w14:solidFill>
              <w14:schemeClr w14:val="tx1"/>
            </w14:solidFill>
          </w14:textFill>
        </w:rPr>
        <w:t>虚假响应</w:t>
      </w:r>
      <w:r>
        <w:rPr>
          <w:rFonts w:hint="eastAsia" w:ascii="宋体" w:hAnsi="宋体" w:eastAsia="宋体" w:cs="宋体"/>
          <w:b/>
          <w:color w:val="000000" w:themeColor="text1"/>
          <w:szCs w:val="21"/>
          <w:highlight w:val="none"/>
          <w14:textFill>
            <w14:solidFill>
              <w14:schemeClr w14:val="tx1"/>
            </w14:solidFill>
          </w14:textFill>
        </w:rPr>
        <w:t>招标</w:t>
      </w:r>
      <w:r>
        <w:rPr>
          <w:rFonts w:ascii="宋体" w:hAnsi="宋体" w:eastAsia="宋体" w:cs="宋体"/>
          <w:b/>
          <w:color w:val="000000" w:themeColor="text1"/>
          <w:szCs w:val="21"/>
          <w:highlight w:val="none"/>
          <w14:textFill>
            <w14:solidFill>
              <w14:schemeClr w14:val="tx1"/>
            </w14:solidFill>
          </w14:textFill>
        </w:rPr>
        <w:t>文件</w:t>
      </w:r>
      <w:r>
        <w:rPr>
          <w:rFonts w:hint="eastAsia" w:ascii="宋体" w:hAnsi="宋体" w:eastAsia="宋体" w:cs="宋体"/>
          <w:b/>
          <w:color w:val="000000" w:themeColor="text1"/>
          <w:szCs w:val="21"/>
          <w:highlight w:val="none"/>
          <w14:textFill>
            <w14:solidFill>
              <w14:schemeClr w14:val="tx1"/>
            </w14:solidFill>
          </w14:textFill>
        </w:rPr>
        <w:t>要求等弄虚作假行为，或未能根据本须知2</w:t>
      </w:r>
      <w:r>
        <w:rPr>
          <w:rFonts w:ascii="宋体" w:hAnsi="宋体" w:eastAsia="宋体" w:cs="宋体"/>
          <w:b/>
          <w:color w:val="000000" w:themeColor="text1"/>
          <w:szCs w:val="21"/>
          <w:highlight w:val="none"/>
          <w14:textFill>
            <w14:solidFill>
              <w14:schemeClr w14:val="tx1"/>
            </w14:solidFill>
          </w14:textFill>
        </w:rPr>
        <w:t>9.2</w:t>
      </w:r>
      <w:r>
        <w:rPr>
          <w:rFonts w:hint="eastAsia" w:ascii="宋体" w:hAnsi="宋体" w:eastAsia="宋体" w:cs="宋体"/>
          <w:b/>
          <w:color w:val="000000" w:themeColor="text1"/>
          <w:szCs w:val="21"/>
          <w:highlight w:val="none"/>
          <w14:textFill>
            <w14:solidFill>
              <w14:schemeClr w14:val="tx1"/>
            </w14:solidFill>
          </w14:textFill>
        </w:rPr>
        <w:t>款约定按时提供原件进行核查的，</w:t>
      </w:r>
      <w:r>
        <w:rPr>
          <w:rFonts w:ascii="宋体" w:hAnsi="宋体" w:eastAsia="宋体" w:cs="宋体"/>
          <w:b/>
          <w:color w:val="000000" w:themeColor="text1"/>
          <w:szCs w:val="21"/>
          <w:highlight w:val="none"/>
          <w14:textFill>
            <w14:solidFill>
              <w14:schemeClr w14:val="tx1"/>
            </w14:solidFill>
          </w14:textFill>
        </w:rPr>
        <w:t>或不按照投标文件承诺履约</w:t>
      </w:r>
      <w:r>
        <w:rPr>
          <w:rFonts w:hint="eastAsia" w:ascii="宋体" w:hAnsi="宋体" w:eastAsia="宋体" w:cs="宋体"/>
          <w:b/>
          <w:color w:val="000000" w:themeColor="text1"/>
          <w:szCs w:val="21"/>
          <w:highlight w:val="none"/>
          <w14:textFill>
            <w14:solidFill>
              <w14:schemeClr w14:val="tx1"/>
            </w14:solidFill>
          </w14:textFill>
        </w:rPr>
        <w:t>或撤回投标或放弃中标资格或</w:t>
      </w:r>
      <w:r>
        <w:rPr>
          <w:rFonts w:ascii="宋体" w:hAnsi="宋体" w:eastAsia="宋体" w:cs="宋体"/>
          <w:b/>
          <w:color w:val="000000" w:themeColor="text1"/>
          <w:szCs w:val="21"/>
          <w:highlight w:val="none"/>
          <w14:textFill>
            <w14:solidFill>
              <w14:schemeClr w14:val="tx1"/>
            </w14:solidFill>
          </w14:textFill>
        </w:rPr>
        <w:t>不按要求与招标人签订合同等影响中标结果的行为</w:t>
      </w:r>
      <w:r>
        <w:rPr>
          <w:rFonts w:hint="eastAsia" w:ascii="宋体" w:hAnsi="宋体" w:eastAsia="宋体" w:cs="宋体"/>
          <w:b/>
          <w:color w:val="000000" w:themeColor="text1"/>
          <w:szCs w:val="21"/>
          <w:highlight w:val="none"/>
          <w14:textFill>
            <w14:solidFill>
              <w14:schemeClr w14:val="tx1"/>
            </w14:solidFill>
          </w14:textFill>
        </w:rPr>
        <w:t>，因此导致投标人无法参与</w:t>
      </w:r>
      <w:r>
        <w:rPr>
          <w:rFonts w:hint="eastAsia" w:ascii="宋体" w:hAnsi="宋体" w:eastAsia="宋体" w:cs="宋体"/>
          <w:b/>
          <w:color w:val="000000" w:themeColor="text1"/>
          <w:szCs w:val="21"/>
          <w:highlight w:val="none"/>
          <w:lang w:eastAsia="zh-CN"/>
          <w14:textFill>
            <w14:solidFill>
              <w14:schemeClr w14:val="tx1"/>
            </w14:solidFill>
          </w14:textFill>
        </w:rPr>
        <w:t>东莞市水务环境投资控股集团有限公司</w:t>
      </w:r>
      <w:r>
        <w:rPr>
          <w:rFonts w:hint="eastAsia" w:ascii="宋体" w:hAnsi="宋体" w:eastAsia="宋体" w:cs="宋体"/>
          <w:b/>
          <w:color w:val="000000" w:themeColor="text1"/>
          <w:szCs w:val="21"/>
          <w:highlight w:val="none"/>
          <w14:textFill>
            <w14:solidFill>
              <w14:schemeClr w14:val="tx1"/>
            </w14:solidFill>
          </w14:textFill>
        </w:rPr>
        <w:t>相关招标采购等活动的，由投标人自行承担全部后果。</w:t>
      </w:r>
    </w:p>
    <w:p w14:paraId="6E7ABD66">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bookmarkStart w:id="286" w:name="_Toc466882019"/>
      <w:bookmarkStart w:id="287" w:name="_Toc465358971"/>
    </w:p>
    <w:p w14:paraId="45C144D2">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000000" w:themeColor="text1"/>
          <w:szCs w:val="21"/>
          <w:highlight w:val="none"/>
          <w:lang w:val="zh-CN"/>
          <w14:textFill>
            <w14:solidFill>
              <w14:schemeClr w14:val="tx1"/>
            </w14:solidFill>
          </w14:textFill>
        </w:rPr>
      </w:pPr>
      <w:bookmarkStart w:id="288" w:name="_Toc10867_WPSOffice_Level3"/>
      <w:bookmarkStart w:id="289" w:name="_Toc142508347"/>
      <w:bookmarkStart w:id="290" w:name="_Toc26035"/>
      <w:bookmarkStart w:id="291" w:name="_Toc23732"/>
      <w:bookmarkStart w:id="292" w:name="_Toc486167696"/>
      <w:bookmarkStart w:id="293" w:name="_Toc14140"/>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bookmarkEnd w:id="286"/>
      <w:bookmarkEnd w:id="287"/>
      <w:bookmarkEnd w:id="288"/>
      <w:bookmarkEnd w:id="289"/>
      <w:bookmarkEnd w:id="290"/>
      <w:bookmarkEnd w:id="291"/>
      <w:bookmarkEnd w:id="292"/>
      <w:bookmarkEnd w:id="293"/>
    </w:p>
    <w:p w14:paraId="65234FD8">
      <w:pPr>
        <w:autoSpaceDE w:val="0"/>
        <w:autoSpaceDN w:val="0"/>
        <w:adjustRightInd w:val="0"/>
        <w:spacing w:line="360" w:lineRule="auto"/>
        <w:ind w:left="248" w:leftChars="118" w:firstLine="1"/>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在授予合同前的任何时候，招标人仍保留接受或拒绝任何投标，宣布招标程序无效或拒绝所有投标的权利，无需向受影响的投标人承担任何责任。</w:t>
      </w:r>
    </w:p>
    <w:p w14:paraId="03C21279">
      <w:pPr>
        <w:autoSpaceDE w:val="0"/>
        <w:autoSpaceDN w:val="0"/>
        <w:adjustRightInd w:val="0"/>
        <w:snapToGrid w:val="0"/>
        <w:spacing w:line="360" w:lineRule="auto"/>
        <w:ind w:left="436" w:leftChars="-158" w:hanging="768" w:hangingChars="320"/>
        <w:jc w:val="left"/>
        <w:rPr>
          <w:rFonts w:ascii="宋体" w:hAnsi="宋体" w:eastAsia="宋体" w:cs="宋体"/>
          <w:color w:val="000000" w:themeColor="text1"/>
          <w:kern w:val="44"/>
          <w:sz w:val="24"/>
          <w:szCs w:val="24"/>
          <w:highlight w:val="none"/>
          <w:lang w:val="zh-CN"/>
          <w14:textFill>
            <w14:solidFill>
              <w14:schemeClr w14:val="tx1"/>
            </w14:solidFill>
          </w14:textFill>
        </w:rPr>
      </w:pPr>
      <w:bookmarkStart w:id="294" w:name="_Toc450662880"/>
    </w:p>
    <w:p w14:paraId="1A33124F">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95" w:name="_Toc7187"/>
      <w:bookmarkStart w:id="296" w:name="_Toc140596907"/>
      <w:bookmarkStart w:id="297" w:name="_Toc486167697"/>
      <w:bookmarkStart w:id="298" w:name="_Toc18316"/>
      <w:bookmarkStart w:id="299" w:name="_Toc23395"/>
      <w:bookmarkStart w:id="300" w:name="_Toc16848_WPSOffice_Level2"/>
      <w:bookmarkStart w:id="301" w:name="_Toc142508348"/>
      <w:r>
        <w:rPr>
          <w:rFonts w:hint="eastAsia" w:ascii="宋体" w:hAnsi="宋体" w:eastAsia="宋体" w:cs="宋体"/>
          <w:b/>
          <w:bCs/>
          <w:color w:val="000000" w:themeColor="text1"/>
          <w:kern w:val="44"/>
          <w:szCs w:val="21"/>
          <w:highlight w:val="none"/>
          <w:lang w:val="zh-CN"/>
          <w14:textFill>
            <w14:solidFill>
              <w14:schemeClr w14:val="tx1"/>
            </w14:solidFill>
          </w14:textFill>
        </w:rPr>
        <w:t>六、授予合同</w:t>
      </w:r>
      <w:bookmarkEnd w:id="294"/>
      <w:bookmarkEnd w:id="295"/>
      <w:bookmarkEnd w:id="296"/>
      <w:bookmarkEnd w:id="297"/>
      <w:bookmarkEnd w:id="298"/>
      <w:bookmarkEnd w:id="299"/>
      <w:bookmarkEnd w:id="300"/>
      <w:bookmarkEnd w:id="301"/>
    </w:p>
    <w:p w14:paraId="56F1F15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02" w:name="_Toc450662881"/>
      <w:bookmarkStart w:id="303" w:name="_Toc142508349"/>
      <w:bookmarkStart w:id="304" w:name="_Toc6401_WPSOffice_Level3"/>
      <w:bookmarkStart w:id="305" w:name="_Toc21588"/>
      <w:bookmarkStart w:id="306" w:name="_Toc486167698"/>
      <w:bookmarkStart w:id="307" w:name="_Toc25540"/>
      <w:bookmarkStart w:id="308" w:name="_Toc32335"/>
      <w:r>
        <w:rPr>
          <w:rFonts w:hint="eastAsia" w:ascii="宋体" w:hAnsi="宋体" w:eastAsia="宋体" w:cs="宋体"/>
          <w:color w:val="000000" w:themeColor="text1"/>
          <w:szCs w:val="21"/>
          <w:highlight w:val="none"/>
          <w14:textFill>
            <w14:solidFill>
              <w14:schemeClr w14:val="tx1"/>
            </w14:solidFill>
          </w14:textFill>
        </w:rPr>
        <w:t>32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授予合同的准则</w:t>
      </w:r>
      <w:bookmarkEnd w:id="302"/>
      <w:bookmarkEnd w:id="303"/>
      <w:bookmarkEnd w:id="304"/>
      <w:bookmarkEnd w:id="305"/>
      <w:bookmarkEnd w:id="306"/>
      <w:bookmarkEnd w:id="307"/>
      <w:bookmarkEnd w:id="308"/>
    </w:p>
    <w:p w14:paraId="0A283D1B">
      <w:pPr>
        <w:tabs>
          <w:tab w:val="left" w:pos="645"/>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除第29条、30条</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条规定外，招标人将合同授予其投标文件符合招标文件要求，并且能承诺履行合同，对招标人最为有利的投标人。</w:t>
      </w:r>
    </w:p>
    <w:p w14:paraId="1DB431A9">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32.2 招标人依法</w:t>
      </w:r>
      <w:r>
        <w:rPr>
          <w:rFonts w:hint="eastAsia" w:ascii="宋体" w:hAnsi="宋体" w:eastAsia="宋体" w:cs="宋体"/>
          <w:color w:val="000000" w:themeColor="text1"/>
          <w:kern w:val="0"/>
          <w:szCs w:val="21"/>
          <w:highlight w:val="none"/>
          <w14:textFill>
            <w14:solidFill>
              <w14:schemeClr w14:val="tx1"/>
            </w14:solidFill>
          </w14:textFill>
        </w:rPr>
        <w:t>按照评标报告中推荐的中标候选人顺序</w:t>
      </w:r>
      <w:r>
        <w:rPr>
          <w:rFonts w:hint="eastAsia" w:ascii="宋体" w:hAnsi="宋体" w:eastAsia="宋体" w:cs="宋体"/>
          <w:color w:val="000000" w:themeColor="text1"/>
          <w:szCs w:val="21"/>
          <w:highlight w:val="none"/>
          <w:lang w:val="zh-CN"/>
          <w14:textFill>
            <w14:solidFill>
              <w14:schemeClr w14:val="tx1"/>
            </w14:solidFill>
          </w14:textFill>
        </w:rPr>
        <w:t>确定中标人。</w:t>
      </w:r>
    </w:p>
    <w:p w14:paraId="4F6C8E6D">
      <w:pPr>
        <w:autoSpaceDE w:val="0"/>
        <w:autoSpaceDN w:val="0"/>
        <w:adjustRightInd w:val="0"/>
        <w:snapToGrid w:val="0"/>
        <w:spacing w:line="360" w:lineRule="auto"/>
        <w:ind w:left="315" w:leftChars="-100" w:hanging="525" w:hangingChars="25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w:t>
      </w:r>
      <w:r>
        <w:rPr>
          <w:rFonts w:hint="eastAsia" w:ascii="宋体" w:hAnsi="宋体" w:eastAsia="宋体" w:cs="宋体"/>
          <w:color w:val="000000" w:themeColor="text1"/>
          <w:kern w:val="0"/>
          <w:szCs w:val="21"/>
          <w:highlight w:val="none"/>
          <w14:textFill>
            <w14:solidFill>
              <w14:schemeClr w14:val="tx1"/>
            </w14:solidFill>
          </w14:textFill>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000000" w:themeColor="text1"/>
          <w:kern w:val="0"/>
          <w:szCs w:val="21"/>
          <w:highlight w:val="none"/>
          <w14:textFill>
            <w14:solidFill>
              <w14:schemeClr w14:val="tx1"/>
            </w14:solidFill>
          </w14:textFill>
        </w:rPr>
        <w:t>。</w:t>
      </w:r>
    </w:p>
    <w:p w14:paraId="6567ABB9">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09" w:name="_Toc450662885"/>
    </w:p>
    <w:p w14:paraId="194DD783">
      <w:pPr>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10" w:name="_Toc142508350"/>
      <w:bookmarkStart w:id="311" w:name="_Toc24266"/>
      <w:bookmarkStart w:id="312" w:name="_Toc30850"/>
      <w:bookmarkStart w:id="313" w:name="_Toc30848"/>
      <w:bookmarkStart w:id="314" w:name="_Toc6726_WPSOffice_Level3"/>
      <w:bookmarkStart w:id="315" w:name="_Toc486167699"/>
      <w:r>
        <w:rPr>
          <w:rFonts w:hint="eastAsia" w:ascii="宋体" w:hAnsi="宋体" w:eastAsia="宋体" w:cs="宋体"/>
          <w:color w:val="000000" w:themeColor="text1"/>
          <w:szCs w:val="21"/>
          <w:highlight w:val="none"/>
          <w:lang w:val="zh-CN"/>
          <w14:textFill>
            <w14:solidFill>
              <w14:schemeClr w14:val="tx1"/>
            </w14:solidFill>
          </w14:textFill>
        </w:rPr>
        <w:t>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中标通知</w:t>
      </w:r>
      <w:bookmarkEnd w:id="309"/>
      <w:bookmarkEnd w:id="310"/>
      <w:bookmarkEnd w:id="311"/>
      <w:bookmarkEnd w:id="312"/>
      <w:bookmarkEnd w:id="313"/>
      <w:bookmarkEnd w:id="314"/>
      <w:bookmarkEnd w:id="315"/>
    </w:p>
    <w:p w14:paraId="2BAB8324">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16" w:name="_Toc450662886"/>
      <w:r>
        <w:rPr>
          <w:rFonts w:hint="eastAsia" w:ascii="宋体" w:hAnsi="宋体" w:eastAsia="宋体" w:cs="宋体"/>
          <w:color w:val="000000" w:themeColor="text1"/>
          <w:szCs w:val="21"/>
          <w:highlight w:val="none"/>
          <w:lang w:val="zh-CN"/>
          <w14:textFill>
            <w14:solidFill>
              <w14:schemeClr w14:val="tx1"/>
            </w14:solidFill>
          </w14:textFill>
        </w:rPr>
        <w:t>33.1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招标代理机构向中标人发出书面通知，中标通知书是合同的一个组成部分。</w:t>
      </w:r>
    </w:p>
    <w:p w14:paraId="48FA9AB0">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招标代理机构向中标人发出书面通知的同时，招标代理机构通知落选的投标人其投标文件未被接受而不提原因。</w:t>
      </w:r>
    </w:p>
    <w:p w14:paraId="31E71225">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4A9CA7C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17" w:name="_Toc32732"/>
      <w:bookmarkStart w:id="318" w:name="_Toc24946"/>
      <w:bookmarkStart w:id="319" w:name="_Toc9694_WPSOffice_Level3"/>
      <w:bookmarkStart w:id="320" w:name="_Toc486167700"/>
      <w:bookmarkStart w:id="321" w:name="_Toc24927"/>
      <w:bookmarkStart w:id="322" w:name="_Toc142508351"/>
      <w:r>
        <w:rPr>
          <w:rFonts w:hint="eastAsia" w:ascii="宋体" w:hAnsi="宋体" w:eastAsia="宋体" w:cs="宋体"/>
          <w:color w:val="000000" w:themeColor="text1"/>
          <w:szCs w:val="21"/>
          <w:highlight w:val="none"/>
          <w14:textFill>
            <w14:solidFill>
              <w14:schemeClr w14:val="tx1"/>
            </w14:solidFill>
          </w14:textFill>
        </w:rPr>
        <w:t>34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签署合同</w:t>
      </w:r>
      <w:bookmarkEnd w:id="316"/>
      <w:bookmarkEnd w:id="317"/>
      <w:bookmarkEnd w:id="318"/>
      <w:bookmarkEnd w:id="319"/>
      <w:bookmarkEnd w:id="320"/>
      <w:bookmarkEnd w:id="321"/>
      <w:bookmarkEnd w:id="322"/>
    </w:p>
    <w:p w14:paraId="70807FB4">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000000" w:themeColor="text1"/>
          <w:szCs w:val="21"/>
          <w:highlight w:val="none"/>
          <w:lang w:val="zh-CN"/>
          <w14:textFill>
            <w14:solidFill>
              <w14:schemeClr w14:val="tx1"/>
            </w14:solidFill>
          </w14:textFill>
        </w:rPr>
        <w:t>。</w:t>
      </w:r>
    </w:p>
    <w:p w14:paraId="7DAFB0E0">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34.2 在签署合同前，招标人可对中标人投标报价明细及附表内的算术性错误进行修正，修正原则为：</w:t>
      </w:r>
    </w:p>
    <w:p w14:paraId="255D8086">
      <w:pPr>
        <w:autoSpaceDE w:val="0"/>
        <w:autoSpaceDN w:val="0"/>
        <w:adjustRightInd w:val="0"/>
        <w:snapToGrid w:val="0"/>
        <w:spacing w:line="360" w:lineRule="auto"/>
        <w:ind w:left="315" w:leftChars="100" w:hanging="105" w:hangingChars="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当以数字表示的报价系数与以文字表示的报价系数不一致时，以文字表示的报价系数为准。经双方确认后，作为合同文件的组成部分。</w:t>
      </w:r>
    </w:p>
    <w:p w14:paraId="04D7A00B">
      <w:pPr>
        <w:spacing w:line="360" w:lineRule="auto"/>
        <w:ind w:left="317" w:leftChars="-100" w:hanging="527" w:hangingChars="250"/>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323" w:name="_Toc142508352"/>
      <w:bookmarkStart w:id="324" w:name="_Toc450662887"/>
      <w:bookmarkStart w:id="325" w:name="_Toc10513_WPSOffice_Level3"/>
      <w:bookmarkStart w:id="326" w:name="_Toc486167701"/>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34.3 </w:t>
      </w:r>
      <w:r>
        <w:rPr>
          <w:rFonts w:hint="eastAsia" w:ascii="宋体" w:hAnsi="宋体" w:eastAsia="宋体" w:cs="宋体"/>
          <w:b/>
          <w:bCs/>
          <w:color w:val="000000" w:themeColor="text1"/>
          <w:kern w:val="2"/>
          <w:sz w:val="21"/>
          <w:szCs w:val="21"/>
          <w:highlight w:val="none"/>
          <w:lang w:val="zh-CN"/>
          <w14:textFill>
            <w14:solidFill>
              <w14:schemeClr w14:val="tx1"/>
            </w14:solidFill>
          </w14:textFill>
        </w:rPr>
        <w:t>本项目中标人</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需</w:t>
      </w:r>
      <w:r>
        <w:rPr>
          <w:rFonts w:hint="eastAsia" w:ascii="宋体" w:hAnsi="宋体" w:eastAsia="宋体" w:cs="宋体"/>
          <w:b/>
          <w:bCs/>
          <w:color w:val="000000" w:themeColor="text1"/>
          <w:kern w:val="2"/>
          <w:sz w:val="21"/>
          <w:szCs w:val="21"/>
          <w:highlight w:val="none"/>
          <w:lang w:val="zh-CN"/>
          <w14:textFill>
            <w14:solidFill>
              <w14:schemeClr w14:val="tx1"/>
            </w14:solidFill>
          </w14:textFill>
        </w:rPr>
        <w:t>与</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招标人及</w:t>
      </w:r>
      <w:r>
        <w:rPr>
          <w:rFonts w:hint="eastAsia" w:ascii="宋体" w:hAnsi="宋体" w:eastAsia="宋体" w:cs="宋体"/>
          <w:b/>
          <w:bCs/>
          <w:color w:val="000000" w:themeColor="text1"/>
          <w:kern w:val="2"/>
          <w:sz w:val="21"/>
          <w:szCs w:val="21"/>
          <w:highlight w:val="none"/>
          <w:lang w:val="zh-CN"/>
          <w14:textFill>
            <w14:solidFill>
              <w14:schemeClr w14:val="tx1"/>
            </w14:solidFill>
          </w14:textFill>
        </w:rPr>
        <w:t>招标人权属子公司（东莞市水务环境投资控股集团净水有限公司、东莞市石鼓净水有限公司、东莞市樟村水质净化有限公司、东莞市清源净水科技有限公司、东莞市莞水装备科技有限公司、东莞市众源环境投资有限公司）签订合同。</w:t>
      </w:r>
    </w:p>
    <w:p w14:paraId="7CE53236">
      <w:pPr>
        <w:autoSpaceDE w:val="0"/>
        <w:autoSpaceDN w:val="0"/>
        <w:adjustRightInd w:val="0"/>
        <w:snapToGrid w:val="0"/>
        <w:spacing w:line="360" w:lineRule="auto"/>
        <w:ind w:left="315" w:leftChars="-100" w:right="0" w:rightChars="0" w:hanging="525" w:hangingChars="250"/>
        <w:jc w:val="left"/>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本项目供货单位（即中标人）合同履约期间，如因供货单位（即中标人）存在违约行为或因其他合同约定或法定事由，导致招标人依法依规解除本合同的，招标人有权按照本项目综合评审结果，从以下方式中择一确定后续安排：</w:t>
      </w:r>
    </w:p>
    <w:p w14:paraId="0B75C54A">
      <w:pPr>
        <w:keepNext w:val="0"/>
        <w:keepLines w:val="0"/>
        <w:pageBreakBefore w:val="0"/>
        <w:widowControl w:val="0"/>
        <w:kinsoku/>
        <w:wordWrap/>
        <w:overflowPunct/>
        <w:topLinePunct w:val="0"/>
        <w:autoSpaceDE w:val="0"/>
        <w:autoSpaceDN w:val="0"/>
        <w:bidi w:val="0"/>
        <w:adjustRightInd w:val="0"/>
        <w:snapToGrid w:val="0"/>
        <w:spacing w:line="360" w:lineRule="auto"/>
        <w:ind w:left="315" w:leftChars="150" w:right="0" w:rightChars="0" w:firstLine="0" w:firstLineChars="0"/>
        <w:jc w:val="left"/>
        <w:textAlignment w:val="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替补投标人承接</w:t>
      </w:r>
      <w:r>
        <w:rPr>
          <w:rFonts w:hint="eastAsia" w:ascii="宋体" w:hAnsi="宋体" w:eastAsia="宋体" w:cs="宋体"/>
          <w:color w:val="000000" w:themeColor="text1"/>
          <w:szCs w:val="21"/>
          <w:highlight w:val="none"/>
          <w:lang w:val="zh-CN"/>
          <w14:textFill>
            <w14:solidFill>
              <w14:schemeClr w14:val="tx1"/>
            </w14:solidFill>
          </w14:textFill>
        </w:rPr>
        <w:t>：招标人有权根据剩余有效投标人数量，在原评审排名基础上邀请相应投标人，通过谈判或其他招标人认可的方式，择优确定新的供货单位承接本合同项下未履行部分的服务内容，邀请规则如下：当剩余有效投标人为2家时，邀请综合评审排名第2名及第3名的投标人，当剩余有效投标人≥3家时，邀请综合评审排名第2名至第4名的投标人。替补供货单位一经确定，应与招标人另行签订书面合同，供货标准、履约要求原则上不得低于投标时承诺的标准。</w:t>
      </w:r>
    </w:p>
    <w:p w14:paraId="5820A10D">
      <w:pPr>
        <w:keepNext w:val="0"/>
        <w:keepLines w:val="0"/>
        <w:pageBreakBefore w:val="0"/>
        <w:widowControl w:val="0"/>
        <w:kinsoku/>
        <w:wordWrap/>
        <w:overflowPunct/>
        <w:topLinePunct w:val="0"/>
        <w:autoSpaceDE w:val="0"/>
        <w:autoSpaceDN w:val="0"/>
        <w:bidi w:val="0"/>
        <w:adjustRightInd w:val="0"/>
        <w:snapToGrid w:val="0"/>
        <w:spacing w:line="360" w:lineRule="auto"/>
        <w:ind w:left="315" w:leftChars="150" w:right="0" w:rightChars="0" w:firstLine="0" w:firstLineChars="0"/>
        <w:jc w:val="left"/>
        <w:textAlignment w:val="auto"/>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b/>
          <w:bCs/>
          <w:color w:val="000000" w:themeColor="text1"/>
          <w:szCs w:val="21"/>
          <w:highlight w:val="none"/>
          <w:lang w:val="zh-CN"/>
          <w14:textFill>
            <w14:solidFill>
              <w14:schemeClr w14:val="tx1"/>
            </w14:solidFill>
          </w14:textFill>
        </w:rPr>
        <w:t>重新招标</w:t>
      </w:r>
      <w:r>
        <w:rPr>
          <w:rFonts w:hint="eastAsia" w:ascii="宋体" w:hAnsi="宋体" w:eastAsia="宋体" w:cs="宋体"/>
          <w:color w:val="000000" w:themeColor="text1"/>
          <w:szCs w:val="21"/>
          <w:highlight w:val="none"/>
          <w:lang w:val="zh-CN"/>
          <w14:textFill>
            <w14:solidFill>
              <w14:schemeClr w14:val="tx1"/>
            </w14:solidFill>
          </w14:textFill>
        </w:rPr>
        <w:t>：招标人亦有权根据实际情况，重新组织招标。</w:t>
      </w:r>
    </w:p>
    <w:p w14:paraId="23859A78">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000000" w:themeColor="text1"/>
          <w:szCs w:val="21"/>
          <w:highlight w:val="none"/>
          <w14:textFill>
            <w14:solidFill>
              <w14:schemeClr w14:val="tx1"/>
            </w14:solidFill>
          </w14:textFill>
        </w:rPr>
      </w:pPr>
    </w:p>
    <w:p w14:paraId="0A2229E5">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27" w:name="_Toc24297"/>
      <w:bookmarkStart w:id="328" w:name="_Toc8873"/>
      <w:bookmarkStart w:id="329" w:name="_Toc12759"/>
      <w:r>
        <w:rPr>
          <w:rFonts w:hint="eastAsia" w:ascii="宋体" w:hAnsi="宋体" w:eastAsia="宋体" w:cs="宋体"/>
          <w:color w:val="000000" w:themeColor="text1"/>
          <w:szCs w:val="21"/>
          <w:highlight w:val="none"/>
          <w14:textFill>
            <w14:solidFill>
              <w14:schemeClr w14:val="tx1"/>
            </w14:solidFill>
          </w14:textFill>
        </w:rPr>
        <w:t>35</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履约担保</w:t>
      </w:r>
      <w:bookmarkEnd w:id="323"/>
      <w:bookmarkEnd w:id="324"/>
      <w:bookmarkEnd w:id="325"/>
      <w:bookmarkEnd w:id="326"/>
      <w:bookmarkEnd w:id="327"/>
      <w:bookmarkEnd w:id="328"/>
      <w:bookmarkEnd w:id="329"/>
    </w:p>
    <w:p w14:paraId="2468B444">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000000" w:themeColor="text1"/>
          <w:szCs w:val="21"/>
          <w:highlight w:val="none"/>
          <w:lang w:val="zh-CN"/>
          <w14:textFill>
            <w14:solidFill>
              <w14:schemeClr w14:val="tx1"/>
            </w14:solidFill>
          </w14:textFill>
        </w:rPr>
      </w:pPr>
      <w:bookmarkStart w:id="330" w:name="_Toc466882025"/>
      <w:bookmarkStart w:id="331" w:name="_Toc465358977"/>
      <w:r>
        <w:rPr>
          <w:rFonts w:hint="eastAsia" w:ascii="宋体" w:hAnsi="宋体" w:eastAsia="宋体" w:cs="宋体"/>
          <w:bCs/>
          <w:color w:val="000000" w:themeColor="text1"/>
          <w:szCs w:val="21"/>
          <w:highlight w:val="none"/>
          <w14:textFill>
            <w14:solidFill>
              <w14:schemeClr w14:val="tx1"/>
            </w14:solidFill>
          </w14:textFill>
        </w:rPr>
        <w:t>35</w:t>
      </w:r>
      <w:r>
        <w:rPr>
          <w:rFonts w:hint="eastAsia" w:ascii="宋体" w:hAnsi="宋体" w:eastAsia="宋体" w:cs="宋体"/>
          <w:bCs/>
          <w:color w:val="000000" w:themeColor="text1"/>
          <w:szCs w:val="21"/>
          <w:highlight w:val="none"/>
          <w:lang w:val="zh-CN"/>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中标人应在签订合同前，按本招标文件规定金额及形式要求，向招标人或招标人权属子公司提交不可撤销银行履约保函（或履约保证金</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或履约保证保险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或担保公司履约担保书），作为履约担保（所需费用由中标人自行承担），</w:t>
      </w:r>
      <w:r>
        <w:rPr>
          <w:rFonts w:ascii="宋体" w:hAnsi="宋体" w:eastAsia="宋体" w:cs="Arial"/>
          <w:b/>
          <w:bCs/>
          <w:color w:val="000000" w:themeColor="text1"/>
          <w:kern w:val="0"/>
          <w:szCs w:val="24"/>
          <w:highlight w:val="none"/>
          <w:u w:val="single"/>
          <w14:textFill>
            <w14:solidFill>
              <w14:schemeClr w14:val="tx1"/>
            </w14:solidFill>
          </w14:textFill>
        </w:rPr>
        <w:t>否则招标人可取消中标人的中标资格，</w:t>
      </w:r>
      <w:r>
        <w:rPr>
          <w:rFonts w:hint="eastAsia" w:ascii="宋体" w:hAnsi="宋体" w:eastAsia="宋体" w:cs="Arial"/>
          <w:b/>
          <w:bCs/>
          <w:color w:val="000000" w:themeColor="text1"/>
          <w:kern w:val="0"/>
          <w:szCs w:val="24"/>
          <w:highlight w:val="none"/>
          <w:u w:val="single"/>
          <w14:textFill>
            <w14:solidFill>
              <w14:schemeClr w14:val="tx1"/>
            </w14:solidFill>
          </w14:textFill>
        </w:rPr>
        <w:t>不予退还其投标保证金。</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其中，采用履约保证金（银行转账形式）的金额为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不含税</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暂定合同价的5%，统一由东莞市石鼓净水有限公司收取；采用不可撤销银行履约保函（或履约保证保险）形式的金额为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不含税</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暂定合同价的8%，中标人需开具一份受益人为东莞市石鼓净水有限公司的不可撤销银行履约保函（或履约保证保险）；采用担保公司履约担保书形式的金额为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不含税</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暂定合同价的</w:t>
      </w:r>
      <w:r>
        <w:rPr>
          <w:rFonts w:ascii="宋体" w:hAnsi="宋体" w:eastAsia="宋体" w:cs="Times New Roman"/>
          <w:b/>
          <w:bCs/>
          <w:color w:val="000000" w:themeColor="text1"/>
          <w:szCs w:val="21"/>
          <w:highlight w:val="none"/>
          <w:u w:val="single"/>
          <w:lang w:val="zh-CN"/>
          <w14:textFill>
            <w14:solidFill>
              <w14:schemeClr w14:val="tx1"/>
            </w14:solidFill>
          </w14:textFill>
        </w:rPr>
        <w:t>10</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%，中标人需开具一份受益人为东莞市石鼓净水有限公司的履约担保书。</w:t>
      </w:r>
      <w:r>
        <w:rPr>
          <w:rFonts w:hint="eastAsia" w:ascii="宋体" w:hAnsi="宋体" w:eastAsia="宋体" w:cs="Arial"/>
          <w:bCs/>
          <w:color w:val="000000" w:themeColor="text1"/>
          <w:kern w:val="0"/>
          <w:szCs w:val="24"/>
          <w:highlight w:val="none"/>
          <w14:textFill>
            <w14:solidFill>
              <w14:schemeClr w14:val="tx1"/>
            </w14:solidFill>
          </w14:textFill>
        </w:rPr>
        <w:t>合同履行过程中，中标人</w:t>
      </w:r>
      <w:r>
        <w:rPr>
          <w:rFonts w:hint="eastAsia" w:ascii="宋体" w:hAnsi="宋体" w:eastAsia="宋体" w:cs="Arial"/>
          <w:color w:val="000000" w:themeColor="text1"/>
          <w:kern w:val="0"/>
          <w:szCs w:val="24"/>
          <w:highlight w:val="none"/>
          <w14:textFill>
            <w14:solidFill>
              <w14:schemeClr w14:val="tx1"/>
            </w14:solidFill>
          </w14:textFill>
        </w:rPr>
        <w:t>给招标人或招标人权属子公司造成的损失超过履约担保数额的，中标人还应当对超过部分予以赔偿，招标人或招标人权属子公司并依法追究中标人的相应责任。</w:t>
      </w:r>
    </w:p>
    <w:p w14:paraId="7502617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35.2 </w:t>
      </w:r>
      <w:r>
        <w:rPr>
          <w:rFonts w:hint="eastAsia" w:ascii="宋体" w:hAnsi="宋体" w:eastAsia="宋体" w:cs="Times New Roman"/>
          <w:color w:val="000000" w:themeColor="text1"/>
          <w:kern w:val="0"/>
          <w:szCs w:val="21"/>
          <w:highlight w:val="none"/>
          <w14:textFill>
            <w14:solidFill>
              <w14:schemeClr w14:val="tx1"/>
            </w14:solidFill>
          </w14:textFill>
        </w:rPr>
        <w:t>履约担保用于补偿招标人或招标人权属子公司因中标人不能完全履行其合同义务而蒙受的损失或其他合同约定的事项。如发生下列任一情况时，招标人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hint="eastAsia" w:ascii="宋体" w:hAnsi="宋体" w:eastAsia="宋体" w:cs="Times New Roman"/>
          <w:color w:val="000000" w:themeColor="text1"/>
          <w:kern w:val="0"/>
          <w:szCs w:val="21"/>
          <w:highlight w:val="none"/>
          <w14:textFill>
            <w14:solidFill>
              <w14:schemeClr w14:val="tx1"/>
            </w14:solidFill>
          </w14:textFill>
        </w:rPr>
        <w:t>有权依合同追究违约责任外，同时有权提取履约担保并进行相应处理</w:t>
      </w:r>
      <w:r>
        <w:rPr>
          <w:rFonts w:hint="eastAsia" w:ascii="宋体" w:hAnsi="宋体" w:eastAsia="宋体" w:cs="宋体"/>
          <w:color w:val="000000" w:themeColor="text1"/>
          <w:kern w:val="0"/>
          <w:szCs w:val="21"/>
          <w:highlight w:val="none"/>
          <w14:textFill>
            <w14:solidFill>
              <w14:schemeClr w14:val="tx1"/>
            </w14:solidFill>
          </w14:textFill>
        </w:rPr>
        <w:t>：</w:t>
      </w:r>
    </w:p>
    <w:p w14:paraId="698696A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w:t>
      </w:r>
      <w:r>
        <w:rPr>
          <w:rFonts w:ascii="宋体" w:hAnsi="宋体" w:eastAsia="宋体" w:cs="Times New Roman"/>
          <w:color w:val="000000" w:themeColor="text1"/>
          <w:kern w:val="0"/>
          <w:szCs w:val="21"/>
          <w:highlight w:val="none"/>
          <w14:textFill>
            <w14:solidFill>
              <w14:schemeClr w14:val="tx1"/>
            </w14:solidFill>
          </w14:textFill>
        </w:rPr>
        <w:t>）在合同履行期间，因中标人</w:t>
      </w:r>
      <w:r>
        <w:rPr>
          <w:rFonts w:hint="eastAsia" w:ascii="宋体" w:hAnsi="宋体" w:eastAsia="宋体" w:cs="Times New Roman"/>
          <w:color w:val="000000" w:themeColor="text1"/>
          <w:kern w:val="0"/>
          <w:szCs w:val="21"/>
          <w:highlight w:val="none"/>
          <w14:textFill>
            <w14:solidFill>
              <w14:schemeClr w14:val="tx1"/>
            </w14:solidFill>
          </w14:textFill>
        </w:rPr>
        <w:t>货物、</w:t>
      </w:r>
      <w:r>
        <w:rPr>
          <w:rFonts w:ascii="宋体" w:hAnsi="宋体" w:eastAsia="宋体" w:cs="Times New Roman"/>
          <w:color w:val="000000" w:themeColor="text1"/>
          <w:kern w:val="0"/>
          <w:szCs w:val="21"/>
          <w:highlight w:val="none"/>
          <w14:textFill>
            <w14:solidFill>
              <w14:schemeClr w14:val="tx1"/>
            </w14:solidFill>
          </w14:textFill>
        </w:rPr>
        <w:t>服务质量问题造成损害、侵权损失（包括但不限于招标人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ascii="宋体" w:hAnsi="宋体" w:eastAsia="宋体" w:cs="Times New Roman"/>
          <w:color w:val="000000" w:themeColor="text1"/>
          <w:kern w:val="0"/>
          <w:szCs w:val="21"/>
          <w:highlight w:val="none"/>
          <w14:textFill>
            <w14:solidFill>
              <w14:schemeClr w14:val="tx1"/>
            </w14:solidFill>
          </w14:textFill>
        </w:rPr>
        <w:t>经济损失、第三人人身财产损失等）、</w:t>
      </w:r>
      <w:r>
        <w:rPr>
          <w:rFonts w:hint="eastAsia" w:ascii="宋体" w:hAnsi="宋体" w:eastAsia="宋体" w:cs="Times New Roman"/>
          <w:color w:val="000000" w:themeColor="text1"/>
          <w:kern w:val="0"/>
          <w:szCs w:val="21"/>
          <w:highlight w:val="none"/>
          <w14:textFill>
            <w14:solidFill>
              <w14:schemeClr w14:val="tx1"/>
            </w14:solidFill>
          </w14:textFill>
        </w:rPr>
        <w:t>拖欠原材料供应商货款或与其所雇用员工发生劳资纠纷、上访、闹事或其他影响招标人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hint="eastAsia" w:ascii="宋体" w:hAnsi="宋体" w:eastAsia="宋体" w:cs="Times New Roman"/>
          <w:color w:val="000000" w:themeColor="text1"/>
          <w:kern w:val="0"/>
          <w:szCs w:val="21"/>
          <w:highlight w:val="none"/>
          <w14:textFill>
            <w14:solidFill>
              <w14:schemeClr w14:val="tx1"/>
            </w14:solidFill>
          </w14:textFill>
        </w:rPr>
        <w:t>生产经营等情况而其未及时妥善处理的</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hint="eastAsia" w:ascii="宋体" w:hAnsi="宋体" w:eastAsia="宋体" w:cs="Times New Roman"/>
          <w:color w:val="000000" w:themeColor="text1"/>
          <w:kern w:val="0"/>
          <w:szCs w:val="21"/>
          <w:highlight w:val="none"/>
          <w14:textFill>
            <w14:solidFill>
              <w14:schemeClr w14:val="tx1"/>
            </w14:solidFill>
          </w14:textFill>
        </w:rPr>
        <w:t>有权使用履约担保予以支付或作出相应处理，由此产生的一切法律后果由中标人承担。</w:t>
      </w:r>
    </w:p>
    <w:p w14:paraId="4786D7D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r>
        <w:rPr>
          <w:rFonts w:ascii="宋体" w:hAnsi="宋体" w:eastAsia="宋体" w:cs="Times New Roman"/>
          <w:color w:val="000000" w:themeColor="text1"/>
          <w:kern w:val="0"/>
          <w:szCs w:val="21"/>
          <w:highlight w:val="none"/>
          <w14:textFill>
            <w14:solidFill>
              <w14:schemeClr w14:val="tx1"/>
            </w14:solidFill>
          </w14:textFill>
        </w:rPr>
        <w:t>）在合同履行期间，中标人违约产生的违约金、赔偿、罚款或其他应付费用等款项，招标人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ascii="宋体" w:hAnsi="宋体" w:eastAsia="宋体" w:cs="Times New Roman"/>
          <w:color w:val="000000" w:themeColor="text1"/>
          <w:kern w:val="0"/>
          <w:szCs w:val="21"/>
          <w:highlight w:val="none"/>
          <w14:textFill>
            <w14:solidFill>
              <w14:schemeClr w14:val="tx1"/>
            </w14:solidFill>
          </w14:textFill>
        </w:rPr>
        <w:t>有权直接从未付款项中直接扣除或启用履约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予以支付。</w:t>
      </w:r>
    </w:p>
    <w:p w14:paraId="52577D8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3</w:t>
      </w:r>
      <w:r>
        <w:rPr>
          <w:rFonts w:ascii="宋体" w:hAnsi="宋体" w:eastAsia="宋体" w:cs="Times New Roman"/>
          <w:color w:val="000000" w:themeColor="text1"/>
          <w:kern w:val="0"/>
          <w:szCs w:val="21"/>
          <w:highlight w:val="none"/>
          <w14:textFill>
            <w14:solidFill>
              <w14:schemeClr w14:val="tx1"/>
            </w14:solidFill>
          </w14:textFill>
        </w:rPr>
        <w:t>）合同期内，中标人不能及时完成合同某项义务的，招标人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ascii="宋体" w:hAnsi="宋体" w:eastAsia="宋体" w:cs="Times New Roman"/>
          <w:color w:val="000000" w:themeColor="text1"/>
          <w:kern w:val="0"/>
          <w:szCs w:val="21"/>
          <w:highlight w:val="none"/>
          <w14:textFill>
            <w14:solidFill>
              <w14:schemeClr w14:val="tx1"/>
            </w14:solidFill>
          </w14:textFill>
        </w:rPr>
        <w:t>有权提取履约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用于处理该项工作。</w:t>
      </w:r>
    </w:p>
    <w:p w14:paraId="13C36F0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4</w:t>
      </w:r>
      <w:r>
        <w:rPr>
          <w:rFonts w:ascii="宋体" w:hAnsi="宋体" w:eastAsia="宋体" w:cs="Times New Roman"/>
          <w:color w:val="000000" w:themeColor="text1"/>
          <w:kern w:val="0"/>
          <w:szCs w:val="21"/>
          <w:highlight w:val="none"/>
          <w14:textFill>
            <w14:solidFill>
              <w14:schemeClr w14:val="tx1"/>
            </w14:solidFill>
          </w14:textFill>
        </w:rPr>
        <w:t>）其他根据本合同约定或法律规定，招标人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ascii="宋体" w:hAnsi="宋体" w:eastAsia="宋体" w:cs="Times New Roman"/>
          <w:color w:val="000000" w:themeColor="text1"/>
          <w:kern w:val="0"/>
          <w:szCs w:val="21"/>
          <w:highlight w:val="none"/>
          <w14:textFill>
            <w14:solidFill>
              <w14:schemeClr w14:val="tx1"/>
            </w14:solidFill>
          </w14:textFill>
        </w:rPr>
        <w:t>可启用履约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的情形。</w:t>
      </w:r>
    </w:p>
    <w:p w14:paraId="76B51A7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35.3  履约担保应符合如下规定：</w:t>
      </w:r>
    </w:p>
    <w:p w14:paraId="2272600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ascii="宋体" w:hAnsi="宋体" w:eastAsia="宋体" w:cs="Times New Roman"/>
          <w:color w:val="000000" w:themeColor="text1"/>
          <w:kern w:val="0"/>
          <w:szCs w:val="21"/>
          <w:highlight w:val="none"/>
          <w14:textFill>
            <w14:solidFill>
              <w14:schemeClr w14:val="tx1"/>
            </w14:solidFill>
          </w14:textFill>
        </w:rPr>
        <w:t>出具履约保函的银行必须是</w:t>
      </w:r>
      <w:r>
        <w:rPr>
          <w:rFonts w:hint="eastAsia" w:ascii="宋体" w:hAnsi="宋体" w:eastAsia="宋体" w:cs="Times New Roman"/>
          <w:color w:val="000000" w:themeColor="text1"/>
          <w:kern w:val="0"/>
          <w:szCs w:val="21"/>
          <w:highlight w:val="none"/>
          <w14:textFill>
            <w14:solidFill>
              <w14:schemeClr w14:val="tx1"/>
            </w14:solidFill>
          </w14:textFill>
        </w:rPr>
        <w:t>境内</w:t>
      </w:r>
      <w:r>
        <w:rPr>
          <w:rFonts w:ascii="宋体" w:hAnsi="宋体" w:eastAsia="宋体" w:cs="Times New Roman"/>
          <w:color w:val="000000" w:themeColor="text1"/>
          <w:kern w:val="0"/>
          <w:szCs w:val="21"/>
          <w:highlight w:val="none"/>
          <w14:textFill>
            <w14:solidFill>
              <w14:schemeClr w14:val="tx1"/>
            </w14:solidFill>
          </w14:textFill>
        </w:rPr>
        <w:t>支行一级以上机构，并经招标人同意，执行本款时所发生的费用由中标人</w:t>
      </w:r>
      <w:r>
        <w:rPr>
          <w:rFonts w:hint="eastAsia" w:ascii="宋体" w:hAnsi="宋体" w:eastAsia="宋体" w:cs="Times New Roman"/>
          <w:color w:val="000000" w:themeColor="text1"/>
          <w:kern w:val="0"/>
          <w:szCs w:val="21"/>
          <w:highlight w:val="none"/>
          <w14:textFill>
            <w14:solidFill>
              <w14:schemeClr w14:val="tx1"/>
            </w14:solidFill>
          </w14:textFill>
        </w:rPr>
        <w:t>承担</w:t>
      </w:r>
      <w:r>
        <w:rPr>
          <w:rFonts w:ascii="宋体" w:hAnsi="宋体" w:eastAsia="宋体" w:cs="Times New Roman"/>
          <w:color w:val="000000" w:themeColor="text1"/>
          <w:kern w:val="0"/>
          <w:szCs w:val="21"/>
          <w:highlight w:val="none"/>
          <w14:textFill>
            <w14:solidFill>
              <w14:schemeClr w14:val="tx1"/>
            </w14:solidFill>
          </w14:textFill>
        </w:rPr>
        <w:t>。</w:t>
      </w:r>
    </w:p>
    <w:p w14:paraId="444E426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w:t>
      </w:r>
      <w:r>
        <w:rPr>
          <w:rFonts w:ascii="宋体" w:hAnsi="宋体" w:eastAsia="宋体" w:cs="Times New Roman"/>
          <w:color w:val="000000" w:themeColor="text1"/>
          <w:kern w:val="0"/>
          <w:szCs w:val="21"/>
          <w:highlight w:val="none"/>
          <w14:textFill>
            <w14:solidFill>
              <w14:schemeClr w14:val="tx1"/>
            </w14:solidFill>
          </w14:textFill>
        </w:rPr>
        <w:t>履约担保格式应采用招标文件中提供的（格式参见第</w:t>
      </w:r>
      <w:r>
        <w:rPr>
          <w:rFonts w:hint="eastAsia" w:ascii="宋体" w:hAnsi="宋体" w:eastAsia="宋体" w:cs="Times New Roman"/>
          <w:color w:val="000000" w:themeColor="text1"/>
          <w:kern w:val="0"/>
          <w:szCs w:val="21"/>
          <w:highlight w:val="none"/>
          <w14:textFill>
            <w14:solidFill>
              <w14:schemeClr w14:val="tx1"/>
            </w14:solidFill>
          </w14:textFill>
        </w:rPr>
        <w:t>五篇</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投标人如以履约保函（或履约保证保险或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履约担保书）形式提供履约担保的，投标前应当自行向其拟申请开具保函的银行（</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或保险</w:t>
      </w:r>
      <w:r>
        <w:rPr>
          <w:rFonts w:hint="eastAsia" w:ascii="宋体" w:hAnsi="宋体" w:eastAsia="宋体" w:cs="Times New Roman"/>
          <w:color w:val="000000" w:themeColor="text1"/>
          <w:kern w:val="0"/>
          <w:szCs w:val="21"/>
          <w:highlight w:val="none"/>
          <w14:textFill>
            <w14:solidFill>
              <w14:schemeClr w14:val="tx1"/>
            </w14:solidFill>
          </w14:textFill>
        </w:rPr>
        <w:t>或担保）机构落实履约保函（或履约保证保险或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履约担保书）格式情况，以确保能按本招标文件规定的格式提供保函。</w:t>
      </w:r>
      <w:r>
        <w:rPr>
          <w:rFonts w:ascii="宋体" w:hAnsi="宋体" w:eastAsia="宋体" w:cs="Times New Roman"/>
          <w:color w:val="000000" w:themeColor="text1"/>
          <w:kern w:val="0"/>
          <w:szCs w:val="21"/>
          <w:highlight w:val="none"/>
          <w14:textFill>
            <w14:solidFill>
              <w14:schemeClr w14:val="tx1"/>
            </w14:solidFill>
          </w14:textFill>
        </w:rPr>
        <w:t>如使用其他格式的履约保函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w:t>
      </w:r>
      <w:r>
        <w:rPr>
          <w:rFonts w:ascii="宋体" w:hAnsi="宋体" w:eastAsia="宋体" w:cs="Times New Roman"/>
          <w:color w:val="000000" w:themeColor="text1"/>
          <w:kern w:val="0"/>
          <w:szCs w:val="21"/>
          <w:highlight w:val="none"/>
          <w14:textFill>
            <w14:solidFill>
              <w14:schemeClr w14:val="tx1"/>
            </w14:solidFill>
          </w14:textFill>
        </w:rPr>
        <w:t>，须事先经招标人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ascii="宋体" w:hAnsi="宋体" w:eastAsia="宋体" w:cs="Times New Roman"/>
          <w:color w:val="000000" w:themeColor="text1"/>
          <w:kern w:val="0"/>
          <w:szCs w:val="21"/>
          <w:highlight w:val="none"/>
          <w14:textFill>
            <w14:solidFill>
              <w14:schemeClr w14:val="tx1"/>
            </w14:solidFill>
          </w14:textFill>
        </w:rPr>
        <w:t>的书面</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11DD104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）提供担保书的担保机构经济性质须为</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东莞</w:t>
      </w:r>
      <w:r>
        <w:rPr>
          <w:rFonts w:hint="eastAsia" w:ascii="宋体" w:hAnsi="宋体" w:eastAsia="宋体" w:cs="Times New Roman"/>
          <w:color w:val="000000" w:themeColor="text1"/>
          <w:kern w:val="0"/>
          <w:szCs w:val="21"/>
          <w:highlight w:val="none"/>
          <w14:textFill>
            <w14:solidFill>
              <w14:schemeClr w14:val="tx1"/>
            </w14:solidFill>
          </w14:textFill>
        </w:rPr>
        <w:t>市国有企业，或政府性融资担保机构（中标人须提供能证明其属于政府性融资担保机构的证明文件），并经招标人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hint="eastAsia" w:ascii="宋体" w:hAnsi="宋体" w:eastAsia="宋体" w:cs="Times New Roman"/>
          <w:color w:val="000000" w:themeColor="text1"/>
          <w:kern w:val="0"/>
          <w:szCs w:val="21"/>
          <w:highlight w:val="none"/>
          <w14:textFill>
            <w14:solidFill>
              <w14:schemeClr w14:val="tx1"/>
            </w14:solidFill>
          </w14:textFill>
        </w:rPr>
        <w:t>同意，执行本款时所发生的费用由中标人承担。如招标人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hint="eastAsia" w:ascii="宋体" w:hAnsi="宋体" w:eastAsia="宋体" w:cs="Times New Roman"/>
          <w:color w:val="000000" w:themeColor="text1"/>
          <w:kern w:val="0"/>
          <w:szCs w:val="21"/>
          <w:highlight w:val="none"/>
          <w14:textFill>
            <w14:solidFill>
              <w14:schemeClr w14:val="tx1"/>
            </w14:solidFill>
          </w14:textFill>
        </w:rPr>
        <w:t>合同条款接受担保公司预付款担保函的，对担保机构要求参照本条执行</w:t>
      </w:r>
      <w:r>
        <w:rPr>
          <w:rFonts w:ascii="宋体" w:hAnsi="宋体" w:eastAsia="宋体" w:cs="Times New Roman"/>
          <w:color w:val="000000" w:themeColor="text1"/>
          <w:kern w:val="0"/>
          <w:szCs w:val="21"/>
          <w:highlight w:val="none"/>
          <w14:textFill>
            <w14:solidFill>
              <w14:schemeClr w14:val="tx1"/>
            </w14:solidFill>
          </w14:textFill>
        </w:rPr>
        <w:t>。</w:t>
      </w:r>
    </w:p>
    <w:p w14:paraId="25560AB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r>
        <w:rPr>
          <w:rFonts w:ascii="宋体" w:hAnsi="宋体" w:eastAsia="宋体" w:cs="Times New Roman"/>
          <w:color w:val="000000" w:themeColor="text1"/>
          <w:kern w:val="0"/>
          <w:szCs w:val="21"/>
          <w:highlight w:val="none"/>
          <w14:textFill>
            <w14:solidFill>
              <w14:schemeClr w14:val="tx1"/>
            </w14:solidFill>
          </w14:textFill>
        </w:rPr>
        <w:t>如果</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人提交的履约担保的有效期届满时间先于招标文件、合同文件要求的，</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人应在原提交的履约担保有效期届满前15</w:t>
      </w:r>
      <w:r>
        <w:rPr>
          <w:rFonts w:hint="eastAsia" w:ascii="宋体" w:hAnsi="宋体" w:eastAsia="宋体" w:cs="Times New Roman"/>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kern w:val="0"/>
          <w:szCs w:val="21"/>
          <w:highlight w:val="none"/>
          <w14:textFill>
            <w14:solidFill>
              <w14:schemeClr w14:val="tx1"/>
            </w14:solidFill>
          </w14:textFill>
        </w:rPr>
        <w:t>内，无条件办理</w:t>
      </w:r>
      <w:r>
        <w:rPr>
          <w:rFonts w:hint="eastAsia" w:ascii="宋体" w:hAnsi="宋体" w:eastAsia="宋体" w:cs="Times New Roman"/>
          <w:color w:val="000000" w:themeColor="text1"/>
          <w:kern w:val="0"/>
          <w:szCs w:val="21"/>
          <w:highlight w:val="none"/>
          <w14:textFill>
            <w14:solidFill>
              <w14:schemeClr w14:val="tx1"/>
            </w14:solidFill>
          </w14:textFill>
        </w:rPr>
        <w:t>符合招标人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hint="eastAsia" w:ascii="宋体" w:hAnsi="宋体" w:eastAsia="宋体" w:cs="Times New Roman"/>
          <w:color w:val="000000" w:themeColor="text1"/>
          <w:kern w:val="0"/>
          <w:szCs w:val="21"/>
          <w:highlight w:val="none"/>
          <w14:textFill>
            <w14:solidFill>
              <w14:schemeClr w14:val="tx1"/>
            </w14:solidFill>
          </w14:textFill>
        </w:rPr>
        <w:t>要求的</w:t>
      </w:r>
      <w:r>
        <w:rPr>
          <w:rFonts w:ascii="宋体" w:hAnsi="宋体" w:eastAsia="宋体" w:cs="Times New Roman"/>
          <w:color w:val="000000" w:themeColor="text1"/>
          <w:kern w:val="0"/>
          <w:szCs w:val="21"/>
          <w:highlight w:val="none"/>
          <w14:textFill>
            <w14:solidFill>
              <w14:schemeClr w14:val="tx1"/>
            </w14:solidFill>
          </w14:textFill>
        </w:rPr>
        <w:t>履约担保延期手续</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或重新提供履约担保</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费用由</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中标人</w:t>
      </w:r>
      <w:r>
        <w:rPr>
          <w:rFonts w:hint="eastAsia" w:ascii="宋体" w:hAnsi="宋体" w:eastAsia="宋体" w:cs="Times New Roman"/>
          <w:color w:val="000000" w:themeColor="text1"/>
          <w:kern w:val="0"/>
          <w:szCs w:val="21"/>
          <w:highlight w:val="none"/>
          <w14:textFill>
            <w14:solidFill>
              <w14:schemeClr w14:val="tx1"/>
            </w14:solidFill>
          </w14:textFill>
        </w:rPr>
        <w:t>承担，</w:t>
      </w:r>
      <w:r>
        <w:rPr>
          <w:rFonts w:ascii="宋体" w:hAnsi="宋体" w:eastAsia="宋体" w:cs="Times New Roman"/>
          <w:color w:val="000000" w:themeColor="text1"/>
          <w:kern w:val="0"/>
          <w:szCs w:val="21"/>
          <w:highlight w:val="none"/>
          <w14:textFill>
            <w14:solidFill>
              <w14:schemeClr w14:val="tx1"/>
            </w14:solidFill>
          </w14:textFill>
        </w:rPr>
        <w:t>否则视为</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人违约，</w:t>
      </w:r>
      <w:r>
        <w:rPr>
          <w:rFonts w:hint="eastAsia" w:ascii="宋体" w:hAnsi="宋体" w:eastAsia="宋体" w:cs="Times New Roman"/>
          <w:color w:val="000000" w:themeColor="text1"/>
          <w:kern w:val="0"/>
          <w:szCs w:val="21"/>
          <w:highlight w:val="none"/>
          <w14:textFill>
            <w14:solidFill>
              <w14:schemeClr w14:val="tx1"/>
            </w14:solidFill>
          </w14:textFill>
        </w:rPr>
        <w:t>招标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ascii="宋体" w:hAnsi="宋体" w:eastAsia="宋体" w:cs="Times New Roman"/>
          <w:color w:val="000000" w:themeColor="text1"/>
          <w:kern w:val="0"/>
          <w:szCs w:val="21"/>
          <w:highlight w:val="none"/>
          <w14:textFill>
            <w14:solidFill>
              <w14:schemeClr w14:val="tx1"/>
            </w14:solidFill>
          </w14:textFill>
        </w:rPr>
        <w:t>有权</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在不可撤销银行履约保函或履约保证保险或担保公司履约担保书到期前</w:t>
      </w:r>
      <w:r>
        <w:rPr>
          <w:rFonts w:ascii="宋体" w:hAnsi="宋体" w:eastAsia="宋体" w:cs="Times New Roman"/>
          <w:color w:val="000000" w:themeColor="text1"/>
          <w:kern w:val="0"/>
          <w:szCs w:val="21"/>
          <w:highlight w:val="none"/>
          <w14:textFill>
            <w14:solidFill>
              <w14:schemeClr w14:val="tx1"/>
            </w14:solidFill>
          </w14:textFill>
        </w:rPr>
        <w:t>向出具履约</w:t>
      </w:r>
      <w:r>
        <w:rPr>
          <w:rFonts w:hint="eastAsia" w:ascii="宋体" w:hAnsi="宋体" w:eastAsia="宋体" w:cs="Times New Roman"/>
          <w:color w:val="000000" w:themeColor="text1"/>
          <w:kern w:val="0"/>
          <w:szCs w:val="21"/>
          <w:highlight w:val="none"/>
          <w14:textFill>
            <w14:solidFill>
              <w14:schemeClr w14:val="tx1"/>
            </w14:solidFill>
          </w14:textFill>
        </w:rPr>
        <w:t>担保的机构</w:t>
      </w:r>
      <w:r>
        <w:rPr>
          <w:rFonts w:ascii="宋体" w:hAnsi="宋体" w:eastAsia="宋体" w:cs="Times New Roman"/>
          <w:color w:val="000000" w:themeColor="text1"/>
          <w:kern w:val="0"/>
          <w:szCs w:val="21"/>
          <w:highlight w:val="none"/>
          <w14:textFill>
            <w14:solidFill>
              <w14:schemeClr w14:val="tx1"/>
            </w14:solidFill>
          </w14:textFill>
        </w:rPr>
        <w:t>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金。</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w:t>
      </w:r>
      <w:r>
        <w:rPr>
          <w:rFonts w:hint="eastAsia" w:ascii="宋体" w:hAnsi="宋体" w:eastAsia="宋体" w:cs="Times New Roman"/>
          <w:color w:val="000000" w:themeColor="text1"/>
          <w:kern w:val="0"/>
          <w:szCs w:val="21"/>
          <w:highlight w:val="none"/>
          <w14:textFill>
            <w14:solidFill>
              <w14:schemeClr w14:val="tx1"/>
            </w14:solidFill>
          </w14:textFill>
        </w:rPr>
        <w:t>担保公司履约担保书</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到期后中标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未按招标人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hint="eastAsia" w:ascii="宋体" w:hAnsi="宋体" w:eastAsia="宋体" w:cs="Times New Roman"/>
          <w:color w:val="000000" w:themeColor="text1"/>
          <w:kern w:val="0"/>
          <w:szCs w:val="21"/>
          <w:highlight w:val="none"/>
          <w14:textFill>
            <w14:solidFill>
              <w14:schemeClr w14:val="tx1"/>
            </w14:solidFill>
          </w14:textFill>
        </w:rPr>
        <w:t>要求重新提供的，</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中标人应向</w:t>
      </w:r>
      <w:r>
        <w:rPr>
          <w:rFonts w:hint="eastAsia" w:ascii="宋体" w:hAnsi="宋体" w:eastAsia="宋体" w:cs="Times New Roman"/>
          <w:color w:val="000000" w:themeColor="text1"/>
          <w:kern w:val="0"/>
          <w:szCs w:val="21"/>
          <w:highlight w:val="none"/>
          <w14:textFill>
            <w14:solidFill>
              <w14:schemeClr w14:val="tx1"/>
            </w14:solidFill>
          </w14:textFill>
        </w:rPr>
        <w:t>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或招标人权属子公司支付【20000】元（大写人民币贰万元整）</w:t>
      </w:r>
      <w:r>
        <w:rPr>
          <w:rFonts w:hint="eastAsia" w:ascii="宋体" w:hAnsi="宋体" w:eastAsia="宋体" w:cs="Times New Roman"/>
          <w:color w:val="000000" w:themeColor="text1"/>
          <w:kern w:val="0"/>
          <w:szCs w:val="21"/>
          <w:highlight w:val="none"/>
          <w14:textFill>
            <w14:solidFill>
              <w14:schemeClr w14:val="tx1"/>
            </w14:solidFill>
          </w14:textFill>
        </w:rPr>
        <w:t>违约金，违约金可直接从未付货款中扣除</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在中标人重新提供前招标人或招标人权属子公司无需向中标人支付合同款项，且不视为招标人或招标人权属子公司违约，</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中标人</w:t>
      </w:r>
      <w:r>
        <w:rPr>
          <w:rFonts w:hint="eastAsia" w:ascii="宋体" w:hAnsi="宋体" w:eastAsia="宋体" w:cs="Times New Roman"/>
          <w:color w:val="000000" w:themeColor="text1"/>
          <w:kern w:val="0"/>
          <w:szCs w:val="21"/>
          <w:highlight w:val="none"/>
          <w14:textFill>
            <w14:solidFill>
              <w14:schemeClr w14:val="tx1"/>
            </w14:solidFill>
          </w14:textFill>
        </w:rPr>
        <w:t>不得以此为由拒绝或迟延履行合同义务。</w:t>
      </w:r>
    </w:p>
    <w:p w14:paraId="77A03D5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）在合同履行过程中，不论何种原因导致履约担保金数额不符合招标文件要求的，中标人应当在</w:t>
      </w:r>
      <w:r>
        <w:rPr>
          <w:rFonts w:ascii="宋体" w:hAnsi="宋体" w:eastAsia="宋体" w:cs="Times New Roman"/>
          <w:color w:val="000000" w:themeColor="text1"/>
          <w:kern w:val="0"/>
          <w:szCs w:val="21"/>
          <w:highlight w:val="none"/>
          <w14:textFill>
            <w14:solidFill>
              <w14:schemeClr w14:val="tx1"/>
            </w14:solidFill>
          </w14:textFill>
        </w:rPr>
        <w:t>5日内予以补足。逾期不予补足的，</w:t>
      </w:r>
      <w:r>
        <w:rPr>
          <w:rFonts w:hint="eastAsia" w:ascii="宋体" w:hAnsi="宋体" w:eastAsia="宋体" w:cs="Times New Roman"/>
          <w:color w:val="000000" w:themeColor="text1"/>
          <w:kern w:val="0"/>
          <w:szCs w:val="21"/>
          <w:highlight w:val="none"/>
          <w14:textFill>
            <w14:solidFill>
              <w14:schemeClr w14:val="tx1"/>
            </w14:solidFill>
          </w14:textFill>
        </w:rPr>
        <w:t>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hint="eastAsia" w:ascii="宋体" w:hAnsi="宋体" w:eastAsia="宋体" w:cs="Times New Roman"/>
          <w:color w:val="000000" w:themeColor="text1"/>
          <w:kern w:val="0"/>
          <w:szCs w:val="21"/>
          <w:highlight w:val="none"/>
          <w14:textFill>
            <w14:solidFill>
              <w14:schemeClr w14:val="tx1"/>
            </w14:solidFill>
          </w14:textFill>
        </w:rPr>
        <w:t>有权按需补足的金额要求中标人承担违约金，并要求</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中标人</w:t>
      </w:r>
      <w:r>
        <w:rPr>
          <w:rFonts w:hint="eastAsia" w:ascii="宋体" w:hAnsi="宋体" w:eastAsia="宋体" w:cs="Times New Roman"/>
          <w:color w:val="000000" w:themeColor="text1"/>
          <w:kern w:val="0"/>
          <w:szCs w:val="21"/>
          <w:highlight w:val="none"/>
          <w14:textFill>
            <w14:solidFill>
              <w14:schemeClr w14:val="tx1"/>
            </w14:solidFill>
          </w14:textFill>
        </w:rPr>
        <w:t>限期补足，在中标人补足前招标人或招标人权属子公司无需向中标人支付合同款项，且不视为招标人或招标人权属子公司违约，</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中标人</w:t>
      </w:r>
      <w:r>
        <w:rPr>
          <w:rFonts w:hint="eastAsia" w:ascii="宋体" w:hAnsi="宋体" w:eastAsia="宋体" w:cs="Times New Roman"/>
          <w:color w:val="000000" w:themeColor="text1"/>
          <w:kern w:val="0"/>
          <w:szCs w:val="21"/>
          <w:highlight w:val="none"/>
          <w14:textFill>
            <w14:solidFill>
              <w14:schemeClr w14:val="tx1"/>
            </w14:solidFill>
          </w14:textFill>
        </w:rPr>
        <w:t>不得以此为由拒绝或迟延履行合同义务。</w:t>
      </w:r>
    </w:p>
    <w:p w14:paraId="5ED5343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（6）不</w:t>
      </w:r>
      <w:r>
        <w:rPr>
          <w:rFonts w:hint="eastAsia" w:ascii="宋体" w:hAnsi="宋体" w:eastAsia="宋体" w:cs="Times New Roman"/>
          <w:color w:val="000000" w:themeColor="text1"/>
          <w:kern w:val="0"/>
          <w:szCs w:val="21"/>
          <w:highlight w:val="none"/>
          <w14:textFill>
            <w14:solidFill>
              <w14:schemeClr w14:val="tx1"/>
            </w14:solidFill>
          </w14:textFill>
        </w:rPr>
        <w:t>可撤销银行履约保函（或履约保证保险或担保公司履约担保书）应从合同签订之日起（或签订合同前）至合同期限届满并全部</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货物经</w:t>
      </w:r>
      <w:r>
        <w:rPr>
          <w:rFonts w:hint="eastAsia" w:ascii="宋体" w:hAnsi="宋体" w:eastAsia="宋体" w:cs="Times New Roman"/>
          <w:color w:val="000000" w:themeColor="text1"/>
          <w:kern w:val="0"/>
          <w:szCs w:val="21"/>
          <w:highlight w:val="none"/>
          <w14:textFill>
            <w14:solidFill>
              <w14:schemeClr w14:val="tx1"/>
            </w14:solidFill>
          </w14:textFill>
        </w:rPr>
        <w:t>验收合格</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招标人或招标人权属子公司向</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中标人</w:t>
      </w:r>
      <w:r>
        <w:rPr>
          <w:rFonts w:hint="eastAsia" w:ascii="宋体" w:hAnsi="宋体" w:eastAsia="宋体" w:cs="Times New Roman"/>
          <w:color w:val="000000" w:themeColor="text1"/>
          <w:kern w:val="0"/>
          <w:szCs w:val="21"/>
          <w:highlight w:val="none"/>
          <w14:textFill>
            <w14:solidFill>
              <w14:schemeClr w14:val="tx1"/>
            </w14:solidFill>
          </w14:textFill>
        </w:rPr>
        <w:t>支付全部货款（除质保金）后二十八（28）日内</w:t>
      </w:r>
      <w:r>
        <w:rPr>
          <w:rFonts w:ascii="宋体" w:hAnsi="宋体" w:eastAsia="宋体" w:cs="Times New Roman"/>
          <w:color w:val="000000" w:themeColor="text1"/>
          <w:kern w:val="0"/>
          <w:szCs w:val="21"/>
          <w:highlight w:val="none"/>
          <w14:textFill>
            <w14:solidFill>
              <w14:schemeClr w14:val="tx1"/>
            </w14:solidFill>
          </w14:textFill>
        </w:rPr>
        <w:t>保持有效</w:t>
      </w:r>
      <w:r>
        <w:rPr>
          <w:rFonts w:hint="eastAsia" w:ascii="宋体" w:hAnsi="宋体" w:eastAsia="宋体" w:cs="宋体"/>
          <w:color w:val="000000" w:themeColor="text1"/>
          <w:kern w:val="0"/>
          <w:szCs w:val="21"/>
          <w:highlight w:val="none"/>
          <w14:textFill>
            <w14:solidFill>
              <w14:schemeClr w14:val="tx1"/>
            </w14:solidFill>
          </w14:textFill>
        </w:rPr>
        <w:t>。</w:t>
      </w:r>
    </w:p>
    <w:p w14:paraId="28A1903E">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35.4  履约保证金应用本合同货币。</w:t>
      </w:r>
    </w:p>
    <w:p w14:paraId="34BC887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35.5  中标人</w:t>
      </w:r>
      <w:r>
        <w:rPr>
          <w:rFonts w:ascii="宋体" w:hAnsi="宋体" w:eastAsia="宋体" w:cs="Times New Roman"/>
          <w:color w:val="000000" w:themeColor="text1"/>
          <w:kern w:val="0"/>
          <w:szCs w:val="21"/>
          <w:highlight w:val="none"/>
          <w14:textFill>
            <w14:solidFill>
              <w14:schemeClr w14:val="tx1"/>
            </w14:solidFill>
          </w14:textFill>
        </w:rPr>
        <w:t>也可以按招标文件约定的额度和时</w:t>
      </w:r>
      <w:r>
        <w:rPr>
          <w:rFonts w:hint="eastAsia" w:ascii="宋体" w:hAnsi="宋体" w:eastAsia="宋体" w:cs="宋体"/>
          <w:color w:val="000000" w:themeColor="text1"/>
          <w:kern w:val="0"/>
          <w:szCs w:val="21"/>
          <w:highlight w:val="none"/>
          <w14:textFill>
            <w14:solidFill>
              <w14:schemeClr w14:val="tx1"/>
            </w14:solidFill>
          </w14:textFill>
        </w:rPr>
        <w:t>间，向招标人</w:t>
      </w:r>
      <w:r>
        <w:rPr>
          <w:rFonts w:hint="eastAsia" w:ascii="宋体" w:hAnsi="宋体" w:eastAsia="宋体" w:cs="宋体"/>
          <w:color w:val="000000" w:themeColor="text1"/>
          <w:highlight w:val="none"/>
          <w14:textFill>
            <w14:solidFill>
              <w14:schemeClr w14:val="tx1"/>
            </w14:solidFill>
          </w14:textFill>
        </w:rPr>
        <w:t>或招标人权属子公司</w:t>
      </w:r>
      <w:r>
        <w:rPr>
          <w:rFonts w:hint="eastAsia" w:ascii="宋体" w:hAnsi="宋体" w:eastAsia="宋体" w:cs="宋体"/>
          <w:color w:val="000000" w:themeColor="text1"/>
          <w:kern w:val="0"/>
          <w:szCs w:val="21"/>
          <w:highlight w:val="none"/>
          <w14:textFill>
            <w14:solidFill>
              <w14:schemeClr w14:val="tx1"/>
            </w14:solidFill>
          </w14:textFill>
        </w:rPr>
        <w:t>交纳</w:t>
      </w:r>
      <w:r>
        <w:rPr>
          <w:rFonts w:ascii="宋体" w:hAnsi="宋体" w:eastAsia="宋体" w:cs="Times New Roman"/>
          <w:color w:val="000000" w:themeColor="text1"/>
          <w:kern w:val="0"/>
          <w:szCs w:val="21"/>
          <w:highlight w:val="none"/>
          <w14:textFill>
            <w14:solidFill>
              <w14:schemeClr w14:val="tx1"/>
            </w14:solidFill>
          </w14:textFill>
        </w:rPr>
        <w:t>同等数额的履约保证金作为履约担保。如中标人提交的履约保证金是其分支机构以转账形式转入的，要提交</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人的法人书面授权，不接受由私人账户和其它单位转入的保证金</w:t>
      </w:r>
      <w:r>
        <w:rPr>
          <w:rFonts w:hint="eastAsia" w:ascii="宋体" w:hAnsi="宋体" w:eastAsia="宋体" w:cs="Times New Roman"/>
          <w:color w:val="000000" w:themeColor="text1"/>
          <w:kern w:val="0"/>
          <w:szCs w:val="21"/>
          <w:highlight w:val="none"/>
          <w14:textFill>
            <w14:solidFill>
              <w14:schemeClr w14:val="tx1"/>
            </w14:solidFill>
          </w14:textFill>
        </w:rPr>
        <w:t>，也不接受现金形式提交</w:t>
      </w:r>
      <w:r>
        <w:rPr>
          <w:rFonts w:ascii="宋体" w:hAnsi="宋体" w:eastAsia="宋体" w:cs="Times New Roman"/>
          <w:color w:val="000000" w:themeColor="text1"/>
          <w:kern w:val="0"/>
          <w:szCs w:val="21"/>
          <w:highlight w:val="none"/>
          <w14:textFill>
            <w14:solidFill>
              <w14:schemeClr w14:val="tx1"/>
            </w14:solidFill>
          </w14:textFill>
        </w:rPr>
        <w:t>。履约保证金应以存入招标人指定的</w:t>
      </w:r>
      <w:r>
        <w:rPr>
          <w:rFonts w:hint="eastAsia" w:ascii="宋体" w:hAnsi="宋体" w:eastAsia="宋体" w:cs="Times New Roman"/>
          <w:color w:val="000000" w:themeColor="text1"/>
          <w:kern w:val="0"/>
          <w:szCs w:val="21"/>
          <w:highlight w:val="none"/>
          <w14:textFill>
            <w14:solidFill>
              <w14:schemeClr w14:val="tx1"/>
            </w14:solidFill>
          </w14:textFill>
        </w:rPr>
        <w:t>以下</w:t>
      </w:r>
      <w:r>
        <w:rPr>
          <w:rFonts w:ascii="宋体" w:hAnsi="宋体" w:eastAsia="宋体" w:cs="Times New Roman"/>
          <w:color w:val="000000" w:themeColor="text1"/>
          <w:kern w:val="0"/>
          <w:szCs w:val="21"/>
          <w:highlight w:val="none"/>
          <w14:textFill>
            <w14:solidFill>
              <w14:schemeClr w14:val="tx1"/>
            </w14:solidFill>
          </w14:textFill>
        </w:rPr>
        <w:t>银行账户为准</w:t>
      </w:r>
      <w:r>
        <w:rPr>
          <w:rFonts w:hint="eastAsia" w:ascii="宋体" w:hAnsi="宋体" w:eastAsia="宋体" w:cs="宋体"/>
          <w:color w:val="000000" w:themeColor="text1"/>
          <w:kern w:val="0"/>
          <w:szCs w:val="21"/>
          <w:highlight w:val="none"/>
          <w14:textFill>
            <w14:solidFill>
              <w14:schemeClr w14:val="tx1"/>
            </w14:solidFill>
          </w14:textFill>
        </w:rPr>
        <w:t>。</w:t>
      </w:r>
    </w:p>
    <w:p w14:paraId="04DA3F7C">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履约保证金账户：</w:t>
      </w:r>
      <w:r>
        <w:rPr>
          <w:rFonts w:hint="eastAsia" w:ascii="宋体" w:hAnsi="宋体" w:eastAsia="宋体" w:cs="宋体"/>
          <w:b/>
          <w:color w:val="000000" w:themeColor="text1"/>
          <w:kern w:val="0"/>
          <w:szCs w:val="21"/>
          <w:highlight w:val="none"/>
          <w:u w:val="single"/>
          <w14:textFill>
            <w14:solidFill>
              <w14:schemeClr w14:val="tx1"/>
            </w14:solidFill>
          </w14:textFill>
        </w:rPr>
        <w:t>（特别提醒，本账户非投标保证金账户）</w:t>
      </w:r>
    </w:p>
    <w:p w14:paraId="1D62C308">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开户名称：东莞市石鼓净水有限公司</w:t>
      </w:r>
    </w:p>
    <w:p w14:paraId="2F41BF5C">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银行账号：944004010000157127</w:t>
      </w:r>
    </w:p>
    <w:p w14:paraId="6A749618">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开户银行：中国邮政储蓄银行股份有限公司东莞市分行</w:t>
      </w:r>
    </w:p>
    <w:p w14:paraId="519F71F5">
      <w:pPr>
        <w:pStyle w:val="18"/>
        <w:spacing w:line="360" w:lineRule="auto"/>
        <w:ind w:right="-28" w:firstLine="632" w:firstLineChars="300"/>
        <w:jc w:val="both"/>
        <w:rPr>
          <w:rFonts w:hAnsi="宋体" w:cs="宋体"/>
          <w:color w:val="000000" w:themeColor="text1"/>
          <w:sz w:val="21"/>
          <w:szCs w:val="21"/>
          <w:highlight w:val="none"/>
          <w:lang w:val="en-US"/>
          <w14:textFill>
            <w14:solidFill>
              <w14:schemeClr w14:val="tx1"/>
            </w14:solidFill>
          </w14:textFill>
        </w:rPr>
      </w:pPr>
      <w:r>
        <w:rPr>
          <w:rFonts w:hint="eastAsia" w:hAnsi="宋体" w:cs="宋体"/>
          <w:color w:val="000000" w:themeColor="text1"/>
          <w:sz w:val="21"/>
          <w:szCs w:val="21"/>
          <w:highlight w:val="none"/>
          <w:lang w:val="en-US"/>
          <w14:textFill>
            <w14:solidFill>
              <w14:schemeClr w14:val="tx1"/>
            </w14:solidFill>
          </w14:textFill>
        </w:rPr>
        <w:t>特别约定：</w:t>
      </w:r>
      <w:r>
        <w:rPr>
          <w:rFonts w:hint="eastAsia" w:hAnsi="宋体" w:cs="宋体"/>
          <w:color w:val="000000" w:themeColor="text1"/>
          <w:sz w:val="21"/>
          <w:szCs w:val="21"/>
          <w:highlight w:val="none"/>
          <w:lang w:val="en-US" w:eastAsia="zh-CN"/>
          <w14:textFill>
            <w14:solidFill>
              <w14:schemeClr w14:val="tx1"/>
            </w14:solidFill>
          </w14:textFill>
        </w:rPr>
        <w:t>中标人</w:t>
      </w:r>
      <w:r>
        <w:rPr>
          <w:rFonts w:hint="eastAsia" w:hAnsi="宋体" w:cs="宋体"/>
          <w:color w:val="000000" w:themeColor="text1"/>
          <w:sz w:val="21"/>
          <w:szCs w:val="21"/>
          <w:highlight w:val="none"/>
          <w:lang w:val="en-US"/>
          <w14:textFill>
            <w14:solidFill>
              <w14:schemeClr w14:val="tx1"/>
            </w14:solidFill>
          </w14:textFill>
        </w:rPr>
        <w:t>知悉并同意，在本</w:t>
      </w:r>
      <w:r>
        <w:rPr>
          <w:rFonts w:hint="eastAsia" w:hAnsi="宋体" w:cs="宋体"/>
          <w:color w:val="000000" w:themeColor="text1"/>
          <w:sz w:val="21"/>
          <w:szCs w:val="21"/>
          <w:highlight w:val="none"/>
          <w:lang w:val="en-US" w:eastAsia="zh-CN"/>
          <w14:textFill>
            <w14:solidFill>
              <w14:schemeClr w14:val="tx1"/>
            </w14:solidFill>
          </w14:textFill>
        </w:rPr>
        <w:t>项目</w:t>
      </w:r>
      <w:r>
        <w:rPr>
          <w:rFonts w:hint="eastAsia" w:hAnsi="宋体" w:cs="宋体"/>
          <w:color w:val="000000" w:themeColor="text1"/>
          <w:sz w:val="21"/>
          <w:szCs w:val="21"/>
          <w:highlight w:val="none"/>
          <w:lang w:val="en-US"/>
          <w14:textFill>
            <w14:solidFill>
              <w14:schemeClr w14:val="tx1"/>
            </w14:solidFill>
          </w14:textFill>
        </w:rPr>
        <w:t>合同履行期间，一旦发生</w:t>
      </w:r>
      <w:r>
        <w:rPr>
          <w:rFonts w:hint="eastAsia" w:hAnsi="宋体" w:cs="宋体"/>
          <w:color w:val="000000" w:themeColor="text1"/>
          <w:sz w:val="21"/>
          <w:szCs w:val="21"/>
          <w:highlight w:val="none"/>
          <w:lang w:val="en-US" w:eastAsia="zh-CN"/>
          <w14:textFill>
            <w14:solidFill>
              <w14:schemeClr w14:val="tx1"/>
            </w14:solidFill>
          </w14:textFill>
        </w:rPr>
        <w:t>中标人</w:t>
      </w:r>
      <w:r>
        <w:rPr>
          <w:rFonts w:hint="eastAsia" w:hAnsi="宋体" w:cs="宋体"/>
          <w:color w:val="000000" w:themeColor="text1"/>
          <w:sz w:val="21"/>
          <w:szCs w:val="21"/>
          <w:highlight w:val="none"/>
          <w:lang w:val="en-US"/>
          <w14:textFill>
            <w14:solidFill>
              <w14:schemeClr w14:val="tx1"/>
            </w14:solidFill>
          </w14:textFill>
        </w:rPr>
        <w:t>违反本</w:t>
      </w:r>
      <w:r>
        <w:rPr>
          <w:rFonts w:hint="eastAsia" w:hAnsi="宋体" w:cs="宋体"/>
          <w:color w:val="000000" w:themeColor="text1"/>
          <w:sz w:val="21"/>
          <w:szCs w:val="21"/>
          <w:highlight w:val="none"/>
          <w:lang w:val="en-US" w:eastAsia="zh-CN"/>
          <w14:textFill>
            <w14:solidFill>
              <w14:schemeClr w14:val="tx1"/>
            </w14:solidFill>
          </w14:textFill>
        </w:rPr>
        <w:t>项目</w:t>
      </w:r>
      <w:r>
        <w:rPr>
          <w:rFonts w:hint="eastAsia" w:hAnsi="宋体" w:cs="宋体"/>
          <w:color w:val="000000" w:themeColor="text1"/>
          <w:sz w:val="21"/>
          <w:szCs w:val="21"/>
          <w:highlight w:val="none"/>
          <w:lang w:val="en-US"/>
          <w14:textFill>
            <w14:solidFill>
              <w14:schemeClr w14:val="tx1"/>
            </w14:solidFill>
          </w14:textFill>
        </w:rPr>
        <w:t>合同约定义务，无需另行征得</w:t>
      </w:r>
      <w:r>
        <w:rPr>
          <w:rFonts w:hint="eastAsia" w:hAnsi="宋体" w:cs="宋体"/>
          <w:color w:val="000000" w:themeColor="text1"/>
          <w:sz w:val="21"/>
          <w:szCs w:val="21"/>
          <w:highlight w:val="none"/>
          <w:lang w:val="en-US" w:eastAsia="zh-CN"/>
          <w14:textFill>
            <w14:solidFill>
              <w14:schemeClr w14:val="tx1"/>
            </w14:solidFill>
          </w14:textFill>
        </w:rPr>
        <w:t>中标人</w:t>
      </w:r>
      <w:r>
        <w:rPr>
          <w:rFonts w:hint="eastAsia" w:hAnsi="宋体" w:cs="宋体"/>
          <w:color w:val="000000" w:themeColor="text1"/>
          <w:sz w:val="21"/>
          <w:szCs w:val="21"/>
          <w:highlight w:val="none"/>
          <w:lang w:val="en-US"/>
          <w14:textFill>
            <w14:solidFill>
              <w14:schemeClr w14:val="tx1"/>
            </w14:solidFill>
          </w14:textFill>
        </w:rPr>
        <w:t>同意，各</w:t>
      </w:r>
      <w:r>
        <w:rPr>
          <w:rFonts w:hint="eastAsia" w:hAnsi="宋体" w:cs="宋体"/>
          <w:color w:val="000000" w:themeColor="text1"/>
          <w:sz w:val="21"/>
          <w:szCs w:val="21"/>
          <w:highlight w:val="none"/>
          <w:lang w:val="en-US" w:eastAsia="zh-CN"/>
          <w14:textFill>
            <w14:solidFill>
              <w14:schemeClr w14:val="tx1"/>
            </w14:solidFill>
          </w14:textFill>
        </w:rPr>
        <w:t>合同</w:t>
      </w:r>
      <w:r>
        <w:rPr>
          <w:rFonts w:hint="eastAsia" w:hAnsi="宋体" w:cs="宋体"/>
          <w:color w:val="000000" w:themeColor="text1"/>
          <w:sz w:val="21"/>
          <w:szCs w:val="21"/>
          <w:highlight w:val="none"/>
          <w:lang w:val="en-US"/>
          <w14:textFill>
            <w14:solidFill>
              <w14:schemeClr w14:val="tx1"/>
            </w14:solidFill>
          </w14:textFill>
        </w:rPr>
        <w:t>甲方主体（东莞市水务环境投资控股集团净水有限公司、东莞市石鼓净水有限公司、东莞市樟村水质净化有限公司、东莞市清源净水科技有限公司、东莞市莞水装备科技有限公司、东莞市众源环境投资有限公司）均有权就全部的履约担保金额单独或共同进行索赔，索赔方之间的担保金额分配由其内部协商确定，</w:t>
      </w:r>
      <w:r>
        <w:rPr>
          <w:rFonts w:hint="eastAsia" w:hAnsi="宋体" w:cs="宋体"/>
          <w:color w:val="000000" w:themeColor="text1"/>
          <w:sz w:val="21"/>
          <w:szCs w:val="21"/>
          <w:highlight w:val="none"/>
          <w:lang w:val="en-US" w:eastAsia="zh-CN"/>
          <w14:textFill>
            <w14:solidFill>
              <w14:schemeClr w14:val="tx1"/>
            </w14:solidFill>
          </w14:textFill>
        </w:rPr>
        <w:t>中标人</w:t>
      </w:r>
      <w:r>
        <w:rPr>
          <w:rFonts w:hint="eastAsia" w:hAnsi="宋体" w:cs="宋体"/>
          <w:color w:val="000000" w:themeColor="text1"/>
          <w:sz w:val="21"/>
          <w:szCs w:val="21"/>
          <w:highlight w:val="none"/>
          <w:lang w:val="en-US"/>
          <w14:textFill>
            <w14:solidFill>
              <w14:schemeClr w14:val="tx1"/>
            </w14:solidFill>
          </w14:textFill>
        </w:rPr>
        <w:t>不得以此为由提出任何异议。东莞市石鼓净水有限公司作为履约担保的收取方或受益人，负责办理履约担保的索赔提取手续，并将相应款项支付给对应索赔方。</w:t>
      </w:r>
    </w:p>
    <w:p w14:paraId="03BDFCC0">
      <w:pPr>
        <w:autoSpaceDE w:val="0"/>
        <w:autoSpaceDN w:val="0"/>
        <w:adjustRightInd w:val="0"/>
        <w:spacing w:line="360" w:lineRule="auto"/>
        <w:ind w:left="420" w:leftChars="-100" w:hanging="630" w:hangingChars="3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35.6</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单位提交了履约担保后，当履约保证金转达招标人或招标人权属子公司履约保证金账户后，</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人将履约保证金的汇款凭证用A4纸复印件（</w:t>
      </w:r>
      <w:r>
        <w:rPr>
          <w:rFonts w:hint="eastAsia" w:ascii="宋体" w:hAnsi="宋体" w:eastAsia="宋体" w:cs="Times New Roman"/>
          <w:bCs/>
          <w:color w:val="000000" w:themeColor="text1"/>
          <w:kern w:val="0"/>
          <w:szCs w:val="24"/>
          <w:highlight w:val="none"/>
          <w14:textFill>
            <w14:solidFill>
              <w14:schemeClr w14:val="tx1"/>
            </w14:solidFill>
          </w14:textFill>
        </w:rPr>
        <w:t>注明</w:t>
      </w:r>
      <w:r>
        <w:rPr>
          <w:rFonts w:hint="eastAsia" w:ascii="宋体" w:hAnsi="宋体" w:eastAsia="宋体" w:cs="Times New Roman"/>
          <w:bCs/>
          <w:color w:val="000000" w:themeColor="text1"/>
          <w:szCs w:val="21"/>
          <w:highlight w:val="none"/>
          <w:lang w:val="zh-CN"/>
          <w14:textFill>
            <w14:solidFill>
              <w14:schemeClr w14:val="tx1"/>
            </w14:solidFill>
          </w14:textFill>
        </w:rPr>
        <w:t>招标</w:t>
      </w:r>
      <w:r>
        <w:rPr>
          <w:rFonts w:hint="eastAsia" w:ascii="宋体" w:hAnsi="宋体" w:eastAsia="宋体" w:cs="Times New Roman"/>
          <w:bCs/>
          <w:color w:val="000000" w:themeColor="text1"/>
          <w:kern w:val="0"/>
          <w:szCs w:val="24"/>
          <w:highlight w:val="none"/>
          <w14:textFill>
            <w14:solidFill>
              <w14:schemeClr w14:val="tx1"/>
            </w14:solidFill>
          </w14:textFill>
        </w:rPr>
        <w:t>编号</w:t>
      </w:r>
      <w:r>
        <w:rPr>
          <w:rFonts w:hint="eastAsia" w:ascii="宋体" w:hAnsi="宋体" w:eastAsia="宋体" w:cs="Times New Roman"/>
          <w:color w:val="000000" w:themeColor="text1"/>
          <w:kern w:val="0"/>
          <w:szCs w:val="24"/>
          <w:highlight w:val="none"/>
          <w14:textFill>
            <w14:solidFill>
              <w14:schemeClr w14:val="tx1"/>
            </w14:solidFill>
          </w14:textFill>
        </w:rPr>
        <w:t>）一式二份并加盖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人的公章送招标代理机构，[或当中标人采取不可撤销银行履约保函（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或担保公司履约担保书）的方式缴纳履约担保时，中标人将不可撤销银行履约保函（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或担保公司履约担保书）原件</w:t>
      </w:r>
      <w:r>
        <w:rPr>
          <w:rFonts w:hint="eastAsia" w:ascii="宋体" w:hAnsi="宋体" w:eastAsia="宋体" w:cs="Times New Roman"/>
          <w:color w:val="000000" w:themeColor="text1"/>
          <w:szCs w:val="21"/>
          <w:highlight w:val="none"/>
          <w:lang w:val="zh-CN"/>
          <w14:textFill>
            <w14:solidFill>
              <w14:schemeClr w14:val="tx1"/>
            </w14:solidFill>
          </w14:textFill>
        </w:rPr>
        <w:t>交给招标人</w:t>
      </w:r>
      <w:r>
        <w:rPr>
          <w:rFonts w:hint="eastAsia" w:ascii="宋体" w:hAnsi="宋体" w:eastAsia="宋体" w:cs="Times New Roman"/>
          <w:color w:val="000000" w:themeColor="text1"/>
          <w:kern w:val="0"/>
          <w:szCs w:val="24"/>
          <w:highlight w:val="none"/>
          <w14:textFill>
            <w14:solidFill>
              <w14:schemeClr w14:val="tx1"/>
            </w14:solidFill>
          </w14:textFill>
        </w:rPr>
        <w:t>或招标人权属子公司</w:t>
      </w:r>
      <w:r>
        <w:rPr>
          <w:rFonts w:hint="eastAsia" w:ascii="宋体" w:hAnsi="宋体" w:eastAsia="宋体" w:cs="Times New Roman"/>
          <w:color w:val="000000" w:themeColor="text1"/>
          <w:szCs w:val="21"/>
          <w:highlight w:val="none"/>
          <w:lang w:val="zh-CN"/>
          <w14:textFill>
            <w14:solidFill>
              <w14:schemeClr w14:val="tx1"/>
            </w14:solidFill>
          </w14:textFill>
        </w:rPr>
        <w:t>，由招标人</w:t>
      </w:r>
      <w:r>
        <w:rPr>
          <w:rFonts w:hint="eastAsia" w:ascii="宋体" w:hAnsi="宋体" w:eastAsia="宋体" w:cs="Times New Roman"/>
          <w:color w:val="000000" w:themeColor="text1"/>
          <w:kern w:val="0"/>
          <w:szCs w:val="24"/>
          <w:highlight w:val="none"/>
          <w14:textFill>
            <w14:solidFill>
              <w14:schemeClr w14:val="tx1"/>
            </w14:solidFill>
          </w14:textFill>
        </w:rPr>
        <w:t>或招标人权属子公司</w:t>
      </w:r>
      <w:r>
        <w:rPr>
          <w:rFonts w:hint="eastAsia" w:ascii="宋体" w:hAnsi="宋体" w:eastAsia="宋体" w:cs="Times New Roman"/>
          <w:color w:val="000000" w:themeColor="text1"/>
          <w:szCs w:val="21"/>
          <w:highlight w:val="none"/>
          <w:lang w:val="zh-CN"/>
          <w14:textFill>
            <w14:solidFill>
              <w14:schemeClr w14:val="tx1"/>
            </w14:solidFill>
          </w14:textFill>
        </w:rPr>
        <w:t>在</w:t>
      </w:r>
      <w:r>
        <w:rPr>
          <w:rFonts w:hint="eastAsia" w:ascii="宋体" w:hAnsi="宋体" w:eastAsia="宋体" w:cs="Times New Roman"/>
          <w:color w:val="000000" w:themeColor="text1"/>
          <w:kern w:val="0"/>
          <w:szCs w:val="24"/>
          <w:highlight w:val="none"/>
          <w14:textFill>
            <w14:solidFill>
              <w14:schemeClr w14:val="tx1"/>
            </w14:solidFill>
          </w14:textFill>
        </w:rPr>
        <w:t>履约保函一式两份复印件上</w:t>
      </w:r>
      <w:r>
        <w:rPr>
          <w:rFonts w:hint="eastAsia" w:ascii="宋体" w:hAnsi="宋体" w:eastAsia="宋体" w:cs="Times New Roman"/>
          <w:color w:val="000000" w:themeColor="text1"/>
          <w:szCs w:val="21"/>
          <w:highlight w:val="none"/>
          <w:lang w:val="zh-CN"/>
          <w14:textFill>
            <w14:solidFill>
              <w14:schemeClr w14:val="tx1"/>
            </w14:solidFill>
          </w14:textFill>
        </w:rPr>
        <w:t>注明“原件已收”及签收人、日期后，中标人在每份复印件上</w:t>
      </w:r>
      <w:r>
        <w:rPr>
          <w:rFonts w:hint="eastAsia" w:ascii="宋体" w:hAnsi="宋体" w:eastAsia="宋体" w:cs="Times New Roman"/>
          <w:color w:val="000000" w:themeColor="text1"/>
          <w:kern w:val="0"/>
          <w:szCs w:val="24"/>
          <w:highlight w:val="none"/>
          <w14:textFill>
            <w14:solidFill>
              <w14:schemeClr w14:val="tx1"/>
            </w14:solidFill>
          </w14:textFill>
        </w:rPr>
        <w:t>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w:t>
      </w:r>
      <w:r>
        <w:rPr>
          <w:rFonts w:hint="eastAsia" w:ascii="宋体" w:hAnsi="宋体" w:eastAsia="宋体" w:cs="宋体"/>
          <w:color w:val="000000" w:themeColor="text1"/>
          <w:kern w:val="0"/>
          <w:szCs w:val="21"/>
          <w:highlight w:val="none"/>
          <w14:textFill>
            <w14:solidFill>
              <w14:schemeClr w14:val="tx1"/>
            </w14:solidFill>
          </w14:textFill>
        </w:rPr>
        <w:t>。</w:t>
      </w:r>
    </w:p>
    <w:p w14:paraId="694C37D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eastAsia="宋体" w:cs="Times New Roman"/>
          <w:color w:val="000000" w:themeColor="text1"/>
          <w:kern w:val="0"/>
          <w:szCs w:val="24"/>
          <w:highlight w:val="none"/>
          <w14:textFill>
            <w14:solidFill>
              <w14:schemeClr w14:val="tx1"/>
            </w14:solidFill>
          </w14:textFill>
        </w:rPr>
        <w:t>35.7</w:t>
      </w:r>
      <w:r>
        <w:rPr>
          <w:rFonts w:ascii="宋体" w:hAnsi="宋体" w:eastAsia="宋体" w:cs="Times New Roman"/>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中标人以履约保证金（银行转账形式）提供履约担保的</w:t>
      </w:r>
      <w:r>
        <w:rPr>
          <w:rFonts w:hint="eastAsia" w:ascii="宋体" w:hAnsi="宋体" w:eastAsia="宋体" w:cs="宋体"/>
          <w:color w:val="000000" w:themeColor="text1"/>
          <w:kern w:val="0"/>
          <w:szCs w:val="21"/>
          <w:highlight w:val="none"/>
          <w:lang w:eastAsia="zh-CN"/>
          <w14:textFill>
            <w14:solidFill>
              <w14:schemeClr w14:val="tx1"/>
            </w14:solidFill>
          </w14:textFill>
        </w:rPr>
        <w:t>，在合同期限届满并全部</w:t>
      </w:r>
      <w:r>
        <w:rPr>
          <w:rFonts w:hint="eastAsia" w:ascii="宋体" w:hAnsi="宋体" w:eastAsia="宋体" w:cs="宋体"/>
          <w:color w:val="000000" w:themeColor="text1"/>
          <w:kern w:val="0"/>
          <w:szCs w:val="21"/>
          <w:highlight w:val="none"/>
          <w:lang w:val="en-US" w:eastAsia="zh-CN"/>
          <w14:textFill>
            <w14:solidFill>
              <w14:schemeClr w14:val="tx1"/>
            </w14:solidFill>
          </w14:textFill>
        </w:rPr>
        <w:t>货物经验收合格，招标人或招标人权属子公司向中标人支付全部货款（除质保金）后</w:t>
      </w:r>
      <w:r>
        <w:rPr>
          <w:rFonts w:hint="eastAsia" w:ascii="宋体" w:hAnsi="宋体" w:eastAsia="宋体" w:cs="宋体"/>
          <w:color w:val="000000" w:themeColor="text1"/>
          <w:kern w:val="0"/>
          <w:szCs w:val="21"/>
          <w:highlight w:val="none"/>
          <w:lang w:eastAsia="zh-CN"/>
          <w14:textFill>
            <w14:solidFill>
              <w14:schemeClr w14:val="tx1"/>
            </w14:solidFill>
          </w14:textFill>
        </w:rPr>
        <w:t>二十八（28）日后，</w:t>
      </w:r>
      <w:r>
        <w:rPr>
          <w:rFonts w:hint="eastAsia" w:ascii="宋体" w:hAnsi="宋体" w:eastAsia="宋体" w:cs="宋体"/>
          <w:color w:val="000000" w:themeColor="text1"/>
          <w:kern w:val="0"/>
          <w:szCs w:val="21"/>
          <w:highlight w:val="none"/>
          <w14:textFill>
            <w14:solidFill>
              <w14:schemeClr w14:val="tx1"/>
            </w14:solidFill>
          </w14:textFill>
        </w:rPr>
        <w:t>经招标人</w:t>
      </w:r>
      <w:r>
        <w:rPr>
          <w:rFonts w:hint="eastAsia" w:ascii="宋体" w:hAnsi="宋体" w:eastAsia="宋体" w:cs="Times New Roman"/>
          <w:color w:val="000000" w:themeColor="text1"/>
          <w:kern w:val="0"/>
          <w:szCs w:val="24"/>
          <w:highlight w:val="none"/>
          <w14:textFill>
            <w14:solidFill>
              <w14:schemeClr w14:val="tx1"/>
            </w14:solidFill>
          </w14:textFill>
        </w:rPr>
        <w:t>或招标人权属子公司</w:t>
      </w:r>
      <w:r>
        <w:rPr>
          <w:rFonts w:hint="eastAsia" w:ascii="宋体" w:hAnsi="宋体" w:eastAsia="宋体" w:cs="宋体"/>
          <w:color w:val="000000" w:themeColor="text1"/>
          <w:kern w:val="0"/>
          <w:szCs w:val="21"/>
          <w:highlight w:val="none"/>
          <w14:textFill>
            <w14:solidFill>
              <w14:schemeClr w14:val="tx1"/>
            </w14:solidFill>
          </w14:textFill>
        </w:rPr>
        <w:t>确认，中标人可向招标人</w:t>
      </w:r>
      <w:r>
        <w:rPr>
          <w:rFonts w:hint="eastAsia" w:ascii="宋体" w:hAnsi="宋体" w:eastAsia="宋体" w:cs="Times New Roman"/>
          <w:color w:val="000000" w:themeColor="text1"/>
          <w:kern w:val="0"/>
          <w:szCs w:val="24"/>
          <w:highlight w:val="none"/>
          <w14:textFill>
            <w14:solidFill>
              <w14:schemeClr w14:val="tx1"/>
            </w14:solidFill>
          </w14:textFill>
        </w:rPr>
        <w:t>或招标人权属子公司</w:t>
      </w:r>
      <w:r>
        <w:rPr>
          <w:rFonts w:hint="eastAsia" w:ascii="宋体" w:hAnsi="宋体" w:eastAsia="宋体" w:cs="宋体"/>
          <w:color w:val="000000" w:themeColor="text1"/>
          <w:kern w:val="0"/>
          <w:szCs w:val="21"/>
          <w:highlight w:val="none"/>
          <w14:textFill>
            <w14:solidFill>
              <w14:schemeClr w14:val="tx1"/>
            </w14:solidFill>
          </w14:textFill>
        </w:rPr>
        <w:t>提交退回履约担保的申请。招标人</w:t>
      </w:r>
      <w:r>
        <w:rPr>
          <w:rFonts w:hint="eastAsia" w:ascii="宋体" w:hAnsi="宋体" w:eastAsia="宋体" w:cs="Times New Roman"/>
          <w:color w:val="000000" w:themeColor="text1"/>
          <w:kern w:val="0"/>
          <w:szCs w:val="24"/>
          <w:highlight w:val="none"/>
          <w14:textFill>
            <w14:solidFill>
              <w14:schemeClr w14:val="tx1"/>
            </w14:solidFill>
          </w14:textFill>
        </w:rPr>
        <w:t>或招标人权属子公司</w:t>
      </w:r>
      <w:r>
        <w:rPr>
          <w:rFonts w:hint="eastAsia" w:ascii="宋体" w:hAnsi="宋体" w:eastAsia="宋体" w:cs="宋体"/>
          <w:color w:val="000000" w:themeColor="text1"/>
          <w:kern w:val="0"/>
          <w:szCs w:val="21"/>
          <w:highlight w:val="none"/>
          <w14:textFill>
            <w14:solidFill>
              <w14:schemeClr w14:val="tx1"/>
            </w14:solidFill>
          </w14:textFill>
        </w:rPr>
        <w:t>审核并在扣除相应的费用（若有）后，办理履约担保退还手续，退回时一律以银行转账的形式无息退回到中标人的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账户</w:t>
      </w:r>
      <w:r>
        <w:rPr>
          <w:rFonts w:hint="eastAsia" w:ascii="宋体" w:hAnsi="宋体" w:eastAsia="宋体" w:cs="宋体"/>
          <w:color w:val="000000" w:themeColor="text1"/>
          <w:kern w:val="0"/>
          <w:szCs w:val="21"/>
          <w:highlight w:val="none"/>
          <w14:textFill>
            <w14:solidFill>
              <w14:schemeClr w14:val="tx1"/>
            </w14:solidFill>
          </w14:textFill>
        </w:rPr>
        <w:t>。</w:t>
      </w:r>
    </w:p>
    <w:p w14:paraId="4F57D61A">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14:textFill>
            <w14:solidFill>
              <w14:schemeClr w14:val="tx1"/>
            </w14:solidFill>
          </w14:textFill>
        </w:rPr>
      </w:pPr>
    </w:p>
    <w:p w14:paraId="1F4FBE41">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32" w:name="_Toc10995"/>
      <w:bookmarkStart w:id="333" w:name="_Toc486167702"/>
      <w:bookmarkStart w:id="334" w:name="_Toc21389"/>
      <w:bookmarkStart w:id="335" w:name="_Toc142508353"/>
      <w:bookmarkStart w:id="336" w:name="_Toc13033"/>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bookmarkEnd w:id="330"/>
      <w:bookmarkEnd w:id="331"/>
      <w:bookmarkEnd w:id="332"/>
      <w:bookmarkEnd w:id="333"/>
      <w:bookmarkEnd w:id="334"/>
      <w:bookmarkEnd w:id="335"/>
      <w:bookmarkEnd w:id="336"/>
    </w:p>
    <w:p w14:paraId="5F1B0A45">
      <w:pPr>
        <w:autoSpaceDE w:val="0"/>
        <w:autoSpaceDN w:val="0"/>
        <w:adjustRightInd w:val="0"/>
        <w:spacing w:line="360" w:lineRule="auto"/>
        <w:ind w:left="328" w:leftChars="-114"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36.1</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合同履行中</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招标</w:t>
      </w:r>
      <w:r>
        <w:rPr>
          <w:rFonts w:ascii="宋体" w:hAnsi="宋体" w:eastAsia="宋体" w:cs="宋体"/>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4"/>
          <w:highlight w:val="none"/>
          <w14:textFill>
            <w14:solidFill>
              <w14:schemeClr w14:val="tx1"/>
            </w14:solidFill>
          </w14:textFill>
        </w:rPr>
        <w:t>或招标人权属子公司</w:t>
      </w:r>
      <w:r>
        <w:rPr>
          <w:rFonts w:hint="eastAsia" w:ascii="宋体" w:hAnsi="宋体" w:eastAsia="宋体" w:cs="宋体"/>
          <w:color w:val="000000" w:themeColor="text1"/>
          <w:kern w:val="0"/>
          <w:szCs w:val="21"/>
          <w:highlight w:val="none"/>
          <w14:textFill>
            <w14:solidFill>
              <w14:schemeClr w14:val="tx1"/>
            </w14:solidFill>
          </w14:textFill>
        </w:rPr>
        <w:t>在合同约定的范围内，招标人</w:t>
      </w:r>
      <w:r>
        <w:rPr>
          <w:rFonts w:hint="eastAsia" w:ascii="宋体" w:hAnsi="宋体" w:eastAsia="宋体" w:cs="Times New Roman"/>
          <w:color w:val="000000" w:themeColor="text1"/>
          <w:kern w:val="0"/>
          <w:szCs w:val="24"/>
          <w:highlight w:val="none"/>
          <w14:textFill>
            <w14:solidFill>
              <w14:schemeClr w14:val="tx1"/>
            </w14:solidFill>
          </w14:textFill>
        </w:rPr>
        <w:t>或招标人权属子公司</w:t>
      </w:r>
      <w:r>
        <w:rPr>
          <w:rFonts w:hint="eastAsia" w:ascii="宋体" w:hAnsi="宋体" w:eastAsia="宋体" w:cs="宋体"/>
          <w:color w:val="000000" w:themeColor="text1"/>
          <w:kern w:val="0"/>
          <w:szCs w:val="21"/>
          <w:highlight w:val="none"/>
          <w14:textFill>
            <w14:solidFill>
              <w14:schemeClr w14:val="tx1"/>
            </w14:solidFill>
          </w14:textFill>
        </w:rPr>
        <w:t>有权根据项目实际情况及有关法律法规、政策的规定对采购范围进行变更调整，变更采购范围后，投标人应遵照执行。</w:t>
      </w:r>
    </w:p>
    <w:p w14:paraId="306CAD9A">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37" w:name="_Toc450662888"/>
    </w:p>
    <w:p w14:paraId="6E32ACAF">
      <w:pPr>
        <w:tabs>
          <w:tab w:val="left" w:pos="46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38" w:name="_Toc28921_WPSOffice_Level3"/>
      <w:bookmarkStart w:id="339" w:name="_Toc14372"/>
      <w:bookmarkStart w:id="340" w:name="_Toc142508354"/>
      <w:bookmarkStart w:id="341" w:name="_Toc486167703"/>
      <w:bookmarkStart w:id="342" w:name="_Toc11444"/>
      <w:bookmarkStart w:id="343" w:name="_Toc7431"/>
      <w:r>
        <w:rPr>
          <w:rFonts w:hint="eastAsia" w:ascii="宋体" w:hAnsi="宋体" w:eastAsia="宋体" w:cs="宋体"/>
          <w:color w:val="000000" w:themeColor="text1"/>
          <w:szCs w:val="21"/>
          <w:highlight w:val="none"/>
          <w14:textFill>
            <w14:solidFill>
              <w14:schemeClr w14:val="tx1"/>
            </w14:solidFill>
          </w14:textFill>
        </w:rPr>
        <w:t>37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中标服务费</w:t>
      </w:r>
      <w:bookmarkEnd w:id="337"/>
      <w:bookmarkEnd w:id="338"/>
      <w:bookmarkEnd w:id="339"/>
      <w:bookmarkEnd w:id="340"/>
      <w:bookmarkEnd w:id="341"/>
      <w:bookmarkEnd w:id="342"/>
      <w:bookmarkEnd w:id="343"/>
    </w:p>
    <w:p w14:paraId="4CC49BB2">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lang w:val="zh-CN"/>
          <w14:textFill>
            <w14:solidFill>
              <w14:schemeClr w14:val="tx1"/>
            </w14:solidFill>
          </w14:textFill>
        </w:rPr>
      </w:pPr>
      <w:bookmarkStart w:id="344" w:name="_Toc450662889"/>
      <w:r>
        <w:rPr>
          <w:rFonts w:hint="eastAsia" w:ascii="宋体" w:hAnsi="宋体" w:eastAsia="宋体" w:cs="宋体"/>
          <w:color w:val="000000" w:themeColor="text1"/>
          <w:kern w:val="0"/>
          <w:szCs w:val="21"/>
          <w:highlight w:val="none"/>
          <w:lang w:val="zh-CN"/>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lang w:val="zh-CN"/>
          <w14:textFill>
            <w14:solidFill>
              <w14:schemeClr w14:val="tx1"/>
            </w14:solidFill>
          </w14:textFill>
        </w:rPr>
        <w:t>.1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折扣系数计算得出的不含税暂定总价金额为计费额，本项目业务性质：按货物类招标代理服务收费）。</w:t>
      </w:r>
    </w:p>
    <w:p w14:paraId="5DF7EFDB">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color w:val="000000" w:themeColor="text1"/>
          <w:kern w:val="0"/>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val="zh-CN"/>
          <w14:textFill>
            <w14:solidFill>
              <w14:schemeClr w14:val="tx1"/>
            </w14:solidFill>
          </w14:textFill>
        </w:rPr>
        <w:t>中标人收到中标通知后，须在15日内向招标代理机构交纳中标服务费用。</w:t>
      </w:r>
    </w:p>
    <w:p w14:paraId="3F166748">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lang w:val="zh-CN"/>
          <w14:textFill>
            <w14:solidFill>
              <w14:schemeClr w14:val="tx1"/>
            </w14:solidFill>
          </w14:textFill>
        </w:rPr>
        <w:t>.3</w:t>
      </w:r>
      <w:r>
        <w:rPr>
          <w:rFonts w:hint="eastAsia" w:ascii="宋体" w:hAnsi="宋体" w:eastAsia="宋体" w:cs="宋体"/>
          <w:color w:val="000000" w:themeColor="text1"/>
          <w:kern w:val="0"/>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val="zh-CN"/>
          <w14:textFill>
            <w14:solidFill>
              <w14:schemeClr w14:val="tx1"/>
            </w14:solidFill>
          </w14:textFill>
        </w:rPr>
        <w:t>中标服务费只接受以银行转账、电汇方式交纳</w:t>
      </w:r>
    </w:p>
    <w:p w14:paraId="36E74822">
      <w:pPr>
        <w:pStyle w:val="23"/>
        <w:spacing w:line="360" w:lineRule="auto"/>
        <w:ind w:left="632" w:leftChars="151" w:hanging="315" w:hangingChars="150"/>
        <w:rPr>
          <w:rFonts w:hint="eastAsia" w:ascii="宋体" w:hAnsi="宋体" w:eastAsia="宋体" w:cs="Arial"/>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中标服务费汇入账号（特别提醒，本账户非投标保证金汇入账户</w:t>
      </w:r>
      <w:r>
        <w:rPr>
          <w:rFonts w:hint="eastAsia" w:ascii="宋体" w:hAnsi="宋体" w:eastAsia="宋体" w:cs="Arial"/>
          <w:color w:val="000000" w:themeColor="text1"/>
          <w:sz w:val="21"/>
          <w:szCs w:val="21"/>
          <w:highlight w:val="none"/>
          <w:lang w:val="zh-CN"/>
          <w14:textFill>
            <w14:solidFill>
              <w14:schemeClr w14:val="tx1"/>
            </w14:solidFill>
          </w14:textFill>
        </w:rPr>
        <w:t>）：</w:t>
      </w:r>
    </w:p>
    <w:p w14:paraId="4290E22B">
      <w:pPr>
        <w:pStyle w:val="23"/>
        <w:spacing w:line="360" w:lineRule="auto"/>
        <w:ind w:left="632" w:leftChars="151" w:hanging="315" w:hangingChars="150"/>
        <w:rPr>
          <w:rFonts w:hint="eastAsia" w:ascii="宋体" w:hAnsi="宋体" w:eastAsia="宋体" w:cs="Arial"/>
          <w:color w:val="000000" w:themeColor="text1"/>
          <w:sz w:val="21"/>
          <w:szCs w:val="21"/>
          <w:highlight w:val="none"/>
          <w:lang w:val="zh-CN"/>
          <w14:textFill>
            <w14:solidFill>
              <w14:schemeClr w14:val="tx1"/>
            </w14:solidFill>
          </w14:textFill>
        </w:rPr>
      </w:pPr>
      <w:r>
        <w:rPr>
          <w:rFonts w:hint="eastAsia" w:ascii="宋体" w:hAnsi="宋体" w:eastAsia="宋体" w:cs="Arial"/>
          <w:color w:val="000000" w:themeColor="text1"/>
          <w:sz w:val="21"/>
          <w:szCs w:val="21"/>
          <w:highlight w:val="none"/>
          <w:lang w:val="zh-CN"/>
          <w14:textFill>
            <w14:solidFill>
              <w14:schemeClr w14:val="tx1"/>
            </w14:solidFill>
          </w14:textFill>
        </w:rPr>
        <w:t>开户名称：建成工程咨询股份有限公司东莞分公司</w:t>
      </w:r>
    </w:p>
    <w:p w14:paraId="49E762E7">
      <w:pPr>
        <w:pStyle w:val="23"/>
        <w:spacing w:line="360" w:lineRule="auto"/>
        <w:ind w:left="632" w:leftChars="151" w:hanging="315" w:hangingChars="150"/>
        <w:rPr>
          <w:rFonts w:hint="eastAsia" w:ascii="宋体" w:hAnsi="宋体" w:eastAsia="宋体" w:cs="Arial"/>
          <w:color w:val="000000" w:themeColor="text1"/>
          <w:sz w:val="21"/>
          <w:szCs w:val="21"/>
          <w:highlight w:val="none"/>
          <w:lang w:val="zh-CN"/>
          <w14:textFill>
            <w14:solidFill>
              <w14:schemeClr w14:val="tx1"/>
            </w14:solidFill>
          </w14:textFill>
        </w:rPr>
      </w:pPr>
      <w:r>
        <w:rPr>
          <w:rFonts w:hint="eastAsia" w:ascii="宋体" w:hAnsi="宋体" w:eastAsia="宋体" w:cs="Arial"/>
          <w:color w:val="000000" w:themeColor="text1"/>
          <w:sz w:val="21"/>
          <w:szCs w:val="21"/>
          <w:highlight w:val="none"/>
          <w:lang w:val="zh-CN"/>
          <w14:textFill>
            <w14:solidFill>
              <w14:schemeClr w14:val="tx1"/>
            </w14:solidFill>
          </w14:textFill>
        </w:rPr>
        <w:t>银行账号：</w:t>
      </w:r>
      <w:r>
        <w:rPr>
          <w:rFonts w:ascii="宋体" w:hAnsi="宋体" w:eastAsia="宋体" w:cs="宋体"/>
          <w:color w:val="000000" w:themeColor="text1"/>
          <w:szCs w:val="21"/>
          <w:highlight w:val="none"/>
          <w14:textFill>
            <w14:solidFill>
              <w14:schemeClr w14:val="tx1"/>
            </w14:solidFill>
          </w14:textFill>
        </w:rPr>
        <w:t>7016 5805 9503</w:t>
      </w:r>
    </w:p>
    <w:p w14:paraId="68463F8B">
      <w:pPr>
        <w:pStyle w:val="23"/>
        <w:spacing w:line="360" w:lineRule="auto"/>
        <w:ind w:left="632" w:leftChars="151" w:hanging="315" w:hangingChars="150"/>
        <w:rPr>
          <w:rFonts w:hint="eastAsia" w:ascii="宋体" w:hAnsi="宋体" w:eastAsia="宋体" w:cs="Arial"/>
          <w:color w:val="000000" w:themeColor="text1"/>
          <w:sz w:val="21"/>
          <w:szCs w:val="21"/>
          <w:highlight w:val="none"/>
          <w:lang w:val="zh-CN"/>
          <w14:textFill>
            <w14:solidFill>
              <w14:schemeClr w14:val="tx1"/>
            </w14:solidFill>
          </w14:textFill>
        </w:rPr>
      </w:pPr>
      <w:r>
        <w:rPr>
          <w:rFonts w:hint="eastAsia" w:ascii="宋体" w:hAnsi="宋体" w:eastAsia="宋体" w:cs="Arial"/>
          <w:color w:val="000000" w:themeColor="text1"/>
          <w:sz w:val="21"/>
          <w:szCs w:val="21"/>
          <w:highlight w:val="none"/>
          <w:lang w:val="zh-CN"/>
          <w14:textFill>
            <w14:solidFill>
              <w14:schemeClr w14:val="tx1"/>
            </w14:solidFill>
          </w14:textFill>
        </w:rPr>
        <w:t>开户银行：</w:t>
      </w:r>
      <w:r>
        <w:rPr>
          <w:rFonts w:hint="eastAsia" w:ascii="宋体" w:hAnsi="宋体" w:eastAsia="宋体" w:cs="宋体"/>
          <w:color w:val="000000" w:themeColor="text1"/>
          <w:szCs w:val="21"/>
          <w:highlight w:val="none"/>
          <w14:textFill>
            <w14:solidFill>
              <w14:schemeClr w14:val="tx1"/>
            </w14:solidFill>
          </w14:textFill>
        </w:rPr>
        <w:t>中国银行东莞东城大道支行</w:t>
      </w:r>
    </w:p>
    <w:p w14:paraId="3F6EDD58">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val="zh-CN"/>
          <w14:textFill>
            <w14:solidFill>
              <w14:schemeClr w14:val="tx1"/>
            </w14:solidFill>
          </w14:textFill>
        </w:rPr>
        <w:t>中标人如未按第3</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lang w:val="zh-CN"/>
          <w14:textFill>
            <w14:solidFill>
              <w14:schemeClr w14:val="tx1"/>
            </w14:solidFill>
          </w14:textFill>
        </w:rPr>
        <w:t>.1款、第3</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lang w:val="zh-CN"/>
          <w14:textFill>
            <w14:solidFill>
              <w14:schemeClr w14:val="tx1"/>
            </w14:solidFill>
          </w14:textFill>
        </w:rPr>
        <w:t>.2款规定办理，将不予退还其投标保证金。</w:t>
      </w:r>
    </w:p>
    <w:p w14:paraId="2EA83FC2">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5841B0CE">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45" w:name="_Toc6082"/>
      <w:bookmarkStart w:id="346" w:name="_Toc142508355"/>
      <w:bookmarkStart w:id="347" w:name="_Toc26292"/>
      <w:bookmarkStart w:id="348" w:name="_Toc486167704"/>
      <w:bookmarkStart w:id="349" w:name="_Toc6764_WPSOffice_Level3"/>
      <w:bookmarkStart w:id="350" w:name="_Toc16761"/>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bookmarkEnd w:id="344"/>
      <w:bookmarkEnd w:id="345"/>
      <w:bookmarkEnd w:id="346"/>
      <w:bookmarkEnd w:id="347"/>
      <w:bookmarkEnd w:id="348"/>
      <w:bookmarkEnd w:id="349"/>
      <w:bookmarkEnd w:id="350"/>
    </w:p>
    <w:p w14:paraId="7C2D19E9">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该项目获得中标的中标人在执行合同过程中，向招标人（或招标人的权属</w:t>
      </w:r>
      <w:r>
        <w:rPr>
          <w:rFonts w:hint="eastAsia" w:ascii="宋体" w:hAnsi="宋体" w:eastAsia="宋体" w:cs="Times New Roman"/>
          <w:color w:val="000000" w:themeColor="text1"/>
          <w:szCs w:val="21"/>
          <w:highlight w:val="none"/>
          <w:lang w:val="en-US" w:eastAsia="zh-CN"/>
          <w14:textFill>
            <w14:solidFill>
              <w14:schemeClr w14:val="tx1"/>
            </w14:solidFill>
          </w14:textFill>
        </w:rPr>
        <w:t>子</w:t>
      </w:r>
      <w:r>
        <w:rPr>
          <w:rFonts w:hint="eastAsia" w:ascii="宋体" w:hAnsi="宋体" w:eastAsia="宋体" w:cs="Times New Roman"/>
          <w:color w:val="000000" w:themeColor="text1"/>
          <w:szCs w:val="21"/>
          <w:highlight w:val="none"/>
          <w:lang w:val="zh-CN"/>
          <w14:textFill>
            <w14:solidFill>
              <w14:schemeClr w14:val="tx1"/>
            </w14:solidFill>
          </w14:textFill>
        </w:rPr>
        <w:t>公司）出具的发票必须是由中标人开具，不得以其他单位或个人名义出具，本项目中标人向招标人（或招标人的权属</w:t>
      </w:r>
      <w:r>
        <w:rPr>
          <w:rFonts w:hint="eastAsia" w:ascii="宋体" w:hAnsi="宋体" w:eastAsia="宋体" w:cs="Times New Roman"/>
          <w:color w:val="000000" w:themeColor="text1"/>
          <w:szCs w:val="21"/>
          <w:highlight w:val="none"/>
          <w:lang w:val="en-US" w:eastAsia="zh-CN"/>
          <w14:textFill>
            <w14:solidFill>
              <w14:schemeClr w14:val="tx1"/>
            </w14:solidFill>
          </w14:textFill>
        </w:rPr>
        <w:t>子</w:t>
      </w:r>
      <w:r>
        <w:rPr>
          <w:rFonts w:hint="eastAsia" w:ascii="宋体" w:hAnsi="宋体" w:eastAsia="宋体" w:cs="Times New Roman"/>
          <w:color w:val="000000" w:themeColor="text1"/>
          <w:szCs w:val="21"/>
          <w:highlight w:val="none"/>
          <w:lang w:val="zh-CN"/>
          <w14:textFill>
            <w14:solidFill>
              <w14:schemeClr w14:val="tx1"/>
            </w14:solidFill>
          </w14:textFill>
        </w:rPr>
        <w:t>公司）出具的发票类型为增值税专用发票。</w:t>
      </w:r>
      <w:bookmarkStart w:id="351" w:name="_Toc31106_WPSOffice_Level3"/>
      <w:bookmarkStart w:id="352" w:name="_Toc486167705"/>
    </w:p>
    <w:p w14:paraId="1BBDFD14">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4AF4B9B0">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14:textFill>
            <w14:solidFill>
              <w14:schemeClr w14:val="tx1"/>
            </w14:solidFill>
          </w14:textFill>
        </w:rPr>
      </w:pPr>
      <w:bookmarkStart w:id="353" w:name="_Toc4658"/>
      <w:bookmarkStart w:id="354" w:name="_Toc142508356"/>
      <w:bookmarkStart w:id="355" w:name="_Toc14621"/>
      <w:bookmarkStart w:id="356" w:name="_Toc16304"/>
      <w:r>
        <w:rPr>
          <w:rFonts w:ascii="宋体" w:hAnsi="宋体" w:eastAsia="宋体" w:cs="宋体"/>
          <w:b/>
          <w:color w:val="000000" w:themeColor="text1"/>
          <w:szCs w:val="21"/>
          <w:highlight w:val="none"/>
          <w14:textFill>
            <w14:solidFill>
              <w14:schemeClr w14:val="tx1"/>
            </w14:solidFill>
          </w14:textFill>
        </w:rPr>
        <w:t>39 招标相关补充约定</w:t>
      </w:r>
      <w:bookmarkEnd w:id="353"/>
      <w:bookmarkEnd w:id="354"/>
      <w:bookmarkEnd w:id="355"/>
      <w:bookmarkEnd w:id="356"/>
    </w:p>
    <w:p w14:paraId="41571A28">
      <w:pPr>
        <w:autoSpaceDE w:val="0"/>
        <w:autoSpaceDN w:val="0"/>
        <w:adjustRightInd w:val="0"/>
        <w:snapToGrid w:val="0"/>
        <w:spacing w:line="360" w:lineRule="auto"/>
        <w:ind w:left="317" w:leftChars="-100" w:hanging="527" w:hangingChars="250"/>
        <w:jc w:val="left"/>
        <w:rPr>
          <w:rFonts w:ascii="宋体" w:hAnsi="宋体" w:eastAsia="宋体" w:cs="Times New Roman"/>
          <w:b/>
          <w:color w:val="000000" w:themeColor="text1"/>
          <w:szCs w:val="21"/>
          <w:highlight w:val="none"/>
          <w14:textFill>
            <w14:solidFill>
              <w14:schemeClr w14:val="tx1"/>
            </w14:solidFill>
          </w14:textFill>
        </w:rPr>
      </w:pPr>
      <w:r>
        <w:rPr>
          <w:rFonts w:ascii="宋体" w:hAnsi="宋体" w:eastAsia="宋体" w:cs="Times New Roman"/>
          <w:b/>
          <w:color w:val="000000" w:themeColor="text1"/>
          <w:szCs w:val="21"/>
          <w:highlight w:val="none"/>
          <w14:textFill>
            <w14:solidFill>
              <w14:schemeClr w14:val="tx1"/>
            </w14:solidFill>
          </w14:textFill>
        </w:rPr>
        <w:t>39.1</w:t>
      </w:r>
      <w:r>
        <w:rPr>
          <w:rFonts w:ascii="宋体" w:hAnsi="宋体" w:eastAsia="宋体" w:cs="Times New Roman"/>
          <w:b/>
          <w:color w:val="000000" w:themeColor="text1"/>
          <w:szCs w:val="21"/>
          <w:highlight w:val="none"/>
          <w14:textFill>
            <w14:solidFill>
              <w14:schemeClr w14:val="tx1"/>
            </w14:solidFill>
          </w14:textFill>
        </w:rPr>
        <w:tab/>
      </w:r>
      <w:r>
        <w:rPr>
          <w:rFonts w:ascii="宋体" w:hAnsi="宋体" w:eastAsia="宋体" w:cs="Times New Roman"/>
          <w:b/>
          <w:color w:val="000000" w:themeColor="text1"/>
          <w:szCs w:val="21"/>
          <w:highlight w:val="none"/>
          <w14:textFill>
            <w14:solidFill>
              <w14:schemeClr w14:val="tx1"/>
            </w14:solidFill>
          </w14:textFill>
        </w:rPr>
        <w:t>本项目投标人须知第2条所述行政处罚信息，以开标</w:t>
      </w:r>
      <w:r>
        <w:rPr>
          <w:rFonts w:hint="eastAsia" w:ascii="宋体" w:hAnsi="宋体" w:eastAsia="宋体" w:cs="Times New Roman"/>
          <w:b/>
          <w:color w:val="000000" w:themeColor="text1"/>
          <w:szCs w:val="21"/>
          <w:highlight w:val="none"/>
          <w:lang w:val="en-US" w:eastAsia="zh-CN"/>
          <w14:textFill>
            <w14:solidFill>
              <w14:schemeClr w14:val="tx1"/>
            </w14:solidFill>
          </w14:textFill>
        </w:rPr>
        <w:t>当天</w:t>
      </w:r>
      <w:r>
        <w:rPr>
          <w:rFonts w:ascii="宋体" w:hAnsi="宋体" w:eastAsia="宋体" w:cs="Times New Roman"/>
          <w:b/>
          <w:color w:val="000000" w:themeColor="text1"/>
          <w:szCs w:val="21"/>
          <w:highlight w:val="none"/>
          <w14:textFill>
            <w14:solidFill>
              <w14:schemeClr w14:val="tx1"/>
            </w14:solidFill>
          </w14:textFill>
        </w:rPr>
        <w:t>在“信用中国”网站（www.creditchina.gov.cn）查询结果为准</w:t>
      </w:r>
      <w:r>
        <w:rPr>
          <w:rFonts w:hint="eastAsia" w:ascii="宋体" w:hAnsi="宋体" w:eastAsia="宋体" w:cs="Times New Roman"/>
          <w:b/>
          <w:color w:val="000000" w:themeColor="text1"/>
          <w:szCs w:val="21"/>
          <w:highlight w:val="none"/>
          <w14:textFill>
            <w14:solidFill>
              <w14:schemeClr w14:val="tx1"/>
            </w14:solidFill>
          </w14:textFill>
        </w:rPr>
        <w:t>，或以司法、仲裁机构等出具的生效文件予以认定,时间以认定文件的落款时间为准</w:t>
      </w:r>
      <w:r>
        <w:rPr>
          <w:rFonts w:ascii="宋体" w:hAnsi="宋体" w:eastAsia="宋体" w:cs="Times New Roman"/>
          <w:b/>
          <w:color w:val="000000" w:themeColor="text1"/>
          <w:szCs w:val="21"/>
          <w:highlight w:val="none"/>
          <w14:textFill>
            <w14:solidFill>
              <w14:schemeClr w14:val="tx1"/>
            </w14:solidFill>
          </w14:textFill>
        </w:rPr>
        <w:t>。开标结束后，有关投标单位的行政处罚信息，以</w:t>
      </w:r>
      <w:r>
        <w:rPr>
          <w:rFonts w:hint="eastAsia" w:ascii="宋体" w:hAnsi="宋体" w:eastAsia="宋体" w:cs="Times New Roman"/>
          <w:b/>
          <w:color w:val="000000" w:themeColor="text1"/>
          <w:szCs w:val="21"/>
          <w:highlight w:val="none"/>
          <w:lang w:val="en-US" w:eastAsia="zh-CN"/>
          <w14:textFill>
            <w14:solidFill>
              <w14:schemeClr w14:val="tx1"/>
            </w14:solidFill>
          </w14:textFill>
        </w:rPr>
        <w:t>开标当天查询</w:t>
      </w:r>
      <w:r>
        <w:rPr>
          <w:rFonts w:ascii="宋体" w:hAnsi="宋体" w:eastAsia="宋体" w:cs="Times New Roman"/>
          <w:b/>
          <w:color w:val="000000" w:themeColor="text1"/>
          <w:szCs w:val="21"/>
          <w:highlight w:val="none"/>
          <w14:textFill>
            <w14:solidFill>
              <w14:schemeClr w14:val="tx1"/>
            </w14:solidFill>
          </w14:textFill>
        </w:rPr>
        <w:t>结果为准；结果公示期间，如投标人对有关投标单位的行政处罚信息存在异议，但不涉及第一中标候选人的，视为对中标结果没有造成实质影响。</w:t>
      </w:r>
    </w:p>
    <w:p w14:paraId="1357609D">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0F64C050">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14:textFill>
            <w14:solidFill>
              <w14:schemeClr w14:val="tx1"/>
            </w14:solidFill>
          </w14:textFill>
        </w:rPr>
      </w:pPr>
      <w:bookmarkStart w:id="357" w:name="_Toc142508357"/>
      <w:bookmarkStart w:id="358" w:name="_Toc21269"/>
      <w:bookmarkStart w:id="359" w:name="_Toc25568"/>
      <w:bookmarkStart w:id="360" w:name="_Toc26725"/>
      <w:r>
        <w:rPr>
          <w:rFonts w:ascii="宋体" w:hAnsi="宋体" w:eastAsia="宋体" w:cs="宋体"/>
          <w:color w:val="000000" w:themeColor="text1"/>
          <w:szCs w:val="21"/>
          <w:highlight w:val="none"/>
          <w14:textFill>
            <w14:solidFill>
              <w14:schemeClr w14:val="tx1"/>
            </w14:solidFill>
          </w14:textFill>
        </w:rPr>
        <w:t>40</w:t>
      </w:r>
      <w:r>
        <w:rPr>
          <w:rFonts w:hint="eastAsia" w:ascii="宋体" w:hAnsi="宋体" w:eastAsia="宋体" w:cs="宋体"/>
          <w:color w:val="000000" w:themeColor="text1"/>
          <w:szCs w:val="21"/>
          <w:highlight w:val="none"/>
          <w14:textFill>
            <w14:solidFill>
              <w14:schemeClr w14:val="tx1"/>
            </w14:solidFill>
          </w14:textFill>
        </w:rPr>
        <w:t xml:space="preserve"> 本次招标活动的最终解释权归招标代理机构及招标人所有。</w:t>
      </w:r>
      <w:bookmarkEnd w:id="351"/>
      <w:bookmarkEnd w:id="352"/>
      <w:bookmarkEnd w:id="357"/>
      <w:bookmarkEnd w:id="358"/>
      <w:bookmarkEnd w:id="359"/>
      <w:bookmarkEnd w:id="360"/>
    </w:p>
    <w:p w14:paraId="62B70B5B">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361" w:name="_Toc486167706"/>
      <w:bookmarkStart w:id="362" w:name="_Toc13058"/>
      <w:bookmarkStart w:id="363" w:name="_Toc4217"/>
      <w:bookmarkStart w:id="364" w:name="_Toc142508358"/>
      <w:bookmarkStart w:id="365" w:name="_Toc450662891"/>
      <w:bookmarkStart w:id="366" w:name="_Toc28218"/>
      <w:bookmarkStart w:id="367" w:name="_Toc27939_WPSOffice_Level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第三篇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用户需求书</w:t>
      </w:r>
      <w:bookmarkEnd w:id="361"/>
      <w:bookmarkEnd w:id="362"/>
      <w:bookmarkEnd w:id="363"/>
      <w:bookmarkEnd w:id="364"/>
      <w:bookmarkEnd w:id="365"/>
      <w:bookmarkEnd w:id="366"/>
      <w:bookmarkEnd w:id="367"/>
    </w:p>
    <w:p w14:paraId="4BFFEBB7">
      <w:pPr>
        <w:keepNext w:val="0"/>
        <w:keepLines w:val="0"/>
        <w:pageBreakBefore w:val="0"/>
        <w:kinsoku/>
        <w:wordWrap/>
        <w:overflowPunct/>
        <w:topLinePunct w:val="0"/>
        <w:bidi w:val="0"/>
        <w:snapToGrid/>
        <w:spacing w:line="360" w:lineRule="auto"/>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368" w:name="_Toc20975"/>
      <w:bookmarkStart w:id="369" w:name="_Toc447045089"/>
      <w:bookmarkStart w:id="370" w:name="_Toc447044478"/>
      <w:bookmarkStart w:id="371" w:name="_Toc447044602"/>
      <w:r>
        <w:rPr>
          <w:rFonts w:hint="eastAsia" w:ascii="宋体" w:hAnsi="宋体" w:eastAsia="宋体" w:cs="宋体"/>
          <w:b/>
          <w:color w:val="000000" w:themeColor="text1"/>
          <w:sz w:val="21"/>
          <w:szCs w:val="21"/>
          <w:highlight w:val="none"/>
          <w14:textFill>
            <w14:solidFill>
              <w14:schemeClr w14:val="tx1"/>
            </w14:solidFill>
          </w14:textFill>
        </w:rPr>
        <w:t>1. 项目信息</w:t>
      </w:r>
      <w:bookmarkEnd w:id="368"/>
    </w:p>
    <w:p w14:paraId="2FB081ED">
      <w:pPr>
        <w:keepNext w:val="0"/>
        <w:keepLines w:val="0"/>
        <w:pageBreakBefore w:val="0"/>
        <w:kinsoku/>
        <w:wordWrap/>
        <w:overflowPunct/>
        <w:topLinePunct w:val="0"/>
        <w:bidi w:val="0"/>
        <w:snapToGrid/>
        <w:spacing w:line="360" w:lineRule="auto"/>
        <w:ind w:firstLine="420" w:firstLineChars="200"/>
        <w:outlineLvl w:val="1"/>
        <w:rPr>
          <w:rFonts w:hint="eastAsia" w:ascii="宋体" w:hAnsi="宋体" w:eastAsia="宋体" w:cs="宋体"/>
          <w:color w:val="000000" w:themeColor="text1"/>
          <w:sz w:val="21"/>
          <w:szCs w:val="21"/>
          <w:highlight w:val="none"/>
          <w14:textFill>
            <w14:solidFill>
              <w14:schemeClr w14:val="tx1"/>
            </w14:solidFill>
          </w14:textFill>
        </w:rPr>
      </w:pPr>
      <w:bookmarkStart w:id="372" w:name="_Toc8317"/>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u w:val="none"/>
          <w:shd w:val="clear"/>
          <w14:textFill>
            <w14:solidFill>
              <w14:schemeClr w14:val="tx1"/>
            </w14:solidFill>
          </w14:textFill>
        </w:rPr>
        <w:t>东莞市水务环境投资控股集团</w:t>
      </w:r>
      <w:r>
        <w:rPr>
          <w:rFonts w:hint="eastAsia" w:ascii="宋体" w:hAnsi="宋体" w:eastAsia="宋体" w:cs="宋体"/>
          <w:color w:val="000000" w:themeColor="text1"/>
          <w:sz w:val="21"/>
          <w:szCs w:val="21"/>
          <w:highlight w:val="none"/>
          <w14:textFill>
            <w14:solidFill>
              <w14:schemeClr w14:val="tx1"/>
            </w14:solidFill>
          </w14:textFill>
        </w:rPr>
        <w:t>净水有限公司</w:t>
      </w:r>
      <w:bookmarkEnd w:id="372"/>
    </w:p>
    <w:p w14:paraId="1B85A9BE">
      <w:pPr>
        <w:keepNext w:val="0"/>
        <w:keepLines w:val="0"/>
        <w:pageBreakBefore w:val="0"/>
        <w:kinsoku/>
        <w:wordWrap/>
        <w:overflowPunct/>
        <w:topLinePunct w:val="0"/>
        <w:bidi w:val="0"/>
        <w:snapToGrid/>
        <w:spacing w:line="360" w:lineRule="auto"/>
        <w:ind w:firstLine="420" w:firstLineChars="200"/>
        <w:outlineLvl w:val="1"/>
        <w:rPr>
          <w:rFonts w:hint="eastAsia" w:ascii="宋体" w:hAnsi="宋体" w:eastAsia="宋体" w:cs="宋体"/>
          <w:color w:val="000000" w:themeColor="text1"/>
          <w:sz w:val="21"/>
          <w:szCs w:val="21"/>
          <w:highlight w:val="none"/>
          <w14:textFill>
            <w14:solidFill>
              <w14:schemeClr w14:val="tx1"/>
            </w14:solidFill>
          </w14:textFill>
        </w:rPr>
      </w:pPr>
      <w:bookmarkStart w:id="373" w:name="_Toc15488"/>
      <w:r>
        <w:rPr>
          <w:rFonts w:hint="eastAsia" w:ascii="宋体" w:hAnsi="宋体" w:eastAsia="宋体" w:cs="宋体"/>
          <w:color w:val="000000" w:themeColor="text1"/>
          <w:sz w:val="21"/>
          <w:szCs w:val="21"/>
          <w:highlight w:val="none"/>
          <w14:textFill>
            <w14:solidFill>
              <w14:schemeClr w14:val="tx1"/>
            </w14:solidFill>
          </w14:textFill>
        </w:rPr>
        <w:t>采购内容：</w:t>
      </w:r>
      <w:r>
        <w:rPr>
          <w:rFonts w:hint="eastAsia" w:ascii="宋体" w:hAnsi="宋体" w:eastAsia="宋体" w:cs="宋体"/>
          <w:color w:val="000000" w:themeColor="text1"/>
          <w:sz w:val="21"/>
          <w:szCs w:val="21"/>
          <w:highlight w:val="none"/>
          <w:lang w:val="en-US" w:eastAsia="zh-CN"/>
          <w14:textFill>
            <w14:solidFill>
              <w14:schemeClr w14:val="tx1"/>
            </w14:solidFill>
          </w14:textFill>
        </w:rPr>
        <w:t>2026</w:t>
      </w:r>
      <w:r>
        <w:rPr>
          <w:rFonts w:hint="eastAsia" w:ascii="宋体" w:hAnsi="宋体" w:eastAsia="宋体" w:cs="宋体"/>
          <w:color w:val="000000" w:themeColor="text1"/>
          <w:sz w:val="21"/>
          <w:szCs w:val="21"/>
          <w:highlight w:val="none"/>
          <w14:textFill>
            <w14:solidFill>
              <w14:schemeClr w14:val="tx1"/>
            </w14:solidFill>
          </w14:textFill>
        </w:rPr>
        <w:t>年五金材料及工器具采购</w:t>
      </w:r>
      <w:bookmarkEnd w:id="373"/>
    </w:p>
    <w:p w14:paraId="20DEBFA4">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76ADFB38">
      <w:pPr>
        <w:keepNext w:val="0"/>
        <w:keepLines w:val="0"/>
        <w:pageBreakBefore w:val="0"/>
        <w:kinsoku/>
        <w:wordWrap/>
        <w:overflowPunct/>
        <w:topLinePunct w:val="0"/>
        <w:bidi w:val="0"/>
        <w:snapToGrid/>
        <w:spacing w:line="360" w:lineRule="auto"/>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374" w:name="_Toc29795"/>
      <w:r>
        <w:rPr>
          <w:rFonts w:hint="eastAsia" w:ascii="宋体" w:hAnsi="宋体" w:eastAsia="宋体" w:cs="宋体"/>
          <w:b/>
          <w:color w:val="000000" w:themeColor="text1"/>
          <w:sz w:val="21"/>
          <w:szCs w:val="21"/>
          <w:highlight w:val="none"/>
          <w14:textFill>
            <w14:solidFill>
              <w14:schemeClr w14:val="tx1"/>
            </w14:solidFill>
          </w14:textFill>
        </w:rPr>
        <w:t>2. 货物采购需求</w:t>
      </w:r>
      <w:bookmarkEnd w:id="374"/>
    </w:p>
    <w:p w14:paraId="6B235F84">
      <w:pPr>
        <w:keepNext w:val="0"/>
        <w:keepLines w:val="0"/>
        <w:pageBreakBefore w:val="0"/>
        <w:kinsoku/>
        <w:wordWrap/>
        <w:overflowPunct/>
        <w:topLinePunct w:val="0"/>
        <w:bidi w:val="0"/>
        <w:snapToGrid/>
        <w:spacing w:line="360" w:lineRule="auto"/>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375" w:name="_Toc38"/>
      <w:r>
        <w:rPr>
          <w:rFonts w:hint="eastAsia" w:ascii="宋体" w:hAnsi="宋体" w:eastAsia="宋体" w:cs="宋体"/>
          <w:b/>
          <w:color w:val="000000" w:themeColor="text1"/>
          <w:sz w:val="21"/>
          <w:szCs w:val="21"/>
          <w:highlight w:val="none"/>
          <w14:textFill>
            <w14:solidFill>
              <w14:schemeClr w14:val="tx1"/>
            </w14:solidFill>
          </w14:textFill>
        </w:rPr>
        <w:t>2.1 采购货物情况</w:t>
      </w:r>
      <w:bookmarkEnd w:id="375"/>
    </w:p>
    <w:p w14:paraId="7357ED27">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采购货物清单（暂定）：详见附件《</w:t>
      </w:r>
      <w:r>
        <w:rPr>
          <w:rFonts w:hint="eastAsia" w:ascii="宋体" w:hAnsi="宋体" w:eastAsia="宋体" w:cs="宋体"/>
          <w:i w:val="0"/>
          <w:iCs w:val="0"/>
          <w:caps w:val="0"/>
          <w:color w:val="000000" w:themeColor="text1"/>
          <w:spacing w:val="0"/>
          <w:sz w:val="21"/>
          <w:szCs w:val="21"/>
          <w:highlight w:val="none"/>
          <w:u w:val="none"/>
          <w:shd w:val="clear"/>
          <w:lang w:eastAsia="zh-CN"/>
          <w14:textFill>
            <w14:solidFill>
              <w14:schemeClr w14:val="tx1"/>
            </w14:solidFill>
          </w14:textFill>
        </w:rPr>
        <w:t>东莞市水务环境投资控股集团净水有限公司2026年五金材料及工器具物资采购清单及预算表</w:t>
      </w:r>
      <w:r>
        <w:rPr>
          <w:rFonts w:hint="eastAsia" w:ascii="宋体" w:hAnsi="宋体" w:eastAsia="宋体" w:cs="宋体"/>
          <w:color w:val="000000" w:themeColor="text1"/>
          <w:sz w:val="21"/>
          <w:szCs w:val="21"/>
          <w:highlight w:val="none"/>
          <w14:textFill>
            <w14:solidFill>
              <w14:schemeClr w14:val="tx1"/>
            </w14:solidFill>
          </w14:textFill>
        </w:rPr>
        <w:t>》</w:t>
      </w:r>
    </w:p>
    <w:p w14:paraId="6E1656E7">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本次采购数量为暂定数量，仅为便于计算暂定合同价使用，不作为</w:t>
      </w:r>
      <w:r>
        <w:rPr>
          <w:rFonts w:hint="eastAsia" w:ascii="宋体" w:hAnsi="宋体" w:eastAsia="宋体" w:cs="宋体"/>
          <w:b w:val="0"/>
          <w:color w:val="000000" w:themeColor="text1"/>
          <w:sz w:val="21"/>
          <w:szCs w:val="21"/>
          <w:highlight w:val="none"/>
          <w:lang w:eastAsia="zh-CN"/>
          <w14:textFill>
            <w14:solidFill>
              <w14:schemeClr w14:val="tx1"/>
            </w14:solidFill>
          </w14:textFill>
        </w:rPr>
        <w:t>招标人</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或招标人权属子公司</w:t>
      </w:r>
      <w:r>
        <w:rPr>
          <w:rFonts w:hint="eastAsia" w:ascii="宋体" w:hAnsi="宋体" w:eastAsia="宋体" w:cs="宋体"/>
          <w:color w:val="000000" w:themeColor="text1"/>
          <w:sz w:val="21"/>
          <w:szCs w:val="21"/>
          <w:highlight w:val="none"/>
          <w14:textFill>
            <w14:solidFill>
              <w14:schemeClr w14:val="tx1"/>
            </w14:solidFill>
          </w14:textFill>
        </w:rPr>
        <w:t>最终采购数量的保证。实际需求数量以</w:t>
      </w:r>
      <w:r>
        <w:rPr>
          <w:rFonts w:hint="eastAsia" w:ascii="宋体" w:hAnsi="宋体" w:eastAsia="宋体" w:cs="宋体"/>
          <w:b w:val="0"/>
          <w:color w:val="000000" w:themeColor="text1"/>
          <w:sz w:val="21"/>
          <w:szCs w:val="21"/>
          <w:highlight w:val="none"/>
          <w:lang w:eastAsia="zh-CN"/>
          <w14:textFill>
            <w14:solidFill>
              <w14:schemeClr w14:val="tx1"/>
            </w14:solidFill>
          </w14:textFill>
        </w:rPr>
        <w:t>招标人</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或招标人权属子公司</w:t>
      </w:r>
      <w:r>
        <w:rPr>
          <w:rFonts w:hint="eastAsia" w:ascii="宋体" w:hAnsi="宋体" w:eastAsia="宋体" w:cs="宋体"/>
          <w:color w:val="000000" w:themeColor="text1"/>
          <w:sz w:val="21"/>
          <w:szCs w:val="21"/>
          <w:highlight w:val="none"/>
          <w14:textFill>
            <w14:solidFill>
              <w14:schemeClr w14:val="tx1"/>
            </w14:solidFill>
          </w14:textFill>
        </w:rPr>
        <w:t>各运营项目具体供货通知为准，按实结算。</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不含税中标</w:t>
      </w:r>
      <w:r>
        <w:rPr>
          <w:rFonts w:hint="eastAsia" w:ascii="宋体" w:hAnsi="宋体" w:eastAsia="宋体" w:cs="宋体"/>
          <w:color w:val="000000" w:themeColor="text1"/>
          <w:sz w:val="21"/>
          <w:szCs w:val="21"/>
          <w:highlight w:val="none"/>
          <w14:textFill>
            <w14:solidFill>
              <w14:schemeClr w14:val="tx1"/>
            </w14:solidFill>
          </w14:textFill>
        </w:rPr>
        <w:t>综合单价不随数量的变化而增减。投标人不得因</w:t>
      </w:r>
      <w:r>
        <w:rPr>
          <w:rFonts w:hint="eastAsia" w:ascii="宋体" w:hAnsi="宋体" w:eastAsia="宋体" w:cs="宋体"/>
          <w:b w:val="0"/>
          <w:color w:val="000000" w:themeColor="text1"/>
          <w:sz w:val="21"/>
          <w:szCs w:val="21"/>
          <w:highlight w:val="none"/>
          <w:lang w:eastAsia="zh-CN"/>
          <w14:textFill>
            <w14:solidFill>
              <w14:schemeClr w14:val="tx1"/>
            </w14:solidFill>
          </w14:textFill>
        </w:rPr>
        <w:t>招标人</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或招标人权属子公司</w:t>
      </w:r>
      <w:r>
        <w:rPr>
          <w:rFonts w:hint="eastAsia" w:ascii="宋体" w:hAnsi="宋体" w:eastAsia="宋体" w:cs="宋体"/>
          <w:color w:val="000000" w:themeColor="text1"/>
          <w:sz w:val="21"/>
          <w:szCs w:val="21"/>
          <w:highlight w:val="none"/>
          <w14:textFill>
            <w14:solidFill>
              <w14:schemeClr w14:val="tx1"/>
            </w14:solidFill>
          </w14:textFill>
        </w:rPr>
        <w:t>实际采购数量的减少或增加而要求提供任何形式的补偿或赔偿，或者要求</w:t>
      </w:r>
      <w:r>
        <w:rPr>
          <w:rFonts w:hint="eastAsia" w:ascii="宋体" w:hAnsi="宋体" w:eastAsia="宋体" w:cs="宋体"/>
          <w:b w:val="0"/>
          <w:color w:val="000000" w:themeColor="text1"/>
          <w:sz w:val="21"/>
          <w:szCs w:val="21"/>
          <w:highlight w:val="none"/>
          <w:lang w:eastAsia="zh-CN"/>
          <w14:textFill>
            <w14:solidFill>
              <w14:schemeClr w14:val="tx1"/>
            </w14:solidFill>
          </w14:textFill>
        </w:rPr>
        <w:t>招标人</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或招标人权属子公司</w:t>
      </w:r>
      <w:r>
        <w:rPr>
          <w:rFonts w:hint="eastAsia" w:ascii="宋体" w:hAnsi="宋体" w:eastAsia="宋体" w:cs="宋体"/>
          <w:color w:val="000000" w:themeColor="text1"/>
          <w:sz w:val="21"/>
          <w:szCs w:val="21"/>
          <w:highlight w:val="none"/>
          <w14:textFill>
            <w14:solidFill>
              <w14:schemeClr w14:val="tx1"/>
            </w14:solidFill>
          </w14:textFill>
        </w:rPr>
        <w:t>按暂定数量采购相应货物。</w:t>
      </w:r>
      <w:r>
        <w:rPr>
          <w:rFonts w:hint="eastAsia" w:ascii="宋体" w:hAnsi="宋体" w:eastAsia="宋体" w:cs="宋体"/>
          <w:b/>
          <w:color w:val="000000" w:themeColor="text1"/>
          <w:sz w:val="21"/>
          <w:szCs w:val="21"/>
          <w:highlight w:val="none"/>
          <w14:textFill>
            <w14:solidFill>
              <w14:schemeClr w14:val="tx1"/>
            </w14:solidFill>
          </w14:textFill>
        </w:rPr>
        <w:t>合同履约过程中，如</w:t>
      </w:r>
      <w:r>
        <w:rPr>
          <w:rFonts w:hint="eastAsia" w:ascii="宋体" w:hAnsi="宋体" w:eastAsia="宋体" w:cs="宋体"/>
          <w:b/>
          <w:color w:val="000000" w:themeColor="text1"/>
          <w:sz w:val="21"/>
          <w:szCs w:val="21"/>
          <w:highlight w:val="none"/>
          <w:lang w:eastAsia="zh-CN"/>
          <w14:textFill>
            <w14:solidFill>
              <w14:schemeClr w14:val="tx1"/>
            </w14:solidFill>
          </w14:textFill>
        </w:rPr>
        <w:t>招标人</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或招标人权属子公司</w:t>
      </w:r>
      <w:r>
        <w:rPr>
          <w:rFonts w:hint="eastAsia" w:ascii="宋体" w:hAnsi="宋体" w:eastAsia="宋体" w:cs="宋体"/>
          <w:b/>
          <w:color w:val="000000" w:themeColor="text1"/>
          <w:sz w:val="21"/>
          <w:szCs w:val="21"/>
          <w:highlight w:val="none"/>
          <w14:textFill>
            <w14:solidFill>
              <w14:schemeClr w14:val="tx1"/>
            </w14:solidFill>
          </w14:textFill>
        </w:rPr>
        <w:t>有新增的运营项目需要供货的，按不含税中标综合单价按实结算。</w:t>
      </w:r>
    </w:p>
    <w:p w14:paraId="06AD6525">
      <w:pPr>
        <w:keepNext w:val="0"/>
        <w:keepLines w:val="0"/>
        <w:pageBreakBefore w:val="0"/>
        <w:widowControl/>
        <w:kinsoku/>
        <w:wordWrap/>
        <w:overflowPunct/>
        <w:topLinePunct w:val="0"/>
        <w:bidi w:val="0"/>
        <w:snapToGrid/>
        <w:spacing w:line="360" w:lineRule="auto"/>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2.2 交货要求</w:t>
      </w:r>
    </w:p>
    <w:p w14:paraId="78A3932A">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供货期：自</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w:t>
      </w:r>
      <w:r>
        <w:rPr>
          <w:rFonts w:hint="eastAsia" w:ascii="宋体" w:hAnsi="宋体" w:eastAsia="宋体" w:cs="宋体"/>
          <w:color w:val="000000" w:themeColor="text1"/>
          <w:sz w:val="21"/>
          <w:szCs w:val="21"/>
          <w:highlight w:val="none"/>
          <w14:textFill>
            <w14:solidFill>
              <w14:schemeClr w14:val="tx1"/>
            </w14:solidFill>
          </w14:textFill>
        </w:rPr>
        <w:t>之日至</w:t>
      </w:r>
      <w:r>
        <w:rPr>
          <w:rFonts w:hint="eastAsia" w:ascii="宋体" w:hAnsi="宋体" w:eastAsia="宋体" w:cs="宋体"/>
          <w:color w:val="000000" w:themeColor="text1"/>
          <w:sz w:val="21"/>
          <w:szCs w:val="21"/>
          <w:highlight w:val="none"/>
          <w:lang w:val="en-US" w:eastAsia="zh-CN"/>
          <w14:textFill>
            <w14:solidFill>
              <w14:schemeClr w14:val="tx1"/>
            </w14:solidFill>
          </w14:textFill>
        </w:rPr>
        <w:t>2026年12月31日</w:t>
      </w:r>
      <w:r>
        <w:rPr>
          <w:rFonts w:hint="eastAsia" w:ascii="宋体" w:hAnsi="宋体" w:eastAsia="宋体" w:cs="宋体"/>
          <w:color w:val="000000" w:themeColor="text1"/>
          <w:sz w:val="21"/>
          <w:szCs w:val="21"/>
          <w:highlight w:val="none"/>
          <w14:textFill>
            <w14:solidFill>
              <w14:schemeClr w14:val="tx1"/>
            </w14:solidFill>
          </w14:textFill>
        </w:rPr>
        <w:t>。</w:t>
      </w:r>
    </w:p>
    <w:p w14:paraId="7C7C8FA2">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供货期内，部分提标运营项目有移交第三方单位运营的计划，具体移交时间暂未定，移交第三方单位运营的提标运营项目五金材料及工器具供货期截止至第三方单位接手运营起始时间前1</w:t>
      </w:r>
      <w:r>
        <w:rPr>
          <w:rFonts w:hint="eastAsia" w:ascii="宋体" w:hAnsi="宋体" w:eastAsia="宋体" w:cs="宋体"/>
          <w:color w:val="000000" w:themeColor="text1"/>
          <w:sz w:val="21"/>
          <w:szCs w:val="21"/>
          <w:highlight w:val="none"/>
          <w:lang w:val="en-US" w:eastAsia="zh-CN"/>
          <w14:textFill>
            <w14:solidFill>
              <w14:schemeClr w14:val="tx1"/>
            </w14:solidFill>
          </w14:textFill>
        </w:rPr>
        <w:t>日</w:t>
      </w:r>
      <w:r>
        <w:rPr>
          <w:rFonts w:hint="eastAsia" w:ascii="宋体" w:hAnsi="宋体" w:eastAsia="宋体" w:cs="宋体"/>
          <w:color w:val="000000" w:themeColor="text1"/>
          <w:sz w:val="21"/>
          <w:szCs w:val="21"/>
          <w:highlight w:val="none"/>
          <w14:textFill>
            <w14:solidFill>
              <w14:schemeClr w14:val="tx1"/>
            </w14:solidFill>
          </w14:textFill>
        </w:rPr>
        <w:t>（具体截止时间</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在截止之日前10个工作日内以书面形式通知投标人），未移交第三方单位运营的提标运营项目五金材料及工器具供货期截止至</w:t>
      </w:r>
      <w:r>
        <w:rPr>
          <w:rFonts w:hint="eastAsia" w:ascii="宋体" w:hAnsi="宋体" w:eastAsia="宋体" w:cs="宋体"/>
          <w:color w:val="000000" w:themeColor="text1"/>
          <w:sz w:val="21"/>
          <w:szCs w:val="21"/>
          <w:highlight w:val="none"/>
          <w:lang w:val="en-US" w:eastAsia="zh-CN"/>
          <w14:textFill>
            <w14:solidFill>
              <w14:schemeClr w14:val="tx1"/>
            </w14:solidFill>
          </w14:textFill>
        </w:rPr>
        <w:t>2026年12月31日</w:t>
      </w:r>
      <w:r>
        <w:rPr>
          <w:rFonts w:hint="eastAsia" w:ascii="宋体" w:hAnsi="宋体" w:eastAsia="宋体" w:cs="宋体"/>
          <w:color w:val="000000" w:themeColor="text1"/>
          <w:sz w:val="21"/>
          <w:szCs w:val="21"/>
          <w:highlight w:val="none"/>
          <w14:textFill>
            <w14:solidFill>
              <w14:schemeClr w14:val="tx1"/>
            </w14:solidFill>
          </w14:textFill>
        </w:rPr>
        <w:t>。</w:t>
      </w:r>
    </w:p>
    <w:p w14:paraId="769A9420">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(2) 交货期：</w:t>
      </w:r>
    </w:p>
    <w:p w14:paraId="54E79778">
      <w:pPr>
        <w:keepNext w:val="0"/>
        <w:keepLines w:val="0"/>
        <w:pageBreakBefore w:val="0"/>
        <w:widowControl/>
        <w:kinsoku/>
        <w:wordWrap/>
        <w:overflowPunct/>
        <w:topLinePunct w:val="0"/>
        <w:bidi w:val="0"/>
        <w:snapToGrid/>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 月度配送。每月10号前</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各运营项目发出供货通知，投标人自接到</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各运营项目供货通知后，需在【3】个工作日内按</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各运营项目该次发出供货清单送达并经</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各运营项目验收合格，由双方签字确认。</w:t>
      </w:r>
    </w:p>
    <w:p w14:paraId="514AF5F9">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 临时配送。如遇临时紧急配送，自接到</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各运营项目供货通知后，</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需在【1】个工作日内按</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各运营项目该次发出供货清单送达并经</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各运营项目验收合格，由双方签字确认，供货是否为紧急配送以</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各运营项目通知为准。</w:t>
      </w:r>
    </w:p>
    <w:p w14:paraId="256EE893">
      <w:pPr>
        <w:keepNext w:val="0"/>
        <w:keepLines w:val="0"/>
        <w:pageBreakBefore w:val="0"/>
        <w:widowControl/>
        <w:kinsoku/>
        <w:wordWrap/>
        <w:overflowPunct/>
        <w:topLinePunct w:val="0"/>
        <w:bidi w:val="0"/>
        <w:snapToGrid/>
        <w:spacing w:line="360" w:lineRule="auto"/>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 交货延期要求。出现货源不充足需要订购的五金材料及工器具，投标人需在收到</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各运营项目的供货通知后24小时内与上述各运营项目进行沟通并经</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各运营项目同意后，可延长交货期。</w:t>
      </w:r>
    </w:p>
    <w:p w14:paraId="41EFCEB7">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交货地点：</w:t>
      </w:r>
      <w:r>
        <w:rPr>
          <w:rFonts w:hint="eastAsia" w:ascii="宋体" w:hAnsi="宋体" w:eastAsia="宋体" w:cs="宋体"/>
          <w:i w:val="0"/>
          <w:iCs w:val="0"/>
          <w:caps w:val="0"/>
          <w:color w:val="000000" w:themeColor="text1"/>
          <w:spacing w:val="0"/>
          <w:sz w:val="21"/>
          <w:szCs w:val="21"/>
          <w:highlight w:val="none"/>
          <w:u w:val="none"/>
          <w:shd w:val="clear"/>
          <w14:textFill>
            <w14:solidFill>
              <w14:schemeClr w14:val="tx1"/>
            </w14:solidFill>
          </w14:textFill>
        </w:rPr>
        <w:t>东莞市水务环境投资控股集团</w:t>
      </w:r>
      <w:r>
        <w:rPr>
          <w:rFonts w:hint="eastAsia" w:ascii="宋体" w:hAnsi="宋体" w:eastAsia="宋体" w:cs="宋体"/>
          <w:color w:val="000000" w:themeColor="text1"/>
          <w:sz w:val="21"/>
          <w:szCs w:val="21"/>
          <w:highlight w:val="none"/>
          <w14:textFill>
            <w14:solidFill>
              <w14:schemeClr w14:val="tx1"/>
            </w14:solidFill>
          </w14:textFill>
        </w:rPr>
        <w:t>净水有限公司旗下各运营项目，地址详见附件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《送货地址汇总表》。</w:t>
      </w:r>
    </w:p>
    <w:p w14:paraId="4A7CB407">
      <w:pPr>
        <w:keepNext w:val="0"/>
        <w:keepLines w:val="0"/>
        <w:pageBreakBefore w:val="0"/>
        <w:widowControl/>
        <w:kinsoku/>
        <w:wordWrap/>
        <w:overflowPunct/>
        <w:topLinePunct w:val="0"/>
        <w:bidi w:val="0"/>
        <w:snapToGrid/>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(4)交货方式与风险承担：在货物移交给</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招标人或招标人权属子公司各运营项目</w:t>
      </w:r>
      <w:r>
        <w:rPr>
          <w:rFonts w:hint="eastAsia" w:ascii="宋体" w:hAnsi="宋体" w:eastAsia="宋体" w:cs="宋体"/>
          <w:color w:val="000000" w:themeColor="text1"/>
          <w:sz w:val="21"/>
          <w:szCs w:val="21"/>
          <w:highlight w:val="none"/>
          <w14:textFill>
            <w14:solidFill>
              <w14:schemeClr w14:val="tx1"/>
            </w14:solidFill>
          </w14:textFill>
        </w:rPr>
        <w:t>并经</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招标人或招标人权属子公司各运营项目</w:t>
      </w:r>
      <w:r>
        <w:rPr>
          <w:rFonts w:hint="eastAsia" w:ascii="宋体" w:hAnsi="宋体" w:eastAsia="宋体" w:cs="宋体"/>
          <w:color w:val="000000" w:themeColor="text1"/>
          <w:sz w:val="21"/>
          <w:szCs w:val="21"/>
          <w:highlight w:val="none"/>
          <w14:textFill>
            <w14:solidFill>
              <w14:schemeClr w14:val="tx1"/>
            </w14:solidFill>
          </w14:textFill>
        </w:rPr>
        <w:t>最终验收合格前，货物的毁损、灭失的风险和责任均由投标人承担。</w:t>
      </w:r>
    </w:p>
    <w:p w14:paraId="44C863C8">
      <w:pPr>
        <w:keepNext w:val="0"/>
        <w:keepLines w:val="0"/>
        <w:pageBreakBefore w:val="0"/>
        <w:kinsoku/>
        <w:wordWrap/>
        <w:overflowPunct/>
        <w:topLinePunct w:val="0"/>
        <w:bidi w:val="0"/>
        <w:snapToGrid/>
        <w:spacing w:line="360" w:lineRule="auto"/>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376" w:name="_Toc32008"/>
      <w:r>
        <w:rPr>
          <w:rFonts w:hint="eastAsia" w:ascii="宋体" w:hAnsi="宋体" w:eastAsia="宋体" w:cs="宋体"/>
          <w:b/>
          <w:color w:val="000000" w:themeColor="text1"/>
          <w:sz w:val="21"/>
          <w:szCs w:val="21"/>
          <w:highlight w:val="none"/>
          <w14:textFill>
            <w14:solidFill>
              <w14:schemeClr w14:val="tx1"/>
            </w14:solidFill>
          </w14:textFill>
        </w:rPr>
        <w:t>2.3 质量要求</w:t>
      </w:r>
      <w:bookmarkEnd w:id="376"/>
    </w:p>
    <w:bookmarkEnd w:id="369"/>
    <w:bookmarkEnd w:id="370"/>
    <w:bookmarkEnd w:id="371"/>
    <w:p w14:paraId="4FB7EC4A">
      <w:pPr>
        <w:pStyle w:val="161"/>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投标人所供货物的品牌可参考推荐品牌或投标人所供货物的品牌其质量同等或优于推荐品牌。投标人所供货物的品牌其质量同等或优于推荐品牌的，</w:t>
      </w:r>
      <w:r>
        <w:rPr>
          <w:rFonts w:hint="eastAsia" w:hAnsi="宋体" w:eastAsia="宋体" w:cs="宋体"/>
          <w:color w:val="000000" w:themeColor="text1"/>
          <w:sz w:val="21"/>
          <w:szCs w:val="21"/>
          <w:highlight w:val="none"/>
          <w:lang w:val="en-US" w:eastAsia="zh-CN"/>
          <w14:textFill>
            <w14:solidFill>
              <w14:schemeClr w14:val="tx1"/>
            </w14:solidFill>
          </w14:textFill>
        </w:rPr>
        <w:t>对应的</w:t>
      </w:r>
      <w:r>
        <w:rPr>
          <w:rFonts w:hint="eastAsia" w:ascii="宋体" w:hAnsi="宋体" w:eastAsia="宋体" w:cs="宋体"/>
          <w:color w:val="000000" w:themeColor="text1"/>
          <w:sz w:val="21"/>
          <w:szCs w:val="21"/>
          <w:highlight w:val="none"/>
          <w14:textFill>
            <w14:solidFill>
              <w14:schemeClr w14:val="tx1"/>
            </w14:solidFill>
          </w14:textFill>
        </w:rPr>
        <w:t>综合单价均不作出变更。</w:t>
      </w:r>
    </w:p>
    <w:p w14:paraId="1D70237D">
      <w:pPr>
        <w:pStyle w:val="161"/>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 </w:t>
      </w:r>
      <w:r>
        <w:rPr>
          <w:rFonts w:hint="eastAsia" w:ascii="宋体" w:hAnsi="宋体" w:eastAsia="宋体" w:cs="宋体"/>
          <w:b/>
          <w:color w:val="000000" w:themeColor="text1"/>
          <w:sz w:val="21"/>
          <w:szCs w:val="21"/>
          <w:highlight w:val="none"/>
          <w14:textFill>
            <w14:solidFill>
              <w14:schemeClr w14:val="tx1"/>
            </w14:solidFill>
          </w14:textFill>
        </w:rPr>
        <w:t>投标人所提供的货物必须符合国家现行有效的法律法规、行业规范及相关的质量标准并保证其产品使用质量，满足</w:t>
      </w:r>
      <w:r>
        <w:rPr>
          <w:rFonts w:hint="eastAsia" w:hAnsi="宋体" w:eastAsia="宋体" w:cs="宋体"/>
          <w:b/>
          <w:color w:val="000000" w:themeColor="text1"/>
          <w:sz w:val="21"/>
          <w:szCs w:val="21"/>
          <w:highlight w:val="none"/>
          <w:lang w:eastAsia="zh-CN"/>
          <w14:textFill>
            <w14:solidFill>
              <w14:schemeClr w14:val="tx1"/>
            </w14:solidFill>
          </w14:textFill>
        </w:rPr>
        <w:t>招标人或招标人</w:t>
      </w:r>
      <w:r>
        <w:rPr>
          <w:rFonts w:hint="eastAsia" w:ascii="宋体" w:hAnsi="宋体" w:eastAsia="宋体" w:cs="宋体"/>
          <w:b/>
          <w:color w:val="000000" w:themeColor="text1"/>
          <w:sz w:val="21"/>
          <w:szCs w:val="21"/>
          <w:highlight w:val="none"/>
          <w:lang w:eastAsia="zh-CN"/>
          <w14:textFill>
            <w14:solidFill>
              <w14:schemeClr w14:val="tx1"/>
            </w14:solidFill>
          </w14:textFill>
        </w:rPr>
        <w:t>权属子公司</w:t>
      </w:r>
      <w:r>
        <w:rPr>
          <w:rFonts w:hint="eastAsia" w:ascii="宋体" w:hAnsi="宋体" w:eastAsia="宋体" w:cs="宋体"/>
          <w:b/>
          <w:color w:val="000000" w:themeColor="text1"/>
          <w:sz w:val="21"/>
          <w:szCs w:val="21"/>
          <w:highlight w:val="none"/>
          <w14:textFill>
            <w14:solidFill>
              <w14:schemeClr w14:val="tx1"/>
            </w14:solidFill>
          </w14:textFill>
        </w:rPr>
        <w:t>的实际使用需求。如在货物送货时发现货物破损或者发生质量问题，</w:t>
      </w:r>
      <w:r>
        <w:rPr>
          <w:rFonts w:hint="eastAsia" w:hAnsi="宋体" w:eastAsia="宋体" w:cs="宋体"/>
          <w:b/>
          <w:color w:val="000000" w:themeColor="text1"/>
          <w:sz w:val="21"/>
          <w:szCs w:val="21"/>
          <w:highlight w:val="none"/>
          <w:lang w:eastAsia="zh-CN"/>
          <w14:textFill>
            <w14:solidFill>
              <w14:schemeClr w14:val="tx1"/>
            </w14:solidFill>
          </w14:textFill>
        </w:rPr>
        <w:t>招标人或招标人</w:t>
      </w:r>
      <w:r>
        <w:rPr>
          <w:rFonts w:hint="eastAsia" w:ascii="宋体" w:hAnsi="宋体" w:eastAsia="宋体" w:cs="宋体"/>
          <w:b/>
          <w:color w:val="000000" w:themeColor="text1"/>
          <w:sz w:val="21"/>
          <w:szCs w:val="21"/>
          <w:highlight w:val="none"/>
          <w:lang w:eastAsia="zh-CN"/>
          <w14:textFill>
            <w14:solidFill>
              <w14:schemeClr w14:val="tx1"/>
            </w14:solidFill>
          </w14:textFill>
        </w:rPr>
        <w:t>权属子公司</w:t>
      </w:r>
      <w:r>
        <w:rPr>
          <w:rFonts w:hint="eastAsia" w:ascii="宋体" w:hAnsi="宋体" w:eastAsia="宋体" w:cs="宋体"/>
          <w:b/>
          <w:color w:val="000000" w:themeColor="text1"/>
          <w:sz w:val="21"/>
          <w:szCs w:val="21"/>
          <w:highlight w:val="none"/>
          <w14:textFill>
            <w14:solidFill>
              <w14:schemeClr w14:val="tx1"/>
            </w14:solidFill>
          </w14:textFill>
        </w:rPr>
        <w:t>有权要求投标人在收到通知后【3】日内退换相应的货物并经招标人或招标人权属子公司验收合格；如因货物质量问题在安装使用后导致设备损坏无法正常使用，由投标人负责对该设备进行维修，因此产生的费用及因此导致的招标人或招标人权属子公司损失均由投标人承担。</w:t>
      </w:r>
    </w:p>
    <w:p w14:paraId="48B40862">
      <w:pPr>
        <w:pStyle w:val="161"/>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投标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5F1D3D0F">
      <w:pPr>
        <w:pStyle w:val="161"/>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 投标人必须提供目前市场上技术较先进，成熟的原装产品，其质量、规格及技术特征符合合同附件的要求，并符合国家有关标准。</w:t>
      </w:r>
    </w:p>
    <w:p w14:paraId="0CB3F14B">
      <w:pPr>
        <w:pStyle w:val="161"/>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如投标人所供货物是国内制造的，必须为交货前8个月内生产；如投标人所供货物是国外制造的，必须为交货前12个月内生产</w:t>
      </w:r>
      <w:r>
        <w:rPr>
          <w:rFonts w:hint="eastAsia" w:ascii="宋体" w:hAnsi="宋体" w:eastAsia="宋体" w:cs="宋体"/>
          <w:color w:val="000000" w:themeColor="text1"/>
          <w:sz w:val="21"/>
          <w:szCs w:val="21"/>
          <w:highlight w:val="none"/>
          <w14:textFill>
            <w14:solidFill>
              <w14:schemeClr w14:val="tx1"/>
            </w14:solidFill>
          </w14:textFill>
        </w:rPr>
        <w:t>。</w:t>
      </w:r>
    </w:p>
    <w:p w14:paraId="036E652E">
      <w:pPr>
        <w:pStyle w:val="161"/>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如货物属于国家规定的特种劳动防护用品的，投标人应在交货时提供相关产品检验报告等质量证明文件。</w:t>
      </w:r>
    </w:p>
    <w:p w14:paraId="3AF5F876">
      <w:pPr>
        <w:pStyle w:val="161"/>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p w14:paraId="03DB1A20">
      <w:pPr>
        <w:pStyle w:val="161"/>
        <w:keepNext w:val="0"/>
        <w:keepLines w:val="0"/>
        <w:pageBreakBefore w:val="0"/>
        <w:kinsoku/>
        <w:wordWrap/>
        <w:overflowPunct/>
        <w:topLinePunct w:val="0"/>
        <w:autoSpaceDE/>
        <w:autoSpaceDN/>
        <w:bidi w:val="0"/>
        <w:adjustRightInd/>
        <w:snapToGrid/>
        <w:spacing w:line="360" w:lineRule="auto"/>
        <w:ind w:firstLine="0" w:firstLineChars="0"/>
        <w:jc w:val="both"/>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377" w:name="_Toc13965"/>
      <w:r>
        <w:rPr>
          <w:rFonts w:hint="eastAsia" w:ascii="宋体" w:hAnsi="宋体" w:eastAsia="宋体" w:cs="宋体"/>
          <w:b/>
          <w:color w:val="000000" w:themeColor="text1"/>
          <w:sz w:val="21"/>
          <w:szCs w:val="21"/>
          <w:highlight w:val="none"/>
          <w14:textFill>
            <w14:solidFill>
              <w14:schemeClr w14:val="tx1"/>
            </w14:solidFill>
          </w14:textFill>
        </w:rPr>
        <w:t>3. 验收要求</w:t>
      </w:r>
      <w:bookmarkEnd w:id="377"/>
    </w:p>
    <w:p w14:paraId="46D316B8">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每次货物到达交货地点后，</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各运营项目（含</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委托的第三方）、</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代表共同清点及验货。</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各运营项目按照合同及货物清单、国家相关法律法规以及规范的要求等相关的规定，对货物的品种、品牌、产地、规格型号、数量、外观质量、资料进行清点和全面的检验，并作详细的记录。</w:t>
      </w:r>
    </w:p>
    <w:p w14:paraId="2C16B1F0">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供货期内</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需安排固定的代表人员与</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各运营项目对接，并在本项目合同中提供代表人员的姓名、职务、联系方式信息。供货期间</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不得随意变更其代表人员，如</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需变更其代表人员的，应当在下一次供货前【3】日内将书面的变更申请提交至</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并经招标人同意</w:t>
      </w:r>
      <w:r>
        <w:rPr>
          <w:rFonts w:hint="eastAsia" w:ascii="宋体" w:hAnsi="宋体" w:eastAsia="宋体" w:cs="宋体"/>
          <w:color w:val="000000" w:themeColor="text1"/>
          <w:sz w:val="21"/>
          <w:szCs w:val="21"/>
          <w:highlight w:val="none"/>
          <w14:textFill>
            <w14:solidFill>
              <w14:schemeClr w14:val="tx1"/>
            </w14:solidFill>
          </w14:textFill>
        </w:rPr>
        <w:t>；否则</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有权依据本合同项下</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代表人员名单对相关货物进行检验或确认，由此产生的责任均由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自行承担。</w:t>
      </w:r>
    </w:p>
    <w:p w14:paraId="7AB40032">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的货物应当按照</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要求送到指定的地点，由于使用第三方送货服务导致货物未能经过双方共同验收、未送到指定地点仓库的，</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有权拒绝收货。</w:t>
      </w:r>
    </w:p>
    <w:p w14:paraId="452D3C4A">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未经</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同意，</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或</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委托的第三方送货服务仅将货物放置在门口/门卫室，而没有送货至</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指定的地点的，视为</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未履行送货义务，</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有权拒绝接受货物且不予支付货款。上述情况下</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不负保管责任，货物未按照</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要求放置而造成的损毁、灭失风险概由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承担。</w:t>
      </w:r>
    </w:p>
    <w:p w14:paraId="4F310F76">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若</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所提供的货物是国外制造的，应提供原产地证书、报关资料等必备证明资料。根据法律法规的规定，在货物入境过程中需要实施检验检疫的入境商品，经入境管理部门检验后，如有相关证明的，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应提供入境货物检验检疫证明。</w:t>
      </w:r>
    </w:p>
    <w:p w14:paraId="33323699">
      <w:pPr>
        <w:pStyle w:val="2"/>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如发现货物的品种、规格型号、数量、外观质量、品牌与合同及供货清单不符，或货物短缺、质次、损坏等问题，应作详细记录，且</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有权拒绝收货及拒绝付款，</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应在收到</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通知后【3】日内、无条件为</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免费更换、补齐或无条件退货</w:t>
      </w:r>
      <w:r>
        <w:rPr>
          <w:rFonts w:hint="eastAsia" w:ascii="宋体" w:hAnsi="宋体" w:eastAsia="宋体" w:cs="宋体"/>
          <w:color w:val="000000" w:themeColor="text1"/>
          <w:sz w:val="21"/>
          <w:szCs w:val="21"/>
          <w:highlight w:val="none"/>
          <w:lang w:val="en-US" w:eastAsia="zh-CN"/>
          <w14:textFill>
            <w14:solidFill>
              <w14:schemeClr w14:val="tx1"/>
            </w14:solidFill>
          </w14:textFill>
        </w:rPr>
        <w:t>并经招标人验收合格</w:t>
      </w:r>
      <w:r>
        <w:rPr>
          <w:rFonts w:hint="eastAsia" w:ascii="宋体" w:hAnsi="宋体" w:eastAsia="宋体" w:cs="宋体"/>
          <w:color w:val="000000" w:themeColor="text1"/>
          <w:sz w:val="21"/>
          <w:szCs w:val="21"/>
          <w:highlight w:val="none"/>
          <w:lang w:eastAsia="zh-CN"/>
          <w14:textFill>
            <w14:solidFill>
              <w14:schemeClr w14:val="tx1"/>
            </w14:solidFill>
          </w14:textFill>
        </w:rPr>
        <w:t>，投标人自招标人通知货物不合格之时起，招标人有权要求投标人必须加急供货，投标人接到通知后，1个工作日内将等量的合格货物送交招标人指定的地点</w:t>
      </w:r>
      <w:r>
        <w:rPr>
          <w:rFonts w:hint="eastAsia" w:ascii="宋体" w:hAnsi="宋体" w:eastAsia="宋体" w:cs="宋体"/>
          <w:color w:val="000000" w:themeColor="text1"/>
          <w:sz w:val="21"/>
          <w:szCs w:val="21"/>
          <w:highlight w:val="none"/>
          <w:lang w:val="en-US" w:eastAsia="zh-CN"/>
          <w14:textFill>
            <w14:solidFill>
              <w14:schemeClr w14:val="tx1"/>
            </w14:solidFill>
          </w14:textFill>
        </w:rPr>
        <w:t>并经招标人验收合格</w:t>
      </w:r>
      <w:r>
        <w:rPr>
          <w:rFonts w:hint="eastAsia" w:ascii="宋体" w:hAnsi="宋体" w:eastAsia="宋体" w:cs="宋体"/>
          <w:color w:val="000000" w:themeColor="text1"/>
          <w:sz w:val="21"/>
          <w:szCs w:val="21"/>
          <w:highlight w:val="none"/>
          <w14:textFill>
            <w14:solidFill>
              <w14:schemeClr w14:val="tx1"/>
            </w14:solidFill>
          </w14:textFill>
        </w:rPr>
        <w:t>。更换或补齐后的货物，</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有权按照本条有关验收的约定进行验收，由此产生的制造、修理、运费及保险费等费用均应由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负担，与</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无关。</w:t>
      </w:r>
    </w:p>
    <w:p w14:paraId="091BDCD8">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由于非</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原因而引起货物的修理或更换的，应以不影响</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生产为原则，且修理或更换应在</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许可的时限内完成。交接并验收合格后，甲乙双方共同出具验收报告并由双方书面确认验收结果。</w:t>
      </w:r>
    </w:p>
    <w:p w14:paraId="169A4AED">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货物经验收合格后，</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仍应在质保期内对产品质量承担保证责任。</w:t>
      </w:r>
    </w:p>
    <w:p w14:paraId="749CF9AF">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各运营项目根据本条约定对货物所做出的验收，仅作为起算付款及质保期之用，不视为</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对于货物质量的最终认定。</w:t>
      </w:r>
    </w:p>
    <w:p w14:paraId="52663248">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货物在全部经</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各运营项目验收合格前，其损耗、毁损、灭失等风险及责任由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承担，如因发生前述情形，导致</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所供应的货物不能通过</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各运营项目验收的，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应按</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各运营项目要求予以免费更换、补齐或无条件退货。</w:t>
      </w:r>
    </w:p>
    <w:p w14:paraId="62BEFFD3">
      <w:pPr>
        <w:pStyle w:val="161"/>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eastAsia="zh-CN"/>
          <w14:textFill>
            <w14:solidFill>
              <w14:schemeClr w14:val="tx1"/>
            </w14:solidFill>
          </w14:textFill>
        </w:rPr>
        <w:t>（</w:t>
      </w:r>
      <w:r>
        <w:rPr>
          <w:rFonts w:hint="eastAsia" w:hAnsi="宋体" w:eastAsia="宋体" w:cs="宋体"/>
          <w:color w:val="000000" w:themeColor="text1"/>
          <w:sz w:val="21"/>
          <w:szCs w:val="21"/>
          <w:highlight w:val="none"/>
          <w:lang w:val="en-US" w:eastAsia="zh-CN"/>
          <w14:textFill>
            <w14:solidFill>
              <w14:schemeClr w14:val="tx1"/>
            </w14:solidFill>
          </w14:textFill>
        </w:rPr>
        <w:t>10</w:t>
      </w:r>
      <w:r>
        <w:rPr>
          <w:rFonts w:hint="eastAsia"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验收过程中，如对检验记录不能取得一致意见时，一方可委托货物交付地有资质权威的第三方检验机构联合进行检验。检验结果具有约束力，检验费用由责任方负担。</w:t>
      </w:r>
      <w:bookmarkStart w:id="378" w:name="_Toc511596337"/>
    </w:p>
    <w:p w14:paraId="580434C1">
      <w:pPr>
        <w:pStyle w:val="161"/>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p w14:paraId="71F4D29F">
      <w:pPr>
        <w:pStyle w:val="161"/>
        <w:keepNext w:val="0"/>
        <w:keepLines w:val="0"/>
        <w:pageBreakBefore w:val="0"/>
        <w:kinsoku/>
        <w:wordWrap/>
        <w:overflowPunct/>
        <w:topLinePunct w:val="0"/>
        <w:autoSpaceDE/>
        <w:autoSpaceDN/>
        <w:bidi w:val="0"/>
        <w:adjustRightInd/>
        <w:snapToGrid/>
        <w:spacing w:line="360" w:lineRule="auto"/>
        <w:ind w:firstLine="0" w:firstLineChars="0"/>
        <w:jc w:val="both"/>
        <w:outlineLvl w:val="0"/>
        <w:rPr>
          <w:rFonts w:hint="eastAsia" w:ascii="宋体" w:hAnsi="宋体" w:eastAsia="宋体" w:cs="宋体"/>
          <w:b/>
          <w:bCs/>
          <w:color w:val="000000" w:themeColor="text1"/>
          <w:sz w:val="21"/>
          <w:szCs w:val="21"/>
          <w:highlight w:val="none"/>
          <w14:textFill>
            <w14:solidFill>
              <w14:schemeClr w14:val="tx1"/>
            </w14:solidFill>
          </w14:textFill>
        </w:rPr>
      </w:pPr>
      <w:bookmarkStart w:id="379" w:name="_Toc1904"/>
      <w:r>
        <w:rPr>
          <w:rFonts w:hint="eastAsia" w:ascii="宋体" w:hAnsi="宋体" w:eastAsia="宋体" w:cs="宋体"/>
          <w:b/>
          <w:bCs/>
          <w:color w:val="000000" w:themeColor="text1"/>
          <w:sz w:val="21"/>
          <w:szCs w:val="21"/>
          <w:highlight w:val="none"/>
          <w14:textFill>
            <w14:solidFill>
              <w14:schemeClr w14:val="tx1"/>
            </w14:solidFill>
          </w14:textFill>
        </w:rPr>
        <w:t>4. 质保及售后要求</w:t>
      </w:r>
      <w:bookmarkEnd w:id="379"/>
    </w:p>
    <w:p w14:paraId="71CB8C14">
      <w:pPr>
        <w:keepNext w:val="0"/>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由</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负责所供货物的安装工作，</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在安装、使用货物时所遇技术问题，</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应按</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要求及时向</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提供技术指导服务。</w:t>
      </w:r>
    </w:p>
    <w:p w14:paraId="466D4F0B">
      <w:pPr>
        <w:keepNext w:val="0"/>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质保期为一年，自</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完成每次配送清单的所有货物并经</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bCs/>
          <w:color w:val="000000" w:themeColor="text1"/>
          <w:sz w:val="21"/>
          <w:szCs w:val="21"/>
          <w:highlight w:val="none"/>
          <w14:textFill>
            <w14:solidFill>
              <w14:schemeClr w14:val="tx1"/>
            </w14:solidFill>
          </w14:textFill>
        </w:rPr>
        <w:t>各运营项目</w:t>
      </w:r>
      <w:r>
        <w:rPr>
          <w:rFonts w:hint="eastAsia" w:ascii="宋体" w:hAnsi="宋体" w:eastAsia="宋体" w:cs="宋体"/>
          <w:color w:val="000000" w:themeColor="text1"/>
          <w:sz w:val="21"/>
          <w:szCs w:val="21"/>
          <w:highlight w:val="none"/>
          <w14:textFill>
            <w14:solidFill>
              <w14:schemeClr w14:val="tx1"/>
            </w14:solidFill>
          </w14:textFill>
        </w:rPr>
        <w:t>验收合格之日起计算，质保期内</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在收到质保通知之日起【3】日内免费提供上门服务（该费用已包含在货款内）。若货物厂家出厂时承诺更长的质保期限或更高标准的质保义务的，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需按厂家承诺提供质保服务。若</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逾期提供质保服务或未能对具有质量问题的货物进行维护的，</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有权另行</w:t>
      </w:r>
      <w:r>
        <w:rPr>
          <w:rFonts w:hint="eastAsia" w:ascii="宋体" w:hAnsi="宋体" w:eastAsia="宋体" w:cs="宋体"/>
          <w:color w:val="000000" w:themeColor="text1"/>
          <w:sz w:val="21"/>
          <w:szCs w:val="21"/>
          <w:highlight w:val="none"/>
          <w:lang w:val="en-US" w:eastAsia="zh-CN"/>
          <w14:textFill>
            <w14:solidFill>
              <w14:schemeClr w14:val="tx1"/>
            </w14:solidFill>
          </w14:textFill>
        </w:rPr>
        <w:t>单方</w:t>
      </w:r>
      <w:r>
        <w:rPr>
          <w:rFonts w:hint="eastAsia" w:ascii="宋体" w:hAnsi="宋体" w:eastAsia="宋体" w:cs="宋体"/>
          <w:color w:val="000000" w:themeColor="text1"/>
          <w:sz w:val="21"/>
          <w:szCs w:val="21"/>
          <w:highlight w:val="none"/>
          <w14:textFill>
            <w14:solidFill>
              <w14:schemeClr w14:val="tx1"/>
            </w14:solidFill>
          </w14:textFill>
        </w:rPr>
        <w:t>委托第三方对上述货物进行维护，因此产生的所有费用均由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承担。</w:t>
      </w:r>
    </w:p>
    <w:p w14:paraId="4110D471">
      <w:pPr>
        <w:keepNext w:val="0"/>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质保期内，若货物经1次维修或维修时间超过1个月，仍不能正常使用的，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应免费给予更换，被更换的货物的质保期为从更换日起重新计算</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货物维修的时间不计入质保期内</w:t>
      </w:r>
      <w:r>
        <w:rPr>
          <w:rFonts w:hint="eastAsia" w:ascii="宋体" w:hAnsi="宋体" w:eastAsia="宋体" w:cs="宋体"/>
          <w:color w:val="000000" w:themeColor="text1"/>
          <w:sz w:val="21"/>
          <w:szCs w:val="21"/>
          <w:highlight w:val="none"/>
          <w14:textFill>
            <w14:solidFill>
              <w14:schemeClr w14:val="tx1"/>
            </w14:solidFill>
          </w14:textFill>
        </w:rPr>
        <w:t>。</w:t>
      </w:r>
    </w:p>
    <w:p w14:paraId="63C28CB5">
      <w:pPr>
        <w:keepNext w:val="0"/>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在合同规定的质保期内，当货物出现故障问题时，</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接到</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通知后4小时内响应，24小时内赶到现场维修或更换，保证货物的正常使用。</w:t>
      </w:r>
    </w:p>
    <w:p w14:paraId="02E0D709">
      <w:pPr>
        <w:pStyle w:val="161"/>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在质保期内，因</w:t>
      </w:r>
      <w:r>
        <w:rPr>
          <w:rFonts w:hint="eastAsia"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所供货物质量问题导致</w:t>
      </w:r>
      <w:r>
        <w:rPr>
          <w:rFonts w:hint="eastAsia"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各运营项目设备运行出现异常、故障、发生安全事故或引起其他损失和造成不良后果的，</w:t>
      </w:r>
      <w:r>
        <w:rPr>
          <w:rFonts w:hint="eastAsia"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应在接到</w:t>
      </w:r>
      <w:r>
        <w:rPr>
          <w:rFonts w:hint="eastAsia"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通知后6小时内到达现场确认情况，并承担全部责任及损失赔偿</w:t>
      </w:r>
      <w:r>
        <w:rPr>
          <w:rFonts w:hint="eastAsia" w:hAnsi="宋体" w:eastAsia="宋体" w:cs="宋体"/>
          <w:color w:val="000000" w:themeColor="text1"/>
          <w:sz w:val="21"/>
          <w:szCs w:val="21"/>
          <w:highlight w:val="none"/>
          <w:lang w:eastAsia="zh-CN"/>
          <w14:textFill>
            <w14:solidFill>
              <w14:schemeClr w14:val="tx1"/>
            </w14:solidFill>
          </w14:textFill>
        </w:rPr>
        <w:t>。</w:t>
      </w:r>
    </w:p>
    <w:bookmarkEnd w:id="378"/>
    <w:p w14:paraId="6BFF0B8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791DDBAC">
      <w:pPr>
        <w:keepNext w:val="0"/>
        <w:keepLines w:val="0"/>
        <w:pageBreakBefore w:val="0"/>
        <w:widowControl/>
        <w:kinsoku/>
        <w:wordWrap/>
        <w:overflowPunct/>
        <w:topLinePunct w:val="0"/>
        <w:bidi w:val="0"/>
        <w:snapToGrid/>
        <w:spacing w:line="360" w:lineRule="auto"/>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380" w:name="_Toc12966"/>
      <w:r>
        <w:rPr>
          <w:rFonts w:hint="eastAsia" w:ascii="宋体" w:hAnsi="宋体" w:eastAsia="宋体" w:cs="宋体"/>
          <w:b/>
          <w:color w:val="000000" w:themeColor="text1"/>
          <w:sz w:val="21"/>
          <w:szCs w:val="21"/>
          <w:highlight w:val="none"/>
          <w14:textFill>
            <w14:solidFill>
              <w14:schemeClr w14:val="tx1"/>
            </w14:solidFill>
          </w14:textFill>
        </w:rPr>
        <w:t>5. 违约责任</w:t>
      </w:r>
      <w:bookmarkEnd w:id="380"/>
      <w:r>
        <w:rPr>
          <w:rFonts w:hint="eastAsia" w:ascii="宋体" w:hAnsi="宋体" w:eastAsia="宋体" w:cs="宋体"/>
          <w:b/>
          <w:color w:val="000000" w:themeColor="text1"/>
          <w:sz w:val="21"/>
          <w:szCs w:val="21"/>
          <w:highlight w:val="none"/>
          <w14:textFill>
            <w14:solidFill>
              <w14:schemeClr w14:val="tx1"/>
            </w14:solidFill>
          </w14:textFill>
        </w:rPr>
        <w:t xml:space="preserve"> </w:t>
      </w:r>
    </w:p>
    <w:p w14:paraId="56C4A661">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投标人未在约定的时间内完成</w:t>
      </w:r>
      <w:r>
        <w:rPr>
          <w:rFonts w:hint="eastAsia" w:ascii="宋体" w:hAnsi="宋体" w:eastAsia="宋体" w:cs="宋体"/>
          <w:color w:val="000000" w:themeColor="text1"/>
          <w:sz w:val="21"/>
          <w:szCs w:val="21"/>
          <w:highlight w:val="none"/>
          <w:lang w:val="en-US" w:eastAsia="zh-CN"/>
          <w14:textFill>
            <w14:solidFill>
              <w14:schemeClr w14:val="tx1"/>
            </w14:solidFill>
          </w14:textFill>
        </w:rPr>
        <w:t>货物</w:t>
      </w:r>
      <w:r>
        <w:rPr>
          <w:rFonts w:hint="eastAsia" w:ascii="宋体" w:hAnsi="宋体" w:eastAsia="宋体" w:cs="宋体"/>
          <w:color w:val="000000" w:themeColor="text1"/>
          <w:sz w:val="21"/>
          <w:szCs w:val="21"/>
          <w:highlight w:val="none"/>
          <w14:textFill>
            <w14:solidFill>
              <w14:schemeClr w14:val="tx1"/>
            </w14:solidFill>
          </w14:textFill>
        </w:rPr>
        <w:t>交货</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更换、退货</w:t>
      </w:r>
      <w:r>
        <w:rPr>
          <w:rFonts w:hint="eastAsia" w:ascii="宋体" w:hAnsi="宋体" w:eastAsia="宋体" w:cs="宋体"/>
          <w:color w:val="000000" w:themeColor="text1"/>
          <w:sz w:val="21"/>
          <w:szCs w:val="21"/>
          <w:highlight w:val="none"/>
          <w14:textFill>
            <w14:solidFill>
              <w14:schemeClr w14:val="tx1"/>
            </w14:solidFill>
          </w14:textFill>
        </w:rPr>
        <w:t>的，每逾期1</w:t>
      </w:r>
      <w:r>
        <w:rPr>
          <w:rFonts w:hint="eastAsia" w:ascii="宋体" w:hAnsi="宋体" w:eastAsia="宋体" w:cs="宋体"/>
          <w:color w:val="000000" w:themeColor="text1"/>
          <w:sz w:val="21"/>
          <w:szCs w:val="21"/>
          <w:highlight w:val="none"/>
          <w:lang w:val="en-US" w:eastAsia="zh-CN"/>
          <w14:textFill>
            <w14:solidFill>
              <w14:schemeClr w14:val="tx1"/>
            </w14:solidFill>
          </w14:textFill>
        </w:rPr>
        <w:t>日</w:t>
      </w:r>
      <w:r>
        <w:rPr>
          <w:rFonts w:hint="eastAsia" w:ascii="宋体" w:hAnsi="宋体" w:eastAsia="宋体" w:cs="宋体"/>
          <w:color w:val="000000" w:themeColor="text1"/>
          <w:sz w:val="21"/>
          <w:szCs w:val="21"/>
          <w:highlight w:val="none"/>
          <w14:textFill>
            <w14:solidFill>
              <w14:schemeClr w14:val="tx1"/>
            </w14:solidFill>
          </w14:textFill>
        </w:rPr>
        <w:t>，投标人须按所在运营项目当月供货货物</w:t>
      </w:r>
      <w:r>
        <w:rPr>
          <w:rFonts w:hint="eastAsia" w:ascii="宋体" w:hAnsi="宋体" w:eastAsia="宋体" w:cs="宋体"/>
          <w:color w:val="000000" w:themeColor="text1"/>
          <w:sz w:val="21"/>
          <w:szCs w:val="21"/>
          <w:highlight w:val="none"/>
          <w:lang w:val="en-US" w:eastAsia="zh-CN"/>
          <w14:textFill>
            <w14:solidFill>
              <w14:schemeClr w14:val="tx1"/>
            </w14:solidFill>
          </w14:textFill>
        </w:rPr>
        <w:t>含税结算货款</w:t>
      </w:r>
      <w:r>
        <w:rPr>
          <w:rFonts w:hint="eastAsia" w:ascii="宋体" w:hAnsi="宋体" w:eastAsia="宋体" w:cs="宋体"/>
          <w:color w:val="000000" w:themeColor="text1"/>
          <w:sz w:val="21"/>
          <w:szCs w:val="21"/>
          <w:highlight w:val="none"/>
          <w14:textFill>
            <w14:solidFill>
              <w14:schemeClr w14:val="tx1"/>
            </w14:solidFill>
          </w14:textFill>
        </w:rPr>
        <w:t>的1%向</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支付违约金，逾期违约金累计总额最高不超过所在运营项目当月供货货物</w:t>
      </w:r>
      <w:r>
        <w:rPr>
          <w:rFonts w:hint="eastAsia" w:ascii="宋体" w:hAnsi="宋体" w:eastAsia="宋体" w:cs="宋体"/>
          <w:color w:val="000000" w:themeColor="text1"/>
          <w:sz w:val="21"/>
          <w:szCs w:val="21"/>
          <w:highlight w:val="none"/>
          <w:lang w:val="en-US" w:eastAsia="zh-CN"/>
          <w14:textFill>
            <w14:solidFill>
              <w14:schemeClr w14:val="tx1"/>
            </w14:solidFill>
          </w14:textFill>
        </w:rPr>
        <w:t>含税结算货款</w:t>
      </w:r>
      <w:r>
        <w:rPr>
          <w:rFonts w:hint="eastAsia" w:ascii="宋体" w:hAnsi="宋体" w:eastAsia="宋体" w:cs="宋体"/>
          <w:color w:val="000000" w:themeColor="text1"/>
          <w:sz w:val="21"/>
          <w:szCs w:val="21"/>
          <w:highlight w:val="none"/>
          <w14:textFill>
            <w14:solidFill>
              <w14:schemeClr w14:val="tx1"/>
            </w14:solidFill>
          </w14:textFill>
        </w:rPr>
        <w:t>的10%。投标人逾期超过10天的，</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可单方解除本合同，投标人除</w:t>
      </w:r>
      <w:r>
        <w:rPr>
          <w:rFonts w:hint="eastAsia" w:ascii="宋体" w:hAnsi="宋体" w:eastAsia="宋体" w:cs="宋体"/>
          <w:color w:val="000000" w:themeColor="text1"/>
          <w:sz w:val="21"/>
          <w:szCs w:val="21"/>
          <w:highlight w:val="none"/>
          <w:lang w:val="en-US" w:eastAsia="zh-CN"/>
          <w14:textFill>
            <w14:solidFill>
              <w14:schemeClr w14:val="tx1"/>
            </w14:solidFill>
          </w14:textFill>
        </w:rPr>
        <w:t>支付</w:t>
      </w:r>
      <w:r>
        <w:rPr>
          <w:rFonts w:hint="eastAsia" w:ascii="宋体" w:hAnsi="宋体" w:eastAsia="宋体" w:cs="宋体"/>
          <w:color w:val="000000" w:themeColor="text1"/>
          <w:sz w:val="21"/>
          <w:szCs w:val="21"/>
          <w:highlight w:val="none"/>
          <w14:textFill>
            <w14:solidFill>
              <w14:schemeClr w14:val="tx1"/>
            </w14:solidFill>
          </w14:textFill>
        </w:rPr>
        <w:t>前述逾期违约金外，还应额外按暂定暂定合同价（含销项税额）的 5 %向</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支付违约金，并追究投标人的违约责任。</w:t>
      </w:r>
    </w:p>
    <w:p w14:paraId="1F8A82E5">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 </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更换、补齐的货物不符合合同约定，</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须按所在运营项目当月供货货物含税结算货款的3%向</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支付违约金。所交货物经检验累计出现3次以上(含本数)不合格的情况，</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有权单方解除本合同，并要求</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一次性支付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20000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元的违约金</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22D0CD8">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投标人未按约定履行售后服务义务的，</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有权要求限期改正，如逾期仍未改正的，</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招标人或招标人权属子公司有权要求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lang w:eastAsia="zh-CN"/>
          <w14:textFill>
            <w14:solidFill>
              <w14:schemeClr w14:val="tx1"/>
            </w14:solidFill>
          </w14:textFill>
        </w:rPr>
        <w:t>支付暂定合同价（含销项税额）【10】%的违约金，且</w:t>
      </w:r>
      <w:r>
        <w:rPr>
          <w:rFonts w:hint="eastAsia" w:ascii="宋体" w:hAnsi="宋体" w:eastAsia="宋体" w:cs="宋体"/>
          <w:color w:val="000000" w:themeColor="text1"/>
          <w:sz w:val="21"/>
          <w:szCs w:val="21"/>
          <w:highlight w:val="none"/>
          <w14:textFill>
            <w14:solidFill>
              <w14:schemeClr w14:val="tx1"/>
            </w14:solidFill>
          </w14:textFill>
        </w:rPr>
        <w:t>有权</w:t>
      </w:r>
      <w:r>
        <w:rPr>
          <w:rFonts w:hint="eastAsia" w:ascii="宋体" w:hAnsi="宋体" w:eastAsia="宋体" w:cs="宋体"/>
          <w:color w:val="000000" w:themeColor="text1"/>
          <w:sz w:val="21"/>
          <w:szCs w:val="21"/>
          <w:highlight w:val="none"/>
          <w:lang w:val="en-US" w:eastAsia="zh-CN"/>
          <w14:textFill>
            <w14:solidFill>
              <w14:schemeClr w14:val="tx1"/>
            </w14:solidFill>
          </w14:textFill>
        </w:rPr>
        <w:t>自行委托</w:t>
      </w:r>
      <w:r>
        <w:rPr>
          <w:rFonts w:hint="eastAsia" w:ascii="宋体" w:hAnsi="宋体" w:eastAsia="宋体" w:cs="宋体"/>
          <w:color w:val="000000" w:themeColor="text1"/>
          <w:sz w:val="21"/>
          <w:szCs w:val="21"/>
          <w:highlight w:val="none"/>
          <w14:textFill>
            <w14:solidFill>
              <w14:schemeClr w14:val="tx1"/>
            </w14:solidFill>
          </w14:textFill>
        </w:rPr>
        <w:t>第三方提供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售后</w:t>
      </w:r>
      <w:r>
        <w:rPr>
          <w:rFonts w:hint="eastAsia" w:ascii="宋体" w:hAnsi="宋体" w:eastAsia="宋体" w:cs="宋体"/>
          <w:color w:val="000000" w:themeColor="text1"/>
          <w:sz w:val="21"/>
          <w:szCs w:val="21"/>
          <w:highlight w:val="none"/>
          <w14:textFill>
            <w14:solidFill>
              <w14:schemeClr w14:val="tx1"/>
            </w14:solidFill>
          </w14:textFill>
        </w:rPr>
        <w:t>服务，所产生的费用</w:t>
      </w:r>
      <w:r>
        <w:rPr>
          <w:rFonts w:hint="eastAsia" w:ascii="宋体" w:hAnsi="宋体" w:eastAsia="宋体" w:cs="宋体"/>
          <w:color w:val="000000" w:themeColor="text1"/>
          <w:sz w:val="21"/>
          <w:szCs w:val="21"/>
          <w:highlight w:val="none"/>
          <w:lang w:val="en-US" w:eastAsia="zh-CN"/>
          <w14:textFill>
            <w14:solidFill>
              <w14:schemeClr w14:val="tx1"/>
            </w14:solidFill>
          </w14:textFill>
        </w:rPr>
        <w:t>全部由</w:t>
      </w: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承担，招标人或招标人权属子公司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有权从未付款项中扣除，如不足扣除的，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有权提取履约担保弥补未足金额</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B410FCE">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 在质保期内，因投标人所供货物质量问题导致</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各运营项目设备运行出现异常、故障、发生安全事故或引起其他损失和造成不良后果的，投标人应在接到</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通知后6小时内到达现场确认情况，并承担全部责任及损失赔偿。</w:t>
      </w:r>
    </w:p>
    <w:p w14:paraId="189BAB36">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 投标人自</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通知货物不合格之时起，</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有权要求投标人必须加急供货，将等量的合格货物送交</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，否则按逾期供货的违约规定进行处理。</w:t>
      </w:r>
    </w:p>
    <w:p w14:paraId="65AE956F">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 投标人应确保所交货物不得侵犯第三方任何权益，否则，由此引起的一切责任及损失都由投标人承担，造成</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损失，投标人还需予以足额赔偿。</w:t>
      </w:r>
    </w:p>
    <w:p w14:paraId="42FA087B">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 投标人保证对其在讨论、签订、履行合同约定过程中所获悉的属于</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的且无法从公开渠道获得的文件资料及项目信息予以严格保密并应采取相应的保密措施，保证其自身及工作人员不私自使用或向任何第三方泄漏，否则，视为投标人违约，</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有权要求投标人支付履约担保等额的违约金，且投标人须承担由此给</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造成的一切损失。投标人及其工作人员的保密义务不因本合同的终止而终止，直至相关保密信息被合法公开时止。</w:t>
      </w:r>
    </w:p>
    <w:p w14:paraId="16075CCB">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 因货物的质量问题而发生争议，由广东省或东莞市质检部门进行质量鉴定。货物符合质量标准的，鉴定费用由</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承担；货物不符合质量标准的，鉴定费用由投标人承担。</w:t>
      </w:r>
    </w:p>
    <w:p w14:paraId="02D6B159">
      <w:pPr>
        <w:keepNext w:val="0"/>
        <w:keepLines w:val="0"/>
        <w:pageBreakBefore w:val="0"/>
        <w:widowControl/>
        <w:numPr>
          <w:ilvl w:val="255"/>
          <w:numId w:val="0"/>
        </w:numPr>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 投标人违反本合同项下任意一条约定均视为严重违约，</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有权单方解除本合同且有权要求投标人一次性承担【20000】元的违约金，同时</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为维护自身权益所支付的所有费用均由投标人承担（包括但不限于律师费、诉讼费、担保费、鉴定费等所有费用）。</w:t>
      </w:r>
    </w:p>
    <w:p w14:paraId="120FE359">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4C6F0951">
      <w:pPr>
        <w:keepNext w:val="0"/>
        <w:keepLines w:val="0"/>
        <w:pageBreakBefore w:val="0"/>
        <w:widowControl/>
        <w:kinsoku/>
        <w:wordWrap/>
        <w:overflowPunct/>
        <w:topLinePunct w:val="0"/>
        <w:bidi w:val="0"/>
        <w:snapToGrid/>
        <w:spacing w:line="360" w:lineRule="auto"/>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381" w:name="_Toc21713"/>
      <w:r>
        <w:rPr>
          <w:rFonts w:hint="eastAsia" w:ascii="宋体" w:hAnsi="宋体" w:eastAsia="宋体" w:cs="宋体"/>
          <w:b/>
          <w:color w:val="000000" w:themeColor="text1"/>
          <w:sz w:val="21"/>
          <w:szCs w:val="21"/>
          <w:highlight w:val="none"/>
          <w14:textFill>
            <w14:solidFill>
              <w14:schemeClr w14:val="tx1"/>
            </w14:solidFill>
          </w14:textFill>
        </w:rPr>
        <w:t>6. 履约要求</w:t>
      </w:r>
      <w:bookmarkEnd w:id="381"/>
    </w:p>
    <w:p w14:paraId="56264E19">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投标人有义务接受</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 xml:space="preserve">的监督、评价及考核。 </w:t>
      </w:r>
    </w:p>
    <w:p w14:paraId="3229BA06">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投标人必须清楚理解：本项目不具排他性，本采购结果仅作为投标人在合同期限内取得向</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各运营项目供应五金材料及工器具的资格，但并不代表投标人必然取得具体运营项目供货的权利。</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根据投标人资质条件、履约能力和实际履约情况，及</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的实际需求仍有权另行采购其他第三方进行本次合同范围内的货物供货服务。</w:t>
      </w:r>
    </w:p>
    <w:p w14:paraId="4220E689">
      <w:pPr>
        <w:keepNext w:val="0"/>
        <w:keepLines w:val="0"/>
        <w:pageBreakBefore w:val="0"/>
        <w:widowControl/>
        <w:numPr>
          <w:ilvl w:val="255"/>
          <w:numId w:val="0"/>
        </w:numPr>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 </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每月在付款手续前对投标人的履约情况进行评价，填写《供应商履约评价表》，供应商履约评价表满分为100分，</w:t>
      </w:r>
      <w:r>
        <w:rPr>
          <w:rFonts w:hint="eastAsia" w:ascii="宋体" w:hAnsi="宋体" w:eastAsia="宋体" w:cs="宋体"/>
          <w:color w:val="000000" w:themeColor="text1"/>
          <w:sz w:val="21"/>
          <w:szCs w:val="21"/>
          <w:highlight w:val="none"/>
          <w:lang w:val="en-US" w:eastAsia="zh-CN"/>
          <w14:textFill>
            <w14:solidFill>
              <w14:schemeClr w14:val="tx1"/>
            </w14:solidFill>
          </w14:textFill>
        </w:rPr>
        <w:t>评价表中每项实得分均不低于该项分值80%的为合格</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评价表中每项实得分有低于该项分值80%的</w:t>
      </w:r>
      <w:r>
        <w:rPr>
          <w:rFonts w:hint="eastAsia" w:ascii="宋体" w:hAnsi="宋体" w:eastAsia="宋体" w:cs="宋体"/>
          <w:color w:val="000000" w:themeColor="text1"/>
          <w:sz w:val="21"/>
          <w:szCs w:val="21"/>
          <w:highlight w:val="none"/>
          <w14:textFill>
            <w14:solidFill>
              <w14:schemeClr w14:val="tx1"/>
            </w14:solidFill>
          </w14:textFill>
        </w:rPr>
        <w:t>为不</w:t>
      </w:r>
      <w:r>
        <w:rPr>
          <w:rFonts w:hint="eastAsia" w:ascii="宋体" w:hAnsi="宋体" w:eastAsia="宋体" w:cs="宋体"/>
          <w:color w:val="000000" w:themeColor="text1"/>
          <w:sz w:val="21"/>
          <w:szCs w:val="21"/>
          <w:highlight w:val="none"/>
          <w:lang w:val="en-US" w:eastAsia="zh-CN"/>
          <w14:textFill>
            <w14:solidFill>
              <w14:schemeClr w14:val="tx1"/>
            </w14:solidFill>
          </w14:textFill>
        </w:rPr>
        <w:t>合格</w:t>
      </w:r>
      <w:r>
        <w:rPr>
          <w:rFonts w:hint="eastAsia" w:ascii="宋体" w:hAnsi="宋体" w:eastAsia="宋体" w:cs="宋体"/>
          <w:color w:val="000000" w:themeColor="text1"/>
          <w:sz w:val="21"/>
          <w:szCs w:val="21"/>
          <w:highlight w:val="none"/>
          <w14:textFill>
            <w14:solidFill>
              <w14:schemeClr w14:val="tx1"/>
            </w14:solidFill>
          </w14:textFill>
        </w:rPr>
        <w:t>，对于评审结论为不合格的，</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有权暂停</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投标人供货资格</w:t>
      </w:r>
      <w:r>
        <w:rPr>
          <w:rFonts w:hint="eastAsia" w:ascii="宋体" w:hAnsi="宋体" w:eastAsia="宋体" w:cs="宋体"/>
          <w:color w:val="000000" w:themeColor="text1"/>
          <w:sz w:val="21"/>
          <w:szCs w:val="21"/>
          <w:highlight w:val="none"/>
          <w14:textFill>
            <w14:solidFill>
              <w14:schemeClr w14:val="tx1"/>
            </w14:solidFill>
          </w14:textFill>
        </w:rPr>
        <w:t>一个月；若出现第二次评审结论为不合格的，</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有权取消投标人的供货资格并单方解除合同。</w:t>
      </w:r>
    </w:p>
    <w:p w14:paraId="7B2D298C">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113683BD">
      <w:pPr>
        <w:keepNext w:val="0"/>
        <w:keepLines w:val="0"/>
        <w:pageBreakBefore w:val="0"/>
        <w:widowControl/>
        <w:kinsoku/>
        <w:wordWrap/>
        <w:overflowPunct/>
        <w:topLinePunct w:val="0"/>
        <w:bidi w:val="0"/>
        <w:snapToGrid/>
        <w:spacing w:line="360" w:lineRule="auto"/>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382" w:name="_Toc19094"/>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7. </w:t>
      </w:r>
      <w:r>
        <w:rPr>
          <w:rFonts w:hint="eastAsia" w:ascii="宋体" w:hAnsi="宋体" w:eastAsia="宋体" w:cs="宋体"/>
          <w:b/>
          <w:color w:val="000000" w:themeColor="text1"/>
          <w:sz w:val="21"/>
          <w:szCs w:val="21"/>
          <w:highlight w:val="none"/>
          <w14:textFill>
            <w14:solidFill>
              <w14:schemeClr w14:val="tx1"/>
            </w14:solidFill>
          </w14:textFill>
        </w:rPr>
        <w:t>价款要求</w:t>
      </w:r>
      <w:bookmarkEnd w:id="382"/>
    </w:p>
    <w:p w14:paraId="3CAB8618">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本项目的投标报价采用统一折扣系数报价，合同履约过程中，采购清单中五金材料及工器具不含税中标综合单价按以下方式计算：不含税中标综合单价=不含税预算综合单价×中标折扣系数，以实际供货数量进行结算。</w:t>
      </w:r>
    </w:p>
    <w:p w14:paraId="17B5991D">
      <w:pPr>
        <w:keepNext w:val="0"/>
        <w:keepLines w:val="0"/>
        <w:pageBreakBefore w:val="0"/>
        <w:widowControl/>
        <w:numPr>
          <w:ilvl w:val="255"/>
          <w:numId w:val="0"/>
        </w:numPr>
        <w:kinsoku/>
        <w:wordWrap/>
        <w:overflowPunct/>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不含税中标综合单价包含完成供货的全部费用，包括但不限于货物及用户需求书采购清单中要求每项货物配备的附件、备品备件的采购、制造、检测、试验、送货、</w:t>
      </w:r>
      <w:r>
        <w:rPr>
          <w:rFonts w:hint="eastAsia" w:ascii="宋体" w:hAnsi="宋体" w:eastAsia="宋体" w:cs="宋体"/>
          <w:color w:val="000000" w:themeColor="text1"/>
          <w:sz w:val="21"/>
          <w:szCs w:val="21"/>
          <w:highlight w:val="none"/>
          <w:lang w:val="en-US" w:eastAsia="zh-CN"/>
          <w14:textFill>
            <w14:solidFill>
              <w14:schemeClr w14:val="tx1"/>
            </w14:solidFill>
          </w14:textFill>
        </w:rPr>
        <w:t>搬运</w:t>
      </w:r>
      <w:r>
        <w:rPr>
          <w:rFonts w:hint="eastAsia" w:ascii="宋体" w:hAnsi="宋体" w:eastAsia="宋体" w:cs="宋体"/>
          <w:color w:val="000000" w:themeColor="text1"/>
          <w:sz w:val="21"/>
          <w:szCs w:val="21"/>
          <w:highlight w:val="none"/>
          <w14:textFill>
            <w14:solidFill>
              <w14:schemeClr w14:val="tx1"/>
            </w14:solidFill>
          </w14:textFill>
        </w:rPr>
        <w:t>（含二次搬运至</w:t>
      </w:r>
      <w:r>
        <w:rPr>
          <w:rFonts w:hint="eastAsia" w:ascii="宋体"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指定仓储地点）、包装费、运费、保险、现场仓储、质保、投标人销项税额以外的税费、中标服务费等相关服务的全部费用。</w:t>
      </w:r>
    </w:p>
    <w:p w14:paraId="0D817C1B">
      <w:pPr>
        <w:pStyle w:val="161"/>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货物供货的款项按</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单个</w:t>
      </w:r>
      <w:r>
        <w:rPr>
          <w:rFonts w:hint="eastAsia" w:ascii="宋体" w:hAnsi="宋体" w:eastAsia="宋体" w:cs="宋体"/>
          <w:color w:val="000000" w:themeColor="text1"/>
          <w:sz w:val="21"/>
          <w:szCs w:val="21"/>
          <w:highlight w:val="none"/>
          <w14:textFill>
            <w14:solidFill>
              <w14:schemeClr w14:val="tx1"/>
            </w14:solidFill>
          </w14:textFill>
        </w:rPr>
        <w:t>运营项目</w:t>
      </w:r>
      <w:r>
        <w:rPr>
          <w:rFonts w:hint="eastAsia" w:hAnsi="宋体" w:eastAsia="宋体" w:cs="宋体"/>
          <w:color w:val="000000" w:themeColor="text1"/>
          <w:sz w:val="21"/>
          <w:szCs w:val="21"/>
          <w:highlight w:val="none"/>
          <w:lang w:val="en-US" w:eastAsia="zh-CN"/>
          <w14:textFill>
            <w14:solidFill>
              <w14:schemeClr w14:val="tx1"/>
            </w14:solidFill>
          </w14:textFill>
        </w:rPr>
        <w:t>按月结算</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hAnsi="宋体" w:eastAsia="宋体" w:cs="宋体"/>
          <w:color w:val="000000" w:themeColor="text1"/>
          <w:sz w:val="21"/>
          <w:szCs w:val="21"/>
          <w:highlight w:val="none"/>
          <w:lang w:val="en-US" w:eastAsia="zh-CN"/>
          <w14:textFill>
            <w14:solidFill>
              <w14:schemeClr w14:val="tx1"/>
            </w14:solidFill>
          </w14:textFill>
        </w:rPr>
        <w:t>对应</w:t>
      </w:r>
      <w:r>
        <w:rPr>
          <w:rFonts w:hint="eastAsia" w:ascii="宋体" w:hAnsi="宋体" w:eastAsia="宋体" w:cs="宋体"/>
          <w:color w:val="000000" w:themeColor="text1"/>
          <w:sz w:val="21"/>
          <w:szCs w:val="21"/>
          <w:highlight w:val="none"/>
          <w:lang w:val="en-US" w:eastAsia="zh-CN"/>
          <w14:textFill>
            <w14:solidFill>
              <w14:schemeClr w14:val="tx1"/>
            </w14:solidFill>
          </w14:textFill>
        </w:rPr>
        <w:t>运营项目</w:t>
      </w:r>
      <w:r>
        <w:rPr>
          <w:rFonts w:hint="eastAsia" w:ascii="宋体" w:hAnsi="宋体" w:eastAsia="宋体" w:cs="宋体"/>
          <w:color w:val="000000" w:themeColor="text1"/>
          <w:sz w:val="21"/>
          <w:szCs w:val="21"/>
          <w:highlight w:val="none"/>
          <w14:textFill>
            <w14:solidFill>
              <w14:schemeClr w14:val="tx1"/>
            </w14:solidFill>
          </w14:textFill>
        </w:rPr>
        <w:t>收到每批货物并验收合格后，每月中旬办理支付上月</w:t>
      </w:r>
      <w:r>
        <w:rPr>
          <w:rFonts w:hint="eastAsia" w:hAnsi="宋体" w:eastAsia="宋体" w:cs="宋体"/>
          <w:color w:val="000000" w:themeColor="text1"/>
          <w:sz w:val="21"/>
          <w:szCs w:val="21"/>
          <w:highlight w:val="none"/>
          <w:lang w:val="en-US" w:eastAsia="zh-CN"/>
          <w14:textFill>
            <w14:solidFill>
              <w14:schemeClr w14:val="tx1"/>
            </w14:solidFill>
          </w14:textFill>
        </w:rPr>
        <w:t>经验收合格的</w:t>
      </w:r>
      <w:r>
        <w:rPr>
          <w:rFonts w:hint="eastAsia" w:ascii="宋体" w:hAnsi="宋体" w:eastAsia="宋体" w:cs="宋体"/>
          <w:color w:val="000000" w:themeColor="text1"/>
          <w:sz w:val="21"/>
          <w:szCs w:val="21"/>
          <w:highlight w:val="none"/>
          <w14:textFill>
            <w14:solidFill>
              <w14:schemeClr w14:val="tx1"/>
            </w14:solidFill>
          </w14:textFill>
        </w:rPr>
        <w:t>实际供货量的款项，投标人向</w:t>
      </w:r>
      <w:r>
        <w:rPr>
          <w:rFonts w:hint="eastAsia"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hAnsi="宋体" w:eastAsia="宋体" w:cs="宋体"/>
          <w:color w:val="000000" w:themeColor="text1"/>
          <w:sz w:val="21"/>
          <w:szCs w:val="21"/>
          <w:highlight w:val="none"/>
          <w:lang w:val="en-US" w:eastAsia="zh-CN"/>
          <w14:textFill>
            <w14:solidFill>
              <w14:schemeClr w14:val="tx1"/>
            </w14:solidFill>
          </w14:textFill>
        </w:rPr>
        <w:t>对应</w:t>
      </w:r>
      <w:r>
        <w:rPr>
          <w:rFonts w:hint="eastAsia" w:ascii="宋体" w:hAnsi="宋体" w:eastAsia="宋体" w:cs="宋体"/>
          <w:color w:val="000000" w:themeColor="text1"/>
          <w:sz w:val="21"/>
          <w:szCs w:val="21"/>
          <w:highlight w:val="none"/>
          <w14:textFill>
            <w14:solidFill>
              <w14:schemeClr w14:val="tx1"/>
            </w14:solidFill>
          </w14:textFill>
        </w:rPr>
        <w:t>运营项目提交请款报告和</w:t>
      </w:r>
      <w:r>
        <w:rPr>
          <w:rFonts w:hint="eastAsia" w:hAnsi="宋体" w:eastAsia="宋体" w:cs="宋体"/>
          <w:color w:val="000000" w:themeColor="text1"/>
          <w:sz w:val="21"/>
          <w:szCs w:val="21"/>
          <w:highlight w:val="none"/>
          <w:lang w:val="en-US" w:eastAsia="zh-CN"/>
          <w14:textFill>
            <w14:solidFill>
              <w14:schemeClr w14:val="tx1"/>
            </w14:solidFill>
          </w14:textFill>
        </w:rPr>
        <w:t>请款金额</w:t>
      </w:r>
      <w:r>
        <w:rPr>
          <w:rFonts w:hint="eastAsia" w:ascii="宋体" w:hAnsi="宋体" w:eastAsia="宋体" w:cs="宋体"/>
          <w:color w:val="000000" w:themeColor="text1"/>
          <w:sz w:val="21"/>
          <w:szCs w:val="21"/>
          <w:highlight w:val="none"/>
          <w14:textFill>
            <w14:solidFill>
              <w14:schemeClr w14:val="tx1"/>
            </w14:solidFill>
          </w14:textFill>
        </w:rPr>
        <w:t>等额的合法、有效的增值税专用发票，</w:t>
      </w:r>
      <w:r>
        <w:rPr>
          <w:rFonts w:hint="eastAsia"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hAnsi="宋体" w:eastAsia="宋体" w:cs="宋体"/>
          <w:color w:val="000000" w:themeColor="text1"/>
          <w:sz w:val="21"/>
          <w:szCs w:val="21"/>
          <w:highlight w:val="none"/>
          <w:lang w:val="en-US" w:eastAsia="zh-CN"/>
          <w14:textFill>
            <w14:solidFill>
              <w14:schemeClr w14:val="tx1"/>
            </w14:solidFill>
          </w14:textFill>
        </w:rPr>
        <w:t>对应</w:t>
      </w:r>
      <w:r>
        <w:rPr>
          <w:rFonts w:hint="eastAsia" w:ascii="宋体" w:hAnsi="宋体" w:eastAsia="宋体" w:cs="宋体"/>
          <w:color w:val="000000" w:themeColor="text1"/>
          <w:sz w:val="21"/>
          <w:szCs w:val="21"/>
          <w:highlight w:val="none"/>
          <w14:textFill>
            <w14:solidFill>
              <w14:schemeClr w14:val="tx1"/>
            </w14:solidFill>
          </w14:textFill>
        </w:rPr>
        <w:t>运营项目在收到前述材料并确认无误后15个工作日内，</w:t>
      </w:r>
      <w:r>
        <w:rPr>
          <w:rFonts w:hint="eastAsia" w:hAnsi="宋体" w:eastAsia="宋体" w:cs="宋体"/>
          <w:color w:val="000000" w:themeColor="text1"/>
          <w:sz w:val="21"/>
          <w:szCs w:val="21"/>
          <w:highlight w:val="none"/>
          <w:lang w:val="en-US" w:eastAsia="zh-CN"/>
          <w14:textFill>
            <w14:solidFill>
              <w14:schemeClr w14:val="tx1"/>
            </w14:solidFill>
          </w14:textFill>
        </w:rPr>
        <w:t>由管理该运营项目的</w:t>
      </w:r>
      <w:r>
        <w:rPr>
          <w:rFonts w:hint="eastAsia"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hAnsi="宋体" w:eastAsia="宋体" w:cs="宋体"/>
          <w:color w:val="000000" w:themeColor="text1"/>
          <w:sz w:val="21"/>
          <w:szCs w:val="21"/>
          <w:highlight w:val="none"/>
          <w:lang w:val="en-US" w:eastAsia="zh-CN"/>
          <w14:textFill>
            <w14:solidFill>
              <w14:schemeClr w14:val="tx1"/>
            </w14:solidFill>
          </w14:textFill>
        </w:rPr>
        <w:t>向乙方</w:t>
      </w:r>
      <w:r>
        <w:rPr>
          <w:rFonts w:hint="eastAsia" w:ascii="宋体" w:hAnsi="宋体" w:eastAsia="宋体" w:cs="宋体"/>
          <w:color w:val="000000" w:themeColor="text1"/>
          <w:sz w:val="21"/>
          <w:szCs w:val="21"/>
          <w:highlight w:val="none"/>
          <w14:textFill>
            <w14:solidFill>
              <w14:schemeClr w14:val="tx1"/>
            </w14:solidFill>
          </w14:textFill>
        </w:rPr>
        <w:t>支付结算上月</w:t>
      </w:r>
      <w:r>
        <w:rPr>
          <w:rFonts w:hint="eastAsia" w:hAnsi="宋体" w:eastAsia="宋体" w:cs="宋体"/>
          <w:color w:val="000000" w:themeColor="text1"/>
          <w:sz w:val="21"/>
          <w:szCs w:val="21"/>
          <w:highlight w:val="none"/>
          <w:lang w:val="en-US" w:eastAsia="zh-CN"/>
          <w14:textFill>
            <w14:solidFill>
              <w14:schemeClr w14:val="tx1"/>
            </w14:solidFill>
          </w14:textFill>
        </w:rPr>
        <w:t>经验收合格的</w:t>
      </w:r>
      <w:r>
        <w:rPr>
          <w:rFonts w:hint="eastAsia" w:ascii="宋体" w:hAnsi="宋体" w:eastAsia="宋体" w:cs="宋体"/>
          <w:color w:val="000000" w:themeColor="text1"/>
          <w:sz w:val="21"/>
          <w:szCs w:val="21"/>
          <w:highlight w:val="none"/>
          <w14:textFill>
            <w14:solidFill>
              <w14:schemeClr w14:val="tx1"/>
            </w14:solidFill>
          </w14:textFill>
        </w:rPr>
        <w:t>实际供货量</w:t>
      </w:r>
      <w:r>
        <w:rPr>
          <w:rFonts w:hint="eastAsia" w:hAnsi="宋体" w:eastAsia="宋体" w:cs="宋体"/>
          <w:color w:val="000000" w:themeColor="text1"/>
          <w:sz w:val="21"/>
          <w:szCs w:val="21"/>
          <w:highlight w:val="none"/>
          <w:lang w:val="en-US" w:eastAsia="zh-CN"/>
          <w14:textFill>
            <w14:solidFill>
              <w14:schemeClr w14:val="tx1"/>
            </w14:solidFill>
          </w14:textFill>
        </w:rPr>
        <w:t>的结算合同价</w:t>
      </w:r>
      <w:r>
        <w:rPr>
          <w:rFonts w:hint="eastAsia" w:ascii="宋体" w:hAnsi="宋体" w:eastAsia="宋体" w:cs="宋体"/>
          <w:b/>
          <w:color w:val="000000" w:themeColor="text1"/>
          <w:sz w:val="21"/>
          <w:szCs w:val="21"/>
          <w:highlight w:val="none"/>
          <w14:textFill>
            <w14:solidFill>
              <w14:schemeClr w14:val="tx1"/>
            </w14:solidFill>
          </w14:textFill>
        </w:rPr>
        <w:t>及对应税额。</w:t>
      </w:r>
      <w:r>
        <w:rPr>
          <w:rFonts w:hint="eastAsia" w:hAnsi="宋体" w:eastAsia="宋体" w:cs="宋体"/>
          <w:b w:val="0"/>
          <w:color w:val="000000" w:themeColor="text1"/>
          <w:sz w:val="21"/>
          <w:szCs w:val="21"/>
          <w:highlight w:val="none"/>
          <w:lang w:val="en-US"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各运营项目</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通过</w:t>
      </w:r>
      <w:r>
        <w:rPr>
          <w:rFonts w:hint="eastAsia" w:ascii="宋体" w:hAnsi="宋体" w:eastAsia="宋体" w:cs="宋体"/>
          <w:i w:val="0"/>
          <w:iCs w:val="0"/>
          <w:caps w:val="0"/>
          <w:color w:val="000000" w:themeColor="text1"/>
          <w:spacing w:val="0"/>
          <w:sz w:val="21"/>
          <w:szCs w:val="21"/>
          <w:highlight w:val="none"/>
          <w:shd w:val="clear"/>
          <w14:textFill>
            <w14:solidFill>
              <w14:schemeClr w14:val="tx1"/>
            </w14:solidFill>
          </w14:textFill>
        </w:rPr>
        <w:t>银行转账或银行承兑汇票</w:t>
      </w:r>
      <w:r>
        <w:rPr>
          <w:rFonts w:hint="eastAsia" w:ascii="宋体" w:hAnsi="宋体" w:eastAsia="宋体" w:cs="宋体"/>
          <w:i w:val="0"/>
          <w:iCs w:val="0"/>
          <w:caps w:val="0"/>
          <w:color w:val="000000" w:themeColor="text1"/>
          <w:spacing w:val="0"/>
          <w:sz w:val="21"/>
          <w:szCs w:val="21"/>
          <w:highlight w:val="none"/>
          <w:shd w:val="clear"/>
          <w:lang w:val="en-US" w:eastAsia="zh-CN"/>
          <w14:textFill>
            <w14:solidFill>
              <w14:schemeClr w14:val="tx1"/>
            </w14:solidFill>
          </w14:textFill>
        </w:rPr>
        <w:t>支付相应款项至投标人银行账户中</w:t>
      </w:r>
      <w:r>
        <w:rPr>
          <w:rFonts w:hint="eastAsia" w:ascii="宋体" w:hAnsi="宋体" w:eastAsia="宋体" w:cs="宋体"/>
          <w:i w:val="0"/>
          <w:iCs w:val="0"/>
          <w:caps w:val="0"/>
          <w:color w:val="000000" w:themeColor="text1"/>
          <w:spacing w:val="0"/>
          <w:sz w:val="21"/>
          <w:szCs w:val="21"/>
          <w:highlight w:val="none"/>
          <w:shd w:val="clear"/>
          <w14:textFill>
            <w14:solidFill>
              <w14:schemeClr w14:val="tx1"/>
            </w14:solidFill>
          </w14:textFill>
        </w:rPr>
        <w:t>，汇票期限不超过三个月，每期款项支付方式由</w:t>
      </w:r>
      <w:r>
        <w:rPr>
          <w:rFonts w:hint="eastAsia" w:hAnsi="宋体" w:eastAsia="宋体" w:cs="宋体"/>
          <w:b w:val="0"/>
          <w:color w:val="000000" w:themeColor="text1"/>
          <w:sz w:val="21"/>
          <w:szCs w:val="21"/>
          <w:highlight w:val="none"/>
          <w:lang w:val="en-US"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各运营项目</w:t>
      </w:r>
      <w:r>
        <w:rPr>
          <w:rFonts w:hint="eastAsia" w:ascii="宋体" w:hAnsi="宋体" w:eastAsia="宋体" w:cs="宋体"/>
          <w:i w:val="0"/>
          <w:iCs w:val="0"/>
          <w:caps w:val="0"/>
          <w:color w:val="000000" w:themeColor="text1"/>
          <w:spacing w:val="0"/>
          <w:sz w:val="21"/>
          <w:szCs w:val="21"/>
          <w:highlight w:val="none"/>
          <w:shd w:val="clear"/>
          <w14:textFill>
            <w14:solidFill>
              <w14:schemeClr w14:val="tx1"/>
            </w14:solidFill>
          </w14:textFill>
        </w:rPr>
        <w:t>决定。</w:t>
      </w:r>
    </w:p>
    <w:p w14:paraId="1A28FF0C">
      <w:pPr>
        <w:pStyle w:val="161"/>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投标人按相应的运营项目采购需求清单提供货物价款等额合法的增值税专用发票、请款报告等请款资料，逾期提交请款资料及发票或提交资料</w:t>
      </w:r>
      <w:r>
        <w:rPr>
          <w:rFonts w:hint="eastAsia" w:hAnsi="宋体" w:eastAsia="宋体" w:cs="宋体"/>
          <w:color w:val="000000" w:themeColor="text1"/>
          <w:sz w:val="21"/>
          <w:szCs w:val="21"/>
          <w:highlight w:val="none"/>
          <w:lang w:eastAsia="zh-CN"/>
          <w14:textFill>
            <w14:solidFill>
              <w14:schemeClr w14:val="tx1"/>
            </w14:solidFill>
          </w14:textFill>
        </w:rPr>
        <w:t>、</w:t>
      </w:r>
      <w:r>
        <w:rPr>
          <w:rFonts w:hint="eastAsia" w:hAnsi="宋体" w:eastAsia="宋体" w:cs="宋体"/>
          <w:color w:val="000000" w:themeColor="text1"/>
          <w:sz w:val="21"/>
          <w:szCs w:val="21"/>
          <w:highlight w:val="none"/>
          <w:lang w:val="en-US" w:eastAsia="zh-CN"/>
          <w14:textFill>
            <w14:solidFill>
              <w14:schemeClr w14:val="tx1"/>
            </w14:solidFill>
          </w14:textFill>
        </w:rPr>
        <w:t>发票</w:t>
      </w:r>
      <w:r>
        <w:rPr>
          <w:rFonts w:hint="eastAsia" w:ascii="宋体" w:hAnsi="宋体" w:eastAsia="宋体" w:cs="宋体"/>
          <w:color w:val="000000" w:themeColor="text1"/>
          <w:sz w:val="21"/>
          <w:szCs w:val="21"/>
          <w:highlight w:val="none"/>
          <w14:textFill>
            <w14:solidFill>
              <w14:schemeClr w14:val="tx1"/>
            </w14:solidFill>
          </w14:textFill>
        </w:rPr>
        <w:t>不符合</w:t>
      </w:r>
      <w:r>
        <w:rPr>
          <w:rFonts w:hint="eastAsia"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各运营项目要求的，</w:t>
      </w:r>
      <w:r>
        <w:rPr>
          <w:rFonts w:hint="eastAsia"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各运营项目付款时间顺延，并不承担逾期付款违约责任。由于投标人提供的发票不符合税法规定，给</w:t>
      </w:r>
      <w:r>
        <w:rPr>
          <w:rFonts w:hint="eastAsia" w:hAnsi="宋体" w:eastAsia="宋体" w:cs="宋体"/>
          <w:color w:val="000000" w:themeColor="text1"/>
          <w:sz w:val="21"/>
          <w:szCs w:val="21"/>
          <w:highlight w:val="none"/>
          <w:lang w:eastAsia="zh-CN"/>
          <w14:textFill>
            <w14:solidFill>
              <w14:schemeClr w14:val="tx1"/>
            </w14:solidFill>
          </w14:textFill>
        </w:rPr>
        <w:t>招标人或招标人权属子公司</w:t>
      </w:r>
      <w:r>
        <w:rPr>
          <w:rFonts w:hint="eastAsia" w:ascii="宋体" w:hAnsi="宋体" w:eastAsia="宋体" w:cs="宋体"/>
          <w:color w:val="000000" w:themeColor="text1"/>
          <w:sz w:val="21"/>
          <w:szCs w:val="21"/>
          <w:highlight w:val="none"/>
          <w14:textFill>
            <w14:solidFill>
              <w14:schemeClr w14:val="tx1"/>
            </w14:solidFill>
          </w14:textFill>
        </w:rPr>
        <w:t>各运营项目造成的损失由投标人承担赔偿责任。</w:t>
      </w:r>
    </w:p>
    <w:p w14:paraId="4411611C">
      <w:pPr>
        <w:pStyle w:val="161"/>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p w14:paraId="7D1250F0">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br w:type="page"/>
      </w:r>
    </w:p>
    <w:p w14:paraId="01D3A779">
      <w:pPr>
        <w:keepNext w:val="0"/>
        <w:keepLines w:val="0"/>
        <w:pageBreakBefore w:val="0"/>
        <w:kinsoku/>
        <w:wordWrap/>
        <w:overflowPunct/>
        <w:topLinePunct w:val="0"/>
        <w:bidi w:val="0"/>
        <w:snapToGrid/>
        <w:spacing w:line="360" w:lineRule="auto"/>
        <w:outlineLvl w:val="2"/>
        <w:rPr>
          <w:rFonts w:hint="eastAsia" w:ascii="宋体" w:hAnsi="宋体" w:eastAsia="宋体" w:cs="宋体"/>
          <w:b/>
          <w:bCs/>
          <w:color w:val="000000" w:themeColor="text1"/>
          <w:sz w:val="21"/>
          <w:szCs w:val="21"/>
          <w:highlight w:val="none"/>
          <w14:textFill>
            <w14:solidFill>
              <w14:schemeClr w14:val="tx1"/>
            </w14:solidFill>
          </w14:textFill>
        </w:rPr>
      </w:pPr>
      <w:bookmarkStart w:id="383" w:name="_Toc4781"/>
      <w:bookmarkStart w:id="384" w:name="_Toc24226"/>
      <w:bookmarkStart w:id="385" w:name="_Toc15720"/>
      <w:r>
        <w:rPr>
          <w:rFonts w:hint="eastAsia" w:ascii="宋体" w:hAnsi="宋体" w:eastAsia="宋体" w:cs="宋体"/>
          <w:b/>
          <w:bCs/>
          <w:color w:val="000000" w:themeColor="text1"/>
          <w:sz w:val="21"/>
          <w:szCs w:val="21"/>
          <w:highlight w:val="none"/>
          <w14:textFill>
            <w14:solidFill>
              <w14:schemeClr w14:val="tx1"/>
            </w14:solidFill>
          </w14:textFill>
        </w:rPr>
        <w:t>附件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供应商履约评价表</w:t>
      </w:r>
      <w:bookmarkEnd w:id="383"/>
      <w:bookmarkEnd w:id="384"/>
      <w:bookmarkEnd w:id="385"/>
    </w:p>
    <w:p w14:paraId="7A99931C">
      <w:pPr>
        <w:keepNext w:val="0"/>
        <w:keepLines w:val="0"/>
        <w:pageBreakBefore w:val="0"/>
        <w:kinsoku/>
        <w:wordWrap/>
        <w:overflowPunct/>
        <w:topLinePunct w:val="0"/>
        <w:bidi w:val="0"/>
        <w:snapToGrid/>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供应商履约评价表</w:t>
      </w:r>
    </w:p>
    <w:tbl>
      <w:tblPr>
        <w:tblStyle w:val="40"/>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51"/>
        <w:gridCol w:w="2268"/>
        <w:gridCol w:w="1985"/>
        <w:gridCol w:w="283"/>
        <w:gridCol w:w="1418"/>
        <w:gridCol w:w="709"/>
        <w:gridCol w:w="850"/>
        <w:gridCol w:w="992"/>
      </w:tblGrid>
      <w:tr w14:paraId="6BB7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tcPr>
          <w:p w14:paraId="7C65E45C">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14:textFill>
                  <w14:solidFill>
                    <w14:schemeClr w14:val="tx1"/>
                  </w14:solidFill>
                </w14:textFill>
              </w:rPr>
              <w:t>合同名称</w:t>
            </w:r>
          </w:p>
        </w:tc>
        <w:tc>
          <w:tcPr>
            <w:tcW w:w="8505" w:type="dxa"/>
            <w:gridSpan w:val="7"/>
          </w:tcPr>
          <w:p w14:paraId="50289A72">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p>
        </w:tc>
      </w:tr>
      <w:tr w14:paraId="795D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tcPr>
          <w:p w14:paraId="237FECBB">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合同编号</w:t>
            </w:r>
          </w:p>
        </w:tc>
        <w:tc>
          <w:tcPr>
            <w:tcW w:w="8505" w:type="dxa"/>
            <w:gridSpan w:val="7"/>
          </w:tcPr>
          <w:p w14:paraId="028F3B7B">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p>
        </w:tc>
      </w:tr>
      <w:tr w14:paraId="3A77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tcPr>
          <w:p w14:paraId="3AC33965">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名称</w:t>
            </w:r>
          </w:p>
        </w:tc>
        <w:tc>
          <w:tcPr>
            <w:tcW w:w="8505" w:type="dxa"/>
            <w:gridSpan w:val="7"/>
          </w:tcPr>
          <w:p w14:paraId="651E8986">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p>
        </w:tc>
      </w:tr>
      <w:tr w14:paraId="2022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tcPr>
          <w:p w14:paraId="0B37ACF3">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供应商名称</w:t>
            </w:r>
          </w:p>
        </w:tc>
        <w:tc>
          <w:tcPr>
            <w:tcW w:w="8505" w:type="dxa"/>
            <w:gridSpan w:val="7"/>
          </w:tcPr>
          <w:p w14:paraId="2B3DD153">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p>
        </w:tc>
      </w:tr>
      <w:tr w14:paraId="4A44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tcPr>
          <w:p w14:paraId="44555C84">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供应商货物名称</w:t>
            </w:r>
          </w:p>
        </w:tc>
        <w:tc>
          <w:tcPr>
            <w:tcW w:w="8505" w:type="dxa"/>
            <w:gridSpan w:val="7"/>
          </w:tcPr>
          <w:p w14:paraId="3932BEC9">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p>
        </w:tc>
      </w:tr>
      <w:tr w14:paraId="0482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2E17C421">
            <w:pPr>
              <w:keepNext w:val="0"/>
              <w:keepLines w:val="0"/>
              <w:pageBreakBefore w:val="0"/>
              <w:kinsoku/>
              <w:wordWrap/>
              <w:overflowPunct/>
              <w:topLinePunct w:val="0"/>
              <w:bidi w:val="0"/>
              <w:snapToGrid/>
              <w:spacing w:line="240" w:lineRule="auto"/>
              <w:ind w:left="-105" w:leftChars="-50" w:right="-105" w:rightChars="-50"/>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851" w:type="dxa"/>
            <w:vAlign w:val="center"/>
          </w:tcPr>
          <w:p w14:paraId="28A4D1C5">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履约评价项目</w:t>
            </w:r>
          </w:p>
        </w:tc>
        <w:tc>
          <w:tcPr>
            <w:tcW w:w="4253" w:type="dxa"/>
            <w:gridSpan w:val="2"/>
            <w:vAlign w:val="center"/>
          </w:tcPr>
          <w:p w14:paraId="2A97D212">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评分标准</w:t>
            </w:r>
          </w:p>
        </w:tc>
        <w:tc>
          <w:tcPr>
            <w:tcW w:w="1701" w:type="dxa"/>
            <w:gridSpan w:val="2"/>
            <w:vAlign w:val="center"/>
          </w:tcPr>
          <w:p w14:paraId="4F7BDFF7">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评分说明</w:t>
            </w:r>
          </w:p>
        </w:tc>
        <w:tc>
          <w:tcPr>
            <w:tcW w:w="709" w:type="dxa"/>
            <w:vAlign w:val="center"/>
          </w:tcPr>
          <w:p w14:paraId="6C9F0189">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850" w:type="dxa"/>
            <w:vAlign w:val="center"/>
          </w:tcPr>
          <w:p w14:paraId="6F139168">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实得分</w:t>
            </w:r>
          </w:p>
        </w:tc>
        <w:tc>
          <w:tcPr>
            <w:tcW w:w="992" w:type="dxa"/>
            <w:vAlign w:val="center"/>
          </w:tcPr>
          <w:p w14:paraId="0624D60C">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p w14:paraId="2963B076">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（该项分值80%分数）</w:t>
            </w:r>
          </w:p>
        </w:tc>
      </w:tr>
      <w:tr w14:paraId="1FD9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147229A0">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851" w:type="dxa"/>
            <w:vAlign w:val="center"/>
          </w:tcPr>
          <w:p w14:paraId="5A79B639">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w:t>
            </w:r>
          </w:p>
        </w:tc>
        <w:tc>
          <w:tcPr>
            <w:tcW w:w="4253" w:type="dxa"/>
            <w:gridSpan w:val="2"/>
            <w:vAlign w:val="center"/>
          </w:tcPr>
          <w:p w14:paraId="47585FE0">
            <w:pPr>
              <w:keepNext w:val="0"/>
              <w:keepLines w:val="0"/>
              <w:pageBreakBefore w:val="0"/>
              <w:kinsoku/>
              <w:wordWrap/>
              <w:overflowPunct/>
              <w:topLinePunct w:val="0"/>
              <w:bidi w:val="0"/>
              <w:snapToGrid/>
              <w:spacing w:line="240" w:lineRule="auto"/>
              <w:ind w:firstLine="317" w:firstLineChars="151"/>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货物</w:t>
            </w:r>
            <w:r>
              <w:rPr>
                <w:rFonts w:hint="eastAsia" w:ascii="宋体" w:hAnsi="宋体" w:eastAsia="宋体" w:cs="宋体"/>
                <w:bCs/>
                <w:color w:val="000000" w:themeColor="text1"/>
                <w:sz w:val="21"/>
                <w:szCs w:val="21"/>
                <w:highlight w:val="none"/>
                <w14:textFill>
                  <w14:solidFill>
                    <w14:schemeClr w14:val="tx1"/>
                  </w14:solidFill>
                </w14:textFill>
              </w:rPr>
              <w:t>未出现全部拒收或换货等质量问题；</w:t>
            </w:r>
          </w:p>
          <w:p w14:paraId="3975CC29">
            <w:pPr>
              <w:keepNext w:val="0"/>
              <w:keepLines w:val="0"/>
              <w:pageBreakBefore w:val="0"/>
              <w:widowControl w:val="0"/>
              <w:kinsoku/>
              <w:wordWrap/>
              <w:overflowPunct/>
              <w:topLinePunct w:val="0"/>
              <w:autoSpaceDE w:val="0"/>
              <w:autoSpaceDN w:val="0"/>
              <w:bidi w:val="0"/>
              <w:adjustRightInd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货物性能符合合同规定，货物其他指标符合合同规定；</w:t>
            </w:r>
          </w:p>
          <w:p w14:paraId="34D209B0">
            <w:pPr>
              <w:keepNext w:val="0"/>
              <w:keepLines w:val="0"/>
              <w:pageBreakBefore w:val="0"/>
              <w:kinsoku/>
              <w:wordWrap/>
              <w:overflowPunct/>
              <w:topLinePunct w:val="0"/>
              <w:bidi w:val="0"/>
              <w:snapToGrid/>
              <w:spacing w:line="240" w:lineRule="auto"/>
              <w:ind w:firstLine="317" w:firstLineChars="151"/>
              <w:jc w:val="left"/>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每批次货物质量稳定，使用效果良好，未出现由于货物质量参差不齐，造成实质性影响或损失等情况。</w:t>
            </w:r>
          </w:p>
        </w:tc>
        <w:tc>
          <w:tcPr>
            <w:tcW w:w="1701" w:type="dxa"/>
            <w:gridSpan w:val="2"/>
            <w:vAlign w:val="center"/>
          </w:tcPr>
          <w:p w14:paraId="1AC7E802">
            <w:pPr>
              <w:keepNext w:val="0"/>
              <w:keepLines w:val="0"/>
              <w:pageBreakBefore w:val="0"/>
              <w:kinsoku/>
              <w:wordWrap/>
              <w:overflowPunct/>
              <w:topLinePunct w:val="0"/>
              <w:bidi w:val="0"/>
              <w:snapToGrid/>
              <w:spacing w:line="240" w:lineRule="auto"/>
              <w:jc w:val="left"/>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达到标准的得满分，每月每次有一项未达到标准的扣4分。</w:t>
            </w:r>
          </w:p>
        </w:tc>
        <w:tc>
          <w:tcPr>
            <w:tcW w:w="709" w:type="dxa"/>
            <w:vAlign w:val="center"/>
          </w:tcPr>
          <w:p w14:paraId="06E26E87">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850" w:type="dxa"/>
            <w:vAlign w:val="center"/>
          </w:tcPr>
          <w:p w14:paraId="1CC3D0D9">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p>
        </w:tc>
        <w:tc>
          <w:tcPr>
            <w:tcW w:w="992" w:type="dxa"/>
            <w:vAlign w:val="center"/>
          </w:tcPr>
          <w:p w14:paraId="319EF15C">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r>
      <w:tr w14:paraId="6EA4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13E68A23">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851" w:type="dxa"/>
            <w:vAlign w:val="center"/>
          </w:tcPr>
          <w:p w14:paraId="49DCE674">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包装</w:t>
            </w:r>
          </w:p>
          <w:p w14:paraId="7385510B">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运输</w:t>
            </w:r>
          </w:p>
        </w:tc>
        <w:tc>
          <w:tcPr>
            <w:tcW w:w="4253" w:type="dxa"/>
            <w:gridSpan w:val="2"/>
            <w:vAlign w:val="center"/>
          </w:tcPr>
          <w:p w14:paraId="59EC7A31">
            <w:pPr>
              <w:keepNext w:val="0"/>
              <w:keepLines w:val="0"/>
              <w:pageBreakBefore w:val="0"/>
              <w:kinsoku/>
              <w:wordWrap/>
              <w:overflowPunct/>
              <w:topLinePunct w:val="0"/>
              <w:bidi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货物的包装、运输符合合同规定及行业标准；未出现由于包装、运输方式不当造成以下不良后果：</w:t>
            </w:r>
          </w:p>
          <w:p w14:paraId="7BADC3C2">
            <w:pPr>
              <w:keepNext w:val="0"/>
              <w:keepLines w:val="0"/>
              <w:pageBreakBefore w:val="0"/>
              <w:widowControl w:val="0"/>
              <w:kinsoku/>
              <w:wordWrap/>
              <w:overflowPunct/>
              <w:topLinePunct w:val="0"/>
              <w:autoSpaceDE w:val="0"/>
              <w:autoSpaceDN w:val="0"/>
              <w:bidi w:val="0"/>
              <w:adjustRightInd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影响货物转移或储存质量；</w:t>
            </w:r>
          </w:p>
          <w:p w14:paraId="6F770EAA">
            <w:pPr>
              <w:keepNext w:val="0"/>
              <w:keepLines w:val="0"/>
              <w:pageBreakBefore w:val="0"/>
              <w:widowControl w:val="0"/>
              <w:kinsoku/>
              <w:wordWrap/>
              <w:overflowPunct/>
              <w:topLinePunct w:val="0"/>
              <w:autoSpaceDE w:val="0"/>
              <w:autoSpaceDN w:val="0"/>
              <w:bidi w:val="0"/>
              <w:adjustRightInd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货物质量下降；</w:t>
            </w:r>
          </w:p>
          <w:p w14:paraId="001FC1C6">
            <w:pPr>
              <w:keepNext w:val="0"/>
              <w:keepLines w:val="0"/>
              <w:pageBreakBefore w:val="0"/>
              <w:widowControl w:val="0"/>
              <w:kinsoku/>
              <w:wordWrap/>
              <w:overflowPunct/>
              <w:topLinePunct w:val="0"/>
              <w:autoSpaceDE w:val="0"/>
              <w:autoSpaceDN w:val="0"/>
              <w:bidi w:val="0"/>
              <w:adjustRightInd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货物泄漏导致供货量不足；</w:t>
            </w:r>
          </w:p>
          <w:p w14:paraId="3FF7CBF7">
            <w:pPr>
              <w:keepNext w:val="0"/>
              <w:keepLines w:val="0"/>
              <w:pageBreakBefore w:val="0"/>
              <w:kinsoku/>
              <w:wordWrap/>
              <w:overflowPunct/>
              <w:topLinePunct w:val="0"/>
              <w:bidi w:val="0"/>
              <w:snapToGrid/>
              <w:spacing w:line="240" w:lineRule="auto"/>
              <w:ind w:firstLine="317" w:firstLineChars="151"/>
              <w:jc w:val="left"/>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 造成环境污染。</w:t>
            </w:r>
          </w:p>
        </w:tc>
        <w:tc>
          <w:tcPr>
            <w:tcW w:w="1701" w:type="dxa"/>
            <w:gridSpan w:val="2"/>
            <w:vAlign w:val="center"/>
          </w:tcPr>
          <w:p w14:paraId="4E3C91FB">
            <w:pPr>
              <w:keepNext w:val="0"/>
              <w:keepLines w:val="0"/>
              <w:pageBreakBefore w:val="0"/>
              <w:kinsoku/>
              <w:wordWrap/>
              <w:overflowPunct/>
              <w:topLinePunct w:val="0"/>
              <w:bidi w:val="0"/>
              <w:snapToGrid/>
              <w:spacing w:line="240" w:lineRule="auto"/>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达到标准的得满分，每月每次有一项未达到标准的扣3分。</w:t>
            </w:r>
          </w:p>
        </w:tc>
        <w:tc>
          <w:tcPr>
            <w:tcW w:w="709" w:type="dxa"/>
            <w:vAlign w:val="center"/>
          </w:tcPr>
          <w:p w14:paraId="6247EF81">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850" w:type="dxa"/>
            <w:vAlign w:val="center"/>
          </w:tcPr>
          <w:p w14:paraId="19491767">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p>
        </w:tc>
        <w:tc>
          <w:tcPr>
            <w:tcW w:w="992" w:type="dxa"/>
            <w:vAlign w:val="center"/>
          </w:tcPr>
          <w:p w14:paraId="1E4F8794">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r>
      <w:tr w14:paraId="600B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75D338D2">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851" w:type="dxa"/>
            <w:vAlign w:val="center"/>
          </w:tcPr>
          <w:p w14:paraId="3CF1A1EC">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w:t>
            </w:r>
          </w:p>
          <w:p w14:paraId="3CDF0E22">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交货</w:t>
            </w:r>
          </w:p>
        </w:tc>
        <w:tc>
          <w:tcPr>
            <w:tcW w:w="4253" w:type="dxa"/>
            <w:gridSpan w:val="2"/>
            <w:vAlign w:val="center"/>
          </w:tcPr>
          <w:p w14:paraId="1EC37583">
            <w:pPr>
              <w:keepNext w:val="0"/>
              <w:keepLines w:val="0"/>
              <w:pageBreakBefore w:val="0"/>
              <w:kinsoku/>
              <w:wordWrap/>
              <w:overflowPunct/>
              <w:topLinePunct w:val="0"/>
              <w:bidi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 </w:t>
            </w:r>
            <w:r>
              <w:rPr>
                <w:rFonts w:hint="eastAsia" w:ascii="宋体" w:hAnsi="宋体" w:eastAsia="宋体" w:cs="宋体"/>
                <w:bCs/>
                <w:color w:val="000000" w:themeColor="text1"/>
                <w:sz w:val="21"/>
                <w:szCs w:val="21"/>
                <w:highlight w:val="none"/>
                <w14:textFill>
                  <w14:solidFill>
                    <w14:schemeClr w14:val="tx1"/>
                  </w14:solidFill>
                </w14:textFill>
              </w:rPr>
              <w:t>按合同约定时间供货</w:t>
            </w:r>
            <w:r>
              <w:rPr>
                <w:rFonts w:hint="eastAsia" w:ascii="宋体" w:hAnsi="宋体" w:eastAsia="宋体" w:cs="宋体"/>
                <w:color w:val="000000" w:themeColor="text1"/>
                <w:sz w:val="21"/>
                <w:szCs w:val="21"/>
                <w:highlight w:val="none"/>
                <w14:textFill>
                  <w14:solidFill>
                    <w14:schemeClr w14:val="tx1"/>
                  </w14:solidFill>
                </w14:textFill>
              </w:rPr>
              <w:t>；</w:t>
            </w:r>
          </w:p>
          <w:p w14:paraId="00E8A7D2">
            <w:pPr>
              <w:keepNext w:val="0"/>
              <w:keepLines w:val="0"/>
              <w:pageBreakBefore w:val="0"/>
              <w:widowControl w:val="0"/>
              <w:kinsoku/>
              <w:wordWrap/>
              <w:overflowPunct/>
              <w:topLinePunct w:val="0"/>
              <w:autoSpaceDE w:val="0"/>
              <w:autoSpaceDN w:val="0"/>
              <w:bidi w:val="0"/>
              <w:adjustRightInd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每批次供货配合提供货物清单、配合清点货物；</w:t>
            </w:r>
          </w:p>
          <w:p w14:paraId="5987CAC8">
            <w:pPr>
              <w:keepNext w:val="0"/>
              <w:keepLines w:val="0"/>
              <w:pageBreakBefore w:val="0"/>
              <w:widowControl w:val="0"/>
              <w:kinsoku/>
              <w:wordWrap/>
              <w:overflowPunct/>
              <w:topLinePunct w:val="0"/>
              <w:autoSpaceDE w:val="0"/>
              <w:autoSpaceDN w:val="0"/>
              <w:bidi w:val="0"/>
              <w:adjustRightInd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交付人员专业性强，工作效率高，熟悉交付操作流程；</w:t>
            </w:r>
          </w:p>
          <w:p w14:paraId="6C1F47FB">
            <w:pPr>
              <w:keepNext w:val="0"/>
              <w:keepLines w:val="0"/>
              <w:pageBreakBefore w:val="0"/>
              <w:widowControl w:val="0"/>
              <w:kinsoku/>
              <w:wordWrap/>
              <w:overflowPunct/>
              <w:topLinePunct w:val="0"/>
              <w:autoSpaceDE w:val="0"/>
              <w:autoSpaceDN w:val="0"/>
              <w:bidi w:val="0"/>
              <w:adjustRightInd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 运输车辆按厂区指示行驶及停放、卸货方式恰当；</w:t>
            </w:r>
          </w:p>
          <w:p w14:paraId="0C3EEA9B">
            <w:pPr>
              <w:keepNext w:val="0"/>
              <w:keepLines w:val="0"/>
              <w:pageBreakBefore w:val="0"/>
              <w:kinsoku/>
              <w:wordWrap/>
              <w:overflowPunct/>
              <w:topLinePunct w:val="0"/>
              <w:bidi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 每批次实际供货数量与</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发出的供货通知清单要求的供货数量一致。</w:t>
            </w:r>
          </w:p>
        </w:tc>
        <w:tc>
          <w:tcPr>
            <w:tcW w:w="1701" w:type="dxa"/>
            <w:gridSpan w:val="2"/>
            <w:vAlign w:val="center"/>
          </w:tcPr>
          <w:p w14:paraId="71A9A8A3">
            <w:pPr>
              <w:keepNext w:val="0"/>
              <w:keepLines w:val="0"/>
              <w:pageBreakBefore w:val="0"/>
              <w:kinsoku/>
              <w:wordWrap/>
              <w:overflowPunct/>
              <w:topLinePunct w:val="0"/>
              <w:bidi w:val="0"/>
              <w:snapToGrid/>
              <w:spacing w:line="240" w:lineRule="auto"/>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达到标准的得满分，每月每次有一项未达到标准的扣3分。</w:t>
            </w:r>
          </w:p>
        </w:tc>
        <w:tc>
          <w:tcPr>
            <w:tcW w:w="709" w:type="dxa"/>
            <w:vAlign w:val="center"/>
          </w:tcPr>
          <w:p w14:paraId="3B5B4F74">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850" w:type="dxa"/>
            <w:vAlign w:val="center"/>
          </w:tcPr>
          <w:p w14:paraId="6B25CF05">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2" w:type="dxa"/>
            <w:vAlign w:val="center"/>
          </w:tcPr>
          <w:p w14:paraId="70F8B078">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r>
      <w:tr w14:paraId="43A9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39AD1BC1">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851" w:type="dxa"/>
            <w:vAlign w:val="center"/>
          </w:tcPr>
          <w:p w14:paraId="5DABF9C9">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验收</w:t>
            </w:r>
          </w:p>
        </w:tc>
        <w:tc>
          <w:tcPr>
            <w:tcW w:w="4253" w:type="dxa"/>
            <w:gridSpan w:val="2"/>
            <w:vAlign w:val="center"/>
          </w:tcPr>
          <w:p w14:paraId="69666FA2">
            <w:pPr>
              <w:keepNext w:val="0"/>
              <w:keepLines w:val="0"/>
              <w:pageBreakBefore w:val="0"/>
              <w:kinsoku/>
              <w:wordWrap/>
              <w:overflowPunct/>
              <w:topLinePunct w:val="0"/>
              <w:bidi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 </w:t>
            </w:r>
            <w:r>
              <w:rPr>
                <w:rFonts w:hint="eastAsia" w:ascii="宋体" w:hAnsi="宋体" w:eastAsia="宋体" w:cs="宋体"/>
                <w:bCs/>
                <w:color w:val="000000" w:themeColor="text1"/>
                <w:sz w:val="21"/>
                <w:szCs w:val="21"/>
                <w:highlight w:val="none"/>
                <w14:textFill>
                  <w14:solidFill>
                    <w14:schemeClr w14:val="tx1"/>
                  </w14:solidFill>
                </w14:textFill>
              </w:rPr>
              <w:t>及时提供货物的各项技术资料</w:t>
            </w:r>
            <w:r>
              <w:rPr>
                <w:rFonts w:hint="eastAsia" w:ascii="宋体" w:hAnsi="宋体" w:eastAsia="宋体" w:cs="宋体"/>
                <w:color w:val="000000" w:themeColor="text1"/>
                <w:sz w:val="21"/>
                <w:szCs w:val="21"/>
                <w:highlight w:val="none"/>
                <w14:textFill>
                  <w14:solidFill>
                    <w14:schemeClr w14:val="tx1"/>
                  </w14:solidFill>
                </w14:textFill>
              </w:rPr>
              <w:t>；</w:t>
            </w:r>
          </w:p>
          <w:p w14:paraId="6E203D50">
            <w:pPr>
              <w:keepNext w:val="0"/>
              <w:keepLines w:val="0"/>
              <w:pageBreakBefore w:val="0"/>
              <w:widowControl w:val="0"/>
              <w:kinsoku/>
              <w:wordWrap/>
              <w:overflowPunct/>
              <w:topLinePunct w:val="0"/>
              <w:autoSpaceDE w:val="0"/>
              <w:autoSpaceDN w:val="0"/>
              <w:bidi w:val="0"/>
              <w:adjustRightInd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高效处理退换货工作、态度良好；</w:t>
            </w:r>
          </w:p>
          <w:p w14:paraId="4E49D7C8">
            <w:pPr>
              <w:keepNext w:val="0"/>
              <w:keepLines w:val="0"/>
              <w:pageBreakBefore w:val="0"/>
              <w:widowControl w:val="0"/>
              <w:kinsoku/>
              <w:wordWrap/>
              <w:overflowPunct/>
              <w:topLinePunct w:val="0"/>
              <w:autoSpaceDE w:val="0"/>
              <w:autoSpaceDN w:val="0"/>
              <w:bidi w:val="0"/>
              <w:adjustRightInd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未出现因对检验结果存在异议而影响供货的情况；</w:t>
            </w:r>
          </w:p>
          <w:p w14:paraId="37FD6E56">
            <w:pPr>
              <w:keepNext w:val="0"/>
              <w:keepLines w:val="0"/>
              <w:pageBreakBefore w:val="0"/>
              <w:widowControl w:val="0"/>
              <w:kinsoku/>
              <w:wordWrap/>
              <w:overflowPunct/>
              <w:topLinePunct w:val="0"/>
              <w:autoSpaceDE w:val="0"/>
              <w:autoSpaceDN w:val="0"/>
              <w:bidi w:val="0"/>
              <w:adjustRightInd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 所送货物的品种、规格型号、数量、推荐品牌均供货清单一致；</w:t>
            </w:r>
          </w:p>
          <w:p w14:paraId="49B59FB8">
            <w:pPr>
              <w:keepNext w:val="0"/>
              <w:keepLines w:val="0"/>
              <w:pageBreakBefore w:val="0"/>
              <w:kinsoku/>
              <w:wordWrap/>
              <w:overflowPunct/>
              <w:topLinePunct w:val="0"/>
              <w:bidi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 未出现因货物检验不合格，或因货物不合格影响厂区生产效果的情况。</w:t>
            </w:r>
          </w:p>
        </w:tc>
        <w:tc>
          <w:tcPr>
            <w:tcW w:w="1701" w:type="dxa"/>
            <w:gridSpan w:val="2"/>
            <w:vAlign w:val="center"/>
          </w:tcPr>
          <w:p w14:paraId="684DFCC6">
            <w:pPr>
              <w:keepNext w:val="0"/>
              <w:keepLines w:val="0"/>
              <w:pageBreakBefore w:val="0"/>
              <w:kinsoku/>
              <w:wordWrap/>
              <w:overflowPunct/>
              <w:topLinePunct w:val="0"/>
              <w:bidi w:val="0"/>
              <w:snapToGrid/>
              <w:spacing w:line="240" w:lineRule="auto"/>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达到标准的得满分，每月每次有一项未达到标准的扣4分。</w:t>
            </w:r>
          </w:p>
        </w:tc>
        <w:tc>
          <w:tcPr>
            <w:tcW w:w="709" w:type="dxa"/>
            <w:vAlign w:val="center"/>
          </w:tcPr>
          <w:p w14:paraId="51C5390D">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850" w:type="dxa"/>
            <w:vAlign w:val="center"/>
          </w:tcPr>
          <w:p w14:paraId="13ABC98C">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2" w:type="dxa"/>
            <w:vAlign w:val="center"/>
          </w:tcPr>
          <w:p w14:paraId="113EC811">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r>
      <w:tr w14:paraId="39CB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571B2267">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851" w:type="dxa"/>
            <w:vAlign w:val="center"/>
          </w:tcPr>
          <w:p w14:paraId="2BA0DF4C">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w:t>
            </w:r>
          </w:p>
        </w:tc>
        <w:tc>
          <w:tcPr>
            <w:tcW w:w="4253" w:type="dxa"/>
            <w:gridSpan w:val="2"/>
            <w:vAlign w:val="center"/>
          </w:tcPr>
          <w:p w14:paraId="5C2E2F76">
            <w:pPr>
              <w:keepNext w:val="0"/>
              <w:keepLines w:val="0"/>
              <w:pageBreakBefore w:val="0"/>
              <w:kinsoku/>
              <w:wordWrap/>
              <w:overflowPunct/>
              <w:topLinePunct w:val="0"/>
              <w:bidi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 </w:t>
            </w:r>
            <w:r>
              <w:rPr>
                <w:rFonts w:hint="eastAsia" w:ascii="宋体" w:hAnsi="宋体" w:eastAsia="宋体" w:cs="宋体"/>
                <w:bCs/>
                <w:color w:val="000000" w:themeColor="text1"/>
                <w:sz w:val="21"/>
                <w:szCs w:val="21"/>
                <w:highlight w:val="none"/>
                <w14:textFill>
                  <w14:solidFill>
                    <w14:schemeClr w14:val="tx1"/>
                  </w14:solidFill>
                </w14:textFill>
              </w:rPr>
              <w:t>未出无证驾驶、酒后驾驶等情况</w:t>
            </w:r>
            <w:r>
              <w:rPr>
                <w:rFonts w:hint="eastAsia" w:ascii="宋体" w:hAnsi="宋体" w:eastAsia="宋体" w:cs="宋体"/>
                <w:color w:val="000000" w:themeColor="text1"/>
                <w:sz w:val="21"/>
                <w:szCs w:val="21"/>
                <w:highlight w:val="none"/>
                <w14:textFill>
                  <w14:solidFill>
                    <w14:schemeClr w14:val="tx1"/>
                  </w14:solidFill>
                </w14:textFill>
              </w:rPr>
              <w:t>；</w:t>
            </w:r>
          </w:p>
          <w:p w14:paraId="074A0121">
            <w:pPr>
              <w:keepNext w:val="0"/>
              <w:keepLines w:val="0"/>
              <w:pageBreakBefore w:val="0"/>
              <w:widowControl w:val="0"/>
              <w:kinsoku/>
              <w:wordWrap/>
              <w:overflowPunct/>
              <w:topLinePunct w:val="0"/>
              <w:autoSpaceDE w:val="0"/>
              <w:autoSpaceDN w:val="0"/>
              <w:bidi w:val="0"/>
              <w:adjustRightInd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未出现超载或非法运输等情况；</w:t>
            </w:r>
          </w:p>
          <w:p w14:paraId="77249F23">
            <w:pPr>
              <w:keepNext w:val="0"/>
              <w:keepLines w:val="0"/>
              <w:pageBreakBefore w:val="0"/>
              <w:kinsoku/>
              <w:wordWrap/>
              <w:overflowPunct/>
              <w:topLinePunct w:val="0"/>
              <w:bidi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未出现由于运输服务商资质不符、超载或非法运输造成第三方或厂区事故、损失的情况。</w:t>
            </w:r>
          </w:p>
        </w:tc>
        <w:tc>
          <w:tcPr>
            <w:tcW w:w="1701" w:type="dxa"/>
            <w:gridSpan w:val="2"/>
            <w:vAlign w:val="center"/>
          </w:tcPr>
          <w:p w14:paraId="02DE2B02">
            <w:pPr>
              <w:keepNext w:val="0"/>
              <w:keepLines w:val="0"/>
              <w:pageBreakBefore w:val="0"/>
              <w:kinsoku/>
              <w:wordWrap/>
              <w:overflowPunct/>
              <w:topLinePunct w:val="0"/>
              <w:bidi w:val="0"/>
              <w:snapToGrid/>
              <w:spacing w:line="240" w:lineRule="auto"/>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达到标准的得满分，每月每次有一项未达到标准的扣3分。</w:t>
            </w:r>
          </w:p>
        </w:tc>
        <w:tc>
          <w:tcPr>
            <w:tcW w:w="709" w:type="dxa"/>
            <w:vAlign w:val="center"/>
          </w:tcPr>
          <w:p w14:paraId="44529C70">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850" w:type="dxa"/>
            <w:vAlign w:val="center"/>
          </w:tcPr>
          <w:p w14:paraId="527C05E0">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2" w:type="dxa"/>
            <w:vAlign w:val="center"/>
          </w:tcPr>
          <w:p w14:paraId="6DE78D99">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r>
      <w:tr w14:paraId="175A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58C1AEF1">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851" w:type="dxa"/>
            <w:vAlign w:val="center"/>
          </w:tcPr>
          <w:p w14:paraId="48E7CD8A">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w:t>
            </w:r>
          </w:p>
          <w:p w14:paraId="68E72B4B">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w:t>
            </w:r>
          </w:p>
        </w:tc>
        <w:tc>
          <w:tcPr>
            <w:tcW w:w="4253" w:type="dxa"/>
            <w:gridSpan w:val="2"/>
            <w:vAlign w:val="center"/>
          </w:tcPr>
          <w:p w14:paraId="4EF40324">
            <w:pPr>
              <w:keepNext w:val="0"/>
              <w:keepLines w:val="0"/>
              <w:pageBreakBefore w:val="0"/>
              <w:kinsoku/>
              <w:wordWrap/>
              <w:overflowPunct/>
              <w:topLinePunct w:val="0"/>
              <w:bidi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 </w:t>
            </w:r>
            <w:r>
              <w:rPr>
                <w:rFonts w:hint="eastAsia" w:ascii="宋体" w:hAnsi="宋体" w:eastAsia="宋体" w:cs="宋体"/>
                <w:bCs/>
                <w:color w:val="000000" w:themeColor="text1"/>
                <w:sz w:val="21"/>
                <w:szCs w:val="21"/>
                <w:highlight w:val="none"/>
                <w14:textFill>
                  <w14:solidFill>
                    <w14:schemeClr w14:val="tx1"/>
                  </w14:solidFill>
                </w14:textFill>
              </w:rPr>
              <w:t>人员</w:t>
            </w:r>
            <w:r>
              <w:rPr>
                <w:rFonts w:hint="eastAsia" w:ascii="宋体" w:hAnsi="宋体" w:eastAsia="宋体" w:cs="宋体"/>
                <w:color w:val="000000" w:themeColor="text1"/>
                <w:sz w:val="21"/>
                <w:szCs w:val="21"/>
                <w:highlight w:val="none"/>
                <w14:textFill>
                  <w14:solidFill>
                    <w14:schemeClr w14:val="tx1"/>
                  </w14:solidFill>
                </w14:textFill>
              </w:rPr>
              <w:t>：</w:t>
            </w:r>
          </w:p>
          <w:p w14:paraId="6489349A">
            <w:pPr>
              <w:keepNext w:val="0"/>
              <w:keepLines w:val="0"/>
              <w:pageBreakBefore w:val="0"/>
              <w:widowControl w:val="0"/>
              <w:kinsoku/>
              <w:wordWrap/>
              <w:overflowPunct/>
              <w:topLinePunct w:val="0"/>
              <w:autoSpaceDE w:val="0"/>
              <w:autoSpaceDN w:val="0"/>
              <w:bidi w:val="0"/>
              <w:adjustRightInd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 管理、技术及服务人员均符合投标文件的承诺，服务队伍稳定，人员充足、专业性强，充分配合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供货需求；</w:t>
            </w:r>
          </w:p>
          <w:p w14:paraId="3F4B7B22">
            <w:pPr>
              <w:keepNext w:val="0"/>
              <w:keepLines w:val="0"/>
              <w:pageBreakBefore w:val="0"/>
              <w:widowControl w:val="0"/>
              <w:kinsoku/>
              <w:wordWrap/>
              <w:overflowPunct/>
              <w:topLinePunct w:val="0"/>
              <w:autoSpaceDE w:val="0"/>
              <w:autoSpaceDN w:val="0"/>
              <w:bidi w:val="0"/>
              <w:adjustRightInd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 对接人员与</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沟通良好、理解到位、执行力强，能及时发现、解决问题，并未雨绸缪地因应各运营项目实际情况提供合理化的供配货建议；</w:t>
            </w:r>
          </w:p>
          <w:p w14:paraId="39EEDD89">
            <w:pPr>
              <w:keepNext w:val="0"/>
              <w:keepLines w:val="0"/>
              <w:pageBreakBefore w:val="0"/>
              <w:widowControl w:val="0"/>
              <w:kinsoku/>
              <w:wordWrap/>
              <w:overflowPunct/>
              <w:topLinePunct w:val="0"/>
              <w:autoSpaceDE w:val="0"/>
              <w:autoSpaceDN w:val="0"/>
              <w:bidi w:val="0"/>
              <w:adjustRightInd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 未出现推诿，借故不肯签署合同规定的文件或者敷衍了事、置之不理等情况。</w:t>
            </w:r>
          </w:p>
          <w:p w14:paraId="4AD3923A">
            <w:pPr>
              <w:keepNext w:val="0"/>
              <w:keepLines w:val="0"/>
              <w:pageBreakBefore w:val="0"/>
              <w:widowControl w:val="0"/>
              <w:kinsoku/>
              <w:wordWrap/>
              <w:overflowPunct/>
              <w:topLinePunct w:val="0"/>
              <w:autoSpaceDE w:val="0"/>
              <w:autoSpaceDN w:val="0"/>
              <w:bidi w:val="0"/>
              <w:adjustRightInd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配合：</w:t>
            </w:r>
          </w:p>
          <w:p w14:paraId="2B93A12A">
            <w:pPr>
              <w:keepNext w:val="0"/>
              <w:keepLines w:val="0"/>
              <w:pageBreakBefore w:val="0"/>
              <w:widowControl w:val="0"/>
              <w:kinsoku/>
              <w:wordWrap/>
              <w:overflowPunct/>
              <w:topLinePunct w:val="0"/>
              <w:autoSpaceDE w:val="0"/>
              <w:autoSpaceDN w:val="0"/>
              <w:bidi w:val="0"/>
              <w:adjustRightInd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 售后服务流程完善，跟踪到位，响应速度快；</w:t>
            </w:r>
          </w:p>
          <w:p w14:paraId="284146CD">
            <w:pPr>
              <w:keepNext w:val="0"/>
              <w:keepLines w:val="0"/>
              <w:pageBreakBefore w:val="0"/>
              <w:widowControl w:val="0"/>
              <w:kinsoku/>
              <w:wordWrap/>
              <w:overflowPunct/>
              <w:topLinePunct w:val="0"/>
              <w:autoSpaceDE w:val="0"/>
              <w:autoSpaceDN w:val="0"/>
              <w:bidi w:val="0"/>
              <w:adjustRightInd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 就货物储存保质方式、方法提出合理化建议并能提供专业技术指导；</w:t>
            </w:r>
          </w:p>
          <w:p w14:paraId="5D624C19">
            <w:pPr>
              <w:keepNext w:val="0"/>
              <w:keepLines w:val="0"/>
              <w:pageBreakBefore w:val="0"/>
              <w:widowControl w:val="0"/>
              <w:kinsoku/>
              <w:wordWrap/>
              <w:overflowPunct/>
              <w:topLinePunct w:val="0"/>
              <w:autoSpaceDE w:val="0"/>
              <w:autoSpaceDN w:val="0"/>
              <w:bidi w:val="0"/>
              <w:adjustRightInd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 积极配合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进行试验、积极协助</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接受相关部门的检查工作及提供各类资质证明材料；</w:t>
            </w:r>
          </w:p>
          <w:p w14:paraId="15101BAC">
            <w:pPr>
              <w:keepNext w:val="0"/>
              <w:keepLines w:val="0"/>
              <w:pageBreakBefore w:val="0"/>
              <w:widowControl w:val="0"/>
              <w:kinsoku/>
              <w:wordWrap/>
              <w:overflowPunct/>
              <w:topLinePunct w:val="0"/>
              <w:autoSpaceDE w:val="0"/>
              <w:autoSpaceDN w:val="0"/>
              <w:bidi w:val="0"/>
              <w:adjustRightInd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 能根据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要求提供专业培训；</w:t>
            </w:r>
          </w:p>
          <w:p w14:paraId="3E7B8749">
            <w:pPr>
              <w:keepNext w:val="0"/>
              <w:keepLines w:val="0"/>
              <w:pageBreakBefore w:val="0"/>
              <w:kinsoku/>
              <w:wordWrap/>
              <w:overflowPunct/>
              <w:topLinePunct w:val="0"/>
              <w:bidi w:val="0"/>
              <w:snapToGrid/>
              <w:spacing w:line="24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⑤ 及时提供货物价款等额合法的增值税专用发票、请款报告等请款资料。</w:t>
            </w:r>
          </w:p>
        </w:tc>
        <w:tc>
          <w:tcPr>
            <w:tcW w:w="1701" w:type="dxa"/>
            <w:gridSpan w:val="2"/>
            <w:vAlign w:val="center"/>
          </w:tcPr>
          <w:p w14:paraId="0B6BE2C8">
            <w:pPr>
              <w:keepNext w:val="0"/>
              <w:keepLines w:val="0"/>
              <w:pageBreakBefore w:val="0"/>
              <w:kinsoku/>
              <w:wordWrap/>
              <w:overflowPunct/>
              <w:topLinePunct w:val="0"/>
              <w:bidi w:val="0"/>
              <w:snapToGrid/>
              <w:spacing w:line="240" w:lineRule="auto"/>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达到标准的得满分，每月每次有一项未达到标准的扣2分。</w:t>
            </w:r>
          </w:p>
        </w:tc>
        <w:tc>
          <w:tcPr>
            <w:tcW w:w="709" w:type="dxa"/>
            <w:vAlign w:val="center"/>
          </w:tcPr>
          <w:p w14:paraId="4D5B6AF2">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850" w:type="dxa"/>
            <w:vAlign w:val="center"/>
          </w:tcPr>
          <w:p w14:paraId="242BFD2D">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2" w:type="dxa"/>
            <w:vAlign w:val="center"/>
          </w:tcPr>
          <w:p w14:paraId="10B5BE8F">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r>
      <w:tr w14:paraId="632C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372" w:type="dxa"/>
            <w:gridSpan w:val="6"/>
            <w:vAlign w:val="center"/>
          </w:tcPr>
          <w:p w14:paraId="1E058BA5">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09" w:type="dxa"/>
            <w:vAlign w:val="center"/>
          </w:tcPr>
          <w:p w14:paraId="3EA97A78">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p>
        </w:tc>
        <w:tc>
          <w:tcPr>
            <w:tcW w:w="850" w:type="dxa"/>
            <w:vAlign w:val="center"/>
          </w:tcPr>
          <w:p w14:paraId="5E2FFBBB">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2" w:type="dxa"/>
            <w:vAlign w:val="center"/>
          </w:tcPr>
          <w:p w14:paraId="2BEE50EF">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80</w:t>
            </w:r>
          </w:p>
        </w:tc>
      </w:tr>
      <w:tr w14:paraId="3060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gridSpan w:val="3"/>
            <w:vAlign w:val="center"/>
          </w:tcPr>
          <w:p w14:paraId="3B8FBBAB">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评审结论</w:t>
            </w:r>
          </w:p>
        </w:tc>
        <w:tc>
          <w:tcPr>
            <w:tcW w:w="6237" w:type="dxa"/>
            <w:gridSpan w:val="6"/>
            <w:vAlign w:val="center"/>
          </w:tcPr>
          <w:p w14:paraId="73CA30C5">
            <w:pPr>
              <w:keepNext w:val="0"/>
              <w:keepLines w:val="0"/>
              <w:pageBreakBefore w:val="0"/>
              <w:kinsoku/>
              <w:wordWrap/>
              <w:overflowPunct/>
              <w:topLinePunct w:val="0"/>
              <w:bidi w:val="0"/>
              <w:snapToGrid/>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每项实得分均不低于该项分值80%的，评审结论合格</w:t>
            </w:r>
          </w:p>
          <w:p w14:paraId="1FEA6E44">
            <w:pPr>
              <w:keepNext w:val="0"/>
              <w:keepLines w:val="0"/>
              <w:pageBreakBefore w:val="0"/>
              <w:kinsoku/>
              <w:wordWrap/>
              <w:overflowPunct/>
              <w:topLinePunct w:val="0"/>
              <w:bidi w:val="0"/>
              <w:snapToGrid/>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评审结论不合格，说明：</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tc>
      </w:tr>
      <w:tr w14:paraId="0219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gridSpan w:val="3"/>
            <w:vMerge w:val="restart"/>
            <w:vAlign w:val="center"/>
          </w:tcPr>
          <w:p w14:paraId="788CD0DD">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履约评审</w:t>
            </w:r>
            <w:r>
              <w:rPr>
                <w:rFonts w:hint="eastAsia" w:ascii="宋体" w:hAnsi="宋体" w:eastAsia="宋体" w:cs="宋体"/>
                <w:bCs/>
                <w:color w:val="000000" w:themeColor="text1"/>
                <w:sz w:val="21"/>
                <w:szCs w:val="21"/>
                <w:highlight w:val="none"/>
                <w14:textFill>
                  <w14:solidFill>
                    <w14:schemeClr w14:val="tx1"/>
                  </w14:solidFill>
                </w14:textFill>
              </w:rPr>
              <w:t>运营项目</w:t>
            </w:r>
            <w:r>
              <w:rPr>
                <w:rFonts w:hint="eastAsia" w:ascii="宋体" w:hAnsi="宋体" w:eastAsia="宋体" w:cs="宋体"/>
                <w:color w:val="000000" w:themeColor="text1"/>
                <w:sz w:val="21"/>
                <w:szCs w:val="21"/>
                <w:highlight w:val="none"/>
                <w14:textFill>
                  <w14:solidFill>
                    <w14:schemeClr w14:val="tx1"/>
                  </w14:solidFill>
                </w14:textFill>
              </w:rPr>
              <w:t>其他</w:t>
            </w:r>
            <w:r>
              <w:rPr>
                <w:rFonts w:hint="eastAsia" w:ascii="宋体" w:hAnsi="宋体" w:eastAsia="宋体" w:cs="宋体"/>
                <w:bCs/>
                <w:color w:val="000000" w:themeColor="text1"/>
                <w:sz w:val="21"/>
                <w:szCs w:val="21"/>
                <w:highlight w:val="none"/>
                <w14:textFill>
                  <w14:solidFill>
                    <w14:schemeClr w14:val="tx1"/>
                  </w14:solidFill>
                </w14:textFill>
              </w:rPr>
              <w:t>意见及签署</w:t>
            </w:r>
          </w:p>
        </w:tc>
        <w:tc>
          <w:tcPr>
            <w:tcW w:w="2268" w:type="dxa"/>
            <w:gridSpan w:val="2"/>
            <w:vAlign w:val="center"/>
          </w:tcPr>
          <w:p w14:paraId="6BB76BA5">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经办人</w:t>
            </w:r>
          </w:p>
        </w:tc>
        <w:tc>
          <w:tcPr>
            <w:tcW w:w="3969" w:type="dxa"/>
            <w:gridSpan w:val="4"/>
            <w:vAlign w:val="center"/>
          </w:tcPr>
          <w:p w14:paraId="57F80200">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387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gridSpan w:val="3"/>
            <w:vMerge w:val="continue"/>
            <w:vAlign w:val="center"/>
          </w:tcPr>
          <w:p w14:paraId="5D9DE6E2">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68" w:type="dxa"/>
            <w:gridSpan w:val="2"/>
            <w:vAlign w:val="center"/>
          </w:tcPr>
          <w:p w14:paraId="548AC088">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运营项目负责人</w:t>
            </w:r>
          </w:p>
        </w:tc>
        <w:tc>
          <w:tcPr>
            <w:tcW w:w="3969" w:type="dxa"/>
            <w:gridSpan w:val="4"/>
            <w:vAlign w:val="center"/>
          </w:tcPr>
          <w:p w14:paraId="681B8DC4">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1A0CE28E">
      <w:pPr>
        <w:keepNext w:val="0"/>
        <w:keepLines w:val="0"/>
        <w:pageBreakBefore w:val="0"/>
        <w:kinsoku/>
        <w:wordWrap/>
        <w:overflowPunct/>
        <w:topLinePunct w:val="0"/>
        <w:bidi w:val="0"/>
        <w:snapToGrid/>
        <w:spacing w:line="360" w:lineRule="auto"/>
        <w:outlineLvl w:val="0"/>
        <w:rPr>
          <w:rFonts w:hint="eastAsia" w:ascii="宋体" w:hAnsi="宋体" w:eastAsia="宋体" w:cs="宋体"/>
          <w:b/>
          <w:color w:val="000000" w:themeColor="text1"/>
          <w:sz w:val="21"/>
          <w:szCs w:val="21"/>
          <w:highlight w:val="none"/>
          <w14:textFill>
            <w14:solidFill>
              <w14:schemeClr w14:val="tx1"/>
            </w14:solidFill>
          </w14:textFill>
        </w:rPr>
      </w:pPr>
    </w:p>
    <w:p w14:paraId="7A819760">
      <w:pPr>
        <w:keepNext w:val="0"/>
        <w:keepLines w:val="0"/>
        <w:pageBreakBefore w:val="0"/>
        <w:kinsoku/>
        <w:wordWrap/>
        <w:overflowPunct/>
        <w:topLinePunct w:val="0"/>
        <w:bidi w:val="0"/>
        <w:snapToGrid/>
        <w:spacing w:line="360" w:lineRule="auto"/>
        <w:outlineLvl w:val="0"/>
        <w:rPr>
          <w:rFonts w:hint="eastAsia" w:ascii="宋体" w:hAnsi="宋体" w:eastAsia="宋体" w:cs="宋体"/>
          <w:b/>
          <w:color w:val="000000" w:themeColor="text1"/>
          <w:sz w:val="21"/>
          <w:szCs w:val="21"/>
          <w:highlight w:val="none"/>
          <w14:textFill>
            <w14:solidFill>
              <w14:schemeClr w14:val="tx1"/>
            </w14:solidFill>
          </w14:textFill>
        </w:rPr>
      </w:pPr>
    </w:p>
    <w:p w14:paraId="11B44949">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br w:type="page"/>
      </w:r>
    </w:p>
    <w:p w14:paraId="06DDBE52">
      <w:pPr>
        <w:keepNext w:val="0"/>
        <w:keepLines w:val="0"/>
        <w:pageBreakBefore w:val="0"/>
        <w:kinsoku/>
        <w:wordWrap/>
        <w:overflowPunct/>
        <w:topLinePunct w:val="0"/>
        <w:bidi w:val="0"/>
        <w:snapToGrid/>
        <w:spacing w:line="360" w:lineRule="auto"/>
        <w:outlineLvl w:val="0"/>
        <w:rPr>
          <w:rFonts w:hint="eastAsia" w:ascii="宋体" w:hAnsi="宋体" w:eastAsia="宋体" w:cs="宋体"/>
          <w:b/>
          <w:bCs/>
          <w:color w:val="000000" w:themeColor="text1"/>
          <w:sz w:val="21"/>
          <w:szCs w:val="21"/>
          <w:highlight w:val="none"/>
          <w14:textFill>
            <w14:solidFill>
              <w14:schemeClr w14:val="tx1"/>
            </w14:solidFill>
          </w14:textFill>
        </w:rPr>
      </w:pPr>
      <w:bookmarkStart w:id="386" w:name="_Toc28099"/>
      <w:r>
        <w:rPr>
          <w:rFonts w:hint="eastAsia" w:ascii="宋体" w:hAnsi="宋体" w:eastAsia="宋体" w:cs="宋体"/>
          <w:b/>
          <w:bCs/>
          <w:color w:val="000000" w:themeColor="text1"/>
          <w:sz w:val="21"/>
          <w:szCs w:val="21"/>
          <w:highlight w:val="none"/>
          <w14:textFill>
            <w14:solidFill>
              <w14:schemeClr w14:val="tx1"/>
            </w14:solidFill>
          </w14:textFill>
        </w:rPr>
        <w:t>附件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送货地址汇总表</w:t>
      </w:r>
      <w:bookmarkEnd w:id="386"/>
    </w:p>
    <w:p w14:paraId="01AC092D">
      <w:pPr>
        <w:keepNext w:val="0"/>
        <w:keepLines w:val="0"/>
        <w:pageBreakBefore w:val="0"/>
        <w:kinsoku/>
        <w:wordWrap/>
        <w:overflowPunct/>
        <w:topLinePunct w:val="0"/>
        <w:bidi w:val="0"/>
        <w:snapToGrid/>
        <w:spacing w:line="360" w:lineRule="auto"/>
        <w:jc w:val="center"/>
        <w:outlineLvl w:val="0"/>
        <w:rPr>
          <w:rFonts w:hint="eastAsia" w:ascii="宋体" w:hAnsi="宋体" w:eastAsia="宋体" w:cs="宋体"/>
          <w:b/>
          <w:color w:val="000000" w:themeColor="text1"/>
          <w:sz w:val="21"/>
          <w:szCs w:val="21"/>
          <w:highlight w:val="none"/>
          <w14:textFill>
            <w14:solidFill>
              <w14:schemeClr w14:val="tx1"/>
            </w14:solidFill>
          </w14:textFill>
        </w:rPr>
      </w:pPr>
      <w:bookmarkStart w:id="387" w:name="_Toc29357"/>
      <w:r>
        <w:rPr>
          <w:rFonts w:hint="eastAsia" w:ascii="宋体" w:hAnsi="宋体" w:eastAsia="宋体" w:cs="宋体"/>
          <w:b/>
          <w:color w:val="000000" w:themeColor="text1"/>
          <w:sz w:val="21"/>
          <w:szCs w:val="21"/>
          <w:highlight w:val="none"/>
          <w14:textFill>
            <w14:solidFill>
              <w14:schemeClr w14:val="tx1"/>
            </w14:solidFill>
          </w14:textFill>
        </w:rPr>
        <w:t>送货地址汇总表</w:t>
      </w:r>
      <w:bookmarkEnd w:id="387"/>
    </w:p>
    <w:tbl>
      <w:tblPr>
        <w:tblStyle w:val="4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3068"/>
        <w:gridCol w:w="4344"/>
        <w:gridCol w:w="685"/>
      </w:tblGrid>
      <w:tr w14:paraId="6D2D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4" w:type="dxa"/>
            <w:gridSpan w:val="4"/>
            <w:vAlign w:val="center"/>
          </w:tcPr>
          <w:p w14:paraId="587ECCEF">
            <w:pPr>
              <w:keepNext w:val="0"/>
              <w:keepLines w:val="0"/>
              <w:pageBreakBefore w:val="0"/>
              <w:kinsoku/>
              <w:wordWrap/>
              <w:overflowPunct/>
              <w:topLinePunct w:val="0"/>
              <w:bidi w:val="0"/>
              <w:snapToGrid/>
              <w:spacing w:line="360" w:lineRule="auto"/>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一、污水处理运营项目</w:t>
            </w:r>
          </w:p>
        </w:tc>
      </w:tr>
      <w:tr w14:paraId="09BD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550D4484">
            <w:pPr>
              <w:keepNext w:val="0"/>
              <w:keepLines w:val="0"/>
              <w:pageBreakBefore w:val="0"/>
              <w:kinsoku/>
              <w:wordWrap/>
              <w:overflowPunct/>
              <w:topLinePunct w:val="0"/>
              <w:bidi w:val="0"/>
              <w:snapToGrid/>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3068" w:type="dxa"/>
            <w:vAlign w:val="center"/>
          </w:tcPr>
          <w:p w14:paraId="527D8B2A">
            <w:pPr>
              <w:keepNext w:val="0"/>
              <w:keepLines w:val="0"/>
              <w:pageBreakBefore w:val="0"/>
              <w:kinsoku/>
              <w:wordWrap/>
              <w:overflowPunct/>
              <w:topLinePunct w:val="0"/>
              <w:bidi w:val="0"/>
              <w:snapToGrid/>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项目名称</w:t>
            </w:r>
          </w:p>
        </w:tc>
        <w:tc>
          <w:tcPr>
            <w:tcW w:w="4344" w:type="dxa"/>
            <w:vAlign w:val="center"/>
          </w:tcPr>
          <w:p w14:paraId="07D78B50">
            <w:pPr>
              <w:keepNext w:val="0"/>
              <w:keepLines w:val="0"/>
              <w:pageBreakBefore w:val="0"/>
              <w:kinsoku/>
              <w:wordWrap/>
              <w:overflowPunct/>
              <w:topLinePunct w:val="0"/>
              <w:bidi w:val="0"/>
              <w:snapToGrid/>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送货地址</w:t>
            </w:r>
          </w:p>
        </w:tc>
        <w:tc>
          <w:tcPr>
            <w:tcW w:w="685" w:type="dxa"/>
            <w:vAlign w:val="center"/>
          </w:tcPr>
          <w:p w14:paraId="6630F787">
            <w:pPr>
              <w:keepNext w:val="0"/>
              <w:keepLines w:val="0"/>
              <w:pageBreakBefore w:val="0"/>
              <w:kinsoku/>
              <w:wordWrap/>
              <w:overflowPunct/>
              <w:topLinePunct w:val="0"/>
              <w:bidi w:val="0"/>
              <w:snapToGrid/>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tc>
      </w:tr>
      <w:tr w14:paraId="0D95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B90AE56">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068" w:type="dxa"/>
            <w:vAlign w:val="center"/>
          </w:tcPr>
          <w:p w14:paraId="68AA3B5B">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市区厂污水处理厂</w:t>
            </w:r>
          </w:p>
        </w:tc>
        <w:tc>
          <w:tcPr>
            <w:tcW w:w="4344" w:type="dxa"/>
            <w:vAlign w:val="center"/>
          </w:tcPr>
          <w:p w14:paraId="3C313004">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东莞市南城区石鼓村王洲</w:t>
            </w:r>
          </w:p>
        </w:tc>
        <w:tc>
          <w:tcPr>
            <w:tcW w:w="685" w:type="dxa"/>
            <w:vAlign w:val="center"/>
          </w:tcPr>
          <w:p w14:paraId="4D2FBADF">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1806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032458C">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3068" w:type="dxa"/>
            <w:vAlign w:val="center"/>
          </w:tcPr>
          <w:p w14:paraId="53B639A4">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石碣沙腰污水处理厂二期</w:t>
            </w:r>
          </w:p>
        </w:tc>
        <w:tc>
          <w:tcPr>
            <w:tcW w:w="4344" w:type="dxa"/>
            <w:vAlign w:val="center"/>
          </w:tcPr>
          <w:p w14:paraId="009813FC">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东莞市石碣镇沙腰村沿江西路2号</w:t>
            </w:r>
          </w:p>
        </w:tc>
        <w:tc>
          <w:tcPr>
            <w:tcW w:w="685" w:type="dxa"/>
            <w:vAlign w:val="center"/>
          </w:tcPr>
          <w:p w14:paraId="77839469">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4C73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4861097E">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3068" w:type="dxa"/>
            <w:vAlign w:val="center"/>
          </w:tcPr>
          <w:p w14:paraId="552B76F6">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万江污水处理厂二期</w:t>
            </w:r>
          </w:p>
        </w:tc>
        <w:tc>
          <w:tcPr>
            <w:tcW w:w="4344" w:type="dxa"/>
            <w:vAlign w:val="center"/>
          </w:tcPr>
          <w:p w14:paraId="39B51AD5">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东莞市万江区流涌尾社区白水涡</w:t>
            </w:r>
          </w:p>
        </w:tc>
        <w:tc>
          <w:tcPr>
            <w:tcW w:w="685" w:type="dxa"/>
            <w:vAlign w:val="center"/>
          </w:tcPr>
          <w:p w14:paraId="51360A1B">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76DE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6C36A64">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3068" w:type="dxa"/>
            <w:vAlign w:val="center"/>
          </w:tcPr>
          <w:p w14:paraId="61E3DD55">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中堂污水处理厂二期</w:t>
            </w:r>
          </w:p>
        </w:tc>
        <w:tc>
          <w:tcPr>
            <w:tcW w:w="4344" w:type="dxa"/>
            <w:vAlign w:val="center"/>
          </w:tcPr>
          <w:p w14:paraId="74BD4F83">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东莞市中堂镇东向村水闸口</w:t>
            </w:r>
          </w:p>
        </w:tc>
        <w:tc>
          <w:tcPr>
            <w:tcW w:w="685" w:type="dxa"/>
            <w:vAlign w:val="center"/>
          </w:tcPr>
          <w:p w14:paraId="3C11DCB4">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3F81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9D78268">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3068" w:type="dxa"/>
            <w:vAlign w:val="center"/>
          </w:tcPr>
          <w:p w14:paraId="46CB5D82">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望洪</w:t>
            </w:r>
            <w:r>
              <w:rPr>
                <w:rFonts w:hint="eastAsia" w:ascii="宋体" w:hAnsi="宋体" w:eastAsia="宋体" w:cs="宋体"/>
                <w:color w:val="000000" w:themeColor="text1"/>
                <w:sz w:val="21"/>
                <w:szCs w:val="21"/>
                <w:highlight w:val="none"/>
                <w14:textFill>
                  <w14:solidFill>
                    <w14:schemeClr w14:val="tx1"/>
                  </w14:solidFill>
                </w14:textFill>
              </w:rPr>
              <w:t>污水处理厂二期</w:t>
            </w:r>
          </w:p>
        </w:tc>
        <w:tc>
          <w:tcPr>
            <w:tcW w:w="4344" w:type="dxa"/>
            <w:vAlign w:val="center"/>
          </w:tcPr>
          <w:p w14:paraId="32C549EB">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东莞市望牛墩镇朱平沙村</w:t>
            </w:r>
          </w:p>
        </w:tc>
        <w:tc>
          <w:tcPr>
            <w:tcW w:w="685" w:type="dxa"/>
            <w:vAlign w:val="center"/>
          </w:tcPr>
          <w:p w14:paraId="0E009F58">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5B97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1ABBE36">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3068" w:type="dxa"/>
            <w:vAlign w:val="center"/>
          </w:tcPr>
          <w:p w14:paraId="57F44D45">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麻涌污水处理厂二期</w:t>
            </w:r>
          </w:p>
        </w:tc>
        <w:tc>
          <w:tcPr>
            <w:tcW w:w="4344" w:type="dxa"/>
            <w:vAlign w:val="center"/>
          </w:tcPr>
          <w:p w14:paraId="58DA68ED">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东莞市麻涌镇漳澎村</w:t>
            </w:r>
          </w:p>
        </w:tc>
        <w:tc>
          <w:tcPr>
            <w:tcW w:w="685" w:type="dxa"/>
            <w:vAlign w:val="center"/>
          </w:tcPr>
          <w:p w14:paraId="5A6D119C">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644C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B2DC860">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3068" w:type="dxa"/>
            <w:vAlign w:val="center"/>
          </w:tcPr>
          <w:p w14:paraId="3597ACD6">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高埗污水处理厂二期</w:t>
            </w:r>
          </w:p>
        </w:tc>
        <w:tc>
          <w:tcPr>
            <w:tcW w:w="4344" w:type="dxa"/>
            <w:vAlign w:val="center"/>
          </w:tcPr>
          <w:p w14:paraId="15C678C5">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东莞市高埗镇低涌村三塘路南侧</w:t>
            </w:r>
          </w:p>
        </w:tc>
        <w:tc>
          <w:tcPr>
            <w:tcW w:w="685" w:type="dxa"/>
            <w:vAlign w:val="center"/>
          </w:tcPr>
          <w:p w14:paraId="6E181630">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007B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49741CA8">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3068" w:type="dxa"/>
            <w:vAlign w:val="center"/>
          </w:tcPr>
          <w:p w14:paraId="38FD6DBD">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松山湖北部污水处理厂二期</w:t>
            </w:r>
          </w:p>
        </w:tc>
        <w:tc>
          <w:tcPr>
            <w:tcW w:w="4344" w:type="dxa"/>
            <w:vAlign w:val="center"/>
          </w:tcPr>
          <w:p w14:paraId="07609CCB">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东莞松山湖高新技术产业开发区工业西三路</w:t>
            </w:r>
          </w:p>
        </w:tc>
        <w:tc>
          <w:tcPr>
            <w:tcW w:w="685" w:type="dxa"/>
            <w:vAlign w:val="center"/>
          </w:tcPr>
          <w:p w14:paraId="31BCB29D">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1716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5D7AC5E9">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3068" w:type="dxa"/>
            <w:vAlign w:val="center"/>
          </w:tcPr>
          <w:p w14:paraId="53D89F2C">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松山湖北部工业厂</w:t>
            </w:r>
          </w:p>
        </w:tc>
        <w:tc>
          <w:tcPr>
            <w:tcW w:w="4344" w:type="dxa"/>
            <w:vAlign w:val="center"/>
          </w:tcPr>
          <w:p w14:paraId="26CC5094">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u w:val="none"/>
                <w:shd w:val="clear"/>
                <w14:textFill>
                  <w14:solidFill>
                    <w14:schemeClr w14:val="tx1"/>
                  </w14:solidFill>
                </w14:textFill>
              </w:rPr>
              <w:t>东莞市大朗镇阿里山路12号</w:t>
            </w:r>
          </w:p>
        </w:tc>
        <w:tc>
          <w:tcPr>
            <w:tcW w:w="685" w:type="dxa"/>
            <w:vAlign w:val="center"/>
          </w:tcPr>
          <w:p w14:paraId="1DB60056">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4A9E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5184ADE6">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3068" w:type="dxa"/>
            <w:vAlign w:val="center"/>
          </w:tcPr>
          <w:p w14:paraId="6C2B8521">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黄江污水处理厂二期</w:t>
            </w:r>
          </w:p>
        </w:tc>
        <w:tc>
          <w:tcPr>
            <w:tcW w:w="4344" w:type="dxa"/>
            <w:vAlign w:val="center"/>
          </w:tcPr>
          <w:p w14:paraId="13C1B7AE">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东莞市黄江镇合路村</w:t>
            </w:r>
          </w:p>
        </w:tc>
        <w:tc>
          <w:tcPr>
            <w:tcW w:w="685" w:type="dxa"/>
            <w:vAlign w:val="center"/>
          </w:tcPr>
          <w:p w14:paraId="43F7B07E">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383C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219AB48D">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3068" w:type="dxa"/>
            <w:vAlign w:val="center"/>
          </w:tcPr>
          <w:p w14:paraId="6C8B94A5">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黄江梅塘污水处理厂一期</w:t>
            </w:r>
          </w:p>
        </w:tc>
        <w:tc>
          <w:tcPr>
            <w:tcW w:w="4344" w:type="dxa"/>
            <w:vAlign w:val="center"/>
          </w:tcPr>
          <w:p w14:paraId="1537F795">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东莞市黄江镇星光村富兴路</w:t>
            </w:r>
          </w:p>
        </w:tc>
        <w:tc>
          <w:tcPr>
            <w:tcW w:w="685" w:type="dxa"/>
            <w:vAlign w:val="center"/>
          </w:tcPr>
          <w:p w14:paraId="665FD0B7">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69E8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BF3BBD4">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3068" w:type="dxa"/>
            <w:vAlign w:val="center"/>
          </w:tcPr>
          <w:p w14:paraId="6FB3C6D6">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东城温塘污水处理厂一期</w:t>
            </w:r>
          </w:p>
        </w:tc>
        <w:tc>
          <w:tcPr>
            <w:tcW w:w="4344" w:type="dxa"/>
            <w:vAlign w:val="center"/>
          </w:tcPr>
          <w:p w14:paraId="4DEDDBD3">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东莞市东城温塘社区东南角</w:t>
            </w:r>
          </w:p>
        </w:tc>
        <w:tc>
          <w:tcPr>
            <w:tcW w:w="685" w:type="dxa"/>
            <w:vAlign w:val="center"/>
          </w:tcPr>
          <w:p w14:paraId="01913B82">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3176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2D9CCFCF">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3068" w:type="dxa"/>
            <w:vAlign w:val="center"/>
          </w:tcPr>
          <w:p w14:paraId="3456E1CC">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东城温塘污水处理厂二期</w:t>
            </w:r>
          </w:p>
        </w:tc>
        <w:tc>
          <w:tcPr>
            <w:tcW w:w="4344" w:type="dxa"/>
            <w:vAlign w:val="center"/>
          </w:tcPr>
          <w:p w14:paraId="62ADB741">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东莞市东城温塘社区东南角</w:t>
            </w:r>
          </w:p>
        </w:tc>
        <w:tc>
          <w:tcPr>
            <w:tcW w:w="685" w:type="dxa"/>
            <w:vAlign w:val="center"/>
          </w:tcPr>
          <w:p w14:paraId="6E300D5F">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169C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E122AAB">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3068" w:type="dxa"/>
            <w:vAlign w:val="center"/>
          </w:tcPr>
          <w:p w14:paraId="3E1F96E7">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大朗松山南部污水处理厂二期</w:t>
            </w:r>
          </w:p>
        </w:tc>
        <w:tc>
          <w:tcPr>
            <w:tcW w:w="4344" w:type="dxa"/>
            <w:vAlign w:val="center"/>
          </w:tcPr>
          <w:p w14:paraId="1E4E72A4">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东莞市大朗镇水口村及沙步村沙通路尽头</w:t>
            </w:r>
          </w:p>
        </w:tc>
        <w:tc>
          <w:tcPr>
            <w:tcW w:w="685" w:type="dxa"/>
            <w:vAlign w:val="center"/>
          </w:tcPr>
          <w:p w14:paraId="4E4EC890">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06DB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CF5D39A">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3068" w:type="dxa"/>
            <w:vAlign w:val="center"/>
          </w:tcPr>
          <w:p w14:paraId="226053ED">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常平东污水处理厂二期</w:t>
            </w:r>
          </w:p>
        </w:tc>
        <w:tc>
          <w:tcPr>
            <w:tcW w:w="4344" w:type="dxa"/>
            <w:vAlign w:val="center"/>
          </w:tcPr>
          <w:p w14:paraId="0DBBCF23">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东莞市常平镇沙湖口村旧围</w:t>
            </w:r>
          </w:p>
        </w:tc>
        <w:tc>
          <w:tcPr>
            <w:tcW w:w="685" w:type="dxa"/>
            <w:vAlign w:val="center"/>
          </w:tcPr>
          <w:p w14:paraId="75BCA1C7">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45FB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53FF06EA">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3068" w:type="dxa"/>
            <w:vAlign w:val="center"/>
          </w:tcPr>
          <w:p w14:paraId="25AA476A">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常平</w:t>
            </w:r>
            <w:r>
              <w:rPr>
                <w:rFonts w:hint="eastAsia" w:ascii="宋体" w:hAnsi="宋体" w:eastAsia="宋体" w:cs="宋体"/>
                <w:color w:val="000000" w:themeColor="text1"/>
                <w:sz w:val="21"/>
                <w:szCs w:val="21"/>
                <w:highlight w:val="none"/>
                <w:lang w:val="en-US" w:eastAsia="zh-CN"/>
                <w14:textFill>
                  <w14:solidFill>
                    <w14:schemeClr w14:val="tx1"/>
                  </w14:solidFill>
                </w14:textFill>
              </w:rPr>
              <w:t>西</w:t>
            </w:r>
            <w:r>
              <w:rPr>
                <w:rFonts w:hint="eastAsia" w:ascii="宋体" w:hAnsi="宋体" w:eastAsia="宋体" w:cs="宋体"/>
                <w:color w:val="000000" w:themeColor="text1"/>
                <w:sz w:val="21"/>
                <w:szCs w:val="21"/>
                <w:highlight w:val="none"/>
                <w14:textFill>
                  <w14:solidFill>
                    <w14:schemeClr w14:val="tx1"/>
                  </w14:solidFill>
                </w14:textFill>
              </w:rPr>
              <w:t>污水处理厂二期</w:t>
            </w:r>
          </w:p>
        </w:tc>
        <w:tc>
          <w:tcPr>
            <w:tcW w:w="4344" w:type="dxa"/>
            <w:vAlign w:val="center"/>
          </w:tcPr>
          <w:p w14:paraId="22FCA690">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东莞市常平镇常平沿河东一路20号</w:t>
            </w:r>
          </w:p>
        </w:tc>
        <w:tc>
          <w:tcPr>
            <w:tcW w:w="685" w:type="dxa"/>
            <w:vAlign w:val="center"/>
          </w:tcPr>
          <w:p w14:paraId="3361F708">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24FD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D279AD1">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3068" w:type="dxa"/>
            <w:vAlign w:val="center"/>
          </w:tcPr>
          <w:p w14:paraId="336AAFB6">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寮步竹园污水处理厂二期</w:t>
            </w:r>
          </w:p>
        </w:tc>
        <w:tc>
          <w:tcPr>
            <w:tcW w:w="4344" w:type="dxa"/>
            <w:vAlign w:val="center"/>
          </w:tcPr>
          <w:p w14:paraId="5754A71B">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东莞市寮步镇竹园村横岭工业区18号</w:t>
            </w:r>
          </w:p>
        </w:tc>
        <w:tc>
          <w:tcPr>
            <w:tcW w:w="685" w:type="dxa"/>
            <w:vAlign w:val="center"/>
          </w:tcPr>
          <w:p w14:paraId="034FBBD3">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5C94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B2B5C2D">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3068" w:type="dxa"/>
            <w:vAlign w:val="center"/>
          </w:tcPr>
          <w:p w14:paraId="2D75120B">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寮步竹园污水处理厂三期</w:t>
            </w:r>
          </w:p>
        </w:tc>
        <w:tc>
          <w:tcPr>
            <w:tcW w:w="4344" w:type="dxa"/>
            <w:vAlign w:val="center"/>
          </w:tcPr>
          <w:p w14:paraId="7B92D95F">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东莞市寮步镇竹园村横岭工业区18号</w:t>
            </w:r>
          </w:p>
        </w:tc>
        <w:tc>
          <w:tcPr>
            <w:tcW w:w="685" w:type="dxa"/>
            <w:vAlign w:val="center"/>
          </w:tcPr>
          <w:p w14:paraId="2877CFE7">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2087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1B0D2679">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3068" w:type="dxa"/>
            <w:vAlign w:val="center"/>
          </w:tcPr>
          <w:p w14:paraId="4EA55F3D">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横沥东坑污水处理厂二期</w:t>
            </w:r>
          </w:p>
        </w:tc>
        <w:tc>
          <w:tcPr>
            <w:tcW w:w="4344" w:type="dxa"/>
            <w:vAlign w:val="center"/>
          </w:tcPr>
          <w:p w14:paraId="4CAFFA4A">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14:textFill>
                  <w14:solidFill>
                    <w14:schemeClr w14:val="tx1"/>
                  </w14:solidFill>
                </w14:textFill>
              </w:rPr>
              <w:t>横沥镇神山工业区与东坑镇丁屋交界处</w:t>
            </w:r>
          </w:p>
        </w:tc>
        <w:tc>
          <w:tcPr>
            <w:tcW w:w="685" w:type="dxa"/>
            <w:vAlign w:val="center"/>
          </w:tcPr>
          <w:p w14:paraId="37965380">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33A1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28545405">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3068" w:type="dxa"/>
            <w:vAlign w:val="center"/>
          </w:tcPr>
          <w:p w14:paraId="2E10FF1E">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樟村水质净化厂</w:t>
            </w:r>
          </w:p>
        </w:tc>
        <w:tc>
          <w:tcPr>
            <w:tcW w:w="4344" w:type="dxa"/>
            <w:vAlign w:val="center"/>
          </w:tcPr>
          <w:p w14:paraId="1E6FC0BD">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东莞市东城街道运河路东莞巷道局东</w:t>
            </w:r>
          </w:p>
        </w:tc>
        <w:tc>
          <w:tcPr>
            <w:tcW w:w="685" w:type="dxa"/>
            <w:vAlign w:val="center"/>
          </w:tcPr>
          <w:p w14:paraId="437F19C2">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35F8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58A5216">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3068" w:type="dxa"/>
            <w:vAlign w:val="center"/>
          </w:tcPr>
          <w:p w14:paraId="74D70BE0">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桥头污水处理厂二期</w:t>
            </w:r>
          </w:p>
        </w:tc>
        <w:tc>
          <w:tcPr>
            <w:tcW w:w="4344" w:type="dxa"/>
            <w:vAlign w:val="center"/>
          </w:tcPr>
          <w:p w14:paraId="620E7AE6">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东莞市桥头镇东深路（朗厦段）B区8号</w:t>
            </w:r>
          </w:p>
        </w:tc>
        <w:tc>
          <w:tcPr>
            <w:tcW w:w="685" w:type="dxa"/>
            <w:vAlign w:val="center"/>
          </w:tcPr>
          <w:p w14:paraId="3EE201E9">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78BD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43D30484">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3068" w:type="dxa"/>
            <w:vAlign w:val="center"/>
          </w:tcPr>
          <w:p w14:paraId="7D96D7B7">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谢岗污水处理厂二期</w:t>
            </w:r>
          </w:p>
        </w:tc>
        <w:tc>
          <w:tcPr>
            <w:tcW w:w="4344" w:type="dxa"/>
            <w:vAlign w:val="center"/>
          </w:tcPr>
          <w:p w14:paraId="4691CEE9">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东莞市谢岗镇谢岗村乌舅湖</w:t>
            </w:r>
          </w:p>
        </w:tc>
        <w:tc>
          <w:tcPr>
            <w:tcW w:w="685" w:type="dxa"/>
            <w:vAlign w:val="center"/>
          </w:tcPr>
          <w:p w14:paraId="0A84F431">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7AA3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58274597">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3068" w:type="dxa"/>
            <w:vAlign w:val="center"/>
          </w:tcPr>
          <w:p w14:paraId="6C72F711">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凤岗竹塘污水处理厂二期</w:t>
            </w:r>
          </w:p>
        </w:tc>
        <w:tc>
          <w:tcPr>
            <w:tcW w:w="4344" w:type="dxa"/>
            <w:vAlign w:val="center"/>
          </w:tcPr>
          <w:p w14:paraId="4FCE648C">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东莞市凤岗镇竹塘村浸校塘组</w:t>
            </w:r>
          </w:p>
        </w:tc>
        <w:tc>
          <w:tcPr>
            <w:tcW w:w="685" w:type="dxa"/>
            <w:vAlign w:val="center"/>
          </w:tcPr>
          <w:p w14:paraId="704A6490">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6D96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A1B6661">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3068" w:type="dxa"/>
            <w:vAlign w:val="center"/>
          </w:tcPr>
          <w:p w14:paraId="49D5A6F0">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凤岗竹塘污水处理厂</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期</w:t>
            </w:r>
          </w:p>
        </w:tc>
        <w:tc>
          <w:tcPr>
            <w:tcW w:w="4344" w:type="dxa"/>
            <w:vAlign w:val="center"/>
          </w:tcPr>
          <w:p w14:paraId="7BC8E60D">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东莞市凤岗镇竹塘村浸校塘组</w:t>
            </w:r>
          </w:p>
        </w:tc>
        <w:tc>
          <w:tcPr>
            <w:tcW w:w="685" w:type="dxa"/>
            <w:vAlign w:val="center"/>
          </w:tcPr>
          <w:p w14:paraId="2269FF4B">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12CD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24F32466">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3068" w:type="dxa"/>
            <w:vAlign w:val="center"/>
          </w:tcPr>
          <w:p w14:paraId="4AFB2D65">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塘厦林村污水处理厂二期</w:t>
            </w:r>
          </w:p>
        </w:tc>
        <w:tc>
          <w:tcPr>
            <w:tcW w:w="4344" w:type="dxa"/>
            <w:vAlign w:val="center"/>
          </w:tcPr>
          <w:p w14:paraId="53636709">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东莞市塘厦镇林村居委会鸡爪桥猪仔沥</w:t>
            </w:r>
          </w:p>
        </w:tc>
        <w:tc>
          <w:tcPr>
            <w:tcW w:w="685" w:type="dxa"/>
            <w:vAlign w:val="center"/>
          </w:tcPr>
          <w:p w14:paraId="3757BBF0">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58E6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90DECC3">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3068" w:type="dxa"/>
            <w:vAlign w:val="center"/>
          </w:tcPr>
          <w:p w14:paraId="46B112B4">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塘厦白泥湖污水处理厂</w:t>
            </w:r>
          </w:p>
        </w:tc>
        <w:tc>
          <w:tcPr>
            <w:tcW w:w="4344" w:type="dxa"/>
            <w:vAlign w:val="center"/>
          </w:tcPr>
          <w:p w14:paraId="79A115BB">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东莞市塘厦镇莲湖南一横路21号</w:t>
            </w:r>
          </w:p>
        </w:tc>
        <w:tc>
          <w:tcPr>
            <w:tcW w:w="685" w:type="dxa"/>
            <w:vAlign w:val="center"/>
          </w:tcPr>
          <w:p w14:paraId="5F5AB801">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38C2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0698093">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3068" w:type="dxa"/>
            <w:vAlign w:val="center"/>
          </w:tcPr>
          <w:p w14:paraId="0A14149F">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清溪厦坭污水处理厂二期</w:t>
            </w:r>
          </w:p>
        </w:tc>
        <w:tc>
          <w:tcPr>
            <w:tcW w:w="4344" w:type="dxa"/>
            <w:vAlign w:val="center"/>
          </w:tcPr>
          <w:p w14:paraId="04DCBA2A">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东莞市清溪镇厦坭村江背路75号</w:t>
            </w:r>
          </w:p>
        </w:tc>
        <w:tc>
          <w:tcPr>
            <w:tcW w:w="685" w:type="dxa"/>
            <w:vAlign w:val="center"/>
          </w:tcPr>
          <w:p w14:paraId="60813F04">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0822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CDBF815">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3068" w:type="dxa"/>
            <w:vAlign w:val="center"/>
          </w:tcPr>
          <w:p w14:paraId="3A607A9C">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塘厦大坪污水处理厂</w:t>
            </w:r>
          </w:p>
        </w:tc>
        <w:tc>
          <w:tcPr>
            <w:tcW w:w="4344" w:type="dxa"/>
            <w:vAlign w:val="center"/>
          </w:tcPr>
          <w:p w14:paraId="131BC3B7">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东莞市塘厦镇泗黎路以西、龙潭路以南，泗黎路与珠三角环线高速交界处</w:t>
            </w:r>
          </w:p>
        </w:tc>
        <w:tc>
          <w:tcPr>
            <w:tcW w:w="685" w:type="dxa"/>
            <w:vAlign w:val="center"/>
          </w:tcPr>
          <w:p w14:paraId="1E1906DC">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19DB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E4D26DD">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3068" w:type="dxa"/>
            <w:vAlign w:val="center"/>
          </w:tcPr>
          <w:p w14:paraId="695E1C2C">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樟木头裕丰污水处理厂</w:t>
            </w:r>
          </w:p>
        </w:tc>
        <w:tc>
          <w:tcPr>
            <w:tcW w:w="4344" w:type="dxa"/>
            <w:vAlign w:val="center"/>
          </w:tcPr>
          <w:p w14:paraId="5C49E752">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东莞市樟木头裕丰社区莞樟路西侧</w:t>
            </w:r>
          </w:p>
        </w:tc>
        <w:tc>
          <w:tcPr>
            <w:tcW w:w="685" w:type="dxa"/>
            <w:vAlign w:val="center"/>
          </w:tcPr>
          <w:p w14:paraId="7F10B1C9">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7191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5F334594">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3068" w:type="dxa"/>
            <w:vAlign w:val="center"/>
          </w:tcPr>
          <w:p w14:paraId="793E066C">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樟木头污水处理厂三期</w:t>
            </w:r>
          </w:p>
        </w:tc>
        <w:tc>
          <w:tcPr>
            <w:tcW w:w="4344" w:type="dxa"/>
            <w:vAlign w:val="center"/>
          </w:tcPr>
          <w:p w14:paraId="2BDB0067">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东莞市樟木头镇柏地村</w:t>
            </w:r>
          </w:p>
        </w:tc>
        <w:tc>
          <w:tcPr>
            <w:tcW w:w="685" w:type="dxa"/>
            <w:vAlign w:val="center"/>
          </w:tcPr>
          <w:p w14:paraId="5FEF24A7">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3E22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1980B19">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3068" w:type="dxa"/>
            <w:vAlign w:val="center"/>
          </w:tcPr>
          <w:p w14:paraId="30896D6C">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虾公潭污水处理厂</w:t>
            </w:r>
          </w:p>
        </w:tc>
        <w:tc>
          <w:tcPr>
            <w:tcW w:w="4344" w:type="dxa"/>
            <w:vAlign w:val="center"/>
          </w:tcPr>
          <w:p w14:paraId="68299A9D">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东莞市凤岗镇油甘埔村虾公潭污水处理厂</w:t>
            </w:r>
          </w:p>
        </w:tc>
        <w:tc>
          <w:tcPr>
            <w:tcW w:w="685" w:type="dxa"/>
            <w:vAlign w:val="center"/>
          </w:tcPr>
          <w:p w14:paraId="0C412A60">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12DE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3A19DB29">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3068" w:type="dxa"/>
            <w:vAlign w:val="center"/>
          </w:tcPr>
          <w:p w14:paraId="05CFCF1B">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长安新区污水处理厂</w:t>
            </w:r>
          </w:p>
        </w:tc>
        <w:tc>
          <w:tcPr>
            <w:tcW w:w="4344" w:type="dxa"/>
            <w:vAlign w:val="center"/>
          </w:tcPr>
          <w:p w14:paraId="4B0B4285">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东莞市长安镇乌沙社区兴发南路长安新区污水处理厂</w:t>
            </w:r>
          </w:p>
        </w:tc>
        <w:tc>
          <w:tcPr>
            <w:tcW w:w="685" w:type="dxa"/>
            <w:vAlign w:val="center"/>
          </w:tcPr>
          <w:p w14:paraId="33AE2C52">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756D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4874B41A">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3068" w:type="dxa"/>
            <w:vAlign w:val="center"/>
          </w:tcPr>
          <w:p w14:paraId="088CD8D2">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厚街沙塘污水处理厂二期</w:t>
            </w:r>
          </w:p>
        </w:tc>
        <w:tc>
          <w:tcPr>
            <w:tcW w:w="4344" w:type="dxa"/>
            <w:vAlign w:val="center"/>
          </w:tcPr>
          <w:p w14:paraId="501C8908">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东莞市厚街镇沙塘村沙隆路污水处理厂二期</w:t>
            </w:r>
          </w:p>
        </w:tc>
        <w:tc>
          <w:tcPr>
            <w:tcW w:w="685" w:type="dxa"/>
            <w:vAlign w:val="center"/>
          </w:tcPr>
          <w:p w14:paraId="263334BD">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1D63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96F92AD">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3068" w:type="dxa"/>
            <w:vAlign w:val="center"/>
          </w:tcPr>
          <w:p w14:paraId="57AA5C7A">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沙田污水处理厂二期</w:t>
            </w:r>
          </w:p>
        </w:tc>
        <w:tc>
          <w:tcPr>
            <w:tcW w:w="4344" w:type="dxa"/>
            <w:vAlign w:val="center"/>
          </w:tcPr>
          <w:p w14:paraId="67E4DC14">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广东省东莞市沙田镇洲仔路1号</w:t>
            </w:r>
          </w:p>
        </w:tc>
        <w:tc>
          <w:tcPr>
            <w:tcW w:w="685" w:type="dxa"/>
            <w:vAlign w:val="center"/>
          </w:tcPr>
          <w:p w14:paraId="539810BB">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1C4C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566F798">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3068" w:type="dxa"/>
            <w:vAlign w:val="center"/>
          </w:tcPr>
          <w:p w14:paraId="39E8FECC">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大岭山污水处理厂二期</w:t>
            </w:r>
          </w:p>
        </w:tc>
        <w:tc>
          <w:tcPr>
            <w:tcW w:w="4344" w:type="dxa"/>
            <w:vAlign w:val="center"/>
          </w:tcPr>
          <w:p w14:paraId="353DA1CB">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东莞市大岭山镇连马路159号102室</w:t>
            </w:r>
          </w:p>
        </w:tc>
        <w:tc>
          <w:tcPr>
            <w:tcW w:w="685" w:type="dxa"/>
            <w:vAlign w:val="center"/>
          </w:tcPr>
          <w:p w14:paraId="22755470">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2541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42D495F2">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3068" w:type="dxa"/>
            <w:vAlign w:val="center"/>
          </w:tcPr>
          <w:p w14:paraId="49B4FDCC">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虎门宁洲污水处理厂二期</w:t>
            </w:r>
          </w:p>
        </w:tc>
        <w:tc>
          <w:tcPr>
            <w:tcW w:w="4344" w:type="dxa"/>
            <w:vAlign w:val="center"/>
          </w:tcPr>
          <w:p w14:paraId="0E21E99E">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东莞市虎门镇路东村</w:t>
            </w:r>
          </w:p>
        </w:tc>
        <w:tc>
          <w:tcPr>
            <w:tcW w:w="685" w:type="dxa"/>
            <w:vAlign w:val="center"/>
          </w:tcPr>
          <w:p w14:paraId="7C106680">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4AA1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3E8DA1EA">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3068" w:type="dxa"/>
            <w:vAlign w:val="center"/>
          </w:tcPr>
          <w:p w14:paraId="7C8EE13D">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虎门宁洲污水处理厂三期</w:t>
            </w:r>
          </w:p>
        </w:tc>
        <w:tc>
          <w:tcPr>
            <w:tcW w:w="4344" w:type="dxa"/>
            <w:vAlign w:val="center"/>
          </w:tcPr>
          <w:p w14:paraId="6C5C16C5">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东莞市虎门镇路东村</w:t>
            </w:r>
          </w:p>
        </w:tc>
        <w:tc>
          <w:tcPr>
            <w:tcW w:w="685" w:type="dxa"/>
            <w:vAlign w:val="center"/>
          </w:tcPr>
          <w:p w14:paraId="3C796C10">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048F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380678AB">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3068" w:type="dxa"/>
            <w:vAlign w:val="center"/>
          </w:tcPr>
          <w:p w14:paraId="5804447B">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东城牛山污水处理厂二期</w:t>
            </w:r>
          </w:p>
        </w:tc>
        <w:tc>
          <w:tcPr>
            <w:tcW w:w="4344" w:type="dxa"/>
            <w:vAlign w:val="center"/>
          </w:tcPr>
          <w:p w14:paraId="2E173E4C">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东莞市东城牛山村大坑山</w:t>
            </w:r>
          </w:p>
        </w:tc>
        <w:tc>
          <w:tcPr>
            <w:tcW w:w="685" w:type="dxa"/>
            <w:vAlign w:val="center"/>
          </w:tcPr>
          <w:p w14:paraId="0BE786F3">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1CAA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3961E356">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3068" w:type="dxa"/>
            <w:vAlign w:val="center"/>
          </w:tcPr>
          <w:p w14:paraId="13260907">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虎门港立沙岛污水处理厂</w:t>
            </w:r>
          </w:p>
        </w:tc>
        <w:tc>
          <w:tcPr>
            <w:tcW w:w="4344" w:type="dxa"/>
            <w:vAlign w:val="center"/>
          </w:tcPr>
          <w:p w14:paraId="32605528">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东莞市沙田镇大流村立沙岛精细化工产业园内，立沙中路旁</w:t>
            </w:r>
          </w:p>
        </w:tc>
        <w:tc>
          <w:tcPr>
            <w:tcW w:w="685" w:type="dxa"/>
            <w:vAlign w:val="center"/>
          </w:tcPr>
          <w:p w14:paraId="6C396452">
            <w:pPr>
              <w:keepNext w:val="0"/>
              <w:keepLines w:val="0"/>
              <w:pageBreakBefore w:val="0"/>
              <w:kinsoku/>
              <w:wordWrap/>
              <w:overflowPunct/>
              <w:topLinePunct w:val="0"/>
              <w:bidi w:val="0"/>
              <w:snapToGri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p>
        </w:tc>
      </w:tr>
      <w:tr w14:paraId="2C9E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gridSpan w:val="4"/>
            <w:vAlign w:val="center"/>
          </w:tcPr>
          <w:p w14:paraId="2F2AAA87">
            <w:pPr>
              <w:keepNext w:val="0"/>
              <w:keepLines w:val="0"/>
              <w:pageBreakBefore w:val="0"/>
              <w:kinsoku/>
              <w:wordWrap/>
              <w:overflowPunct/>
              <w:topLinePunct w:val="0"/>
              <w:bidi w:val="0"/>
              <w:snapToGrid/>
              <w:spacing w:line="360" w:lineRule="auto"/>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二、提标运营项目</w:t>
            </w:r>
          </w:p>
        </w:tc>
      </w:tr>
      <w:tr w14:paraId="2FFB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91E4F8C">
            <w:pPr>
              <w:keepNext w:val="0"/>
              <w:keepLines w:val="0"/>
              <w:pageBreakBefore w:val="0"/>
              <w:kinsoku/>
              <w:wordWrap/>
              <w:overflowPunct/>
              <w:topLinePunct w:val="0"/>
              <w:bidi w:val="0"/>
              <w:snapToGrid/>
              <w:spacing w:line="360" w:lineRule="auto"/>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3068" w:type="dxa"/>
            <w:vAlign w:val="center"/>
          </w:tcPr>
          <w:p w14:paraId="6ABB8A7E">
            <w:pPr>
              <w:keepNext w:val="0"/>
              <w:keepLines w:val="0"/>
              <w:pageBreakBefore w:val="0"/>
              <w:kinsoku/>
              <w:wordWrap/>
              <w:overflowPunct/>
              <w:topLinePunct w:val="0"/>
              <w:bidi w:val="0"/>
              <w:snapToGrid/>
              <w:spacing w:line="360" w:lineRule="auto"/>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项目名称</w:t>
            </w:r>
          </w:p>
        </w:tc>
        <w:tc>
          <w:tcPr>
            <w:tcW w:w="4344" w:type="dxa"/>
            <w:vAlign w:val="center"/>
          </w:tcPr>
          <w:p w14:paraId="31393CEE">
            <w:pPr>
              <w:keepNext w:val="0"/>
              <w:keepLines w:val="0"/>
              <w:pageBreakBefore w:val="0"/>
              <w:kinsoku/>
              <w:wordWrap/>
              <w:overflowPunct/>
              <w:topLinePunct w:val="0"/>
              <w:bidi w:val="0"/>
              <w:snapToGrid/>
              <w:spacing w:line="360" w:lineRule="auto"/>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送货地址</w:t>
            </w:r>
          </w:p>
        </w:tc>
        <w:tc>
          <w:tcPr>
            <w:tcW w:w="685" w:type="dxa"/>
            <w:vAlign w:val="center"/>
          </w:tcPr>
          <w:p w14:paraId="205BCE37">
            <w:pPr>
              <w:keepNext w:val="0"/>
              <w:keepLines w:val="0"/>
              <w:pageBreakBefore w:val="0"/>
              <w:kinsoku/>
              <w:wordWrap/>
              <w:overflowPunct/>
              <w:topLinePunct w:val="0"/>
              <w:bidi w:val="0"/>
              <w:snapToGrid/>
              <w:spacing w:line="360" w:lineRule="auto"/>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tc>
      </w:tr>
      <w:tr w14:paraId="66EF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7420B60">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068" w:type="dxa"/>
            <w:vAlign w:val="center"/>
          </w:tcPr>
          <w:p w14:paraId="0AB64A46">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市区污水处理厂提标</w:t>
            </w:r>
          </w:p>
        </w:tc>
        <w:tc>
          <w:tcPr>
            <w:tcW w:w="4344" w:type="dxa"/>
            <w:vAlign w:val="center"/>
          </w:tcPr>
          <w:p w14:paraId="6540C0A1">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东莞市南城区石鼓村王洲</w:t>
            </w:r>
          </w:p>
        </w:tc>
        <w:tc>
          <w:tcPr>
            <w:tcW w:w="685" w:type="dxa"/>
            <w:vAlign w:val="center"/>
          </w:tcPr>
          <w:p w14:paraId="407E9D17">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color w:val="000000" w:themeColor="text1"/>
                <w:sz w:val="21"/>
                <w:szCs w:val="21"/>
                <w:highlight w:val="none"/>
                <w:lang w:val="en-US" w:eastAsia="zh-CN"/>
                <w14:textFill>
                  <w14:solidFill>
                    <w14:schemeClr w14:val="tx1"/>
                  </w14:solidFill>
                </w14:textFill>
              </w:rPr>
            </w:pPr>
          </w:p>
        </w:tc>
      </w:tr>
      <w:tr w14:paraId="3D03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38EBA58F">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3068" w:type="dxa"/>
            <w:vAlign w:val="center"/>
          </w:tcPr>
          <w:p w14:paraId="2092C4F5">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望洪污水处理厂提标</w:t>
            </w:r>
          </w:p>
        </w:tc>
        <w:tc>
          <w:tcPr>
            <w:tcW w:w="4344" w:type="dxa"/>
            <w:vAlign w:val="center"/>
          </w:tcPr>
          <w:p w14:paraId="38AE69FC">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东莞市望牛墩镇朱平沙村</w:t>
            </w:r>
          </w:p>
        </w:tc>
        <w:tc>
          <w:tcPr>
            <w:tcW w:w="685" w:type="dxa"/>
            <w:vAlign w:val="center"/>
          </w:tcPr>
          <w:p w14:paraId="06BC2221">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color w:val="000000" w:themeColor="text1"/>
                <w:sz w:val="21"/>
                <w:szCs w:val="21"/>
                <w:highlight w:val="none"/>
                <w14:textFill>
                  <w14:solidFill>
                    <w14:schemeClr w14:val="tx1"/>
                  </w14:solidFill>
                </w14:textFill>
              </w:rPr>
            </w:pPr>
          </w:p>
        </w:tc>
      </w:tr>
      <w:tr w14:paraId="2732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0CF74CD">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3068" w:type="dxa"/>
            <w:vAlign w:val="center"/>
          </w:tcPr>
          <w:p w14:paraId="1645AA93">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石碣沙腰污水处理厂一期提标</w:t>
            </w:r>
          </w:p>
        </w:tc>
        <w:tc>
          <w:tcPr>
            <w:tcW w:w="4344" w:type="dxa"/>
            <w:vAlign w:val="center"/>
          </w:tcPr>
          <w:p w14:paraId="30E54497">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东莞市石碣镇沙腰村沿江西路2号</w:t>
            </w:r>
          </w:p>
        </w:tc>
        <w:tc>
          <w:tcPr>
            <w:tcW w:w="685" w:type="dxa"/>
            <w:vAlign w:val="center"/>
          </w:tcPr>
          <w:p w14:paraId="3F359D74">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color w:val="000000" w:themeColor="text1"/>
                <w:sz w:val="21"/>
                <w:szCs w:val="21"/>
                <w:highlight w:val="none"/>
                <w14:textFill>
                  <w14:solidFill>
                    <w14:schemeClr w14:val="tx1"/>
                  </w14:solidFill>
                </w14:textFill>
              </w:rPr>
            </w:pPr>
          </w:p>
        </w:tc>
      </w:tr>
      <w:tr w14:paraId="3CEA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7FD9E42">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3068" w:type="dxa"/>
            <w:vAlign w:val="center"/>
          </w:tcPr>
          <w:p w14:paraId="0B2AA2AD">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石碣沙腰污水处理厂二期提标</w:t>
            </w:r>
          </w:p>
        </w:tc>
        <w:tc>
          <w:tcPr>
            <w:tcW w:w="4344" w:type="dxa"/>
            <w:vAlign w:val="center"/>
          </w:tcPr>
          <w:p w14:paraId="0364CC3C">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东莞市石碣镇沙腰村沿江西路2号</w:t>
            </w:r>
          </w:p>
        </w:tc>
        <w:tc>
          <w:tcPr>
            <w:tcW w:w="685" w:type="dxa"/>
            <w:vAlign w:val="center"/>
          </w:tcPr>
          <w:p w14:paraId="6B590ACC">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color w:val="000000" w:themeColor="text1"/>
                <w:sz w:val="21"/>
                <w:szCs w:val="21"/>
                <w:highlight w:val="none"/>
                <w14:textFill>
                  <w14:solidFill>
                    <w14:schemeClr w14:val="tx1"/>
                  </w14:solidFill>
                </w14:textFill>
              </w:rPr>
            </w:pPr>
          </w:p>
        </w:tc>
      </w:tr>
      <w:tr w14:paraId="479D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231B339D">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3068" w:type="dxa"/>
            <w:vAlign w:val="center"/>
          </w:tcPr>
          <w:p w14:paraId="039E1CE2">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麻涌污水处理厂提标</w:t>
            </w:r>
          </w:p>
        </w:tc>
        <w:tc>
          <w:tcPr>
            <w:tcW w:w="4344" w:type="dxa"/>
            <w:vAlign w:val="center"/>
          </w:tcPr>
          <w:p w14:paraId="5CB1066A">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东莞市麻涌镇漳澎村破流水闸旁</w:t>
            </w:r>
          </w:p>
        </w:tc>
        <w:tc>
          <w:tcPr>
            <w:tcW w:w="685" w:type="dxa"/>
            <w:vAlign w:val="center"/>
          </w:tcPr>
          <w:p w14:paraId="5EE1112E">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color w:val="000000" w:themeColor="text1"/>
                <w:sz w:val="21"/>
                <w:szCs w:val="21"/>
                <w:highlight w:val="none"/>
                <w14:textFill>
                  <w14:solidFill>
                    <w14:schemeClr w14:val="tx1"/>
                  </w14:solidFill>
                </w14:textFill>
              </w:rPr>
            </w:pPr>
          </w:p>
        </w:tc>
      </w:tr>
      <w:tr w14:paraId="6B3C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6F41081">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3068" w:type="dxa"/>
            <w:vAlign w:val="center"/>
          </w:tcPr>
          <w:p w14:paraId="0EE665EC">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大朗松山南部污水处理厂一期提标</w:t>
            </w:r>
          </w:p>
        </w:tc>
        <w:tc>
          <w:tcPr>
            <w:tcW w:w="4344" w:type="dxa"/>
            <w:vAlign w:val="center"/>
          </w:tcPr>
          <w:p w14:paraId="4F886618">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东莞市大朗镇沙步村沙通路尽头</w:t>
            </w:r>
          </w:p>
        </w:tc>
        <w:tc>
          <w:tcPr>
            <w:tcW w:w="685" w:type="dxa"/>
            <w:vAlign w:val="center"/>
          </w:tcPr>
          <w:p w14:paraId="6CD056EF">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color w:val="000000" w:themeColor="text1"/>
                <w:sz w:val="21"/>
                <w:szCs w:val="21"/>
                <w:highlight w:val="none"/>
                <w14:textFill>
                  <w14:solidFill>
                    <w14:schemeClr w14:val="tx1"/>
                  </w14:solidFill>
                </w14:textFill>
              </w:rPr>
            </w:pPr>
          </w:p>
        </w:tc>
      </w:tr>
      <w:tr w14:paraId="2A34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2FECCFC">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3068" w:type="dxa"/>
            <w:vAlign w:val="center"/>
          </w:tcPr>
          <w:p w14:paraId="5503CB38">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黄江污水处理厂一期提标</w:t>
            </w:r>
          </w:p>
        </w:tc>
        <w:tc>
          <w:tcPr>
            <w:tcW w:w="4344" w:type="dxa"/>
            <w:vAlign w:val="center"/>
          </w:tcPr>
          <w:p w14:paraId="69F1B91F">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东莞市黄江镇合路村创业一路</w:t>
            </w:r>
          </w:p>
        </w:tc>
        <w:tc>
          <w:tcPr>
            <w:tcW w:w="685" w:type="dxa"/>
            <w:vAlign w:val="center"/>
          </w:tcPr>
          <w:p w14:paraId="17771FF8">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color w:val="000000" w:themeColor="text1"/>
                <w:sz w:val="21"/>
                <w:szCs w:val="21"/>
                <w:highlight w:val="none"/>
                <w14:textFill>
                  <w14:solidFill>
                    <w14:schemeClr w14:val="tx1"/>
                  </w14:solidFill>
                </w14:textFill>
              </w:rPr>
            </w:pPr>
          </w:p>
        </w:tc>
      </w:tr>
      <w:tr w14:paraId="2DFD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C5ECAB7">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3068" w:type="dxa"/>
            <w:vAlign w:val="center"/>
          </w:tcPr>
          <w:p w14:paraId="4743ECF6">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凤岗竹塘污水处理厂一期提标</w:t>
            </w:r>
          </w:p>
        </w:tc>
        <w:tc>
          <w:tcPr>
            <w:tcW w:w="4344" w:type="dxa"/>
            <w:vAlign w:val="center"/>
          </w:tcPr>
          <w:p w14:paraId="67BE5688">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东莞市凤岗镇竹塘村浸校组</w:t>
            </w:r>
          </w:p>
        </w:tc>
        <w:tc>
          <w:tcPr>
            <w:tcW w:w="685" w:type="dxa"/>
            <w:vAlign w:val="center"/>
          </w:tcPr>
          <w:p w14:paraId="3584545D">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color w:val="000000" w:themeColor="text1"/>
                <w:sz w:val="21"/>
                <w:szCs w:val="21"/>
                <w:highlight w:val="none"/>
                <w14:textFill>
                  <w14:solidFill>
                    <w14:schemeClr w14:val="tx1"/>
                  </w14:solidFill>
                </w14:textFill>
              </w:rPr>
            </w:pPr>
          </w:p>
        </w:tc>
      </w:tr>
      <w:tr w14:paraId="5FC8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264CBA86">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3068" w:type="dxa"/>
            <w:vAlign w:val="center"/>
          </w:tcPr>
          <w:p w14:paraId="52EED5D4">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塘厦石桥头污水处理厂提标</w:t>
            </w:r>
          </w:p>
        </w:tc>
        <w:tc>
          <w:tcPr>
            <w:tcW w:w="4344" w:type="dxa"/>
            <w:vAlign w:val="center"/>
          </w:tcPr>
          <w:p w14:paraId="5A6205F2">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东莞市塘厦镇凤凰岗村环市南路132号</w:t>
            </w:r>
          </w:p>
        </w:tc>
        <w:tc>
          <w:tcPr>
            <w:tcW w:w="685" w:type="dxa"/>
            <w:vAlign w:val="center"/>
          </w:tcPr>
          <w:p w14:paraId="4E5ADA5A">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color w:val="000000" w:themeColor="text1"/>
                <w:sz w:val="21"/>
                <w:szCs w:val="21"/>
                <w:highlight w:val="none"/>
                <w14:textFill>
                  <w14:solidFill>
                    <w14:schemeClr w14:val="tx1"/>
                  </w14:solidFill>
                </w14:textFill>
              </w:rPr>
            </w:pPr>
          </w:p>
        </w:tc>
      </w:tr>
      <w:tr w14:paraId="5AD2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38EF2F2">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3068" w:type="dxa"/>
            <w:vAlign w:val="center"/>
          </w:tcPr>
          <w:p w14:paraId="3BB1E6DD">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清溪厦坭污水处理厂提标</w:t>
            </w:r>
          </w:p>
        </w:tc>
        <w:tc>
          <w:tcPr>
            <w:tcW w:w="4344" w:type="dxa"/>
            <w:vAlign w:val="center"/>
          </w:tcPr>
          <w:p w14:paraId="35D13355">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东莞市清溪镇厦坭村江背路75号</w:t>
            </w:r>
          </w:p>
        </w:tc>
        <w:tc>
          <w:tcPr>
            <w:tcW w:w="685" w:type="dxa"/>
            <w:vAlign w:val="center"/>
          </w:tcPr>
          <w:p w14:paraId="5D0A4D52">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color w:val="000000" w:themeColor="text1"/>
                <w:sz w:val="21"/>
                <w:szCs w:val="21"/>
                <w:highlight w:val="none"/>
                <w14:textFill>
                  <w14:solidFill>
                    <w14:schemeClr w14:val="tx1"/>
                  </w14:solidFill>
                </w14:textFill>
              </w:rPr>
            </w:pPr>
          </w:p>
        </w:tc>
      </w:tr>
      <w:tr w14:paraId="412F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FC3BF66">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3068" w:type="dxa"/>
            <w:vAlign w:val="center"/>
          </w:tcPr>
          <w:p w14:paraId="5F7C8DB9">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凤岗虾公潭污水处理厂提标</w:t>
            </w:r>
          </w:p>
        </w:tc>
        <w:tc>
          <w:tcPr>
            <w:tcW w:w="4344" w:type="dxa"/>
            <w:vAlign w:val="center"/>
          </w:tcPr>
          <w:p w14:paraId="09B23F0A">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东莞市凤岗镇油甘埔村</w:t>
            </w:r>
          </w:p>
        </w:tc>
        <w:tc>
          <w:tcPr>
            <w:tcW w:w="685" w:type="dxa"/>
            <w:vAlign w:val="center"/>
          </w:tcPr>
          <w:p w14:paraId="0D4DC3CC">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color w:val="000000" w:themeColor="text1"/>
                <w:sz w:val="21"/>
                <w:szCs w:val="21"/>
                <w:highlight w:val="none"/>
                <w14:textFill>
                  <w14:solidFill>
                    <w14:schemeClr w14:val="tx1"/>
                  </w14:solidFill>
                </w14:textFill>
              </w:rPr>
            </w:pPr>
          </w:p>
        </w:tc>
      </w:tr>
      <w:tr w14:paraId="530D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53F361EE">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3068" w:type="dxa"/>
            <w:vAlign w:val="center"/>
          </w:tcPr>
          <w:p w14:paraId="33E5A302">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凤岗雁田污水处理厂提标</w:t>
            </w:r>
          </w:p>
        </w:tc>
        <w:tc>
          <w:tcPr>
            <w:tcW w:w="4344" w:type="dxa"/>
            <w:vAlign w:val="center"/>
          </w:tcPr>
          <w:p w14:paraId="5EBB1570">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东莞市凤岗镇雁田污水处理厂</w:t>
            </w:r>
          </w:p>
        </w:tc>
        <w:tc>
          <w:tcPr>
            <w:tcW w:w="685" w:type="dxa"/>
            <w:vAlign w:val="center"/>
          </w:tcPr>
          <w:p w14:paraId="76A1AC7A">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color w:val="000000" w:themeColor="text1"/>
                <w:sz w:val="21"/>
                <w:szCs w:val="21"/>
                <w:highlight w:val="none"/>
                <w14:textFill>
                  <w14:solidFill>
                    <w14:schemeClr w14:val="tx1"/>
                  </w14:solidFill>
                </w14:textFill>
              </w:rPr>
            </w:pPr>
          </w:p>
        </w:tc>
      </w:tr>
      <w:tr w14:paraId="1401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53902FCD">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3068" w:type="dxa"/>
            <w:vAlign w:val="center"/>
          </w:tcPr>
          <w:p w14:paraId="4BB71B28">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塘厦林村污水处理厂一期提标</w:t>
            </w:r>
          </w:p>
        </w:tc>
        <w:tc>
          <w:tcPr>
            <w:tcW w:w="4344" w:type="dxa"/>
            <w:vAlign w:val="center"/>
          </w:tcPr>
          <w:p w14:paraId="72577DC2">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东莞市塘厦镇林村林东路64号</w:t>
            </w:r>
          </w:p>
        </w:tc>
        <w:tc>
          <w:tcPr>
            <w:tcW w:w="685" w:type="dxa"/>
            <w:vAlign w:val="center"/>
          </w:tcPr>
          <w:p w14:paraId="44B79754">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color w:val="000000" w:themeColor="text1"/>
                <w:sz w:val="21"/>
                <w:szCs w:val="21"/>
                <w:highlight w:val="none"/>
                <w14:textFill>
                  <w14:solidFill>
                    <w14:schemeClr w14:val="tx1"/>
                  </w14:solidFill>
                </w14:textFill>
              </w:rPr>
            </w:pPr>
          </w:p>
        </w:tc>
      </w:tr>
      <w:tr w14:paraId="61FB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85751DF">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3068" w:type="dxa"/>
            <w:vAlign w:val="center"/>
          </w:tcPr>
          <w:p w14:paraId="2A7820B5">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谢岗污水处理厂一期提标</w:t>
            </w:r>
          </w:p>
        </w:tc>
        <w:tc>
          <w:tcPr>
            <w:tcW w:w="4344" w:type="dxa"/>
            <w:vAlign w:val="center"/>
          </w:tcPr>
          <w:p w14:paraId="57B941A0">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东莞市谢岗镇谢岗村工业大道北侧</w:t>
            </w:r>
          </w:p>
        </w:tc>
        <w:tc>
          <w:tcPr>
            <w:tcW w:w="685" w:type="dxa"/>
            <w:vAlign w:val="center"/>
          </w:tcPr>
          <w:p w14:paraId="6992AF31">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color w:val="000000" w:themeColor="text1"/>
                <w:sz w:val="21"/>
                <w:szCs w:val="21"/>
                <w:highlight w:val="none"/>
                <w14:textFill>
                  <w14:solidFill>
                    <w14:schemeClr w14:val="tx1"/>
                  </w14:solidFill>
                </w14:textFill>
              </w:rPr>
            </w:pPr>
          </w:p>
        </w:tc>
      </w:tr>
      <w:tr w14:paraId="1A97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D8FD7CC">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3068" w:type="dxa"/>
            <w:vAlign w:val="center"/>
          </w:tcPr>
          <w:p w14:paraId="564C0EC0">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樟木头污水处理厂（一、二期）提标</w:t>
            </w:r>
          </w:p>
        </w:tc>
        <w:tc>
          <w:tcPr>
            <w:tcW w:w="4344" w:type="dxa"/>
            <w:vAlign w:val="center"/>
          </w:tcPr>
          <w:p w14:paraId="57C3ADBE">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东莞市樟木头镇柏地旗岭村柏峰路169号</w:t>
            </w:r>
          </w:p>
        </w:tc>
        <w:tc>
          <w:tcPr>
            <w:tcW w:w="685" w:type="dxa"/>
            <w:vAlign w:val="center"/>
          </w:tcPr>
          <w:p w14:paraId="49243D59">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color w:val="000000" w:themeColor="text1"/>
                <w:sz w:val="21"/>
                <w:szCs w:val="21"/>
                <w:highlight w:val="none"/>
                <w14:textFill>
                  <w14:solidFill>
                    <w14:schemeClr w14:val="tx1"/>
                  </w14:solidFill>
                </w14:textFill>
              </w:rPr>
            </w:pPr>
          </w:p>
        </w:tc>
      </w:tr>
      <w:tr w14:paraId="10E5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453B0A70">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3068" w:type="dxa"/>
            <w:vAlign w:val="center"/>
          </w:tcPr>
          <w:p w14:paraId="6DE2A3A6">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桥头污水处理厂一期提标</w:t>
            </w:r>
          </w:p>
        </w:tc>
        <w:tc>
          <w:tcPr>
            <w:tcW w:w="4344" w:type="dxa"/>
            <w:vAlign w:val="center"/>
          </w:tcPr>
          <w:p w14:paraId="271ADDAE">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东莞市桥头镇东深路8号</w:t>
            </w:r>
          </w:p>
        </w:tc>
        <w:tc>
          <w:tcPr>
            <w:tcW w:w="685" w:type="dxa"/>
            <w:vAlign w:val="center"/>
          </w:tcPr>
          <w:p w14:paraId="45D53058">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color w:val="000000" w:themeColor="text1"/>
                <w:sz w:val="21"/>
                <w:szCs w:val="21"/>
                <w:highlight w:val="none"/>
                <w14:textFill>
                  <w14:solidFill>
                    <w14:schemeClr w14:val="tx1"/>
                  </w14:solidFill>
                </w14:textFill>
              </w:rPr>
            </w:pPr>
          </w:p>
        </w:tc>
      </w:tr>
      <w:tr w14:paraId="3B12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53FDB875">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3068" w:type="dxa"/>
            <w:vAlign w:val="center"/>
          </w:tcPr>
          <w:p w14:paraId="3B04FD02">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长安锦厦三洲水质净化厂提标</w:t>
            </w:r>
          </w:p>
        </w:tc>
        <w:tc>
          <w:tcPr>
            <w:tcW w:w="4344" w:type="dxa"/>
            <w:vAlign w:val="center"/>
          </w:tcPr>
          <w:p w14:paraId="62E55D66">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东莞市长安镇锦厦社区锦隆路1-1号</w:t>
            </w:r>
          </w:p>
        </w:tc>
        <w:tc>
          <w:tcPr>
            <w:tcW w:w="685" w:type="dxa"/>
            <w:vAlign w:val="center"/>
          </w:tcPr>
          <w:p w14:paraId="0F044EEE">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color w:val="000000" w:themeColor="text1"/>
                <w:sz w:val="21"/>
                <w:szCs w:val="21"/>
                <w:highlight w:val="none"/>
                <w14:textFill>
                  <w14:solidFill>
                    <w14:schemeClr w14:val="tx1"/>
                  </w14:solidFill>
                </w14:textFill>
              </w:rPr>
            </w:pPr>
          </w:p>
        </w:tc>
      </w:tr>
      <w:tr w14:paraId="6B27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4D2F29B6">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3068" w:type="dxa"/>
            <w:vAlign w:val="center"/>
          </w:tcPr>
          <w:p w14:paraId="0B75D4DC">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虎门宁洲污水处理厂一期提标</w:t>
            </w:r>
          </w:p>
        </w:tc>
        <w:tc>
          <w:tcPr>
            <w:tcW w:w="4344" w:type="dxa"/>
            <w:vAlign w:val="center"/>
          </w:tcPr>
          <w:p w14:paraId="6FEF0BCC">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东莞市虎门镇南栅第六工业区民昌路十巷5号</w:t>
            </w:r>
          </w:p>
        </w:tc>
        <w:tc>
          <w:tcPr>
            <w:tcW w:w="685" w:type="dxa"/>
            <w:vAlign w:val="center"/>
          </w:tcPr>
          <w:p w14:paraId="430215DA">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color w:val="000000" w:themeColor="text1"/>
                <w:sz w:val="21"/>
                <w:szCs w:val="21"/>
                <w:highlight w:val="none"/>
                <w14:textFill>
                  <w14:solidFill>
                    <w14:schemeClr w14:val="tx1"/>
                  </w14:solidFill>
                </w14:textFill>
              </w:rPr>
            </w:pPr>
          </w:p>
        </w:tc>
      </w:tr>
      <w:tr w14:paraId="7F88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38A775C9">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3068" w:type="dxa"/>
            <w:vAlign w:val="center"/>
          </w:tcPr>
          <w:p w14:paraId="36644F31">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虎门海岛污水处理厂提标</w:t>
            </w:r>
          </w:p>
        </w:tc>
        <w:tc>
          <w:tcPr>
            <w:tcW w:w="4344" w:type="dxa"/>
            <w:vAlign w:val="center"/>
          </w:tcPr>
          <w:p w14:paraId="709DA980">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东莞市虎门镇威远岛武山沙五围</w:t>
            </w:r>
          </w:p>
        </w:tc>
        <w:tc>
          <w:tcPr>
            <w:tcW w:w="685" w:type="dxa"/>
            <w:vAlign w:val="center"/>
          </w:tcPr>
          <w:p w14:paraId="36E427B6">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color w:val="000000" w:themeColor="text1"/>
                <w:sz w:val="21"/>
                <w:szCs w:val="21"/>
                <w:highlight w:val="none"/>
                <w14:textFill>
                  <w14:solidFill>
                    <w14:schemeClr w14:val="tx1"/>
                  </w14:solidFill>
                </w14:textFill>
              </w:rPr>
            </w:pPr>
          </w:p>
        </w:tc>
      </w:tr>
      <w:tr w14:paraId="142E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A7B3592">
            <w:pPr>
              <w:keepNext w:val="0"/>
              <w:keepLines w:val="0"/>
              <w:pageBreakBefore w:val="0"/>
              <w:widowControl/>
              <w:suppressLineNumbers w:val="0"/>
              <w:kinsoku/>
              <w:wordWrap/>
              <w:overflowPunct/>
              <w:topLinePunct w:val="0"/>
              <w:bidi w:val="0"/>
              <w:snapToGrid/>
              <w:spacing w:line="360" w:lineRule="auto"/>
              <w:jc w:val="center"/>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3068" w:type="dxa"/>
            <w:vAlign w:val="center"/>
          </w:tcPr>
          <w:p w14:paraId="38325D26">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东城牛山污水处理厂一期提标</w:t>
            </w:r>
          </w:p>
        </w:tc>
        <w:tc>
          <w:tcPr>
            <w:tcW w:w="4344" w:type="dxa"/>
            <w:vAlign w:val="center"/>
          </w:tcPr>
          <w:p w14:paraId="055EFBE1">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东莞市东城牛山老围村工业区象山路1号</w:t>
            </w:r>
          </w:p>
        </w:tc>
        <w:tc>
          <w:tcPr>
            <w:tcW w:w="685" w:type="dxa"/>
            <w:vAlign w:val="center"/>
          </w:tcPr>
          <w:p w14:paraId="01ED4247">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color w:val="000000" w:themeColor="text1"/>
                <w:sz w:val="21"/>
                <w:szCs w:val="21"/>
                <w:highlight w:val="none"/>
                <w14:textFill>
                  <w14:solidFill>
                    <w14:schemeClr w14:val="tx1"/>
                  </w14:solidFill>
                </w14:textFill>
              </w:rPr>
            </w:pPr>
          </w:p>
        </w:tc>
      </w:tr>
      <w:tr w14:paraId="1D0C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gridSpan w:val="4"/>
            <w:vAlign w:val="center"/>
          </w:tcPr>
          <w:p w14:paraId="3E4DF6F4">
            <w:pPr>
              <w:keepNext w:val="0"/>
              <w:keepLines w:val="0"/>
              <w:pageBreakBefore w:val="0"/>
              <w:kinsoku/>
              <w:wordWrap/>
              <w:overflowPunct/>
              <w:topLinePunct w:val="0"/>
              <w:bidi w:val="0"/>
              <w:snapToGrid/>
              <w:spacing w:line="360" w:lineRule="auto"/>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分散式污水处理项目</w:t>
            </w:r>
          </w:p>
        </w:tc>
      </w:tr>
      <w:tr w14:paraId="455F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F05FF55">
            <w:pPr>
              <w:keepNext w:val="0"/>
              <w:keepLines w:val="0"/>
              <w:pageBreakBefore w:val="0"/>
              <w:kinsoku/>
              <w:wordWrap/>
              <w:overflowPunct/>
              <w:topLinePunct w:val="0"/>
              <w:bidi w:val="0"/>
              <w:snapToGrid/>
              <w:spacing w:line="360" w:lineRule="auto"/>
              <w:jc w:val="both"/>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3068" w:type="dxa"/>
            <w:vAlign w:val="center"/>
          </w:tcPr>
          <w:p w14:paraId="5F09B5AF">
            <w:pPr>
              <w:keepNext w:val="0"/>
              <w:keepLines w:val="0"/>
              <w:pageBreakBefore w:val="0"/>
              <w:kinsoku/>
              <w:wordWrap/>
              <w:overflowPunct/>
              <w:topLinePunct w:val="0"/>
              <w:bidi w:val="0"/>
              <w:snapToGrid/>
              <w:spacing w:line="360" w:lineRule="auto"/>
              <w:jc w:val="both"/>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项目名称</w:t>
            </w:r>
          </w:p>
        </w:tc>
        <w:tc>
          <w:tcPr>
            <w:tcW w:w="4344" w:type="dxa"/>
            <w:vAlign w:val="center"/>
          </w:tcPr>
          <w:p w14:paraId="76080D69">
            <w:pPr>
              <w:keepNext w:val="0"/>
              <w:keepLines w:val="0"/>
              <w:pageBreakBefore w:val="0"/>
              <w:kinsoku/>
              <w:wordWrap/>
              <w:overflowPunct/>
              <w:topLinePunct w:val="0"/>
              <w:bidi w:val="0"/>
              <w:snapToGrid/>
              <w:spacing w:line="360" w:lineRule="auto"/>
              <w:jc w:val="both"/>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送货地址</w:t>
            </w:r>
          </w:p>
        </w:tc>
        <w:tc>
          <w:tcPr>
            <w:tcW w:w="685" w:type="dxa"/>
            <w:vAlign w:val="center"/>
          </w:tcPr>
          <w:p w14:paraId="4F94CADE">
            <w:pPr>
              <w:keepNext w:val="0"/>
              <w:keepLines w:val="0"/>
              <w:pageBreakBefore w:val="0"/>
              <w:kinsoku/>
              <w:wordWrap/>
              <w:overflowPunct/>
              <w:topLinePunct w:val="0"/>
              <w:bidi w:val="0"/>
              <w:snapToGrid/>
              <w:spacing w:line="360" w:lineRule="auto"/>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tc>
      </w:tr>
      <w:tr w14:paraId="3240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9029A13">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068" w:type="dxa"/>
            <w:vAlign w:val="center"/>
          </w:tcPr>
          <w:p w14:paraId="01872B2D">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东莞市塘厦镇宝山水六岭一体化污水处理设施</w:t>
            </w:r>
          </w:p>
        </w:tc>
        <w:tc>
          <w:tcPr>
            <w:tcW w:w="4344" w:type="dxa"/>
            <w:vAlign w:val="center"/>
          </w:tcPr>
          <w:p w14:paraId="61CEDFA6">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东莞市塘厦镇上塘河路</w:t>
            </w:r>
          </w:p>
        </w:tc>
        <w:tc>
          <w:tcPr>
            <w:tcW w:w="685" w:type="dxa"/>
            <w:vAlign w:val="center"/>
          </w:tcPr>
          <w:p w14:paraId="73587765">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val="0"/>
                <w:color w:val="000000" w:themeColor="text1"/>
                <w:sz w:val="21"/>
                <w:szCs w:val="21"/>
                <w:highlight w:val="none"/>
                <w:u w:val="none"/>
                <w:lang w:bidi="ar"/>
                <w14:textFill>
                  <w14:solidFill>
                    <w14:schemeClr w14:val="tx1"/>
                  </w14:solidFill>
                </w14:textFill>
              </w:rPr>
            </w:pPr>
          </w:p>
        </w:tc>
      </w:tr>
      <w:tr w14:paraId="2958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4ED540E">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3068" w:type="dxa"/>
            <w:vAlign w:val="center"/>
          </w:tcPr>
          <w:p w14:paraId="076C7DE7">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塘厦镇电光村污水处理站</w:t>
            </w:r>
          </w:p>
        </w:tc>
        <w:tc>
          <w:tcPr>
            <w:tcW w:w="4344" w:type="dxa"/>
            <w:vAlign w:val="center"/>
          </w:tcPr>
          <w:p w14:paraId="6ADBA6D9">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东莞市塘厦镇林村社区东红路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号</w:t>
            </w:r>
          </w:p>
        </w:tc>
        <w:tc>
          <w:tcPr>
            <w:tcW w:w="685" w:type="dxa"/>
            <w:vAlign w:val="center"/>
          </w:tcPr>
          <w:p w14:paraId="1B219E75">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val="0"/>
                <w:color w:val="000000" w:themeColor="text1"/>
                <w:sz w:val="21"/>
                <w:szCs w:val="21"/>
                <w:highlight w:val="none"/>
                <w:u w:val="none"/>
                <w:lang w:bidi="ar"/>
                <w14:textFill>
                  <w14:solidFill>
                    <w14:schemeClr w14:val="tx1"/>
                  </w14:solidFill>
                </w14:textFill>
              </w:rPr>
            </w:pPr>
          </w:p>
        </w:tc>
      </w:tr>
      <w:tr w14:paraId="77F1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84B9321">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3068" w:type="dxa"/>
            <w:vAlign w:val="center"/>
          </w:tcPr>
          <w:p w14:paraId="651EA150">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莲湖水口围分散式站点</w:t>
            </w:r>
          </w:p>
        </w:tc>
        <w:tc>
          <w:tcPr>
            <w:tcW w:w="4344" w:type="dxa"/>
            <w:vAlign w:val="center"/>
          </w:tcPr>
          <w:p w14:paraId="14380FF1">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东莞市塘厦镇石水路水口围村</w:t>
            </w:r>
          </w:p>
        </w:tc>
        <w:tc>
          <w:tcPr>
            <w:tcW w:w="685" w:type="dxa"/>
            <w:vAlign w:val="center"/>
          </w:tcPr>
          <w:p w14:paraId="00167566">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val="0"/>
                <w:color w:val="000000" w:themeColor="text1"/>
                <w:sz w:val="21"/>
                <w:szCs w:val="21"/>
                <w:highlight w:val="none"/>
                <w:u w:val="none"/>
                <w:lang w:bidi="ar"/>
                <w14:textFill>
                  <w14:solidFill>
                    <w14:schemeClr w14:val="tx1"/>
                  </w14:solidFill>
                </w14:textFill>
              </w:rPr>
            </w:pPr>
          </w:p>
        </w:tc>
      </w:tr>
      <w:tr w14:paraId="06F8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4E07C7B3">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3068" w:type="dxa"/>
            <w:vAlign w:val="center"/>
          </w:tcPr>
          <w:p w14:paraId="7A65A84F">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石头岭分散式站点</w:t>
            </w:r>
          </w:p>
        </w:tc>
        <w:tc>
          <w:tcPr>
            <w:tcW w:w="4344" w:type="dxa"/>
            <w:vAlign w:val="center"/>
          </w:tcPr>
          <w:p w14:paraId="287E9CBA">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东莞市塘厦镇莲湖社区石头岭村公交站旁</w:t>
            </w:r>
          </w:p>
        </w:tc>
        <w:tc>
          <w:tcPr>
            <w:tcW w:w="685" w:type="dxa"/>
            <w:vAlign w:val="center"/>
          </w:tcPr>
          <w:p w14:paraId="0338EBF7">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val="0"/>
                <w:color w:val="000000" w:themeColor="text1"/>
                <w:sz w:val="21"/>
                <w:szCs w:val="21"/>
                <w:highlight w:val="none"/>
                <w:u w:val="none"/>
                <w:lang w:bidi="ar"/>
                <w14:textFill>
                  <w14:solidFill>
                    <w14:schemeClr w14:val="tx1"/>
                  </w14:solidFill>
                </w14:textFill>
              </w:rPr>
            </w:pPr>
          </w:p>
        </w:tc>
      </w:tr>
      <w:tr w14:paraId="7061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49E80340">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3068" w:type="dxa"/>
            <w:vAlign w:val="center"/>
          </w:tcPr>
          <w:p w14:paraId="3074C926">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林村隔水分散式站点</w:t>
            </w:r>
          </w:p>
        </w:tc>
        <w:tc>
          <w:tcPr>
            <w:tcW w:w="4344" w:type="dxa"/>
            <w:vAlign w:val="center"/>
          </w:tcPr>
          <w:p w14:paraId="713CC3A8">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东莞市塘厦镇林东路隔水巷</w:t>
            </w:r>
          </w:p>
        </w:tc>
        <w:tc>
          <w:tcPr>
            <w:tcW w:w="685" w:type="dxa"/>
            <w:vAlign w:val="center"/>
          </w:tcPr>
          <w:p w14:paraId="24AFCBA5">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val="0"/>
                <w:color w:val="000000" w:themeColor="text1"/>
                <w:sz w:val="21"/>
                <w:szCs w:val="21"/>
                <w:highlight w:val="none"/>
                <w:u w:val="none"/>
                <w:lang w:bidi="ar"/>
                <w14:textFill>
                  <w14:solidFill>
                    <w14:schemeClr w14:val="tx1"/>
                  </w14:solidFill>
                </w14:textFill>
              </w:rPr>
            </w:pPr>
          </w:p>
        </w:tc>
      </w:tr>
      <w:tr w14:paraId="7F43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36C4D339">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3068" w:type="dxa"/>
            <w:vAlign w:val="center"/>
          </w:tcPr>
          <w:p w14:paraId="3F11B413">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林村六岭分散式站点</w:t>
            </w:r>
          </w:p>
        </w:tc>
        <w:tc>
          <w:tcPr>
            <w:tcW w:w="4344" w:type="dxa"/>
            <w:vAlign w:val="center"/>
          </w:tcPr>
          <w:p w14:paraId="596DBB80">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东莞市塘厦镇上塘河路</w:t>
            </w:r>
          </w:p>
        </w:tc>
        <w:tc>
          <w:tcPr>
            <w:tcW w:w="685" w:type="dxa"/>
            <w:vAlign w:val="center"/>
          </w:tcPr>
          <w:p w14:paraId="216735C1">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val="0"/>
                <w:color w:val="000000" w:themeColor="text1"/>
                <w:sz w:val="21"/>
                <w:szCs w:val="21"/>
                <w:highlight w:val="none"/>
                <w:u w:val="none"/>
                <w:lang w:bidi="ar"/>
                <w14:textFill>
                  <w14:solidFill>
                    <w14:schemeClr w14:val="tx1"/>
                  </w14:solidFill>
                </w14:textFill>
              </w:rPr>
            </w:pPr>
          </w:p>
        </w:tc>
      </w:tr>
      <w:tr w14:paraId="1C71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2ABEEDBC">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3068" w:type="dxa"/>
            <w:vAlign w:val="center"/>
          </w:tcPr>
          <w:p w14:paraId="58BEC542">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居委会旧头村分散式站点</w:t>
            </w:r>
          </w:p>
        </w:tc>
        <w:tc>
          <w:tcPr>
            <w:tcW w:w="4344" w:type="dxa"/>
            <w:vAlign w:val="center"/>
          </w:tcPr>
          <w:p w14:paraId="143BBEA7">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东莞市塘厦镇新兴路简头村</w:t>
            </w:r>
          </w:p>
        </w:tc>
        <w:tc>
          <w:tcPr>
            <w:tcW w:w="685" w:type="dxa"/>
            <w:vAlign w:val="center"/>
          </w:tcPr>
          <w:p w14:paraId="193E71E0">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val="0"/>
                <w:color w:val="000000" w:themeColor="text1"/>
                <w:sz w:val="21"/>
                <w:szCs w:val="21"/>
                <w:highlight w:val="none"/>
                <w:u w:val="none"/>
                <w:lang w:bidi="ar"/>
                <w14:textFill>
                  <w14:solidFill>
                    <w14:schemeClr w14:val="tx1"/>
                  </w14:solidFill>
                </w14:textFill>
              </w:rPr>
            </w:pPr>
          </w:p>
        </w:tc>
      </w:tr>
      <w:tr w14:paraId="5559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3804F3A1">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3068" w:type="dxa"/>
            <w:vAlign w:val="center"/>
          </w:tcPr>
          <w:p w14:paraId="01974E42">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牛眠埔新围分散式站点</w:t>
            </w:r>
          </w:p>
        </w:tc>
        <w:tc>
          <w:tcPr>
            <w:tcW w:w="4344" w:type="dxa"/>
            <w:vAlign w:val="center"/>
          </w:tcPr>
          <w:p w14:paraId="3590927B">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东莞市塘厦镇龙林高速公路牛眠埔水库东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600</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米</w:t>
            </w:r>
          </w:p>
        </w:tc>
        <w:tc>
          <w:tcPr>
            <w:tcW w:w="685" w:type="dxa"/>
            <w:vAlign w:val="center"/>
          </w:tcPr>
          <w:p w14:paraId="150F4197">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val="0"/>
                <w:color w:val="000000" w:themeColor="text1"/>
                <w:sz w:val="21"/>
                <w:szCs w:val="21"/>
                <w:highlight w:val="none"/>
                <w:u w:val="none"/>
                <w:lang w:bidi="ar"/>
                <w14:textFill>
                  <w14:solidFill>
                    <w14:schemeClr w14:val="tx1"/>
                  </w14:solidFill>
                </w14:textFill>
              </w:rPr>
            </w:pPr>
          </w:p>
        </w:tc>
      </w:tr>
      <w:tr w14:paraId="4D06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87" w:type="dxa"/>
            <w:vAlign w:val="center"/>
          </w:tcPr>
          <w:p w14:paraId="3D49B905">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3068" w:type="dxa"/>
            <w:vAlign w:val="center"/>
          </w:tcPr>
          <w:p w14:paraId="0A975C8F">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平山旧围分散式站点</w:t>
            </w:r>
          </w:p>
        </w:tc>
        <w:tc>
          <w:tcPr>
            <w:tcW w:w="4344" w:type="dxa"/>
            <w:vAlign w:val="center"/>
          </w:tcPr>
          <w:p w14:paraId="255424F6">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东莞市塘厦镇宝岭路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7f</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号</w:t>
            </w:r>
          </w:p>
        </w:tc>
        <w:tc>
          <w:tcPr>
            <w:tcW w:w="685" w:type="dxa"/>
            <w:vAlign w:val="center"/>
          </w:tcPr>
          <w:p w14:paraId="524F0F4D">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val="0"/>
                <w:color w:val="000000" w:themeColor="text1"/>
                <w:sz w:val="21"/>
                <w:szCs w:val="21"/>
                <w:highlight w:val="none"/>
                <w:u w:val="none"/>
                <w:lang w:bidi="ar"/>
                <w14:textFill>
                  <w14:solidFill>
                    <w14:schemeClr w14:val="tx1"/>
                  </w14:solidFill>
                </w14:textFill>
              </w:rPr>
            </w:pPr>
          </w:p>
        </w:tc>
      </w:tr>
      <w:tr w14:paraId="1FE7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3302B48">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3068" w:type="dxa"/>
            <w:vAlign w:val="center"/>
          </w:tcPr>
          <w:p w14:paraId="7BBE00FC">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石马韩屋分散式站点</w:t>
            </w:r>
          </w:p>
        </w:tc>
        <w:tc>
          <w:tcPr>
            <w:tcW w:w="4344" w:type="dxa"/>
            <w:vAlign w:val="center"/>
          </w:tcPr>
          <w:p w14:paraId="5EC779B4">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东莞市塘厦镇明珠街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号</w:t>
            </w:r>
          </w:p>
        </w:tc>
        <w:tc>
          <w:tcPr>
            <w:tcW w:w="685" w:type="dxa"/>
            <w:vAlign w:val="center"/>
          </w:tcPr>
          <w:p w14:paraId="3398F531">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val="0"/>
                <w:color w:val="000000" w:themeColor="text1"/>
                <w:sz w:val="21"/>
                <w:szCs w:val="21"/>
                <w:highlight w:val="none"/>
                <w:u w:val="none"/>
                <w:lang w:bidi="ar"/>
                <w14:textFill>
                  <w14:solidFill>
                    <w14:schemeClr w14:val="tx1"/>
                  </w14:solidFill>
                </w14:textFill>
              </w:rPr>
            </w:pPr>
          </w:p>
        </w:tc>
      </w:tr>
      <w:tr w14:paraId="57A8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5EB658DD">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3068" w:type="dxa"/>
            <w:vAlign w:val="center"/>
          </w:tcPr>
          <w:p w14:paraId="0F0B2B5E">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石排镇鲤鱼洲分散式站点</w:t>
            </w:r>
          </w:p>
        </w:tc>
        <w:tc>
          <w:tcPr>
            <w:tcW w:w="4344" w:type="dxa"/>
            <w:vAlign w:val="center"/>
          </w:tcPr>
          <w:p w14:paraId="27CB8CC3">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东莞市石排镇鲤鱼洲</w:t>
            </w:r>
          </w:p>
        </w:tc>
        <w:tc>
          <w:tcPr>
            <w:tcW w:w="685" w:type="dxa"/>
            <w:vAlign w:val="center"/>
          </w:tcPr>
          <w:p w14:paraId="3D698F38">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val="0"/>
                <w:color w:val="000000" w:themeColor="text1"/>
                <w:sz w:val="21"/>
                <w:szCs w:val="21"/>
                <w:highlight w:val="none"/>
                <w:u w:val="none"/>
                <w:lang w:bidi="ar"/>
                <w14:textFill>
                  <w14:solidFill>
                    <w14:schemeClr w14:val="tx1"/>
                  </w14:solidFill>
                </w14:textFill>
              </w:rPr>
            </w:pPr>
          </w:p>
        </w:tc>
      </w:tr>
      <w:tr w14:paraId="6DEF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57AD1817">
            <w:pPr>
              <w:keepNext w:val="0"/>
              <w:keepLines w:val="0"/>
              <w:pageBreakBefore w:val="0"/>
              <w:widowControl/>
              <w:suppressLineNumbers w:val="0"/>
              <w:kinsoku/>
              <w:wordWrap/>
              <w:overflowPunct/>
              <w:topLinePunct w:val="0"/>
              <w:bidi w:val="0"/>
              <w:snapToGrid/>
              <w:spacing w:line="360" w:lineRule="auto"/>
              <w:jc w:val="center"/>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3068" w:type="dxa"/>
            <w:vAlign w:val="center"/>
          </w:tcPr>
          <w:p w14:paraId="56B25C66">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石碣镇檀香岛分散式站点</w:t>
            </w:r>
          </w:p>
        </w:tc>
        <w:tc>
          <w:tcPr>
            <w:tcW w:w="4344" w:type="dxa"/>
            <w:vAlign w:val="center"/>
          </w:tcPr>
          <w:p w14:paraId="514FF924">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石碣镇檀香岛</w:t>
            </w:r>
          </w:p>
        </w:tc>
        <w:tc>
          <w:tcPr>
            <w:tcW w:w="685" w:type="dxa"/>
            <w:vAlign w:val="center"/>
          </w:tcPr>
          <w:p w14:paraId="4CC025FB">
            <w:pPr>
              <w:keepNext w:val="0"/>
              <w:keepLines w:val="0"/>
              <w:pageBreakBefore w:val="0"/>
              <w:widowControl/>
              <w:suppressLineNumbers w:val="0"/>
              <w:kinsoku/>
              <w:wordWrap/>
              <w:overflowPunct/>
              <w:topLinePunct w:val="0"/>
              <w:bidi w:val="0"/>
              <w:snapToGrid/>
              <w:spacing w:line="360" w:lineRule="auto"/>
              <w:jc w:val="both"/>
              <w:textAlignment w:val="bottom"/>
              <w:rPr>
                <w:rFonts w:hint="eastAsia" w:ascii="宋体" w:hAnsi="宋体" w:eastAsia="宋体" w:cs="宋体"/>
                <w:b w:val="0"/>
                <w:color w:val="000000" w:themeColor="text1"/>
                <w:sz w:val="21"/>
                <w:szCs w:val="21"/>
                <w:highlight w:val="none"/>
                <w:u w:val="none"/>
                <w:lang w:bidi="ar"/>
                <w14:textFill>
                  <w14:solidFill>
                    <w14:schemeClr w14:val="tx1"/>
                  </w14:solidFill>
                </w14:textFill>
              </w:rPr>
            </w:pPr>
          </w:p>
        </w:tc>
      </w:tr>
    </w:tbl>
    <w:p w14:paraId="0330164A">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br w:type="page"/>
      </w:r>
    </w:p>
    <w:p w14:paraId="134BF92B">
      <w:pPr>
        <w:keepNext w:val="0"/>
        <w:keepLines w:val="0"/>
        <w:pageBreakBefore w:val="0"/>
        <w:kinsoku/>
        <w:wordWrap/>
        <w:overflowPunct/>
        <w:topLinePunct w:val="0"/>
        <w:bidi w:val="0"/>
        <w:snapToGrid/>
        <w:spacing w:line="360" w:lineRule="auto"/>
        <w:outlineLvl w:val="2"/>
        <w:rPr>
          <w:rFonts w:hint="eastAsia" w:ascii="宋体" w:hAnsi="宋体" w:eastAsia="宋体" w:cs="宋体"/>
          <w:b/>
          <w:bCs/>
          <w:color w:val="000000" w:themeColor="text1"/>
          <w:sz w:val="21"/>
          <w:szCs w:val="21"/>
          <w:highlight w:val="none"/>
          <w14:textFill>
            <w14:solidFill>
              <w14:schemeClr w14:val="tx1"/>
            </w14:solidFill>
          </w14:textFill>
        </w:rPr>
      </w:pPr>
      <w:bookmarkStart w:id="388" w:name="_Toc20653"/>
      <w:r>
        <w:rPr>
          <w:rFonts w:hint="eastAsia" w:ascii="宋体" w:hAnsi="宋体" w:eastAsia="宋体" w:cs="宋体"/>
          <w:b/>
          <w:bCs/>
          <w:color w:val="000000" w:themeColor="text1"/>
          <w:sz w:val="21"/>
          <w:szCs w:val="21"/>
          <w:highlight w:val="none"/>
          <w14:textFill>
            <w14:solidFill>
              <w14:schemeClr w14:val="tx1"/>
            </w14:solidFill>
          </w14:textFill>
        </w:rPr>
        <w:t>附件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东莞市水务环境投资控股集团净水有限公司2026年五金材料及工器具物资采购清单及预算表</w:t>
      </w:r>
      <w:r>
        <w:rPr>
          <w:rFonts w:hint="eastAsia" w:ascii="宋体" w:hAnsi="宋体" w:eastAsia="宋体" w:cs="宋体"/>
          <w:b/>
          <w:bCs/>
          <w:color w:val="000000" w:themeColor="text1"/>
          <w:sz w:val="21"/>
          <w:szCs w:val="21"/>
          <w:highlight w:val="none"/>
          <w14:textFill>
            <w14:solidFill>
              <w14:schemeClr w14:val="tx1"/>
            </w14:solidFill>
          </w14:textFill>
        </w:rPr>
        <w:t>（另册装订）</w:t>
      </w:r>
      <w:bookmarkEnd w:id="388"/>
    </w:p>
    <w:p w14:paraId="10D28BDB">
      <w:pPr>
        <w:keepNext w:val="0"/>
        <w:keepLines w:val="0"/>
        <w:pageBreakBefore w:val="0"/>
        <w:kinsoku/>
        <w:wordWrap/>
        <w:overflowPunct/>
        <w:topLinePunct w:val="0"/>
        <w:bidi w:val="0"/>
        <w:snapToGrid/>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322CF9C6">
      <w:pPr>
        <w:keepNext w:val="0"/>
        <w:keepLines w:val="0"/>
        <w:pageBreakBefore w:val="0"/>
        <w:kinsoku/>
        <w:wordWrap/>
        <w:overflowPunct/>
        <w:topLinePunct w:val="0"/>
        <w:bidi w:val="0"/>
        <w:snapToGrid/>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23E2FB90">
      <w:pPr>
        <w:keepNext w:val="0"/>
        <w:keepLines w:val="0"/>
        <w:pageBreakBefore w:val="0"/>
        <w:kinsoku/>
        <w:wordWrap/>
        <w:overflowPunct/>
        <w:topLinePunct w:val="0"/>
        <w:bidi w:val="0"/>
        <w:snapToGrid/>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4B08F13C">
      <w:pPr>
        <w:keepNext w:val="0"/>
        <w:keepLines w:val="0"/>
        <w:pageBreakBefore w:val="0"/>
        <w:kinsoku/>
        <w:wordWrap/>
        <w:overflowPunct/>
        <w:topLinePunct w:val="0"/>
        <w:bidi w:val="0"/>
        <w:snapToGrid/>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21088669">
      <w:pPr>
        <w:keepNext w:val="0"/>
        <w:keepLines w:val="0"/>
        <w:pageBreakBefore w:val="0"/>
        <w:kinsoku/>
        <w:wordWrap/>
        <w:overflowPunct/>
        <w:topLinePunct w:val="0"/>
        <w:bidi w:val="0"/>
        <w:snapToGrid/>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6E3CD28F">
      <w:pPr>
        <w:keepNext w:val="0"/>
        <w:keepLines w:val="0"/>
        <w:pageBreakBefore w:val="0"/>
        <w:kinsoku/>
        <w:wordWrap/>
        <w:overflowPunct/>
        <w:topLinePunct w:val="0"/>
        <w:bidi w:val="0"/>
        <w:snapToGrid/>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70C17E1E">
      <w:pPr>
        <w:keepNext w:val="0"/>
        <w:keepLines w:val="0"/>
        <w:pageBreakBefore w:val="0"/>
        <w:kinsoku/>
        <w:wordWrap/>
        <w:overflowPunct/>
        <w:topLinePunct w:val="0"/>
        <w:bidi w:val="0"/>
        <w:snapToGrid/>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79E7D9B7">
      <w:pPr>
        <w:keepNext w:val="0"/>
        <w:keepLines w:val="0"/>
        <w:pageBreakBefore w:val="0"/>
        <w:kinsoku/>
        <w:wordWrap/>
        <w:overflowPunct/>
        <w:topLinePunct w:val="0"/>
        <w:bidi w:val="0"/>
        <w:snapToGrid/>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43ED11E7">
      <w:pPr>
        <w:keepNext w:val="0"/>
        <w:keepLines w:val="0"/>
        <w:pageBreakBefore w:val="0"/>
        <w:kinsoku/>
        <w:wordWrap/>
        <w:overflowPunct/>
        <w:topLinePunct w:val="0"/>
        <w:bidi w:val="0"/>
        <w:snapToGrid/>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62940D7A">
      <w:pPr>
        <w:keepNext w:val="0"/>
        <w:keepLines w:val="0"/>
        <w:pageBreakBefore w:val="0"/>
        <w:widowControl/>
        <w:kinsoku/>
        <w:wordWrap/>
        <w:overflowPunct/>
        <w:topLinePunct w:val="0"/>
        <w:bidi w:val="0"/>
        <w:snapToGrid/>
        <w:spacing w:line="360" w:lineRule="auto"/>
        <w:textAlignment w:val="bottom"/>
        <w:rPr>
          <w:rFonts w:hint="eastAsia" w:ascii="宋体" w:hAnsi="宋体" w:eastAsia="宋体" w:cs="宋体"/>
          <w:b w:val="0"/>
          <w:color w:val="000000" w:themeColor="text1"/>
          <w:sz w:val="21"/>
          <w:szCs w:val="21"/>
          <w:highlight w:val="none"/>
          <w:u w:val="none"/>
          <w:lang w:bidi="ar"/>
          <w14:textFill>
            <w14:solidFill>
              <w14:schemeClr w14:val="tx1"/>
            </w14:solidFill>
          </w14:textFill>
        </w:rPr>
      </w:pPr>
    </w:p>
    <w:p w14:paraId="613AD28D">
      <w:pPr>
        <w:pStyle w:val="30"/>
        <w:keepNext w:val="0"/>
        <w:keepLines w:val="0"/>
        <w:pageBreakBefore w:val="0"/>
        <w:tabs>
          <w:tab w:val="left" w:pos="567"/>
        </w:tabs>
        <w:kinsoku/>
        <w:wordWrap/>
        <w:overflowPunct/>
        <w:topLinePunct w:val="0"/>
        <w:bidi w:val="0"/>
        <w:snapToGrid/>
        <w:spacing w:before="0" w:after="0" w:line="360" w:lineRule="auto"/>
        <w:jc w:val="left"/>
        <w:textAlignment w:val="auto"/>
        <w:rPr>
          <w:rFonts w:hint="eastAsia" w:ascii="宋体" w:hAnsi="宋体" w:eastAsia="宋体" w:cs="宋体"/>
          <w:bCs w:val="0"/>
          <w:color w:val="000000" w:themeColor="text1"/>
          <w:sz w:val="21"/>
          <w:szCs w:val="21"/>
          <w:highlight w:val="none"/>
          <w14:textFill>
            <w14:solidFill>
              <w14:schemeClr w14:val="tx1"/>
            </w14:solidFill>
          </w14:textFill>
        </w:rPr>
      </w:pPr>
    </w:p>
    <w:p w14:paraId="694903D2">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000000" w:themeColor="text1"/>
          <w:kern w:val="44"/>
          <w:sz w:val="32"/>
          <w:szCs w:val="32"/>
          <w:highlight w:val="none"/>
          <w:lang w:val="zh-CN"/>
          <w14:textFill>
            <w14:solidFill>
              <w14:schemeClr w14:val="tx1"/>
            </w14:solidFill>
          </w14:textFill>
        </w:rPr>
      </w:pPr>
      <w:bookmarkStart w:id="389" w:name="_Toc9318"/>
      <w:bookmarkStart w:id="390" w:name="_Toc142508359"/>
      <w:bookmarkStart w:id="391" w:name="_Toc7731"/>
      <w:bookmarkStart w:id="392" w:name="_Toc11281_WPSOffice_Level1"/>
      <w:bookmarkStart w:id="393" w:name="_Toc450662892"/>
      <w:bookmarkStart w:id="394" w:name="_Toc486167707"/>
      <w:bookmarkStart w:id="395" w:name="_Toc19477"/>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第四篇 合同条款格式</w:t>
      </w:r>
      <w:bookmarkEnd w:id="389"/>
      <w:bookmarkEnd w:id="390"/>
      <w:bookmarkEnd w:id="391"/>
      <w:bookmarkEnd w:id="392"/>
      <w:bookmarkEnd w:id="393"/>
      <w:bookmarkEnd w:id="394"/>
      <w:bookmarkEnd w:id="395"/>
    </w:p>
    <w:p w14:paraId="089AA066">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1178030">
      <w:pPr>
        <w:spacing w:line="360" w:lineRule="auto"/>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合同编号：</w:t>
      </w:r>
    </w:p>
    <w:p w14:paraId="1E68B36D">
      <w:pPr>
        <w:spacing w:line="360" w:lineRule="auto"/>
        <w:jc w:val="center"/>
        <w:rPr>
          <w:rFonts w:hint="eastAsia" w:ascii="宋体" w:hAnsi="宋体" w:eastAsia="宋体" w:cs="宋体"/>
          <w:b/>
          <w:color w:val="000000" w:themeColor="text1"/>
          <w:sz w:val="52"/>
          <w:szCs w:val="52"/>
          <w:highlight w:val="none"/>
          <w14:textFill>
            <w14:solidFill>
              <w14:schemeClr w14:val="tx1"/>
            </w14:solidFill>
          </w14:textFill>
        </w:rPr>
      </w:pPr>
    </w:p>
    <w:p w14:paraId="00C91E09">
      <w:pPr>
        <w:spacing w:line="360" w:lineRule="auto"/>
        <w:jc w:val="center"/>
        <w:rPr>
          <w:rFonts w:hint="eastAsia" w:ascii="宋体" w:hAnsi="宋体" w:eastAsia="宋体" w:cs="宋体"/>
          <w:b/>
          <w:color w:val="000000" w:themeColor="text1"/>
          <w:sz w:val="52"/>
          <w:szCs w:val="52"/>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东莞市水务环境投资控股集团净水有限公司2026年五金材料及工器具物资采购项目</w:t>
      </w:r>
    </w:p>
    <w:p w14:paraId="2E22BE7A">
      <w:pPr>
        <w:spacing w:before="840" w:beforeLines="350" w:after="360" w:afterLines="150" w:line="360" w:lineRule="auto"/>
        <w:jc w:val="center"/>
        <w:rPr>
          <w:rFonts w:hint="eastAsia" w:ascii="宋体" w:hAnsi="宋体" w:eastAsia="宋体" w:cs="宋体"/>
          <w:b/>
          <w:bCs/>
          <w:color w:val="000000" w:themeColor="text1"/>
          <w:spacing w:val="60"/>
          <w:sz w:val="52"/>
          <w:szCs w:val="52"/>
          <w:highlight w:val="none"/>
          <w14:textFill>
            <w14:solidFill>
              <w14:schemeClr w14:val="tx1"/>
            </w14:solidFill>
          </w14:textFill>
        </w:rPr>
      </w:pPr>
      <w:r>
        <w:rPr>
          <w:rFonts w:hint="eastAsia" w:ascii="宋体" w:hAnsi="宋体" w:eastAsia="宋体" w:cs="宋体"/>
          <w:b/>
          <w:bCs/>
          <w:color w:val="000000" w:themeColor="text1"/>
          <w:spacing w:val="60"/>
          <w:sz w:val="52"/>
          <w:szCs w:val="52"/>
          <w:highlight w:val="none"/>
          <w14:textFill>
            <w14:solidFill>
              <w14:schemeClr w14:val="tx1"/>
            </w14:solidFill>
          </w14:textFill>
        </w:rPr>
        <w:t>合同书</w:t>
      </w:r>
    </w:p>
    <w:p w14:paraId="4B5C3909">
      <w:pPr>
        <w:spacing w:line="360" w:lineRule="auto"/>
        <w:rPr>
          <w:rFonts w:hint="eastAsia" w:ascii="宋体" w:hAnsi="宋体" w:eastAsia="宋体" w:cs="宋体"/>
          <w:color w:val="000000" w:themeColor="text1"/>
          <w:sz w:val="48"/>
          <w:szCs w:val="48"/>
          <w:highlight w:val="none"/>
          <w14:textFill>
            <w14:solidFill>
              <w14:schemeClr w14:val="tx1"/>
            </w14:solidFill>
          </w14:textFill>
        </w:rPr>
      </w:pPr>
    </w:p>
    <w:p w14:paraId="15582D6B">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1</w:t>
      </w:r>
      <w:r>
        <w:rPr>
          <w:rFonts w:hint="eastAsia" w:ascii="宋体" w:hAnsi="宋体" w:eastAsia="宋体" w:cs="宋体"/>
          <w:b/>
          <w:bCs/>
          <w:color w:val="000000" w:themeColor="text1"/>
          <w:kern w:val="0"/>
          <w:sz w:val="28"/>
          <w:szCs w:val="28"/>
          <w:highlight w:val="none"/>
          <w14:textFill>
            <w14:solidFill>
              <w14:schemeClr w14:val="tx1"/>
            </w14:solidFill>
          </w14:textFill>
        </w:rPr>
        <w:t>：</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38D4F454">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8"/>
          <w:szCs w:val="28"/>
          <w:highlight w:val="none"/>
          <w14:textFill>
            <w14:solidFill>
              <w14:schemeClr w14:val="tx1"/>
            </w14:solidFill>
          </w14:textFill>
        </w:rPr>
        <w:t>：</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590B3E80">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3</w:t>
      </w:r>
      <w:r>
        <w:rPr>
          <w:rFonts w:hint="eastAsia" w:ascii="宋体" w:hAnsi="宋体" w:eastAsia="宋体" w:cs="宋体"/>
          <w:b/>
          <w:bCs/>
          <w:color w:val="000000" w:themeColor="text1"/>
          <w:kern w:val="0"/>
          <w:sz w:val="28"/>
          <w:szCs w:val="28"/>
          <w:highlight w:val="none"/>
          <w14:textFill>
            <w14:solidFill>
              <w14:schemeClr w14:val="tx1"/>
            </w14:solidFill>
          </w14:textFill>
        </w:rPr>
        <w:t>：</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619783E4">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4</w:t>
      </w:r>
      <w:r>
        <w:rPr>
          <w:rFonts w:hint="eastAsia" w:ascii="宋体" w:hAnsi="宋体" w:eastAsia="宋体" w:cs="宋体"/>
          <w:b/>
          <w:bCs/>
          <w:color w:val="000000" w:themeColor="text1"/>
          <w:kern w:val="0"/>
          <w:sz w:val="28"/>
          <w:szCs w:val="28"/>
          <w:highlight w:val="none"/>
          <w14:textFill>
            <w14:solidFill>
              <w14:schemeClr w14:val="tx1"/>
            </w14:solidFill>
          </w14:textFill>
        </w:rPr>
        <w:t>：</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1FAC0FBF">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5</w:t>
      </w:r>
      <w:r>
        <w:rPr>
          <w:rFonts w:hint="eastAsia" w:ascii="宋体" w:hAnsi="宋体" w:eastAsia="宋体" w:cs="宋体"/>
          <w:b/>
          <w:bCs/>
          <w:color w:val="000000" w:themeColor="text1"/>
          <w:kern w:val="0"/>
          <w:sz w:val="28"/>
          <w:szCs w:val="28"/>
          <w:highlight w:val="none"/>
          <w14:textFill>
            <w14:solidFill>
              <w14:schemeClr w14:val="tx1"/>
            </w14:solidFill>
          </w14:textFill>
        </w:rPr>
        <w:t>：</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57FC0AF9">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6</w:t>
      </w:r>
      <w:r>
        <w:rPr>
          <w:rFonts w:hint="eastAsia" w:ascii="宋体" w:hAnsi="宋体" w:eastAsia="宋体" w:cs="宋体"/>
          <w:b/>
          <w:bCs/>
          <w:color w:val="000000" w:themeColor="text1"/>
          <w:kern w:val="0"/>
          <w:sz w:val="28"/>
          <w:szCs w:val="28"/>
          <w:highlight w:val="none"/>
          <w14:textFill>
            <w14:solidFill>
              <w14:schemeClr w14:val="tx1"/>
            </w14:solidFill>
          </w14:textFill>
        </w:rPr>
        <w:t>：</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6754E2B3">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u w:val="singl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乙方：</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0E5404CE">
      <w:pPr>
        <w:spacing w:line="360" w:lineRule="auto"/>
        <w:rPr>
          <w:rFonts w:hAnsi="宋体"/>
          <w:color w:val="000000" w:themeColor="text1"/>
          <w:sz w:val="21"/>
          <w:szCs w:val="21"/>
          <w:highlight w:val="none"/>
          <w14:textFill>
            <w14:solidFill>
              <w14:schemeClr w14:val="tx1"/>
            </w14:solidFill>
          </w14:textFill>
        </w:rPr>
      </w:pPr>
    </w:p>
    <w:p w14:paraId="08F8EE3D">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68A6F927">
      <w:pPr>
        <w:adjustRightInd w:val="0"/>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甲方</w:t>
      </w:r>
      <w:r>
        <w:rPr>
          <w:rFonts w:hint="eastAsia" w:ascii="宋体" w:hAnsi="宋体" w:eastAsia="宋体" w:cs="宋体"/>
          <w:color w:val="000000" w:themeColor="text1"/>
          <w:szCs w:val="21"/>
          <w:highlight w:val="none"/>
          <w:lang w:val="en-US" w:eastAsia="zh-CN" w:bidi="ar"/>
          <w14:textFill>
            <w14:solidFill>
              <w14:schemeClr w14:val="tx1"/>
            </w14:solidFill>
          </w14:textFill>
        </w:rPr>
        <w:t>1</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p>
    <w:p w14:paraId="4C565B30">
      <w:pPr>
        <w:adjustRightInd w:val="0"/>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甲方</w:t>
      </w:r>
      <w:r>
        <w:rPr>
          <w:rFonts w:hint="eastAsia" w:ascii="宋体" w:hAnsi="宋体" w:eastAsia="宋体" w:cs="宋体"/>
          <w:color w:val="000000" w:themeColor="text1"/>
          <w:szCs w:val="21"/>
          <w:highlight w:val="none"/>
          <w:lang w:val="en-US" w:eastAsia="zh-CN" w:bidi="ar"/>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p>
    <w:p w14:paraId="35CE3452">
      <w:pPr>
        <w:adjustRightInd w:val="0"/>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甲方</w:t>
      </w:r>
      <w:r>
        <w:rPr>
          <w:rFonts w:hint="eastAsia" w:ascii="宋体" w:hAnsi="宋体" w:eastAsia="宋体" w:cs="宋体"/>
          <w:color w:val="000000" w:themeColor="text1"/>
          <w:szCs w:val="21"/>
          <w:highlight w:val="none"/>
          <w:lang w:val="en-US" w:eastAsia="zh-CN" w:bidi="ar"/>
          <w14:textFill>
            <w14:solidFill>
              <w14:schemeClr w14:val="tx1"/>
            </w14:solidFill>
          </w14:textFill>
        </w:rPr>
        <w:t>3</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p>
    <w:p w14:paraId="098B443A">
      <w:pPr>
        <w:adjustRightInd w:val="0"/>
        <w:snapToGrid w:val="0"/>
        <w:spacing w:line="360" w:lineRule="auto"/>
        <w:rPr>
          <w:rFonts w:hint="eastAsia" w:ascii="宋体" w:hAnsi="宋体" w:eastAsia="宋体" w:cs="宋体"/>
          <w:color w:val="000000" w:themeColor="text1"/>
          <w:szCs w:val="21"/>
          <w:highlight w:val="none"/>
          <w:u w:val="singl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甲方</w:t>
      </w:r>
      <w:r>
        <w:rPr>
          <w:rFonts w:hint="eastAsia" w:ascii="宋体" w:hAnsi="宋体" w:eastAsia="宋体" w:cs="宋体"/>
          <w:color w:val="000000" w:themeColor="text1"/>
          <w:szCs w:val="21"/>
          <w:highlight w:val="none"/>
          <w:lang w:val="en-US" w:eastAsia="zh-CN" w:bidi="ar"/>
          <w14:textFill>
            <w14:solidFill>
              <w14:schemeClr w14:val="tx1"/>
            </w14:solidFill>
          </w14:textFill>
        </w:rPr>
        <w:t>4</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p>
    <w:p w14:paraId="621AB5E1">
      <w:pPr>
        <w:adjustRightInd w:val="0"/>
        <w:snapToGrid w:val="0"/>
        <w:spacing w:line="360" w:lineRule="auto"/>
        <w:rPr>
          <w:rFonts w:hint="eastAsia" w:ascii="宋体" w:hAnsi="宋体" w:eastAsia="宋体" w:cs="宋体"/>
          <w:color w:val="000000" w:themeColor="text1"/>
          <w:szCs w:val="21"/>
          <w:highlight w:val="none"/>
          <w:u w:val="single"/>
          <w:lang w:bidi="ar"/>
          <w14:textFill>
            <w14:solidFill>
              <w14:schemeClr w14:val="tx1"/>
            </w14:solidFill>
          </w14:textFill>
        </w:rPr>
      </w:pPr>
      <w:r>
        <w:rPr>
          <w:rFonts w:hint="eastAsia" w:ascii="宋体" w:hAnsi="宋体" w:eastAsia="宋体" w:cs="宋体"/>
          <w:color w:val="000000" w:themeColor="text1"/>
          <w:szCs w:val="21"/>
          <w:highlight w:val="none"/>
          <w:u w:val="single"/>
          <w:lang w:val="en-US" w:eastAsia="zh-CN" w:bidi="ar"/>
          <w14:textFill>
            <w14:solidFill>
              <w14:schemeClr w14:val="tx1"/>
            </w14:solidFill>
          </w14:textFill>
        </w:rPr>
        <w:t>甲方5：</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p>
    <w:p w14:paraId="74FF14C0">
      <w:pPr>
        <w:adjustRightInd w:val="0"/>
        <w:snapToGrid w:val="0"/>
        <w:spacing w:line="360" w:lineRule="auto"/>
        <w:rPr>
          <w:rFonts w:hint="eastAsia" w:ascii="宋体" w:hAnsi="宋体" w:eastAsia="宋体" w:cs="宋体"/>
          <w:color w:val="000000" w:themeColor="text1"/>
          <w:szCs w:val="21"/>
          <w:highlight w:val="none"/>
          <w:u w:val="singl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甲方</w:t>
      </w:r>
      <w:r>
        <w:rPr>
          <w:rFonts w:hint="eastAsia" w:ascii="宋体" w:hAnsi="宋体" w:eastAsia="宋体" w:cs="宋体"/>
          <w:color w:val="000000" w:themeColor="text1"/>
          <w:szCs w:val="21"/>
          <w:highlight w:val="none"/>
          <w:lang w:val="en-US" w:eastAsia="zh-CN" w:bidi="ar"/>
          <w14:textFill>
            <w14:solidFill>
              <w14:schemeClr w14:val="tx1"/>
            </w14:solidFill>
          </w14:textFill>
        </w:rPr>
        <w:t>6</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p>
    <w:p w14:paraId="039A7C25">
      <w:pPr>
        <w:adjustRightInd w:val="0"/>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乙方：</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p>
    <w:p w14:paraId="20EFC778">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C263544">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根据《中华人民共和国民法典》及</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日通知的</w:t>
      </w:r>
      <w:r>
        <w:rPr>
          <w:rFonts w:hint="eastAsia" w:ascii="宋体" w:hAnsi="宋体" w:eastAsia="宋体" w:cs="宋体"/>
          <w:color w:val="000000" w:themeColor="text1"/>
          <w:sz w:val="21"/>
          <w:szCs w:val="21"/>
          <w:highlight w:val="none"/>
          <w:u w:val="single"/>
          <w14:textFill>
            <w14:solidFill>
              <w14:schemeClr w14:val="tx1"/>
            </w14:solidFill>
          </w14:textFill>
        </w:rPr>
        <w:t>东莞市水务环境投资控股集团净水有限公司2026年五金材料及工器具物资采购项目</w:t>
      </w:r>
      <w:r>
        <w:rPr>
          <w:rFonts w:hint="eastAsia" w:ascii="宋体" w:hAnsi="宋体" w:eastAsia="宋体" w:cs="宋体"/>
          <w:color w:val="000000" w:themeColor="text1"/>
          <w:sz w:val="21"/>
          <w:szCs w:val="21"/>
          <w:highlight w:val="none"/>
          <w14:textFill>
            <w14:solidFill>
              <w14:schemeClr w14:val="tx1"/>
            </w14:solidFill>
          </w14:textFill>
        </w:rPr>
        <w:t>中标结果（招标编号：</w:t>
      </w:r>
      <w:r>
        <w:rPr>
          <w:rFonts w:hint="eastAsia" w:ascii="宋体" w:hAnsi="宋体" w:eastAsia="宋体" w:cs="宋体"/>
          <w:color w:val="000000" w:themeColor="text1"/>
          <w:kern w:val="2"/>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）和招标文件的要求，经双方协商一致，签订本合同。</w:t>
      </w:r>
    </w:p>
    <w:p w14:paraId="2B8BB2F1">
      <w:pPr>
        <w:keepNext w:val="0"/>
        <w:keepLines w:val="0"/>
        <w:pageBreakBefore w:val="0"/>
        <w:widowControl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3389067A">
      <w:pPr>
        <w:pStyle w:val="131"/>
        <w:keepNext w:val="0"/>
        <w:keepLines w:val="0"/>
        <w:pageBreakBefore w:val="0"/>
        <w:widowControl w:val="0"/>
        <w:numPr>
          <w:ilvl w:val="0"/>
          <w:numId w:val="2"/>
        </w:numPr>
        <w:kinsoku/>
        <w:wordWrap/>
        <w:overflowPunct/>
        <w:topLinePunct w:val="0"/>
        <w:bidi w:val="0"/>
        <w:spacing w:line="360" w:lineRule="auto"/>
        <w:ind w:firstLineChars="0"/>
        <w:textAlignment w:val="auto"/>
        <w:outlineLvl w:val="3"/>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供货资格及范围</w:t>
      </w:r>
    </w:p>
    <w:p w14:paraId="387969F4">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甲方确定乙方成为</w:t>
      </w:r>
      <w:r>
        <w:rPr>
          <w:rFonts w:hint="eastAsia" w:ascii="宋体" w:hAnsi="宋体" w:eastAsia="宋体" w:cs="宋体"/>
          <w:color w:val="000000" w:themeColor="text1"/>
          <w:sz w:val="21"/>
          <w:szCs w:val="21"/>
          <w:highlight w:val="none"/>
          <w:lang w:val="en-US" w:eastAsia="zh-CN"/>
          <w14:textFill>
            <w14:solidFill>
              <w14:schemeClr w14:val="tx1"/>
            </w14:solidFill>
          </w14:textFill>
        </w:rPr>
        <w:t>2026</w:t>
      </w:r>
      <w:r>
        <w:rPr>
          <w:rFonts w:hint="eastAsia" w:ascii="宋体" w:hAnsi="宋体" w:eastAsia="宋体" w:cs="宋体"/>
          <w:color w:val="000000" w:themeColor="text1"/>
          <w:sz w:val="21"/>
          <w:szCs w:val="21"/>
          <w:highlight w:val="none"/>
          <w14:textFill>
            <w14:solidFill>
              <w14:schemeClr w14:val="tx1"/>
            </w14:solidFill>
          </w14:textFill>
        </w:rPr>
        <w:t>年五金材料及工器具供应商，由乙方向甲方提供所需的日常的五金材料及工器具，详见附件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default" w:ascii="宋体" w:hAnsi="宋体" w:eastAsia="宋体" w:cs="宋体"/>
          <w:color w:val="000000" w:themeColor="text1"/>
          <w:sz w:val="21"/>
          <w:szCs w:val="21"/>
          <w:highlight w:val="none"/>
          <w:lang w:val="en-US"/>
          <w14:textFill>
            <w14:solidFill>
              <w14:schemeClr w14:val="tx1"/>
            </w14:solidFill>
          </w14:textFill>
        </w:rPr>
        <w:t>采购清单及价格表</w:t>
      </w:r>
      <w:r>
        <w:rPr>
          <w:rFonts w:hint="eastAsia" w:ascii="宋体" w:hAnsi="宋体" w:eastAsia="宋体" w:cs="宋体"/>
          <w:color w:val="000000" w:themeColor="text1"/>
          <w:sz w:val="21"/>
          <w:szCs w:val="21"/>
          <w:highlight w:val="none"/>
          <w14:textFill>
            <w14:solidFill>
              <w14:schemeClr w14:val="tx1"/>
            </w14:solidFill>
          </w14:textFill>
        </w:rPr>
        <w:t>》”。</w:t>
      </w:r>
    </w:p>
    <w:p w14:paraId="52CC6F17">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“甲方”指甲方1</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、甲方2</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、甲方3</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、甲方4</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甲方5</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、甲方6</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的统称，共同作为本合同的甲方，共同享有合同项下的权利并承担义务，除付款责任按约定分别承担外，其余条款中“甲方”的表述均涵盖甲方1、甲方2、甲方3、甲方4、甲方5、甲方6。甲方1、甲方2、甲方3、甲方4、甲方5、甲方6均有权就本合同约定的甲方的权利义务，单独或共同向乙方提出权利主张、要求乙方承担违约责任及赔偿责任。</w:t>
      </w:r>
    </w:p>
    <w:p w14:paraId="42DF4193">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本次采购数量为暂定数量，仅为便于计算暂定合同价使用，不作为甲方最终采购数量的保证。实际需求数量以甲方各运营项目具体供货通知为准，按实结算。不含税中标综合单价不随数量的变化而增减。乙方不得因甲方实际采购数量的减少或增加而要求提供任何形式的补偿或赔偿，或者要求甲方按暂定数量采购相应货物。</w:t>
      </w:r>
    </w:p>
    <w:p w14:paraId="4CAD4F1E">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合同履约过程中，如甲方有新增的运营项目需要供货的，按不含税中标综合单价按实结算。</w:t>
      </w:r>
    </w:p>
    <w:p w14:paraId="4FC9480F">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乙方有义务接受甲方的监督、评价及考核。 </w:t>
      </w:r>
    </w:p>
    <w:p w14:paraId="13FE262D">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乙方必须清楚理解：本项目不具排他性，本采购结果仅作为乙方在合同期限内取得向甲方各运营项目供应五金材料及工器具的资格，但并不代表乙方必然取得具体运营项目供货的权利。甲方根据乙方资质条件、履约能力和实际履约情况，及甲方的实际需求仍有权另行采购其他第三方进行本次合同范围内的货物供货服务。</w:t>
      </w:r>
    </w:p>
    <w:p w14:paraId="6B4CC5A3">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lang w:val="en-US" w:eastAsia="zh-CN"/>
          <w14:textFill>
            <w14:solidFill>
              <w14:schemeClr w14:val="tx1"/>
            </w14:solidFill>
          </w14:textFill>
        </w:rPr>
        <w:t>每月</w:t>
      </w:r>
      <w:r>
        <w:rPr>
          <w:rFonts w:hint="eastAsia" w:ascii="宋体" w:hAnsi="宋体" w:eastAsia="宋体" w:cs="宋体"/>
          <w:color w:val="000000" w:themeColor="text1"/>
          <w:sz w:val="21"/>
          <w:szCs w:val="21"/>
          <w:highlight w:val="none"/>
          <w14:textFill>
            <w14:solidFill>
              <w14:schemeClr w14:val="tx1"/>
            </w14:solidFill>
          </w14:textFill>
        </w:rPr>
        <w:t>在付款手续前对乙方的履约情况进行评价，填写《供应商履约评价表》，供应商履约评价表满分为100分，评价表中每项实得分均不低于该项分值80%的为合格；评价表中每项实得分有低于该项分值80%的为不合格</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对于评审结论为不合格的，甲方有权暂停乙方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供货资格</w:t>
      </w:r>
      <w:r>
        <w:rPr>
          <w:rFonts w:hint="eastAsia" w:ascii="宋体" w:hAnsi="宋体" w:eastAsia="宋体" w:cs="宋体"/>
          <w:color w:val="000000" w:themeColor="text1"/>
          <w:sz w:val="21"/>
          <w:szCs w:val="21"/>
          <w:highlight w:val="none"/>
          <w14:textFill>
            <w14:solidFill>
              <w14:schemeClr w14:val="tx1"/>
            </w14:solidFill>
          </w14:textFill>
        </w:rPr>
        <w:t>一个月；若出现第二次评审结论为不合格的，甲方有权取消乙方的供货资格并单方解除本合同。</w:t>
      </w:r>
    </w:p>
    <w:p w14:paraId="547E345E">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3289CE90">
      <w:pPr>
        <w:pStyle w:val="131"/>
        <w:keepNext w:val="0"/>
        <w:keepLines w:val="0"/>
        <w:pageBreakBefore w:val="0"/>
        <w:widowControl w:val="0"/>
        <w:numPr>
          <w:ilvl w:val="0"/>
          <w:numId w:val="2"/>
        </w:numPr>
        <w:kinsoku/>
        <w:wordWrap/>
        <w:overflowPunct/>
        <w:topLinePunct w:val="0"/>
        <w:bidi w:val="0"/>
        <w:spacing w:line="360" w:lineRule="auto"/>
        <w:ind w:firstLineChars="0"/>
        <w:textAlignment w:val="auto"/>
        <w:outlineLvl w:val="3"/>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合同供货期</w:t>
      </w:r>
    </w:p>
    <w:p w14:paraId="0621C0AE">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w:t>
      </w:r>
      <w:r>
        <w:rPr>
          <w:rFonts w:hint="eastAsia" w:ascii="宋体" w:hAnsi="宋体" w:eastAsia="宋体" w:cs="宋体"/>
          <w:color w:val="000000" w:themeColor="text1"/>
          <w:sz w:val="21"/>
          <w:szCs w:val="21"/>
          <w:highlight w:val="none"/>
          <w14:textFill>
            <w14:solidFill>
              <w14:schemeClr w14:val="tx1"/>
            </w14:solidFill>
          </w14:textFill>
        </w:rPr>
        <w:t>之日至2026年12月31日。供货期内，部分提标运营项目有移交第三方单位运营的计划，具体移交时间暂未定，移交第三方单位运营的提标运营项目五金材料及工器具供货期至第三方单位接手运营起始时间前1日（具体截止时间甲方在截止之日前10个工作日内以书面形式通知乙方），未移交第三方单位运营的提标运营项目五金材料及工器具供货期截止至2026年12月31日。</w:t>
      </w:r>
    </w:p>
    <w:p w14:paraId="04F60B36">
      <w:pPr>
        <w:pStyle w:val="131"/>
        <w:keepNext w:val="0"/>
        <w:keepLines w:val="0"/>
        <w:pageBreakBefore w:val="0"/>
        <w:widowControl w:val="0"/>
        <w:kinsoku/>
        <w:wordWrap/>
        <w:overflowPunct/>
        <w:topLinePunct w:val="0"/>
        <w:bidi w:val="0"/>
        <w:spacing w:line="360" w:lineRule="auto"/>
        <w:ind w:left="720" w:firstLine="0" w:firstLineChars="0"/>
        <w:textAlignment w:val="auto"/>
        <w:rPr>
          <w:rFonts w:hint="eastAsia" w:ascii="宋体" w:hAnsi="宋体" w:eastAsia="宋体" w:cs="宋体"/>
          <w:b/>
          <w:color w:val="000000" w:themeColor="text1"/>
          <w:szCs w:val="21"/>
          <w:highlight w:val="none"/>
          <w14:textFill>
            <w14:solidFill>
              <w14:schemeClr w14:val="tx1"/>
            </w14:solidFill>
          </w14:textFill>
        </w:rPr>
      </w:pPr>
    </w:p>
    <w:p w14:paraId="04983672">
      <w:pPr>
        <w:pStyle w:val="131"/>
        <w:keepNext w:val="0"/>
        <w:keepLines w:val="0"/>
        <w:pageBreakBefore w:val="0"/>
        <w:widowControl w:val="0"/>
        <w:numPr>
          <w:ilvl w:val="0"/>
          <w:numId w:val="2"/>
        </w:numPr>
        <w:kinsoku/>
        <w:wordWrap/>
        <w:overflowPunct/>
        <w:topLinePunct w:val="0"/>
        <w:bidi w:val="0"/>
        <w:spacing w:line="360" w:lineRule="auto"/>
        <w:ind w:firstLineChars="0"/>
        <w:textAlignment w:val="auto"/>
        <w:outlineLvl w:val="3"/>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货物相关要求</w:t>
      </w:r>
    </w:p>
    <w:p w14:paraId="53E19CF5">
      <w:pPr>
        <w:pStyle w:val="18"/>
        <w:keepNext w:val="0"/>
        <w:keepLines w:val="0"/>
        <w:pageBreakBefore w:val="0"/>
        <w:widowControl w:val="0"/>
        <w:kinsoku/>
        <w:wordWrap/>
        <w:overflowPunct/>
        <w:topLinePunct w:val="0"/>
        <w:bidi w:val="0"/>
        <w:adjustRightIn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乙方所供货物的品牌可参考推荐品牌或乙方所供货物的品牌其质量同等或优于推荐品牌。乙方所供货物的品牌其质量同等或优于推荐品牌的，本合同项下</w:t>
      </w:r>
      <w:r>
        <w:rPr>
          <w:rFonts w:hint="eastAsia" w:hAnsi="宋体" w:cs="宋体"/>
          <w:b w:val="0"/>
          <w:bCs w:val="0"/>
          <w:color w:val="000000" w:themeColor="text1"/>
          <w:sz w:val="21"/>
          <w:szCs w:val="21"/>
          <w:highlight w:val="none"/>
          <w:lang w:val="en-US" w:eastAsia="zh-CN"/>
          <w14:textFill>
            <w14:solidFill>
              <w14:schemeClr w14:val="tx1"/>
            </w14:solidFill>
          </w14:textFill>
        </w:rPr>
        <w:t>对应</w:t>
      </w:r>
      <w:r>
        <w:rPr>
          <w:rFonts w:hint="eastAsia" w:ascii="宋体" w:hAnsi="宋体" w:eastAsia="宋体" w:cs="宋体"/>
          <w:b w:val="0"/>
          <w:bCs w:val="0"/>
          <w:color w:val="000000" w:themeColor="text1"/>
          <w:sz w:val="21"/>
          <w:szCs w:val="21"/>
          <w:highlight w:val="none"/>
          <w14:textFill>
            <w14:solidFill>
              <w14:schemeClr w14:val="tx1"/>
            </w14:solidFill>
          </w14:textFill>
        </w:rPr>
        <w:t>的综合单价均不作出变更。</w:t>
      </w:r>
    </w:p>
    <w:p w14:paraId="683ED038">
      <w:pPr>
        <w:pStyle w:val="18"/>
        <w:keepNext w:val="0"/>
        <w:keepLines w:val="0"/>
        <w:pageBreakBefore w:val="0"/>
        <w:widowControl w:val="0"/>
        <w:kinsoku/>
        <w:wordWrap/>
        <w:overflowPunct/>
        <w:topLinePunct w:val="0"/>
        <w:bidi w:val="0"/>
        <w:adjustRightIn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乙方所提供的货物必须符合国家现行有效的法律法规、行业规范及相关的质量标准并保证其产品使用质量，满足甲方的实际使用需求。如在货物送货时发现货物破损或者发生质量问题，甲方有权要求乙方在收到通知后【3】日内退换相应的货物</w:t>
      </w:r>
      <w:r>
        <w:rPr>
          <w:rFonts w:hint="eastAsia" w:hAnsi="宋体" w:cs="宋体"/>
          <w:b w:val="0"/>
          <w:bCs w:val="0"/>
          <w:color w:val="000000" w:themeColor="text1"/>
          <w:sz w:val="21"/>
          <w:szCs w:val="21"/>
          <w:highlight w:val="none"/>
          <w:lang w:val="en-US" w:eastAsia="zh-CN"/>
          <w14:textFill>
            <w14:solidFill>
              <w14:schemeClr w14:val="tx1"/>
            </w14:solidFill>
          </w14:textFill>
        </w:rPr>
        <w:t>并经甲方验收合格</w:t>
      </w:r>
      <w:r>
        <w:rPr>
          <w:rFonts w:hint="eastAsia" w:ascii="宋体" w:hAnsi="宋体" w:eastAsia="宋体" w:cs="宋体"/>
          <w:b w:val="0"/>
          <w:bCs w:val="0"/>
          <w:color w:val="000000" w:themeColor="text1"/>
          <w:sz w:val="21"/>
          <w:szCs w:val="21"/>
          <w:highlight w:val="none"/>
          <w14:textFill>
            <w14:solidFill>
              <w14:schemeClr w14:val="tx1"/>
            </w14:solidFill>
          </w14:textFill>
        </w:rPr>
        <w:t>；如因货物质量问题在安装使用后导致设备损坏无法正常使用，由乙方负责对该设备进行维修，因此产生的费用</w:t>
      </w:r>
      <w:r>
        <w:rPr>
          <w:rFonts w:hint="eastAsia" w:hAnsi="宋体" w:cs="宋体"/>
          <w:b w:val="0"/>
          <w:bCs w:val="0"/>
          <w:color w:val="000000" w:themeColor="text1"/>
          <w:sz w:val="21"/>
          <w:szCs w:val="21"/>
          <w:highlight w:val="none"/>
          <w:lang w:val="en-US" w:eastAsia="zh-CN"/>
          <w14:textFill>
            <w14:solidFill>
              <w14:schemeClr w14:val="tx1"/>
            </w14:solidFill>
          </w14:textFill>
        </w:rPr>
        <w:t>及因此导致的甲方损失均</w:t>
      </w:r>
      <w:r>
        <w:rPr>
          <w:rFonts w:hint="eastAsia" w:ascii="宋体" w:hAnsi="宋体" w:eastAsia="宋体" w:cs="宋体"/>
          <w:b w:val="0"/>
          <w:bCs w:val="0"/>
          <w:color w:val="000000" w:themeColor="text1"/>
          <w:sz w:val="21"/>
          <w:szCs w:val="21"/>
          <w:highlight w:val="none"/>
          <w14:textFill>
            <w14:solidFill>
              <w14:schemeClr w14:val="tx1"/>
            </w14:solidFill>
          </w14:textFill>
        </w:rPr>
        <w:t>由乙方承担。</w:t>
      </w:r>
    </w:p>
    <w:p w14:paraId="5699C80D">
      <w:pPr>
        <w:pStyle w:val="18"/>
        <w:keepNext w:val="0"/>
        <w:keepLines w:val="0"/>
        <w:pageBreakBefore w:val="0"/>
        <w:widowControl w:val="0"/>
        <w:kinsoku/>
        <w:wordWrap/>
        <w:overflowPunct/>
        <w:topLinePunct w:val="0"/>
        <w:bidi w:val="0"/>
        <w:adjustRightIn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乙方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6674E68E">
      <w:pPr>
        <w:pStyle w:val="18"/>
        <w:keepNext w:val="0"/>
        <w:keepLines w:val="0"/>
        <w:pageBreakBefore w:val="0"/>
        <w:widowControl w:val="0"/>
        <w:kinsoku/>
        <w:wordWrap/>
        <w:overflowPunct/>
        <w:topLinePunct w:val="0"/>
        <w:bidi w:val="0"/>
        <w:spacing w:line="360" w:lineRule="auto"/>
        <w:ind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4、如乙方所供的货物是国内制造的，需为交货时间前8个月内生产，若乙方所提供的货物是国外制造的，需为交货时间前12个月内生产。如货物无法确定具体生产时间，需符合合同中的质量要求及验收标准。</w:t>
      </w:r>
    </w:p>
    <w:p w14:paraId="54324C61">
      <w:pPr>
        <w:pStyle w:val="18"/>
        <w:keepNext w:val="0"/>
        <w:keepLines w:val="0"/>
        <w:pageBreakBefore w:val="0"/>
        <w:widowControl w:val="0"/>
        <w:kinsoku/>
        <w:wordWrap/>
        <w:overflowPunct/>
        <w:topLinePunct w:val="0"/>
        <w:bidi w:val="0"/>
        <w:adjustRightIn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乙方必须提供目前市场上技术较先进，成熟的原装产品，其质量、规格及技术特征符合合同附件的要求，并符合国家有关标准。</w:t>
      </w:r>
    </w:p>
    <w:p w14:paraId="00951AC0">
      <w:pPr>
        <w:pStyle w:val="18"/>
        <w:keepNext w:val="0"/>
        <w:keepLines w:val="0"/>
        <w:pageBreakBefore w:val="0"/>
        <w:widowControl w:val="0"/>
        <w:kinsoku/>
        <w:wordWrap/>
        <w:overflowPunct/>
        <w:topLinePunct w:val="0"/>
        <w:bidi w:val="0"/>
        <w:adjustRightIn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如货物属于国家规定的特种劳动防护用品的，乙方应在交货时提供相关产品检验报告等质量证明文件。</w:t>
      </w:r>
    </w:p>
    <w:p w14:paraId="3ACE70D4">
      <w:pPr>
        <w:pStyle w:val="18"/>
        <w:keepNext w:val="0"/>
        <w:keepLines w:val="0"/>
        <w:pageBreakBefore w:val="0"/>
        <w:widowControl w:val="0"/>
        <w:kinsoku/>
        <w:wordWrap/>
        <w:overflowPunct/>
        <w:topLinePunct w:val="0"/>
        <w:bidi w:val="0"/>
        <w:spacing w:line="360" w:lineRule="auto"/>
        <w:ind w:firstLine="422" w:firstLineChars="200"/>
        <w:jc w:val="left"/>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p>
    <w:p w14:paraId="0104A34F">
      <w:pPr>
        <w:pStyle w:val="131"/>
        <w:keepNext w:val="0"/>
        <w:keepLines w:val="0"/>
        <w:pageBreakBefore w:val="0"/>
        <w:widowControl w:val="0"/>
        <w:numPr>
          <w:ilvl w:val="0"/>
          <w:numId w:val="2"/>
        </w:numPr>
        <w:kinsoku/>
        <w:wordWrap/>
        <w:overflowPunct/>
        <w:topLinePunct w:val="0"/>
        <w:bidi w:val="0"/>
        <w:spacing w:line="360" w:lineRule="auto"/>
        <w:ind w:firstLineChars="0"/>
        <w:textAlignment w:val="auto"/>
        <w:outlineLvl w:val="3"/>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交货约定</w:t>
      </w:r>
    </w:p>
    <w:p w14:paraId="7D939264">
      <w:pPr>
        <w:pStyle w:val="65"/>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交货期：</w:t>
      </w:r>
    </w:p>
    <w:p w14:paraId="072BD565">
      <w:pPr>
        <w:pStyle w:val="65"/>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①月度配送。每月10</w:t>
      </w:r>
      <w:r>
        <w:rPr>
          <w:rFonts w:hint="eastAsia" w:ascii="宋体" w:eastAsia="宋体" w:cs="宋体"/>
          <w:color w:val="000000" w:themeColor="text1"/>
          <w:sz w:val="21"/>
          <w:szCs w:val="21"/>
          <w:highlight w:val="none"/>
          <w:lang w:val="en-US" w:eastAsia="zh-CN"/>
          <w14:textFill>
            <w14:solidFill>
              <w14:schemeClr w14:val="tx1"/>
            </w14:solidFill>
          </w14:textFill>
        </w:rPr>
        <w:t>号</w:t>
      </w:r>
      <w:r>
        <w:rPr>
          <w:rFonts w:hint="eastAsia" w:ascii="宋体" w:hAnsi="宋体" w:eastAsia="宋体" w:cs="宋体"/>
          <w:color w:val="000000" w:themeColor="text1"/>
          <w:sz w:val="21"/>
          <w:szCs w:val="21"/>
          <w:highlight w:val="none"/>
          <w14:textFill>
            <w14:solidFill>
              <w14:schemeClr w14:val="tx1"/>
            </w14:solidFill>
          </w14:textFill>
        </w:rPr>
        <w:t>前甲方各运营项目发出供货通知，乙方自接到甲方各运营项目供货通知后，需在【</w:t>
      </w:r>
      <w:r>
        <w:rPr>
          <w:rFonts w:hint="eastAsia" w:asci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】个工作日内按甲方各运营项目该次发出供货清单送达并经甲方各运营项目验收合格。</w:t>
      </w:r>
    </w:p>
    <w:p w14:paraId="19D0AF67">
      <w:pPr>
        <w:pStyle w:val="65"/>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②临时配送。如遇临时紧急配送，自接到甲方各运营项目供货通知后，</w:t>
      </w:r>
      <w:r>
        <w:rPr>
          <w:rFonts w:hint="eastAsia" w:asci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需在【1】个工作日内按甲方各运营项目该次发出供货清单送达并经甲方各运营项目验收合格，由双方签字确认，供货是否为紧急配送以甲方各运营项目书面通知为准。</w:t>
      </w:r>
    </w:p>
    <w:p w14:paraId="04499D1F">
      <w:pPr>
        <w:pStyle w:val="65"/>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③交货延期要求。出现货源不充足需要订购的五金材料及工器具，乙方需在收到甲方各运营项目的供货通知后24小时内与上述各运营项目进行沟通并经甲方各运营项目书面同意后，可延长交货期。</w:t>
      </w:r>
    </w:p>
    <w:p w14:paraId="24CD74CB">
      <w:pPr>
        <w:pStyle w:val="65"/>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交货地点：东莞市水务环境投资控股集团净水有限公司旗下各运营项目，地址详见</w:t>
      </w:r>
      <w:r>
        <w:rPr>
          <w:rFonts w:hint="eastAsia" w:ascii="宋体" w:hAnsi="宋体" w:eastAsia="宋体" w:cs="宋体"/>
          <w:color w:val="000000" w:themeColor="text1"/>
          <w:sz w:val="21"/>
          <w:szCs w:val="21"/>
          <w:highlight w:val="none"/>
          <w:lang w:val="en-US" w:eastAsia="zh-CN"/>
          <w14:textFill>
            <w14:solidFill>
              <w14:schemeClr w14:val="tx1"/>
            </w14:solidFill>
          </w14:textFill>
        </w:rPr>
        <w:t>用户需求书中</w:t>
      </w:r>
      <w:r>
        <w:rPr>
          <w:rFonts w:hint="eastAsia" w:ascii="宋体" w:hAnsi="宋体" w:eastAsia="宋体" w:cs="宋体"/>
          <w:color w:val="000000" w:themeColor="text1"/>
          <w:sz w:val="21"/>
          <w:szCs w:val="21"/>
          <w:highlight w:val="none"/>
          <w14:textFill>
            <w14:solidFill>
              <w14:schemeClr w14:val="tx1"/>
            </w14:solidFill>
          </w14:textFill>
        </w:rPr>
        <w:t>《送货地址汇总表》。</w:t>
      </w:r>
    </w:p>
    <w:p w14:paraId="48FFFB5B">
      <w:pPr>
        <w:pStyle w:val="65"/>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交货方式与风险承担：在货物移交给</w:t>
      </w:r>
      <w:r>
        <w:rPr>
          <w:rFonts w:hint="eastAsia" w:asci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各运营项目并经</w:t>
      </w:r>
      <w:r>
        <w:rPr>
          <w:rFonts w:hint="eastAsia" w:asci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各运营项目最终验收合格前，货物的毁损、灭失的风险和责任均由乙方承担。</w:t>
      </w:r>
    </w:p>
    <w:p w14:paraId="19DFFFA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37AD6BB3">
      <w:pPr>
        <w:keepNext w:val="0"/>
        <w:keepLines w:val="0"/>
        <w:pageBreakBefore w:val="0"/>
        <w:widowControl w:val="0"/>
        <w:kinsoku/>
        <w:wordWrap/>
        <w:overflowPunct/>
        <w:topLinePunct w:val="0"/>
        <w:bidi w:val="0"/>
        <w:spacing w:line="360" w:lineRule="auto"/>
        <w:textAlignment w:val="auto"/>
        <w:outlineLvl w:val="3"/>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第五条  验收</w:t>
      </w:r>
    </w:p>
    <w:p w14:paraId="4A689145">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每次货物到达交货地点后，甲方各运营项目（含甲方委托的第三方）、乙方代表共同清点及验货。甲方各运营项目按照合同及货物清单、国家相关法律法规以及规范的要求等相关的规定，对货物的品种、品牌、产地、规格型号、数量、外观质量、资料进行清点和全面的检验，并作详细的记录。</w:t>
      </w:r>
    </w:p>
    <w:p w14:paraId="64CD3459">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货期内乙方需安排固定的代表人员与甲方各运营项目对接，并在本项目合同中提供代表人员的姓名、职务、联系方式信息。供货期间乙方不得随意变更其代表人员，如乙方需变更其代表人员的，应当在下一次供货前【3】日内将书面的变更申请提交至甲方</w:t>
      </w:r>
      <w:r>
        <w:rPr>
          <w:rFonts w:hint="eastAsia" w:ascii="宋体" w:hAnsi="宋体" w:eastAsia="宋体" w:cs="宋体"/>
          <w:color w:val="000000" w:themeColor="text1"/>
          <w:sz w:val="21"/>
          <w:szCs w:val="21"/>
          <w:highlight w:val="none"/>
          <w:lang w:val="en-US" w:eastAsia="zh-CN"/>
          <w14:textFill>
            <w14:solidFill>
              <w14:schemeClr w14:val="tx1"/>
            </w14:solidFill>
          </w14:textFill>
        </w:rPr>
        <w:t>并经甲方同意</w:t>
      </w:r>
      <w:r>
        <w:rPr>
          <w:rFonts w:hint="eastAsia" w:ascii="宋体" w:hAnsi="宋体" w:eastAsia="宋体" w:cs="宋体"/>
          <w:color w:val="000000" w:themeColor="text1"/>
          <w:sz w:val="21"/>
          <w:szCs w:val="21"/>
          <w:highlight w:val="none"/>
          <w14:textFill>
            <w14:solidFill>
              <w14:schemeClr w14:val="tx1"/>
            </w14:solidFill>
          </w14:textFill>
        </w:rPr>
        <w:t>；否则甲方有权依据本合同项下乙方代表人员名单对相关货物进行检验或确认，由此产生的责任均由乙方自行承担。</w:t>
      </w:r>
    </w:p>
    <w:p w14:paraId="66C99A8F">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乙方代表联系方式</w:t>
      </w:r>
    </w:p>
    <w:p w14:paraId="02B2D917">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姓名：</w:t>
      </w:r>
    </w:p>
    <w:p w14:paraId="3DF0EC93">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职务：</w:t>
      </w:r>
    </w:p>
    <w:p w14:paraId="79183D25">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p>
    <w:p w14:paraId="45F719A0">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乙方的货物应当按照甲方要求送到指定的地点，由于使用第三方送货服务导致货物未能经过双方共同验收、未送到指定地点仓库的，甲方有权拒绝收货。</w:t>
      </w:r>
    </w:p>
    <w:p w14:paraId="5CEDB514">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32C5593E">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 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6875A617">
      <w:pPr>
        <w:pStyle w:val="2"/>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如发现货物的品种、规格型号、数量、外观质量、品牌与合同及供货清单不符，或货物短缺、质次、损坏等问题，应作详细记录，且甲方有权拒绝收货及拒绝付款，乙方应在收到甲方通知后【3】日内、无条件为甲方免费更换、补齐或无条件退货</w:t>
      </w:r>
      <w:r>
        <w:rPr>
          <w:rFonts w:hint="eastAsia" w:ascii="宋体" w:hAnsi="宋体" w:eastAsia="宋体" w:cs="宋体"/>
          <w:color w:val="000000" w:themeColor="text1"/>
          <w:sz w:val="21"/>
          <w:szCs w:val="21"/>
          <w:highlight w:val="none"/>
          <w:lang w:val="en-US" w:eastAsia="zh-CN"/>
          <w14:textFill>
            <w14:solidFill>
              <w14:schemeClr w14:val="tx1"/>
            </w14:solidFill>
          </w14:textFill>
        </w:rPr>
        <w:t>并经甲方验收合格</w:t>
      </w:r>
      <w:r>
        <w:rPr>
          <w:rFonts w:hint="eastAsia" w:ascii="宋体" w:hAnsi="宋体" w:eastAsia="宋体" w:cs="宋体"/>
          <w:color w:val="000000" w:themeColor="text1"/>
          <w:sz w:val="21"/>
          <w:szCs w:val="21"/>
          <w:highlight w:val="none"/>
          <w:lang w:eastAsia="zh-CN"/>
          <w14:textFill>
            <w14:solidFill>
              <w14:schemeClr w14:val="tx1"/>
            </w14:solidFill>
          </w14:textFill>
        </w:rPr>
        <w:t>，乙方自甲方通知货物不合格之时起，甲方有权要求乙方必须加急供货，乙方接到通知后，1个工作日内将等量的合格货物送交甲方指定的地点</w:t>
      </w:r>
      <w:r>
        <w:rPr>
          <w:rFonts w:hint="eastAsia" w:ascii="宋体" w:hAnsi="宋体" w:eastAsia="宋体" w:cs="宋体"/>
          <w:color w:val="000000" w:themeColor="text1"/>
          <w:sz w:val="21"/>
          <w:szCs w:val="21"/>
          <w:highlight w:val="none"/>
          <w:lang w:val="en-US" w:eastAsia="zh-CN"/>
          <w14:textFill>
            <w14:solidFill>
              <w14:schemeClr w14:val="tx1"/>
            </w14:solidFill>
          </w14:textFill>
        </w:rPr>
        <w:t>并经甲方验收合格</w:t>
      </w:r>
      <w:r>
        <w:rPr>
          <w:rFonts w:hint="eastAsia" w:ascii="宋体" w:hAnsi="宋体" w:eastAsia="宋体" w:cs="宋体"/>
          <w:color w:val="000000" w:themeColor="text1"/>
          <w:sz w:val="21"/>
          <w:szCs w:val="21"/>
          <w:highlight w:val="none"/>
          <w14:textFill>
            <w14:solidFill>
              <w14:schemeClr w14:val="tx1"/>
            </w14:solidFill>
          </w14:textFill>
        </w:rPr>
        <w:t>。更换或补齐后的货物，甲方有权按照本条有关验收的约定进行验收，由此产生的制造、修理、运费及保险费等费用均应由乙方负担，与甲方无关。</w:t>
      </w:r>
    </w:p>
    <w:p w14:paraId="34AE75C2">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xml:space="preserve"> 由于非甲方原因而引起货物的修理或更换的，应以不影响甲方生产为原则，且修理或更换应在甲方许可的时限内完成。交接并验收合格后，甲乙双方共同出具验收报告并由双方书面确认验收结果。</w:t>
      </w:r>
    </w:p>
    <w:p w14:paraId="33A689D7">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货物经验收合格后，乙方仍应在质保期内对产品质量承担保证责任。</w:t>
      </w:r>
    </w:p>
    <w:p w14:paraId="07F71CA9">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甲方各运营项目根据本条约定对货物所做出的验收，仅作为起算付款及质保期之用，不视为甲方对于货物质量的最终认定。</w:t>
      </w:r>
    </w:p>
    <w:p w14:paraId="0FEAB2EB">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货物在全部经甲方各运营项目验收合格前，其损耗、毁损、灭失等风险及责任由乙方承担，如因发生前述情形，导致乙方所供应的货物不能通过</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各运营项目验收的，乙方应按甲方各运营项目要求予以免费更换、补齐或无条件退货。</w:t>
      </w:r>
    </w:p>
    <w:p w14:paraId="478ED9D8">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验收过程中，如对检验记录不能取得一致意见时，一方可委托货物交付地有资质权威的第三方检验机构联合进行检验。检验结果具有约束力，检验费用由责任方负担。</w:t>
      </w:r>
    </w:p>
    <w:p w14:paraId="5AC12D09">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9801FAC">
      <w:pPr>
        <w:keepNext w:val="0"/>
        <w:keepLines w:val="0"/>
        <w:pageBreakBefore w:val="0"/>
        <w:widowControl w:val="0"/>
        <w:kinsoku/>
        <w:wordWrap/>
        <w:overflowPunct/>
        <w:topLinePunct w:val="0"/>
        <w:bidi w:val="0"/>
        <w:spacing w:line="360" w:lineRule="auto"/>
        <w:textAlignment w:val="auto"/>
        <w:outlineLvl w:val="3"/>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第六条 综合单价、暂定合同价及付款方式</w:t>
      </w:r>
    </w:p>
    <w:p w14:paraId="41EF5201">
      <w:pPr>
        <w:keepNext w:val="0"/>
        <w:keepLines w:val="0"/>
        <w:pageBreakBefore w:val="0"/>
        <w:widowControl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合同履约过程中，采购清单中各项货物不含税中标综合单价按以下方式计算：不含税中标综合单价=不含税预算综合单价×中标折扣系数，以</w:t>
      </w:r>
      <w:r>
        <w:rPr>
          <w:rFonts w:hint="eastAsia" w:ascii="宋体" w:hAnsi="宋体" w:eastAsia="宋体" w:cs="宋体"/>
          <w:color w:val="000000" w:themeColor="text1"/>
          <w:sz w:val="21"/>
          <w:szCs w:val="21"/>
          <w:highlight w:val="none"/>
          <w:lang w:val="en-US" w:eastAsia="zh-CN"/>
          <w14:textFill>
            <w14:solidFill>
              <w14:schemeClr w14:val="tx1"/>
            </w14:solidFill>
          </w14:textFill>
        </w:rPr>
        <w:t>经甲方验收合格的</w:t>
      </w:r>
      <w:r>
        <w:rPr>
          <w:rFonts w:hint="eastAsia" w:ascii="宋体" w:hAnsi="宋体" w:eastAsia="宋体" w:cs="宋体"/>
          <w:color w:val="000000" w:themeColor="text1"/>
          <w:sz w:val="21"/>
          <w:szCs w:val="21"/>
          <w:highlight w:val="none"/>
          <w14:textFill>
            <w14:solidFill>
              <w14:schemeClr w14:val="tx1"/>
            </w14:solidFill>
          </w14:textFill>
        </w:rPr>
        <w:t>实际供货数量进行结算。具体不含税预算综合单价详见附件《采购清单及价格表》，对应招标时暂列采购数量清单计算的暂定合同价（即销售额，不含销项税额）=不含税暂定采购金额×中标折扣系数，即为</w:t>
      </w:r>
      <w:r>
        <w:rPr>
          <w:rFonts w:hint="eastAsia" w:ascii="宋体" w:hAnsi="宋体" w:eastAsia="宋体" w:cs="宋体"/>
          <w:color w:val="000000" w:themeColor="text1"/>
          <w:sz w:val="21"/>
          <w:szCs w:val="21"/>
          <w:highlight w:val="none"/>
          <w:u w:val="single"/>
          <w14:textFill>
            <w14:solidFill>
              <w14:schemeClr w14:val="tx1"/>
            </w14:solidFill>
          </w14:textFill>
        </w:rPr>
        <w:t>¥         元</w:t>
      </w:r>
      <w:r>
        <w:rPr>
          <w:rFonts w:hint="eastAsia" w:ascii="宋体" w:hAnsi="宋体" w:eastAsia="宋体" w:cs="宋体"/>
          <w:color w:val="000000" w:themeColor="text1"/>
          <w:sz w:val="21"/>
          <w:szCs w:val="21"/>
          <w:highlight w:val="none"/>
          <w14:textFill>
            <w14:solidFill>
              <w14:schemeClr w14:val="tx1"/>
            </w14:solidFill>
          </w14:textFill>
        </w:rPr>
        <w:t>（大写人民币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）。出现小数点，保留小数点后2位，从小数点后第3位四舍五入。</w:t>
      </w:r>
    </w:p>
    <w:p w14:paraId="0B8E90D7">
      <w:pPr>
        <w:pStyle w:val="131"/>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2、</w:t>
      </w:r>
      <w:r>
        <w:rPr>
          <w:rFonts w:hint="eastAsia" w:ascii="宋体" w:hAnsi="宋体" w:eastAsia="宋体" w:cs="宋体"/>
          <w:bCs/>
          <w:color w:val="000000" w:themeColor="text1"/>
          <w:sz w:val="21"/>
          <w:szCs w:val="21"/>
          <w:highlight w:val="none"/>
          <w14:textFill>
            <w14:solidFill>
              <w14:schemeClr w14:val="tx1"/>
            </w14:solidFill>
          </w14:textFill>
        </w:rPr>
        <w:t>依法计得并根据本合同约定确定的销项税额由甲方承担。根据《中华人民共和国增值税法实施条例》（国务院令第</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826</w:t>
      </w:r>
      <w:r>
        <w:rPr>
          <w:rFonts w:hint="eastAsia" w:ascii="宋体" w:hAnsi="宋体" w:eastAsia="宋体" w:cs="宋体"/>
          <w:bCs/>
          <w:color w:val="000000" w:themeColor="text1"/>
          <w:sz w:val="21"/>
          <w:szCs w:val="21"/>
          <w:highlight w:val="none"/>
          <w14:textFill>
            <w14:solidFill>
              <w14:schemeClr w14:val="tx1"/>
            </w14:solidFill>
          </w14:textFill>
        </w:rPr>
        <w:t>号）及当前税务部门的相关规定，本合同项目的增值税税率为</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，对应的销项税额暂定为¥     元（大写人民币      ）</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在本合同履行过程中，税收政策变动导致增值税税率调整，依法应调整销项税额的，依法调整；但因乙方未按甲方要求时间完成供货、未根据合同约定提供合法、完整的请款资料、货物验收不合格导致的返工或退货、货物验收合格前的非正常损耗等原因导致销项税额增加的，相应损失由乙方承担。</w:t>
      </w:r>
    </w:p>
    <w:p w14:paraId="395B9AC0">
      <w:pPr>
        <w:pStyle w:val="131"/>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因乙方未按法定税率计算税额或未根据合同约定出具对应税额的增值税专用发票等原因导致甲方多支付税额的，乙方必须退还甲方，给甲方造成损失的，乙方须向甲方赔偿相应损失。</w:t>
      </w:r>
    </w:p>
    <w:p w14:paraId="0A3C312B">
      <w:pPr>
        <w:pStyle w:val="131"/>
        <w:keepNext w:val="0"/>
        <w:keepLines w:val="0"/>
        <w:pageBreakBefore w:val="0"/>
        <w:widowControl w:val="0"/>
        <w:kinsoku/>
        <w:wordWrap/>
        <w:overflowPunct/>
        <w:topLinePunct w:val="0"/>
        <w:bidi w:val="0"/>
        <w:spacing w:line="360" w:lineRule="auto"/>
        <w:ind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不含税中标综合单价包括了甲方需就购买本合同项下货物及其服务所支付的全部价款，包括但不限于：</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货物及用户需求书采购清单中要求每项货物配备的附件、备品备件的采购、制造、检测、试验、送货、</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装卸、</w:t>
      </w:r>
      <w:r>
        <w:rPr>
          <w:rFonts w:hint="eastAsia" w:ascii="宋体" w:hAnsi="宋体" w:eastAsia="宋体" w:cs="宋体"/>
          <w:bCs/>
          <w:color w:val="000000" w:themeColor="text1"/>
          <w:sz w:val="21"/>
          <w:szCs w:val="21"/>
          <w:highlight w:val="none"/>
          <w14:textFill>
            <w14:solidFill>
              <w14:schemeClr w14:val="tx1"/>
            </w14:solidFill>
          </w14:textFill>
        </w:rPr>
        <w:t>搬运（含二次搬运至甲方指定仓储地点）、包装费、运费、保险、现场仓储等相关服务的全部费用；（2）供货货物及其工艺所有制造方、使用方应支付的对专有技术、商标权、专利权和版权、设计或其他知识产权而需要向其他方支付的版税；</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3）日常技术指导，</w:t>
      </w:r>
      <w:r>
        <w:rPr>
          <w:rFonts w:hint="eastAsia" w:ascii="宋体" w:hAnsi="宋体" w:eastAsia="宋体" w:cs="宋体"/>
          <w:bCs/>
          <w:color w:val="000000" w:themeColor="text1"/>
          <w:sz w:val="21"/>
          <w:szCs w:val="21"/>
          <w:highlight w:val="none"/>
          <w14:textFill>
            <w14:solidFill>
              <w14:schemeClr w14:val="tx1"/>
            </w14:solidFill>
          </w14:textFill>
        </w:rPr>
        <w:t>免费的质保服务，包括但不限于免费质量问题处理或更换失效产品；</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货物验收合格前发生的安全事故所产生的一切费用；</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合理利润、乙方销项税额以外的税费</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中标服务费</w:t>
      </w:r>
      <w:r>
        <w:rPr>
          <w:rFonts w:hint="eastAsia" w:ascii="宋体" w:hAnsi="宋体" w:eastAsia="宋体" w:cs="宋体"/>
          <w:bCs/>
          <w:color w:val="000000" w:themeColor="text1"/>
          <w:sz w:val="21"/>
          <w:szCs w:val="21"/>
          <w:highlight w:val="none"/>
          <w14:textFill>
            <w14:solidFill>
              <w14:schemeClr w14:val="tx1"/>
            </w14:solidFill>
          </w14:textFill>
        </w:rPr>
        <w:t>等；</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14:textFill>
            <w14:solidFill>
              <w14:schemeClr w14:val="tx1"/>
            </w14:solidFill>
          </w14:textFill>
        </w:rPr>
        <w:t>法律法规、商业公认、招标文件规定由乙方承担的其他直接及间接费用。</w:t>
      </w:r>
    </w:p>
    <w:p w14:paraId="709343B4">
      <w:pPr>
        <w:keepNext w:val="0"/>
        <w:keepLines w:val="0"/>
        <w:pageBreakBefore w:val="0"/>
        <w:widowControl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eastAsia="zh-CN"/>
          <w14:textFill>
            <w14:solidFill>
              <w14:schemeClr w14:val="tx1"/>
            </w14:solidFill>
          </w14:textFill>
        </w:rPr>
        <w:t>4、</w:t>
      </w:r>
      <w:r>
        <w:rPr>
          <w:rFonts w:hint="eastAsia" w:ascii="宋体" w:hAnsi="宋体" w:eastAsia="宋体" w:cs="宋体"/>
          <w:color w:val="000000" w:themeColor="text1"/>
          <w:sz w:val="21"/>
          <w:szCs w:val="21"/>
          <w:highlight w:val="none"/>
          <w:lang w:val="zh-CN"/>
          <w14:textFill>
            <w14:solidFill>
              <w14:schemeClr w14:val="tx1"/>
            </w14:solidFill>
          </w14:textFill>
        </w:rPr>
        <w:t>暂定合同价税合计为</w:t>
      </w:r>
      <w:r>
        <w:rPr>
          <w:rFonts w:hint="eastAsia" w:ascii="宋体" w:hAnsi="宋体" w:eastAsia="宋体" w:cs="宋体"/>
          <w:color w:val="000000" w:themeColor="text1"/>
          <w:sz w:val="21"/>
          <w:szCs w:val="21"/>
          <w:highlight w:val="none"/>
          <w:u w:val="none"/>
          <w:lang w:val="zh-CN"/>
          <w14:textFill>
            <w14:solidFill>
              <w14:schemeClr w14:val="tx1"/>
            </w14:solidFill>
          </w14:textFill>
        </w:rPr>
        <w:t>¥</w:t>
      </w:r>
      <w:r>
        <w:rPr>
          <w:rFonts w:hint="eastAsia" w:ascii="宋体" w:hAnsi="宋体" w:eastAsia="宋体" w:cs="宋体"/>
          <w:color w:val="000000" w:themeColor="text1"/>
          <w:sz w:val="2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zh-CN"/>
          <w14:textFill>
            <w14:solidFill>
              <w14:schemeClr w14:val="tx1"/>
            </w14:solidFill>
          </w14:textFill>
        </w:rPr>
        <w:t>元</w:t>
      </w:r>
      <w:r>
        <w:rPr>
          <w:rFonts w:hint="eastAsia" w:ascii="宋体" w:hAnsi="宋体" w:eastAsia="宋体" w:cs="宋体"/>
          <w:color w:val="000000" w:themeColor="text1"/>
          <w:sz w:val="21"/>
          <w:szCs w:val="21"/>
          <w:highlight w:val="none"/>
          <w:lang w:val="zh-CN"/>
          <w14:textFill>
            <w14:solidFill>
              <w14:schemeClr w14:val="tx1"/>
            </w14:solidFill>
          </w14:textFill>
        </w:rPr>
        <w:t>（大写人民币</w:t>
      </w:r>
      <w:r>
        <w:rPr>
          <w:rFonts w:hint="eastAsia" w:ascii="宋体" w:hAnsi="宋体" w:eastAsia="宋体" w:cs="宋体"/>
          <w:color w:val="000000" w:themeColor="text1"/>
          <w:sz w:val="2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zh-CN"/>
          <w14:textFill>
            <w14:solidFill>
              <w14:schemeClr w14:val="tx1"/>
            </w14:solidFill>
          </w14:textFill>
        </w:rPr>
        <w:t>），合同履行期间根据本条第2项规定调整销项税额的，结算合同价税合计对应调整。</w:t>
      </w:r>
    </w:p>
    <w:p w14:paraId="5F41E573">
      <w:pPr>
        <w:pStyle w:val="131"/>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在本合同履行过程中，不含税中标综合单价（不含销项税额）在合同执行期间固定不变，不得因材料、劳务成本、运输成本、国家政策、货物的行业标准或国家标准的变动或其他任何理由予以变更。未经甲方书面确认，乙方无权另行收取其它任何费用。</w:t>
      </w:r>
    </w:p>
    <w:p w14:paraId="3593694B">
      <w:pPr>
        <w:pStyle w:val="131"/>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6、合同履约过程中，乙方根据本合同约定需向甲方支付违约金、赔偿金或其他应付费用的，乙方应在收到甲方书面通知后【7】个工作日内，向甲方支付经双方确认的违约金、赔偿金或其他应付费用。甲方在收到乙方支付的上述款项后【15】个工作日内，按照本合同约定向乙方支付对应合同价款及税额；因乙方未及时足额支付前述款项导致甲方逾期付款的，甲方不构成违约。若乙方对需支付的款项金额有异议，应在收到甲方通知后【7】个工作日内与甲方协商，协商不成的可按本合同约定的争议解决方式处理。</w:t>
      </w:r>
    </w:p>
    <w:p w14:paraId="6ED3B7C4">
      <w:pPr>
        <w:pStyle w:val="131"/>
        <w:keepNext w:val="0"/>
        <w:keepLines w:val="0"/>
        <w:pageBreakBefore w:val="0"/>
        <w:widowControl w:val="0"/>
        <w:kinsoku/>
        <w:wordWrap/>
        <w:overflowPunct/>
        <w:topLinePunct w:val="0"/>
        <w:bidi w:val="0"/>
        <w:spacing w:line="360" w:lineRule="auto"/>
        <w:ind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Cs/>
          <w:color w:val="000000" w:themeColor="text1"/>
          <w:sz w:val="21"/>
          <w:szCs w:val="21"/>
          <w:highlight w:val="none"/>
          <w14:textFill>
            <w14:solidFill>
              <w14:schemeClr w14:val="tx1"/>
            </w14:solidFill>
          </w14:textFill>
        </w:rPr>
        <w:t>货物供货的款项按</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甲方单个</w:t>
      </w:r>
      <w:r>
        <w:rPr>
          <w:rFonts w:hint="eastAsia" w:ascii="宋体" w:hAnsi="宋体" w:eastAsia="宋体" w:cs="宋体"/>
          <w:bCs/>
          <w:color w:val="000000" w:themeColor="text1"/>
          <w:sz w:val="21"/>
          <w:szCs w:val="21"/>
          <w:highlight w:val="none"/>
          <w14:textFill>
            <w14:solidFill>
              <w14:schemeClr w14:val="tx1"/>
            </w14:solidFill>
          </w14:textFill>
        </w:rPr>
        <w:t>运营项目</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按月</w:t>
      </w:r>
      <w:r>
        <w:rPr>
          <w:rFonts w:hint="eastAsia" w:ascii="宋体" w:hAnsi="宋体" w:eastAsia="宋体" w:cs="宋体"/>
          <w:bCs/>
          <w:color w:val="000000" w:themeColor="text1"/>
          <w:sz w:val="21"/>
          <w:szCs w:val="21"/>
          <w:highlight w:val="none"/>
          <w14:textFill>
            <w14:solidFill>
              <w14:schemeClr w14:val="tx1"/>
            </w14:solidFill>
          </w14:textFill>
        </w:rPr>
        <w:t>结算。</w:t>
      </w:r>
      <w:r>
        <w:rPr>
          <w:rFonts w:hint="eastAsia" w:ascii="宋体" w:hAnsi="宋体" w:eastAsia="宋体" w:cs="宋体"/>
          <w:color w:val="000000" w:themeColor="text1"/>
          <w:sz w:val="21"/>
          <w:szCs w:val="21"/>
          <w:highlight w:val="none"/>
          <w14:textFill>
            <w14:solidFill>
              <w14:schemeClr w14:val="tx1"/>
            </w14:solidFill>
          </w14:textFill>
        </w:rPr>
        <w:t>甲方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对应</w:t>
      </w:r>
      <w:r>
        <w:rPr>
          <w:rFonts w:hint="eastAsia" w:ascii="宋体" w:hAnsi="宋体" w:eastAsia="宋体" w:cs="宋体"/>
          <w:bCs/>
          <w:color w:val="000000" w:themeColor="text1"/>
          <w:sz w:val="21"/>
          <w:szCs w:val="21"/>
          <w:highlight w:val="none"/>
          <w14:textFill>
            <w14:solidFill>
              <w14:schemeClr w14:val="tx1"/>
            </w14:solidFill>
          </w14:textFill>
        </w:rPr>
        <w:t>运营项目收到每批货物并验收合格后，每月中旬办理支付上月</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经甲方验收合格的</w:t>
      </w:r>
      <w:r>
        <w:rPr>
          <w:rFonts w:hint="eastAsia" w:ascii="宋体" w:hAnsi="宋体" w:eastAsia="宋体" w:cs="宋体"/>
          <w:bCs/>
          <w:color w:val="000000" w:themeColor="text1"/>
          <w:sz w:val="21"/>
          <w:szCs w:val="21"/>
          <w:highlight w:val="none"/>
          <w14:textFill>
            <w14:solidFill>
              <w14:schemeClr w14:val="tx1"/>
            </w14:solidFill>
          </w14:textFill>
        </w:rPr>
        <w:t>实际供货量的款项，乙方向甲方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对应</w:t>
      </w:r>
      <w:r>
        <w:rPr>
          <w:rFonts w:hint="eastAsia" w:ascii="宋体" w:hAnsi="宋体" w:eastAsia="宋体" w:cs="宋体"/>
          <w:bCs/>
          <w:color w:val="000000" w:themeColor="text1"/>
          <w:sz w:val="21"/>
          <w:szCs w:val="21"/>
          <w:highlight w:val="none"/>
          <w14:textFill>
            <w14:solidFill>
              <w14:schemeClr w14:val="tx1"/>
            </w14:solidFill>
          </w14:textFill>
        </w:rPr>
        <w:t>运营项目提交请款报告和</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请款金额</w:t>
      </w:r>
      <w:r>
        <w:rPr>
          <w:rFonts w:hint="eastAsia" w:ascii="宋体" w:hAnsi="宋体" w:eastAsia="宋体" w:cs="宋体"/>
          <w:bCs/>
          <w:color w:val="000000" w:themeColor="text1"/>
          <w:sz w:val="21"/>
          <w:szCs w:val="21"/>
          <w:highlight w:val="none"/>
          <w14:textFill>
            <w14:solidFill>
              <w14:schemeClr w14:val="tx1"/>
            </w14:solidFill>
          </w14:textFill>
        </w:rPr>
        <w:t>等额、合法、有效的增值税专用发票，甲方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对应</w:t>
      </w:r>
      <w:r>
        <w:rPr>
          <w:rFonts w:hint="eastAsia" w:ascii="宋体" w:hAnsi="宋体" w:eastAsia="宋体" w:cs="宋体"/>
          <w:bCs/>
          <w:color w:val="000000" w:themeColor="text1"/>
          <w:sz w:val="21"/>
          <w:szCs w:val="21"/>
          <w:highlight w:val="none"/>
          <w14:textFill>
            <w14:solidFill>
              <w14:schemeClr w14:val="tx1"/>
            </w14:solidFill>
          </w14:textFill>
        </w:rPr>
        <w:t>运营项目在收到前述材料并审核无误后【15】个工作日内</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由管理该运营项目的甲方1、甲方2、甲方3、甲方4、甲方5或甲方6向乙方支付结算上月经甲方验收合格的实际供货量的结算合同价及对应税额</w:t>
      </w:r>
      <w:r>
        <w:rPr>
          <w:rFonts w:hint="eastAsia" w:ascii="宋体" w:hAnsi="宋体" w:eastAsia="宋体" w:cs="宋体"/>
          <w:bCs/>
          <w:color w:val="000000" w:themeColor="text1"/>
          <w:sz w:val="21"/>
          <w:szCs w:val="21"/>
          <w:highlight w:val="none"/>
          <w14:textFill>
            <w14:solidFill>
              <w14:schemeClr w14:val="tx1"/>
            </w14:solidFill>
          </w14:textFill>
        </w:rPr>
        <w:t>。</w:t>
      </w:r>
    </w:p>
    <w:p w14:paraId="2AEBBE0E">
      <w:pPr>
        <w:pStyle w:val="131"/>
        <w:keepNext w:val="0"/>
        <w:keepLines w:val="0"/>
        <w:pageBreakBefore w:val="0"/>
        <w:widowControl w:val="0"/>
        <w:kinsoku/>
        <w:wordWrap/>
        <w:overflowPunct/>
        <w:topLinePunct w:val="0"/>
        <w:bidi w:val="0"/>
        <w:spacing w:line="360" w:lineRule="auto"/>
        <w:ind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14:textFill>
            <w14:solidFill>
              <w14:schemeClr w14:val="tx1"/>
            </w14:solidFill>
          </w14:textFill>
        </w:rPr>
        <w:t>支付方式为银行转账或银行承兑汇票，汇票期限不超过三个月，每期款项支付方式由</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决定。</w:t>
      </w:r>
    </w:p>
    <w:p w14:paraId="3237281A">
      <w:pPr>
        <w:pStyle w:val="131"/>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Cs/>
          <w:color w:val="000000" w:themeColor="text1"/>
          <w:sz w:val="21"/>
          <w:szCs w:val="21"/>
          <w:highlight w:val="none"/>
          <w14:textFill>
            <w14:solidFill>
              <w14:schemeClr w14:val="tx1"/>
            </w14:solidFill>
          </w14:textFill>
        </w:rPr>
        <w:t>乙方逾期提供请款资料及发票或提交资料</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发票</w:t>
      </w:r>
      <w:r>
        <w:rPr>
          <w:rFonts w:hint="eastAsia" w:ascii="宋体" w:hAnsi="宋体" w:eastAsia="宋体" w:cs="宋体"/>
          <w:bCs/>
          <w:color w:val="000000" w:themeColor="text1"/>
          <w:sz w:val="21"/>
          <w:szCs w:val="21"/>
          <w:highlight w:val="none"/>
          <w14:textFill>
            <w14:solidFill>
              <w14:schemeClr w14:val="tx1"/>
            </w14:solidFill>
          </w14:textFill>
        </w:rPr>
        <w:t>不符合甲方各运营项目要求的，甲方付款时间顺延，并不承担逾期付款违约责任</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乙方不得以此为由拒绝或迟延履行合同义务</w:t>
      </w:r>
      <w:r>
        <w:rPr>
          <w:rFonts w:hint="eastAsia" w:ascii="宋体" w:hAnsi="宋体" w:eastAsia="宋体" w:cs="宋体"/>
          <w:bCs/>
          <w:color w:val="000000" w:themeColor="text1"/>
          <w:sz w:val="21"/>
          <w:szCs w:val="21"/>
          <w:highlight w:val="none"/>
          <w14:textFill>
            <w14:solidFill>
              <w14:schemeClr w14:val="tx1"/>
            </w14:solidFill>
          </w14:textFill>
        </w:rPr>
        <w:t>。由于乙方提供的发票不符合税法规定，给甲方各运营项目造成的损失由乙方承担赔偿责任。</w:t>
      </w:r>
    </w:p>
    <w:p w14:paraId="56EB05B3">
      <w:pPr>
        <w:pStyle w:val="131"/>
        <w:keepNext w:val="0"/>
        <w:keepLines w:val="0"/>
        <w:pageBreakBefore w:val="0"/>
        <w:widowControl w:val="0"/>
        <w:kinsoku/>
        <w:wordWrap/>
        <w:overflowPunct/>
        <w:topLinePunct w:val="0"/>
        <w:bidi w:val="0"/>
        <w:spacing w:line="360" w:lineRule="auto"/>
        <w:ind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Cs/>
          <w:color w:val="000000" w:themeColor="text1"/>
          <w:sz w:val="21"/>
          <w:szCs w:val="21"/>
          <w:highlight w:val="none"/>
          <w14:textFill>
            <w14:solidFill>
              <w14:schemeClr w14:val="tx1"/>
            </w14:solidFill>
          </w14:textFill>
        </w:rPr>
        <w:t>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14:paraId="1A23E359">
      <w:pPr>
        <w:pStyle w:val="131"/>
        <w:keepNext w:val="0"/>
        <w:keepLines w:val="0"/>
        <w:pageBreakBefore w:val="0"/>
        <w:widowControl w:val="0"/>
        <w:kinsoku/>
        <w:wordWrap/>
        <w:overflowPunct/>
        <w:topLinePunct w:val="0"/>
        <w:bidi w:val="0"/>
        <w:spacing w:line="360" w:lineRule="auto"/>
        <w:ind w:firstLineChars="0"/>
        <w:textAlignment w:val="auto"/>
        <w:rPr>
          <w:rFonts w:hint="eastAsia" w:ascii="宋体" w:hAnsi="宋体" w:eastAsia="宋体" w:cs="宋体"/>
          <w:color w:val="000000" w:themeColor="text1"/>
          <w:szCs w:val="21"/>
          <w:highlight w:val="none"/>
          <w14:textFill>
            <w14:solidFill>
              <w14:schemeClr w14:val="tx1"/>
            </w14:solidFill>
          </w14:textFill>
        </w:rPr>
      </w:pPr>
    </w:p>
    <w:p w14:paraId="2ECDE767">
      <w:pPr>
        <w:keepNext w:val="0"/>
        <w:keepLines w:val="0"/>
        <w:pageBreakBefore w:val="0"/>
        <w:widowControl w:val="0"/>
        <w:kinsoku/>
        <w:wordWrap/>
        <w:overflowPunct/>
        <w:topLinePunct w:val="0"/>
        <w:bidi w:val="0"/>
        <w:spacing w:line="360" w:lineRule="auto"/>
        <w:textAlignment w:val="auto"/>
        <w:outlineLvl w:val="3"/>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第七条 质保及售后服务</w:t>
      </w:r>
    </w:p>
    <w:p w14:paraId="6C8771A5">
      <w:pPr>
        <w:keepNext w:val="0"/>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由甲方负责所供货物的安装工作，甲方在安装、使用货物时所遇技术问题，乙方应按甲方要求及时向甲方提供技术指导服务。</w:t>
      </w:r>
    </w:p>
    <w:p w14:paraId="7AE0B0B9">
      <w:pPr>
        <w:keepNext w:val="0"/>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质保期为一年，自乙方完成每次配送清单的所有货物并经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各运营项目</w:t>
      </w:r>
      <w:r>
        <w:rPr>
          <w:rFonts w:hint="eastAsia" w:ascii="宋体" w:hAnsi="宋体" w:eastAsia="宋体" w:cs="宋体"/>
          <w:color w:val="000000" w:themeColor="text1"/>
          <w:sz w:val="21"/>
          <w:szCs w:val="21"/>
          <w:highlight w:val="none"/>
          <w14:textFill>
            <w14:solidFill>
              <w14:schemeClr w14:val="tx1"/>
            </w14:solidFill>
          </w14:textFill>
        </w:rPr>
        <w:t>验收合格之日起计算，质保期内乙方在收到质保通知之日起【3】日内免费提供上门服务（该费用已包含在货款内）。若货物厂家出厂时承诺更长的质保期限或更高标准的质保义务的，乙方需按厂家承诺提供质保服务。若乙方逾期提供质保服务或未能对具有质量问题的货物进行维护的，甲方有权另行</w:t>
      </w:r>
      <w:r>
        <w:rPr>
          <w:rFonts w:hint="eastAsia" w:ascii="宋体" w:hAnsi="宋体" w:eastAsia="宋体" w:cs="宋体"/>
          <w:color w:val="000000" w:themeColor="text1"/>
          <w:sz w:val="21"/>
          <w:szCs w:val="21"/>
          <w:highlight w:val="none"/>
          <w:lang w:val="en-US" w:eastAsia="zh-CN"/>
          <w14:textFill>
            <w14:solidFill>
              <w14:schemeClr w14:val="tx1"/>
            </w14:solidFill>
          </w14:textFill>
        </w:rPr>
        <w:t>单方</w:t>
      </w:r>
      <w:r>
        <w:rPr>
          <w:rFonts w:hint="eastAsia" w:ascii="宋体" w:hAnsi="宋体" w:eastAsia="宋体" w:cs="宋体"/>
          <w:color w:val="000000" w:themeColor="text1"/>
          <w:sz w:val="21"/>
          <w:szCs w:val="21"/>
          <w:highlight w:val="none"/>
          <w14:textFill>
            <w14:solidFill>
              <w14:schemeClr w14:val="tx1"/>
            </w14:solidFill>
          </w14:textFill>
        </w:rPr>
        <w:t>委托第三方对上述货物进行维护，因此产生的所有费用均由乙方承担。</w:t>
      </w:r>
    </w:p>
    <w:p w14:paraId="5AC88FBD">
      <w:pPr>
        <w:keepNext w:val="0"/>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质保期内，若货物经1次维修或维修时间超过1个月，仍不能正常使用的，乙方应免费给予更换，被更换的货物的质保期为从更换日起重新计算</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货物维修的时间不计入质保期内</w:t>
      </w:r>
      <w:r>
        <w:rPr>
          <w:rFonts w:hint="eastAsia" w:ascii="宋体" w:hAnsi="宋体" w:eastAsia="宋体" w:cs="宋体"/>
          <w:color w:val="000000" w:themeColor="text1"/>
          <w:sz w:val="21"/>
          <w:szCs w:val="21"/>
          <w:highlight w:val="none"/>
          <w14:textFill>
            <w14:solidFill>
              <w14:schemeClr w14:val="tx1"/>
            </w14:solidFill>
          </w14:textFill>
        </w:rPr>
        <w:t>。</w:t>
      </w:r>
    </w:p>
    <w:p w14:paraId="6AD9384A">
      <w:pPr>
        <w:keepNext w:val="0"/>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在合同规定的质保期内，当货物出现故障问题时，乙方接到甲方通知后4小时内响应，24小时内赶到现场维修或更换，保证货物的正常使用。</w:t>
      </w:r>
    </w:p>
    <w:p w14:paraId="1FFA7E12">
      <w:pPr>
        <w:keepNext w:val="0"/>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在质保期内，因乙方所供货物质量问题导致甲方各运营项目设备运行出现异常、故障、发生安全事故或引起其他损失和造成不良后果的，乙方应在接到甲方通知后6小时内到达现场确认情况，并承担全部责任及损失赔偿</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0DD6E5A">
      <w:pPr>
        <w:pStyle w:val="18"/>
        <w:keepNext w:val="0"/>
        <w:keepLines w:val="0"/>
        <w:pageBreakBefore w:val="0"/>
        <w:widowControl w:val="0"/>
        <w:kinsoku/>
        <w:wordWrap/>
        <w:overflowPunct/>
        <w:topLinePunct w:val="0"/>
        <w:bidi w:val="0"/>
        <w:adjustRightInd/>
        <w:spacing w:line="360" w:lineRule="auto"/>
        <w:ind w:firstLine="422"/>
        <w:jc w:val="left"/>
        <w:textAlignment w:val="auto"/>
        <w:rPr>
          <w:rFonts w:hint="eastAsia" w:ascii="宋体" w:hAnsi="宋体" w:eastAsia="宋体" w:cs="宋体"/>
          <w:b w:val="0"/>
          <w:bCs w:val="0"/>
          <w:color w:val="000000" w:themeColor="text1"/>
          <w:sz w:val="21"/>
          <w:szCs w:val="21"/>
          <w:highlight w:val="none"/>
          <w:lang w:val="en-US"/>
          <w14:textFill>
            <w14:solidFill>
              <w14:schemeClr w14:val="tx1"/>
            </w14:solidFill>
          </w14:textFill>
        </w:rPr>
      </w:pPr>
    </w:p>
    <w:p w14:paraId="3A52D452">
      <w:pPr>
        <w:keepNext w:val="0"/>
        <w:keepLines w:val="0"/>
        <w:pageBreakBefore w:val="0"/>
        <w:widowControl w:val="0"/>
        <w:kinsoku/>
        <w:wordWrap/>
        <w:overflowPunct/>
        <w:topLinePunct w:val="0"/>
        <w:bidi w:val="0"/>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第八条 履约担保</w:t>
      </w:r>
    </w:p>
    <w:p w14:paraId="5B0FD4E4">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1、乙方应当根据招标文件的规定在签订本合同前向甲方提供履约担保，履约担保形式及金额由乙方从以下方式中任选一种：</w:t>
      </w:r>
    </w:p>
    <w:p w14:paraId="56062C90">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□履约保证金（银行转账形式）金额为¥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0A8E28B3">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□不可撤销银行履约保函金额为¥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1A984A7C">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□履约保证保险金额为¥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7C4A719B">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□担保公司履约担保书金额为¥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7325F687">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2、合同履行过程中，乙方给甲方造成的损失超过履约担保数额的，乙方还应当对超过部分予以赔偿，甲方并依法追究乙方的相应责任。</w:t>
      </w:r>
    </w:p>
    <w:p w14:paraId="1904D08A">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3、履约担保用于补偿甲方因乙方不能完全履行其合同义务而蒙受的损失或其他合同约定的事项，如发生下列任一情况时，甲方有权依合同追究违约责任外，同时有权提取履约担保并进行相应处理：</w:t>
      </w:r>
    </w:p>
    <w:p w14:paraId="6E3145EA">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7F9DB940">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（2）在合同履行期间，乙方违约产生的违约金、赔偿、罚款或其他应付费用等款项，甲方有权直接从未付款项中直接扣除或启用履约担保予以支付。</w:t>
      </w:r>
    </w:p>
    <w:p w14:paraId="75C5C7B5">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（3）合同期内，乙方不能及时完成合同某项义务的，甲方有权提取履约担保用于处理该项工作。</w:t>
      </w:r>
    </w:p>
    <w:p w14:paraId="565481ED">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（4）其他根据本合同约定或法律规定，甲方可启用履约担保的情形。</w:t>
      </w:r>
    </w:p>
    <w:p w14:paraId="0DC8034A">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乙方以履约保证金（银行转账形式）提供履约担保的，在合同期限届满并全部货物经验收合格，甲方向乙方支付全部货款（除质保金）二十八（28）日后，经甲方确认，乙方可向甲方提交退回履约担保的申请。甲方审核并在扣除相应的费用（若有）后，办理履约担保退还手续，退回时一律以银行转账的形式无息退回到乙方的账号。</w:t>
      </w:r>
    </w:p>
    <w:p w14:paraId="32D11B8D">
      <w:pPr>
        <w:snapToGrid w:val="0"/>
        <w:spacing w:line="360" w:lineRule="auto"/>
        <w:ind w:firstLine="373" w:firstLineChars="177"/>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采用履约保证金（银行转账形式）的统一由东莞市石鼓净水有限公司收取。存入以下指定银行账户：</w:t>
      </w:r>
    </w:p>
    <w:p w14:paraId="313E8BD6">
      <w:pPr>
        <w:snapToGrid w:val="0"/>
        <w:spacing w:line="360" w:lineRule="auto"/>
        <w:ind w:firstLine="373" w:firstLineChars="177"/>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开户名称：东莞市石鼓净水有限公司</w:t>
      </w:r>
    </w:p>
    <w:p w14:paraId="0F8B8F90">
      <w:pPr>
        <w:snapToGrid w:val="0"/>
        <w:spacing w:line="360" w:lineRule="auto"/>
        <w:ind w:firstLine="373" w:firstLineChars="177"/>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银行账号：944004010000157127</w:t>
      </w:r>
    </w:p>
    <w:p w14:paraId="2B66D860">
      <w:pPr>
        <w:snapToGrid w:val="0"/>
        <w:spacing w:line="360" w:lineRule="auto"/>
        <w:ind w:firstLine="373" w:firstLineChars="177"/>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开户银行：中国邮政储蓄银行股份有限公司东莞市分行</w:t>
      </w:r>
    </w:p>
    <w:p w14:paraId="305A70A5">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5、如乙方提供不可撤销银行履约保函或履约保证保险或担保公司履约担保书作为履约担保的，</w:t>
      </w:r>
      <w:r>
        <w:rPr>
          <w:rFonts w:hint="eastAsia" w:ascii="宋体" w:hAnsi="宋体" w:eastAsia="宋体" w:cs="宋体"/>
          <w:b/>
          <w:bCs/>
          <w:color w:val="000000" w:themeColor="text1"/>
          <w:szCs w:val="21"/>
          <w:highlight w:val="none"/>
          <w14:textFill>
            <w14:solidFill>
              <w14:schemeClr w14:val="tx1"/>
            </w14:solidFill>
          </w14:textFill>
        </w:rPr>
        <w:t>其受益人应为东莞市石鼓净水有限公司，</w:t>
      </w:r>
      <w:r>
        <w:rPr>
          <w:rFonts w:hint="eastAsia" w:ascii="宋体" w:hAnsi="宋体" w:eastAsia="宋体" w:cs="宋体"/>
          <w:color w:val="000000" w:themeColor="text1"/>
          <w:szCs w:val="21"/>
          <w:highlight w:val="none"/>
          <w14:textFill>
            <w14:solidFill>
              <w14:schemeClr w14:val="tx1"/>
            </w14:solidFill>
          </w14:textFill>
        </w:rPr>
        <w:t>不可撤销银行履约保函（或履约保证保险或担保公司履约担保书）应从合同签订之日起（或签订合同前）至合同期限届满并全部货物经最终验收合格，甲方向乙方支付全部款项（除质保金）后二十八（28）日内保持有效。如不可撤销银行履约保函（或履约保证保险或担保公司履约担保书）在规定有效期届满而货物尚未全部最终验收合格或甲方未支付完全部货款（除质保金）的，乙方必须在不可撤销银行履约保函（或履约保证保险或担保公司履约担保书）到期15日前无条件办理办妥符合甲方要求的延期手续或重新提供不可撤销银行履约保函（或履约保证保险或担保公司履约担保书），</w:t>
      </w:r>
      <w:r>
        <w:rPr>
          <w:rFonts w:hint="eastAsia" w:ascii="宋体" w:hAnsi="宋体" w:eastAsia="宋体" w:cs="宋体"/>
          <w:color w:val="000000" w:themeColor="text1"/>
          <w:szCs w:val="21"/>
          <w:highlight w:val="none"/>
          <w:lang w:val="en-US" w:eastAsia="zh-CN"/>
          <w14:textFill>
            <w14:solidFill>
              <w14:schemeClr w14:val="tx1"/>
            </w14:solidFill>
          </w14:textFill>
        </w:rPr>
        <w:t>费用由乙方承担，</w:t>
      </w:r>
      <w:r>
        <w:rPr>
          <w:rFonts w:hint="eastAsia" w:ascii="宋体" w:hAnsi="宋体" w:eastAsia="宋体" w:cs="宋体"/>
          <w:color w:val="000000" w:themeColor="text1"/>
          <w:szCs w:val="21"/>
          <w:highlight w:val="none"/>
          <w14:textFill>
            <w14:solidFill>
              <w14:schemeClr w14:val="tx1"/>
            </w14:solidFill>
          </w14:textFill>
        </w:rPr>
        <w:t>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乙方应向甲方支付【</w:t>
      </w:r>
      <w:r>
        <w:rPr>
          <w:rFonts w:hint="eastAsia" w:ascii="宋体" w:hAnsi="宋体" w:eastAsia="宋体" w:cs="宋体"/>
          <w:color w:val="000000" w:themeColor="text1"/>
          <w:szCs w:val="21"/>
          <w:highlight w:val="none"/>
          <w:lang w:val="en-US" w:eastAsia="zh-CN"/>
          <w14:textFill>
            <w14:solidFill>
              <w14:schemeClr w14:val="tx1"/>
            </w14:solidFill>
          </w14:textFill>
        </w:rPr>
        <w:t>20000</w:t>
      </w:r>
      <w:r>
        <w:rPr>
          <w:rFonts w:hint="eastAsia" w:ascii="宋体" w:hAnsi="宋体" w:eastAsia="宋体" w:cs="宋体"/>
          <w:color w:val="000000" w:themeColor="text1"/>
          <w:szCs w:val="21"/>
          <w:highlight w:val="none"/>
          <w14:textFill>
            <w14:solidFill>
              <w14:schemeClr w14:val="tx1"/>
            </w14:solidFill>
          </w14:textFill>
        </w:rPr>
        <w:t>】元违约金，该违约金甲方有权从未付款项中扣除。在乙方重新提供前甲方无需向乙方支付合同款项，且不视为甲方违约</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乙方不得以此为由拒绝或迟延履行合同义务</w:t>
      </w:r>
      <w:r>
        <w:rPr>
          <w:rFonts w:hint="eastAsia" w:ascii="宋体" w:hAnsi="宋体" w:eastAsia="宋体" w:cs="宋体"/>
          <w:color w:val="000000" w:themeColor="text1"/>
          <w:szCs w:val="21"/>
          <w:highlight w:val="none"/>
          <w14:textFill>
            <w14:solidFill>
              <w14:schemeClr w14:val="tx1"/>
            </w14:solidFill>
          </w14:textFill>
        </w:rPr>
        <w:t>。</w:t>
      </w:r>
    </w:p>
    <w:p w14:paraId="1D6909EB">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在合同履行过程中，不论何种原因导致履约担保数额不符合招标文件要求的，乙方应当在5日内予以补足。逾期不予补足的，甲方有权按需补足的金额要求乙方承担违约金，并要求乙方限期补足，在乙方补足前甲方无需向乙方支付合同款项，且不视为甲方违约</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乙方不得以此为由拒绝或迟延履行合同义务</w:t>
      </w:r>
      <w:r>
        <w:rPr>
          <w:rFonts w:hint="eastAsia" w:ascii="宋体" w:hAnsi="宋体" w:eastAsia="宋体" w:cs="宋体"/>
          <w:color w:val="000000" w:themeColor="text1"/>
          <w:szCs w:val="21"/>
          <w:highlight w:val="none"/>
          <w14:textFill>
            <w14:solidFill>
              <w14:schemeClr w14:val="tx1"/>
            </w14:solidFill>
          </w14:textFill>
        </w:rPr>
        <w:t>。</w:t>
      </w:r>
    </w:p>
    <w:p w14:paraId="0051B070">
      <w:pPr>
        <w:autoSpaceDE w:val="0"/>
        <w:autoSpaceDN w:val="0"/>
        <w:adjustRightInd w:val="0"/>
        <w:snapToGrid w:val="0"/>
        <w:spacing w:line="360" w:lineRule="auto"/>
        <w:ind w:firstLine="373" w:firstLineChars="177"/>
        <w:jc w:val="left"/>
        <w:rPr>
          <w:rFonts w:hint="eastAsia" w:ascii="宋体" w:hAnsi="宋体" w:eastAsia="宋体" w:cs="宋体"/>
          <w:color w:val="000000" w:themeColor="text1"/>
          <w:kern w:val="0"/>
          <w:szCs w:val="21"/>
          <w:highlight w:val="none"/>
          <w:lang w:val="en-US" w:eastAsia="zh-CN" w:bidi="ar"/>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lang w:val="en-US" w:eastAsia="zh-CN"/>
          <w14:textFill>
            <w14:solidFill>
              <w14:schemeClr w14:val="tx1"/>
            </w14:solidFill>
          </w14:textFill>
        </w:rPr>
        <w:t>特别约定：</w:t>
      </w:r>
      <w:r>
        <w:rPr>
          <w:rFonts w:hint="eastAsia" w:ascii="宋体" w:hAnsi="宋体" w:eastAsia="宋体" w:cs="宋体"/>
          <w:b/>
          <w:color w:val="000000" w:themeColor="text1"/>
          <w:sz w:val="21"/>
          <w:szCs w:val="21"/>
          <w:highlight w:val="none"/>
          <w14:textFill>
            <w14:solidFill>
              <w14:schemeClr w14:val="tx1"/>
            </w14:solidFill>
          </w14:textFill>
        </w:rPr>
        <w:t>乙方知悉并同意，在本合同履行期间，一旦发生乙方违反本合同约定义务，无需另行征得乙方同意，各甲方主体均有权就全部的履约担保金额单独或共同进行索赔，索赔方之间的担保金额分配由其内部协商确定</w:t>
      </w:r>
      <w:r>
        <w:rPr>
          <w:rFonts w:hint="eastAsia" w:ascii="宋体" w:hAnsi="宋体" w:eastAsia="宋体" w:cs="宋体"/>
          <w:b/>
          <w:color w:val="000000" w:themeColor="text1"/>
          <w:sz w:val="21"/>
          <w:szCs w:val="21"/>
          <w:highlight w:val="none"/>
          <w:lang w:eastAsia="zh-CN"/>
          <w14:textFill>
            <w14:solidFill>
              <w14:schemeClr w14:val="tx1"/>
            </w14:solidFill>
          </w14:textFill>
        </w:rPr>
        <w:t>，乙方不得以此为由提出任何异议。</w:t>
      </w:r>
      <w:r>
        <w:rPr>
          <w:rFonts w:hint="eastAsia" w:ascii="宋体" w:hAnsi="宋体" w:eastAsia="宋体" w:cs="宋体"/>
          <w:b/>
          <w:color w:val="000000" w:themeColor="text1"/>
          <w:sz w:val="21"/>
          <w:szCs w:val="21"/>
          <w:highlight w:val="none"/>
          <w14:textFill>
            <w14:solidFill>
              <w14:schemeClr w14:val="tx1"/>
            </w14:solidFill>
          </w14:textFill>
        </w:rPr>
        <w:t>东莞市石鼓净水有限公司作为履约担保的</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收取方或受益人</w:t>
      </w:r>
      <w:r>
        <w:rPr>
          <w:rFonts w:hint="eastAsia" w:ascii="宋体" w:hAnsi="宋体" w:eastAsia="宋体" w:cs="宋体"/>
          <w:b/>
          <w:color w:val="000000" w:themeColor="text1"/>
          <w:sz w:val="21"/>
          <w:szCs w:val="21"/>
          <w:highlight w:val="none"/>
          <w14:textFill>
            <w14:solidFill>
              <w14:schemeClr w14:val="tx1"/>
            </w14:solidFill>
          </w14:textFill>
        </w:rPr>
        <w:t>，负责办理</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履约</w:t>
      </w:r>
      <w:r>
        <w:rPr>
          <w:rFonts w:hint="eastAsia" w:ascii="宋体" w:hAnsi="宋体" w:eastAsia="宋体" w:cs="宋体"/>
          <w:b/>
          <w:color w:val="000000" w:themeColor="text1"/>
          <w:sz w:val="21"/>
          <w:szCs w:val="21"/>
          <w:highlight w:val="none"/>
          <w14:textFill>
            <w14:solidFill>
              <w14:schemeClr w14:val="tx1"/>
            </w14:solidFill>
          </w14:textFill>
        </w:rPr>
        <w:t>担保的索赔提取手续，并将相应款项支付给</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对应索赔方</w:t>
      </w:r>
      <w:r>
        <w:rPr>
          <w:rFonts w:hint="eastAsia" w:ascii="宋体" w:hAnsi="宋体" w:eastAsia="宋体" w:cs="宋体"/>
          <w:b/>
          <w:color w:val="000000" w:themeColor="text1"/>
          <w:sz w:val="21"/>
          <w:szCs w:val="21"/>
          <w:highlight w:val="none"/>
          <w14:textFill>
            <w14:solidFill>
              <w14:schemeClr w14:val="tx1"/>
            </w14:solidFill>
          </w14:textFill>
        </w:rPr>
        <w:t>。</w:t>
      </w:r>
    </w:p>
    <w:p w14:paraId="31CE14D0">
      <w:pPr>
        <w:keepNext w:val="0"/>
        <w:keepLines w:val="0"/>
        <w:pageBreakBefore w:val="0"/>
        <w:widowControl w:val="0"/>
        <w:kinsoku/>
        <w:wordWrap/>
        <w:overflowPunct/>
        <w:topLinePunct w:val="0"/>
        <w:bidi w:val="0"/>
        <w:adjustRightInd/>
        <w:spacing w:line="360" w:lineRule="auto"/>
        <w:ind w:firstLine="371" w:firstLineChars="177"/>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0ECE6DA3">
      <w:pPr>
        <w:keepNext w:val="0"/>
        <w:keepLines w:val="0"/>
        <w:pageBreakBefore w:val="0"/>
        <w:widowControl w:val="0"/>
        <w:kinsoku/>
        <w:wordWrap/>
        <w:overflowPunct/>
        <w:topLinePunct w:val="0"/>
        <w:bidi w:val="0"/>
        <w:spacing w:line="360" w:lineRule="auto"/>
        <w:textAlignment w:val="auto"/>
        <w:outlineLvl w:val="3"/>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第九条 违约责任</w:t>
      </w:r>
    </w:p>
    <w:p w14:paraId="214B3D6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乙方未在约定的时间内完成</w:t>
      </w:r>
      <w:r>
        <w:rPr>
          <w:rFonts w:hint="eastAsia" w:ascii="宋体" w:hAnsi="宋体" w:eastAsia="宋体" w:cs="宋体"/>
          <w:color w:val="000000" w:themeColor="text1"/>
          <w:sz w:val="21"/>
          <w:szCs w:val="21"/>
          <w:highlight w:val="none"/>
          <w:lang w:val="en-US" w:eastAsia="zh-CN"/>
          <w14:textFill>
            <w14:solidFill>
              <w14:schemeClr w14:val="tx1"/>
            </w14:solidFill>
          </w14:textFill>
        </w:rPr>
        <w:t>货物</w:t>
      </w:r>
      <w:r>
        <w:rPr>
          <w:rFonts w:hint="eastAsia" w:ascii="宋体" w:hAnsi="宋体" w:eastAsia="宋体" w:cs="宋体"/>
          <w:color w:val="000000" w:themeColor="text1"/>
          <w:sz w:val="21"/>
          <w:szCs w:val="21"/>
          <w:highlight w:val="none"/>
          <w14:textFill>
            <w14:solidFill>
              <w14:schemeClr w14:val="tx1"/>
            </w14:solidFill>
          </w14:textFill>
        </w:rPr>
        <w:t>交货</w:t>
      </w:r>
      <w:r>
        <w:rPr>
          <w:rFonts w:hint="eastAsia" w:ascii="宋体" w:hAnsi="宋体" w:eastAsia="宋体" w:cs="宋体"/>
          <w:color w:val="000000" w:themeColor="text1"/>
          <w:sz w:val="21"/>
          <w:szCs w:val="21"/>
          <w:highlight w:val="none"/>
          <w:lang w:val="en-US" w:eastAsia="zh-CN"/>
          <w14:textFill>
            <w14:solidFill>
              <w14:schemeClr w14:val="tx1"/>
            </w14:solidFill>
          </w14:textFill>
        </w:rPr>
        <w:t>、更换、退货</w:t>
      </w:r>
      <w:r>
        <w:rPr>
          <w:rFonts w:hint="eastAsia" w:ascii="宋体" w:hAnsi="宋体" w:eastAsia="宋体" w:cs="宋体"/>
          <w:color w:val="000000" w:themeColor="text1"/>
          <w:sz w:val="21"/>
          <w:szCs w:val="21"/>
          <w:highlight w:val="none"/>
          <w14:textFill>
            <w14:solidFill>
              <w14:schemeClr w14:val="tx1"/>
            </w14:solidFill>
          </w14:textFill>
        </w:rPr>
        <w:t>的，每逾期1日，乙方须按所在运营项目当月供货货物</w:t>
      </w:r>
      <w:r>
        <w:rPr>
          <w:rFonts w:hint="eastAsia" w:ascii="宋体" w:hAnsi="宋体" w:eastAsia="宋体" w:cs="宋体"/>
          <w:color w:val="000000" w:themeColor="text1"/>
          <w:sz w:val="21"/>
          <w:szCs w:val="21"/>
          <w:highlight w:val="none"/>
          <w:lang w:val="en-US" w:eastAsia="zh-CN"/>
          <w14:textFill>
            <w14:solidFill>
              <w14:schemeClr w14:val="tx1"/>
            </w14:solidFill>
          </w14:textFill>
        </w:rPr>
        <w:t>含税结算货款</w:t>
      </w:r>
      <w:r>
        <w:rPr>
          <w:rFonts w:hint="eastAsia" w:ascii="宋体" w:hAnsi="宋体" w:eastAsia="宋体" w:cs="宋体"/>
          <w:color w:val="000000" w:themeColor="text1"/>
          <w:sz w:val="21"/>
          <w:szCs w:val="21"/>
          <w:highlight w:val="none"/>
          <w14:textFill>
            <w14:solidFill>
              <w14:schemeClr w14:val="tx1"/>
            </w14:solidFill>
          </w14:textFill>
        </w:rPr>
        <w:t>的1%向甲方支付违约金，</w:t>
      </w:r>
      <w:r>
        <w:rPr>
          <w:rFonts w:hint="eastAsia" w:ascii="宋体" w:hAnsi="宋体" w:eastAsia="宋体" w:cs="宋体"/>
          <w:color w:val="000000" w:themeColor="text1"/>
          <w:sz w:val="21"/>
          <w:szCs w:val="21"/>
          <w:highlight w:val="none"/>
          <w:lang w:val="en-US" w:eastAsia="zh-CN"/>
          <w14:textFill>
            <w14:solidFill>
              <w14:schemeClr w14:val="tx1"/>
            </w14:solidFill>
          </w14:textFill>
        </w:rPr>
        <w:t>逾期违约金累计总额</w:t>
      </w:r>
      <w:r>
        <w:rPr>
          <w:rFonts w:hint="eastAsia" w:ascii="宋体" w:hAnsi="宋体" w:eastAsia="宋体" w:cs="宋体"/>
          <w:color w:val="000000" w:themeColor="text1"/>
          <w:sz w:val="21"/>
          <w:szCs w:val="21"/>
          <w:highlight w:val="none"/>
          <w14:textFill>
            <w14:solidFill>
              <w14:schemeClr w14:val="tx1"/>
            </w14:solidFill>
          </w14:textFill>
        </w:rPr>
        <w:t>最高不超过所在运营项目当月供货货物</w:t>
      </w:r>
      <w:r>
        <w:rPr>
          <w:rFonts w:hint="eastAsia" w:ascii="宋体" w:hAnsi="宋体" w:eastAsia="宋体" w:cs="宋体"/>
          <w:color w:val="000000" w:themeColor="text1"/>
          <w:sz w:val="21"/>
          <w:szCs w:val="21"/>
          <w:highlight w:val="none"/>
          <w:lang w:val="en-US" w:eastAsia="zh-CN"/>
          <w14:textFill>
            <w14:solidFill>
              <w14:schemeClr w14:val="tx1"/>
            </w14:solidFill>
          </w14:textFill>
        </w:rPr>
        <w:t>含税结算货款</w:t>
      </w:r>
      <w:r>
        <w:rPr>
          <w:rFonts w:hint="eastAsia" w:ascii="宋体" w:hAnsi="宋体" w:eastAsia="宋体" w:cs="宋体"/>
          <w:color w:val="000000" w:themeColor="text1"/>
          <w:sz w:val="21"/>
          <w:szCs w:val="21"/>
          <w:highlight w:val="none"/>
          <w14:textFill>
            <w14:solidFill>
              <w14:schemeClr w14:val="tx1"/>
            </w14:solidFill>
          </w14:textFill>
        </w:rPr>
        <w:t>的10%。乙方逾期超过10日的，甲方可单方解除本合同，乙方除</w:t>
      </w:r>
      <w:r>
        <w:rPr>
          <w:rFonts w:hint="eastAsia" w:ascii="宋体" w:hAnsi="宋体" w:eastAsia="宋体" w:cs="宋体"/>
          <w:color w:val="000000" w:themeColor="text1"/>
          <w:sz w:val="21"/>
          <w:szCs w:val="21"/>
          <w:highlight w:val="none"/>
          <w:lang w:val="en-US" w:eastAsia="zh-CN"/>
          <w14:textFill>
            <w14:solidFill>
              <w14:schemeClr w14:val="tx1"/>
            </w14:solidFill>
          </w14:textFill>
        </w:rPr>
        <w:t>支付</w:t>
      </w:r>
      <w:r>
        <w:rPr>
          <w:rFonts w:hint="eastAsia" w:ascii="宋体" w:hAnsi="宋体" w:eastAsia="宋体" w:cs="宋体"/>
          <w:color w:val="000000" w:themeColor="text1"/>
          <w:sz w:val="21"/>
          <w:szCs w:val="21"/>
          <w:highlight w:val="none"/>
          <w14:textFill>
            <w14:solidFill>
              <w14:schemeClr w14:val="tx1"/>
            </w14:solidFill>
          </w14:textFill>
        </w:rPr>
        <w:t>前述逾期违约金外，还应额外按</w:t>
      </w:r>
      <w:r>
        <w:rPr>
          <w:rFonts w:hint="eastAsia" w:ascii="宋体" w:hAnsi="宋体" w:eastAsia="宋体" w:cs="宋体"/>
          <w:color w:val="000000" w:themeColor="text1"/>
          <w:sz w:val="21"/>
          <w:szCs w:val="21"/>
          <w:highlight w:val="none"/>
          <w:lang w:val="en-US" w:eastAsia="zh-CN"/>
          <w14:textFill>
            <w14:solidFill>
              <w14:schemeClr w14:val="tx1"/>
            </w14:solidFill>
          </w14:textFill>
        </w:rPr>
        <w:t>暂定合同价（含销项税额）</w:t>
      </w:r>
      <w:r>
        <w:rPr>
          <w:rFonts w:hint="eastAsia" w:ascii="宋体" w:hAnsi="宋体" w:eastAsia="宋体" w:cs="宋体"/>
          <w:color w:val="000000" w:themeColor="text1"/>
          <w:sz w:val="21"/>
          <w:szCs w:val="21"/>
          <w:highlight w:val="none"/>
          <w14:textFill>
            <w14:solidFill>
              <w14:schemeClr w14:val="tx1"/>
            </w14:solidFill>
          </w14:textFill>
        </w:rPr>
        <w:t>的5%向甲方支付违约金。</w:t>
      </w:r>
    </w:p>
    <w:p w14:paraId="4BB686C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更换、补齐的货物不符合本合同约定，乙方须按所在运营项目当月供货货物含税结算货款的3%向甲方支付违约金。所交货物经检验累计出现3次以上(含本数)不合格的情况，甲方有权单方解除本合同，并要求乙方一次性支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20000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元的违约金。</w:t>
      </w:r>
    </w:p>
    <w:p w14:paraId="27C1CBD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乙方未按约定履行售后服务义务的，甲方有权要求限期改正，如逾期仍未改正的，甲方有权要求乙方支付</w:t>
      </w:r>
      <w:r>
        <w:rPr>
          <w:rFonts w:hint="eastAsia" w:ascii="宋体" w:hAnsi="宋体" w:eastAsia="宋体" w:cs="宋体"/>
          <w:color w:val="000000" w:themeColor="text1"/>
          <w:sz w:val="21"/>
          <w:szCs w:val="21"/>
          <w:highlight w:val="none"/>
          <w:lang w:val="en-US" w:eastAsia="zh-CN"/>
          <w14:textFill>
            <w14:solidFill>
              <w14:schemeClr w14:val="tx1"/>
            </w14:solidFill>
          </w14:textFill>
        </w:rPr>
        <w:t>暂定合同价（含销项税额）</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】%的违约金，且有权</w:t>
      </w:r>
      <w:r>
        <w:rPr>
          <w:rFonts w:hint="eastAsia" w:ascii="宋体" w:hAnsi="宋体" w:eastAsia="宋体" w:cs="宋体"/>
          <w:color w:val="000000" w:themeColor="text1"/>
          <w:sz w:val="21"/>
          <w:szCs w:val="21"/>
          <w:highlight w:val="none"/>
          <w:lang w:val="en-US" w:eastAsia="zh-CN"/>
          <w14:textFill>
            <w14:solidFill>
              <w14:schemeClr w14:val="tx1"/>
            </w14:solidFill>
          </w14:textFill>
        </w:rPr>
        <w:t>自行</w:t>
      </w:r>
      <w:r>
        <w:rPr>
          <w:rFonts w:hint="eastAsia" w:ascii="宋体" w:hAnsi="宋体" w:eastAsia="宋体" w:cs="宋体"/>
          <w:color w:val="000000" w:themeColor="text1"/>
          <w:sz w:val="21"/>
          <w:szCs w:val="21"/>
          <w:highlight w:val="none"/>
          <w14:textFill>
            <w14:solidFill>
              <w14:schemeClr w14:val="tx1"/>
            </w14:solidFill>
          </w14:textFill>
        </w:rPr>
        <w:t>委托第三方提供售后服务，所产生的费用</w:t>
      </w:r>
      <w:r>
        <w:rPr>
          <w:rFonts w:hint="eastAsia" w:ascii="宋体" w:hAnsi="宋体" w:eastAsia="宋体" w:cs="宋体"/>
          <w:color w:val="000000" w:themeColor="text1"/>
          <w:sz w:val="21"/>
          <w:szCs w:val="21"/>
          <w:highlight w:val="none"/>
          <w:lang w:val="en-US" w:eastAsia="zh-CN"/>
          <w14:textFill>
            <w14:solidFill>
              <w14:schemeClr w14:val="tx1"/>
            </w14:solidFill>
          </w14:textFill>
        </w:rPr>
        <w:t>全部由乙方承担，</w:t>
      </w:r>
      <w:r>
        <w:rPr>
          <w:rFonts w:hint="eastAsia" w:ascii="宋体" w:hAnsi="宋体" w:eastAsia="宋体" w:cs="宋体"/>
          <w:color w:val="000000" w:themeColor="text1"/>
          <w:sz w:val="21"/>
          <w:szCs w:val="21"/>
          <w:highlight w:val="none"/>
          <w14:textFill>
            <w14:solidFill>
              <w14:schemeClr w14:val="tx1"/>
            </w14:solidFill>
          </w14:textFill>
        </w:rPr>
        <w:t>甲方有权从未付款项中扣除，如不足扣除的，甲方有权提取履约担保弥补未足金额。</w:t>
      </w:r>
    </w:p>
    <w:p w14:paraId="51CD83F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乙方保证对其在讨论、签订、履行合同约定过程中所获悉的属于甲方的且无法从公开渠道获得的文件资料及项目信息予以严格保密并应采取相应的保密措施，保证其自身及工作人员不私自使用或向任何第三方泄漏，否则，视为乙方违约，甲方有权要求乙方支付履约担保等额的违约金，且乙方须承担由此给甲方造成的一切损失。乙方及其工作人员的保密义务不因本合同的终止而终止，直至相关保密信息被合法公开时止。</w:t>
      </w:r>
    </w:p>
    <w:p w14:paraId="42F2E4A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乙方违反约定将合同项下乙方的权利义务全部转让给第三方，或未经甲方书面同意将部分权利义务转让给第三方的，甲方有权要求乙方支付暂定合同价（含销项税额）【10】%的违约金，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暂定合同价（含销项税额）【10】%的违约金，前述违约金不足以弥补甲方损失的，乙方还需足额赔偿。</w:t>
      </w:r>
    </w:p>
    <w:p w14:paraId="55DC57D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6、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含销项税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14:paraId="5FC7D48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7、乙方违反本合同约定或未按投标时投标文件中承诺的事项履约，合同对违约责任有特别约定的，适用该特别约定；无特别约定的，甲方有权要求乙方向甲方支付暂定合同价（含销项税额）【10】%作为违约金。</w:t>
      </w:r>
    </w:p>
    <w:p w14:paraId="725B9A8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8、乙方违反本合同约定导致甲方遭受损失的，除应按照本条违约责任约定支付违约金外，乙方还应承担全部赔偿责任。</w:t>
      </w:r>
    </w:p>
    <w:p w14:paraId="7CB1650C">
      <w:pPr>
        <w:pStyle w:val="131"/>
        <w:keepNext w:val="0"/>
        <w:keepLines w:val="0"/>
        <w:pageBreakBefore w:val="0"/>
        <w:widowControl w:val="0"/>
        <w:kinsoku/>
        <w:wordWrap/>
        <w:overflowPunct/>
        <w:topLinePunct w:val="0"/>
        <w:bidi w:val="0"/>
        <w:spacing w:line="360" w:lineRule="auto"/>
        <w:ind w:left="840" w:firstLine="0" w:firstLineChars="0"/>
        <w:textAlignment w:val="auto"/>
        <w:rPr>
          <w:rFonts w:hint="eastAsia" w:ascii="宋体" w:hAnsi="宋体" w:eastAsia="宋体" w:cs="宋体"/>
          <w:color w:val="000000" w:themeColor="text1"/>
          <w:szCs w:val="21"/>
          <w:highlight w:val="none"/>
          <w14:textFill>
            <w14:solidFill>
              <w14:schemeClr w14:val="tx1"/>
            </w14:solidFill>
          </w14:textFill>
        </w:rPr>
      </w:pPr>
    </w:p>
    <w:p w14:paraId="62FE646D">
      <w:pPr>
        <w:keepNext w:val="0"/>
        <w:keepLines w:val="0"/>
        <w:pageBreakBefore w:val="0"/>
        <w:widowControl w:val="0"/>
        <w:kinsoku/>
        <w:wordWrap/>
        <w:overflowPunct/>
        <w:topLinePunct w:val="0"/>
        <w:bidi w:val="0"/>
        <w:spacing w:line="360" w:lineRule="auto"/>
        <w:textAlignment w:val="auto"/>
        <w:outlineLvl w:val="3"/>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第十条 不可抗力</w:t>
      </w:r>
    </w:p>
    <w:p w14:paraId="3F4C32E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31FD287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BFDF235">
      <w:pPr>
        <w:keepNext w:val="0"/>
        <w:keepLines w:val="0"/>
        <w:pageBreakBefore w:val="0"/>
        <w:widowControl w:val="0"/>
        <w:kinsoku/>
        <w:wordWrap/>
        <w:overflowPunct/>
        <w:topLinePunct w:val="0"/>
        <w:bidi w:val="0"/>
        <w:spacing w:line="360" w:lineRule="auto"/>
        <w:textAlignment w:val="auto"/>
        <w:outlineLvl w:val="3"/>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第十一条 承诺与保证</w:t>
      </w:r>
    </w:p>
    <w:p w14:paraId="2381C00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49CB562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59BE355">
      <w:pPr>
        <w:keepNext w:val="0"/>
        <w:keepLines w:val="0"/>
        <w:pageBreakBefore w:val="0"/>
        <w:widowControl w:val="0"/>
        <w:kinsoku/>
        <w:wordWrap/>
        <w:overflowPunct/>
        <w:topLinePunct w:val="0"/>
        <w:bidi w:val="0"/>
        <w:spacing w:line="360" w:lineRule="auto"/>
        <w:textAlignment w:val="auto"/>
        <w:outlineLvl w:val="3"/>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第十二条 合同争议的解决办法</w:t>
      </w:r>
    </w:p>
    <w:p w14:paraId="363DB4F6">
      <w:pPr>
        <w:keepNext w:val="0"/>
        <w:keepLines w:val="0"/>
        <w:pageBreakBefore w:val="0"/>
        <w:widowControl w:val="0"/>
        <w:kinsoku/>
        <w:wordWrap/>
        <w:overflowPunct/>
        <w:topLinePunct w:val="0"/>
        <w:bidi w:val="0"/>
        <w:spacing w:line="360" w:lineRule="auto"/>
        <w:ind w:firstLine="403"/>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双方因本合同发生争议的，可协商解决。协商不成的，任何一方可向甲方</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住所地有管辖权的人民法院提起诉讼。</w:t>
      </w:r>
    </w:p>
    <w:p w14:paraId="5AFE8516">
      <w:pPr>
        <w:keepNext w:val="0"/>
        <w:keepLines w:val="0"/>
        <w:pageBreakBefore w:val="0"/>
        <w:widowControl w:val="0"/>
        <w:kinsoku/>
        <w:wordWrap/>
        <w:overflowPunct/>
        <w:topLinePunct w:val="0"/>
        <w:bidi w:val="0"/>
        <w:spacing w:line="360" w:lineRule="auto"/>
        <w:ind w:firstLine="403"/>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7357AD73">
      <w:pPr>
        <w:keepNext w:val="0"/>
        <w:keepLines w:val="0"/>
        <w:pageBreakBefore w:val="0"/>
        <w:widowControl w:val="0"/>
        <w:kinsoku/>
        <w:wordWrap/>
        <w:overflowPunct/>
        <w:topLinePunct w:val="0"/>
        <w:bidi w:val="0"/>
        <w:spacing w:line="360" w:lineRule="auto"/>
        <w:ind w:firstLine="403"/>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3BCE26F4">
      <w:pPr>
        <w:keepNext w:val="0"/>
        <w:keepLines w:val="0"/>
        <w:pageBreakBefore w:val="0"/>
        <w:widowControl w:val="0"/>
        <w:kinsoku/>
        <w:wordWrap/>
        <w:overflowPunct/>
        <w:topLinePunct w:val="0"/>
        <w:bidi w:val="0"/>
        <w:spacing w:line="360" w:lineRule="auto"/>
        <w:textAlignment w:val="auto"/>
        <w:outlineLvl w:val="3"/>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第十三条 其他</w:t>
      </w:r>
    </w:p>
    <w:p w14:paraId="14B80B7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w:t>
      </w:r>
      <w:r>
        <w:rPr>
          <w:rFonts w:hint="eastAsia" w:ascii="宋体" w:hAnsi="宋体" w:eastAsia="宋体" w:cs="宋体"/>
          <w:color w:val="000000" w:themeColor="text1"/>
          <w:sz w:val="21"/>
          <w:szCs w:val="21"/>
          <w:highlight w:val="none"/>
          <w:lang w:val="en-US" w:eastAsia="zh-CN"/>
          <w14:textFill>
            <w14:solidFill>
              <w14:schemeClr w14:val="tx1"/>
            </w14:solidFill>
          </w14:textFill>
        </w:rPr>
        <w:t>在</w:t>
      </w:r>
      <w:r>
        <w:rPr>
          <w:rFonts w:hint="eastAsia" w:ascii="宋体" w:hAnsi="宋体" w:eastAsia="宋体" w:cs="宋体"/>
          <w:color w:val="000000" w:themeColor="text1"/>
          <w:sz w:val="21"/>
          <w:szCs w:val="21"/>
          <w:highlight w:val="none"/>
          <w14:textFill>
            <w14:solidFill>
              <w14:schemeClr w14:val="tx1"/>
            </w14:solidFill>
          </w14:textFill>
        </w:rPr>
        <w:t xml:space="preserve"> 1 日内书面告知甲方，否则甲方仍按合同中列明的乙方“地址”发出相关通知、函件等并视为有效送达。</w:t>
      </w:r>
    </w:p>
    <w:p w14:paraId="4741AC1F">
      <w:pPr>
        <w:keepNext w:val="0"/>
        <w:keepLines w:val="0"/>
        <w:pageBreakBefore w:val="0"/>
        <w:widowControl w:val="0"/>
        <w:kinsoku/>
        <w:wordWrap/>
        <w:overflowPunct/>
        <w:topLinePunct w:val="0"/>
        <w:bidi w:val="0"/>
        <w:spacing w:line="360" w:lineRule="auto"/>
        <w:ind w:firstLine="424" w:firstLineChars="202"/>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3794505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本合同一式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份，其中甲方执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份，乙方执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份，招标代理机构执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壹 </w:t>
      </w:r>
      <w:r>
        <w:rPr>
          <w:rFonts w:hint="eastAsia" w:ascii="宋体" w:hAnsi="宋体" w:eastAsia="宋体" w:cs="宋体"/>
          <w:color w:val="000000" w:themeColor="text1"/>
          <w:sz w:val="21"/>
          <w:szCs w:val="21"/>
          <w:highlight w:val="none"/>
          <w14:textFill>
            <w14:solidFill>
              <w14:schemeClr w14:val="tx1"/>
            </w14:solidFill>
          </w14:textFill>
        </w:rPr>
        <w:t>份，每份均具有同等法律效力。</w:t>
      </w:r>
    </w:p>
    <w:p w14:paraId="28DA60F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本合同</w:t>
      </w:r>
      <w:r>
        <w:rPr>
          <w:rFonts w:hint="eastAsia" w:ascii="宋体" w:hAnsi="宋体" w:eastAsia="宋体" w:cs="宋体"/>
          <w:color w:val="000000" w:themeColor="text1"/>
          <w:szCs w:val="21"/>
          <w:highlight w:val="none"/>
          <w:lang w:bidi="ar"/>
          <w14:textFill>
            <w14:solidFill>
              <w14:schemeClr w14:val="tx1"/>
            </w14:solidFill>
          </w14:textFill>
        </w:rPr>
        <w:t>自</w:t>
      </w:r>
      <w:r>
        <w:rPr>
          <w:rFonts w:hint="eastAsia" w:ascii="宋体" w:hAnsi="宋体" w:eastAsia="宋体" w:cs="宋体"/>
          <w:color w:val="000000" w:themeColor="text1"/>
          <w:szCs w:val="21"/>
          <w:highlight w:val="none"/>
          <w:lang w:val="en-US" w:eastAsia="zh-CN" w:bidi="ar"/>
          <w14:textFill>
            <w14:solidFill>
              <w14:schemeClr w14:val="tx1"/>
            </w14:solidFill>
          </w14:textFill>
        </w:rPr>
        <w:t>甲乙</w:t>
      </w:r>
      <w:r>
        <w:rPr>
          <w:rFonts w:hint="eastAsia" w:ascii="宋体" w:hAnsi="宋体" w:eastAsia="宋体" w:cs="宋体"/>
          <w:color w:val="000000" w:themeColor="text1"/>
          <w:szCs w:val="21"/>
          <w:highlight w:val="none"/>
          <w:lang w:bidi="ar"/>
          <w14:textFill>
            <w14:solidFill>
              <w14:schemeClr w14:val="tx1"/>
            </w14:solidFill>
          </w14:textFill>
        </w:rPr>
        <w:t>双方盖章、并经</w:t>
      </w:r>
      <w:r>
        <w:rPr>
          <w:rFonts w:hint="eastAsia" w:ascii="宋体" w:hAnsi="宋体" w:eastAsia="宋体" w:cs="宋体"/>
          <w:color w:val="000000" w:themeColor="text1"/>
          <w:szCs w:val="21"/>
          <w:highlight w:val="none"/>
          <w:lang w:val="en-US" w:eastAsia="zh-CN" w:bidi="ar"/>
          <w14:textFill>
            <w14:solidFill>
              <w14:schemeClr w14:val="tx1"/>
            </w14:solidFill>
          </w14:textFill>
        </w:rPr>
        <w:t>双方</w:t>
      </w:r>
      <w:r>
        <w:rPr>
          <w:rFonts w:hint="eastAsia" w:ascii="宋体" w:hAnsi="宋体" w:eastAsia="宋体" w:cs="宋体"/>
          <w:color w:val="000000" w:themeColor="text1"/>
          <w:szCs w:val="21"/>
          <w:highlight w:val="none"/>
          <w:lang w:bidi="ar"/>
          <w14:textFill>
            <w14:solidFill>
              <w14:schemeClr w14:val="tx1"/>
            </w14:solidFill>
          </w14:textFill>
        </w:rPr>
        <w:t>法定代表人签字之日起生效</w:t>
      </w:r>
      <w:r>
        <w:rPr>
          <w:rFonts w:hint="eastAsia" w:ascii="宋体" w:hAnsi="宋体" w:eastAsia="宋体" w:cs="宋体"/>
          <w:color w:val="000000" w:themeColor="text1"/>
          <w:sz w:val="21"/>
          <w:szCs w:val="21"/>
          <w:highlight w:val="none"/>
          <w14:textFill>
            <w14:solidFill>
              <w14:schemeClr w14:val="tx1"/>
            </w14:solidFill>
          </w14:textFill>
        </w:rPr>
        <w:t>。</w:t>
      </w:r>
    </w:p>
    <w:p w14:paraId="01867F7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合同所有附件及本项目的招标文件、答疑文件、投标文件、补充通知及相关承诺、协议等均为本合同有效组成部分，与本合同同具法律效力，该等文件与本合同正文约定不一致的，以有利于甲方的约定为准。</w:t>
      </w:r>
    </w:p>
    <w:p w14:paraId="009B78C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附件:1.供应商履约评价表、2.廉洁协议书、3.采购清单及价格表、4.用户需求书</w:t>
      </w:r>
    </w:p>
    <w:p w14:paraId="29C6C499">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（以下无正文内容为签字盖章页）</w:t>
      </w:r>
    </w:p>
    <w:p w14:paraId="79F42145">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tbl>
      <w:tblPr>
        <w:tblStyle w:val="40"/>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067C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5C95D82">
            <w:pPr>
              <w:spacing w:line="360" w:lineRule="auto"/>
              <w:jc w:val="both"/>
              <w:rPr>
                <w:rFonts w:hint="eastAsia" w:ascii="宋体" w:hAnsi="宋体" w:eastAsia="宋体" w:cs="宋体"/>
                <w:color w:val="000000" w:themeColor="text1"/>
                <w:sz w:val="21"/>
                <w:szCs w:val="21"/>
                <w:highlight w:val="none"/>
                <w:vertAlign w:val="baseline"/>
                <w:lang w:val="en-US"/>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c>
          <w:tcPr>
            <w:tcW w:w="5102" w:type="dxa"/>
            <w:tcBorders>
              <w:tl2br w:val="nil"/>
              <w:tr2bl w:val="nil"/>
            </w:tcBorders>
            <w:shd w:val="clear" w:color="auto" w:fill="auto"/>
            <w:tcMar>
              <w:top w:w="0" w:type="dxa"/>
              <w:left w:w="57" w:type="dxa"/>
              <w:bottom w:w="0" w:type="dxa"/>
              <w:right w:w="57" w:type="dxa"/>
            </w:tcMar>
            <w:vAlign w:val="top"/>
          </w:tcPr>
          <w:p w14:paraId="72258676">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r>
      <w:tr w14:paraId="2CED9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2BBB395">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法定代表人：</w:t>
            </w:r>
          </w:p>
        </w:tc>
        <w:tc>
          <w:tcPr>
            <w:tcW w:w="5102" w:type="dxa"/>
            <w:tcBorders>
              <w:tl2br w:val="nil"/>
              <w:tr2bl w:val="nil"/>
            </w:tcBorders>
            <w:shd w:val="clear" w:color="auto" w:fill="auto"/>
            <w:tcMar>
              <w:top w:w="0" w:type="dxa"/>
              <w:left w:w="57" w:type="dxa"/>
              <w:bottom w:w="0" w:type="dxa"/>
              <w:right w:w="57" w:type="dxa"/>
            </w:tcMar>
            <w:vAlign w:val="top"/>
          </w:tcPr>
          <w:p w14:paraId="67430858">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法定代表人：</w:t>
            </w:r>
          </w:p>
        </w:tc>
      </w:tr>
      <w:tr w14:paraId="26B63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27CD3738">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02BA26CF">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r>
      <w:tr w14:paraId="3A13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0DAFE853">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36D0FE23">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r>
      <w:tr w14:paraId="5431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675E4CC">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5FFAF1EE">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r>
      <w:tr w14:paraId="4E3FA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7E9FF3C">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363DD038">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r>
      <w:tr w14:paraId="78EC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042F9C2E">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40868D29">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r>
      <w:tr w14:paraId="56182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683D63D">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1C0BF4DA">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r>
      <w:tr w14:paraId="47E4F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99FEC62">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tcMar>
              <w:top w:w="0" w:type="dxa"/>
              <w:left w:w="57" w:type="dxa"/>
              <w:bottom w:w="0" w:type="dxa"/>
              <w:right w:w="57" w:type="dxa"/>
            </w:tcMar>
            <w:vAlign w:val="top"/>
          </w:tcPr>
          <w:p w14:paraId="723B474C">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7B7C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3A5CAF48">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bookmarkStart w:id="396" w:name="OLE_LINK5" w:colFirst="0" w:colLast="0"/>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c>
          <w:tcPr>
            <w:tcW w:w="5102" w:type="dxa"/>
            <w:tcBorders>
              <w:tl2br w:val="nil"/>
              <w:tr2bl w:val="nil"/>
            </w:tcBorders>
            <w:shd w:val="clear" w:color="auto" w:fill="auto"/>
            <w:tcMar>
              <w:top w:w="0" w:type="dxa"/>
              <w:left w:w="57" w:type="dxa"/>
              <w:bottom w:w="0" w:type="dxa"/>
              <w:right w:w="57" w:type="dxa"/>
            </w:tcMar>
            <w:vAlign w:val="top"/>
          </w:tcPr>
          <w:p w14:paraId="690B5A81">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r>
      <w:tr w14:paraId="2B9F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024B22DB">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法定代表人：</w:t>
            </w:r>
          </w:p>
        </w:tc>
        <w:tc>
          <w:tcPr>
            <w:tcW w:w="5102" w:type="dxa"/>
            <w:tcBorders>
              <w:tl2br w:val="nil"/>
              <w:tr2bl w:val="nil"/>
            </w:tcBorders>
            <w:shd w:val="clear" w:color="auto" w:fill="auto"/>
            <w:tcMar>
              <w:top w:w="0" w:type="dxa"/>
              <w:left w:w="57" w:type="dxa"/>
              <w:bottom w:w="0" w:type="dxa"/>
              <w:right w:w="57" w:type="dxa"/>
            </w:tcMar>
            <w:vAlign w:val="top"/>
          </w:tcPr>
          <w:p w14:paraId="6795A166">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法定代表人：</w:t>
            </w:r>
          </w:p>
        </w:tc>
      </w:tr>
      <w:tr w14:paraId="037A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2CC9513E">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1F9FB728">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r>
      <w:tr w14:paraId="2939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26599AF5">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69A1DDD8">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r>
      <w:tr w14:paraId="79DD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AD2022C">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0E847981">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r>
      <w:tr w14:paraId="1FA6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63EB6B8">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2FE90D47">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r>
      <w:tr w14:paraId="53E5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55D7B4F0">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50407345">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r>
      <w:tr w14:paraId="6DB7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BBD54DE">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76E3BB38">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p>
        </w:tc>
      </w:tr>
      <w:tr w14:paraId="7173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41FDA337">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091E4452">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157B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93D70CD">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c>
          <w:tcPr>
            <w:tcW w:w="5102" w:type="dxa"/>
            <w:tcBorders>
              <w:tl2br w:val="nil"/>
              <w:tr2bl w:val="nil"/>
            </w:tcBorders>
            <w:shd w:val="clear" w:color="auto" w:fill="auto"/>
            <w:tcMar>
              <w:top w:w="0" w:type="dxa"/>
              <w:left w:w="57" w:type="dxa"/>
              <w:bottom w:w="0" w:type="dxa"/>
              <w:right w:w="57" w:type="dxa"/>
            </w:tcMar>
            <w:vAlign w:val="top"/>
          </w:tcPr>
          <w:p w14:paraId="0A00B1B0">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r>
      <w:tr w14:paraId="7154E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0BF8440">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法定代表人：</w:t>
            </w:r>
          </w:p>
        </w:tc>
        <w:tc>
          <w:tcPr>
            <w:tcW w:w="5102" w:type="dxa"/>
            <w:tcBorders>
              <w:tl2br w:val="nil"/>
              <w:tr2bl w:val="nil"/>
            </w:tcBorders>
            <w:shd w:val="clear" w:color="auto" w:fill="auto"/>
            <w:tcMar>
              <w:top w:w="0" w:type="dxa"/>
              <w:left w:w="57" w:type="dxa"/>
              <w:bottom w:w="0" w:type="dxa"/>
              <w:right w:w="57" w:type="dxa"/>
            </w:tcMar>
            <w:vAlign w:val="top"/>
          </w:tcPr>
          <w:p w14:paraId="72898199">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法定代表人：</w:t>
            </w:r>
          </w:p>
        </w:tc>
      </w:tr>
      <w:tr w14:paraId="09849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3028AAE0">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325C09AE">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705CB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3119C275">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030038FD">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3797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288E6B8D">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1906325D">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4A3F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C1F8C61">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551A3F62">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68CF4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8F33BA4">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295EE921">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r>
      <w:bookmarkEnd w:id="396"/>
      <w:tr w14:paraId="3CED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4245193">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tcMar>
              <w:top w:w="0" w:type="dxa"/>
              <w:left w:w="57" w:type="dxa"/>
              <w:bottom w:w="0" w:type="dxa"/>
              <w:right w:w="57" w:type="dxa"/>
            </w:tcMar>
            <w:vAlign w:val="top"/>
          </w:tcPr>
          <w:p w14:paraId="4BAB73C6">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0D5D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A7E69BC">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7799B0C0">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乙方（盖章）：</w:t>
            </w:r>
          </w:p>
        </w:tc>
      </w:tr>
      <w:tr w14:paraId="407B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4FD5F12">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604B278B">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法定代表人：</w:t>
            </w:r>
          </w:p>
        </w:tc>
      </w:tr>
      <w:tr w14:paraId="55A6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FAB3803">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355745D2">
            <w:pPr>
              <w:spacing w:line="360" w:lineRule="auto"/>
              <w:ind w:left="630" w:leftChars="0" w:hanging="630" w:hangingChars="300"/>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地址：</w:t>
            </w:r>
          </w:p>
        </w:tc>
      </w:tr>
      <w:tr w14:paraId="502A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9A48547">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2192E6CA">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电话：</w:t>
            </w:r>
          </w:p>
        </w:tc>
      </w:tr>
      <w:tr w14:paraId="1766A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CF04482">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01139DB4">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名称：</w:t>
            </w:r>
          </w:p>
        </w:tc>
      </w:tr>
      <w:tr w14:paraId="6E120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488CE301">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5FD071D1">
            <w:pPr>
              <w:spacing w:line="360" w:lineRule="auto"/>
              <w:ind w:left="1050" w:leftChars="0" w:hanging="1050" w:hangingChars="500"/>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开户银行：</w:t>
            </w:r>
          </w:p>
        </w:tc>
      </w:tr>
      <w:tr w14:paraId="26D08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1E596B6">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4F0B64B7">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银行账号：</w:t>
            </w:r>
          </w:p>
        </w:tc>
      </w:tr>
      <w:tr w14:paraId="588BE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AFDAAD9">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470C1254">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税号：</w:t>
            </w:r>
          </w:p>
        </w:tc>
      </w:tr>
    </w:tbl>
    <w:p w14:paraId="1BF06C57">
      <w:pPr>
        <w:keepNext w:val="0"/>
        <w:keepLines w:val="0"/>
        <w:pageBreakBefore w:val="0"/>
        <w:widowControl w:val="0"/>
        <w:kinsoku/>
        <w:wordWrap/>
        <w:overflowPunct/>
        <w:topLinePunct w:val="0"/>
        <w:bidi w:val="0"/>
        <w:spacing w:line="360" w:lineRule="auto"/>
        <w:ind w:left="6090" w:hanging="6090" w:hangingChars="29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332ADC85">
      <w:pPr>
        <w:keepNext w:val="0"/>
        <w:keepLines w:val="0"/>
        <w:pageBreakBefore w:val="0"/>
        <w:widowControl w:val="0"/>
        <w:tabs>
          <w:tab w:val="left" w:pos="1983"/>
        </w:tabs>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签约日期：</w:t>
      </w:r>
    </w:p>
    <w:p w14:paraId="5FE44776">
      <w:pPr>
        <w:keepNext w:val="0"/>
        <w:keepLines w:val="0"/>
        <w:pageBreakBefore w:val="0"/>
        <w:widowControl w:val="0"/>
        <w:tabs>
          <w:tab w:val="left" w:pos="1983"/>
        </w:tabs>
        <w:kinsoku/>
        <w:wordWrap/>
        <w:overflowPunct/>
        <w:topLinePunct w:val="0"/>
        <w:bidi w:val="0"/>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签订地点：广东省东莞市</w:t>
      </w:r>
    </w:p>
    <w:p w14:paraId="7093BBB3">
      <w:pPr>
        <w:rPr>
          <w:rFonts w:hAnsi="宋体"/>
          <w:color w:val="000000" w:themeColor="text1"/>
          <w:highlight w:val="none"/>
          <w14:textFill>
            <w14:solidFill>
              <w14:schemeClr w14:val="tx1"/>
            </w14:solidFill>
          </w14:textFill>
        </w:rPr>
      </w:pPr>
    </w:p>
    <w:p w14:paraId="26772D38">
      <w:pPr>
        <w:pageBreakBefore/>
        <w:spacing w:line="360" w:lineRule="auto"/>
        <w:rPr>
          <w:rFonts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bidi="ar"/>
          <w14:textFill>
            <w14:solidFill>
              <w14:schemeClr w14:val="tx1"/>
            </w14:solidFill>
          </w14:textFill>
        </w:rPr>
        <w:t>附件1：供应商履约评价表</w:t>
      </w:r>
    </w:p>
    <w:p w14:paraId="36CBA6E6">
      <w:pPr>
        <w:spacing w:line="360" w:lineRule="auto"/>
        <w:jc w:val="center"/>
        <w:rPr>
          <w:rFonts w:ascii="宋体" w:hAnsi="宋体" w:eastAsia="宋体" w:cs="Times New Roman"/>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bidi="ar"/>
          <w14:textFill>
            <w14:solidFill>
              <w14:schemeClr w14:val="tx1"/>
            </w14:solidFill>
          </w14:textFill>
        </w:rPr>
        <w:t>供应商履约评价表</w:t>
      </w:r>
    </w:p>
    <w:tbl>
      <w:tblPr>
        <w:tblStyle w:val="40"/>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51"/>
        <w:gridCol w:w="2268"/>
        <w:gridCol w:w="1985"/>
        <w:gridCol w:w="283"/>
        <w:gridCol w:w="1418"/>
        <w:gridCol w:w="709"/>
        <w:gridCol w:w="850"/>
        <w:gridCol w:w="992"/>
      </w:tblGrid>
      <w:tr w14:paraId="2CA8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tcPr>
          <w:p w14:paraId="4C7A8F4F">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14:textFill>
                  <w14:solidFill>
                    <w14:schemeClr w14:val="tx1"/>
                  </w14:solidFill>
                </w14:textFill>
              </w:rPr>
              <w:t>合同名称</w:t>
            </w:r>
          </w:p>
        </w:tc>
        <w:tc>
          <w:tcPr>
            <w:tcW w:w="8505" w:type="dxa"/>
            <w:gridSpan w:val="7"/>
          </w:tcPr>
          <w:p w14:paraId="5289DCFD">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p>
        </w:tc>
      </w:tr>
      <w:tr w14:paraId="747A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tcPr>
          <w:p w14:paraId="04F6136B">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合同编号</w:t>
            </w:r>
          </w:p>
        </w:tc>
        <w:tc>
          <w:tcPr>
            <w:tcW w:w="8505" w:type="dxa"/>
            <w:gridSpan w:val="7"/>
          </w:tcPr>
          <w:p w14:paraId="4B12C2E6">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p>
        </w:tc>
      </w:tr>
      <w:tr w14:paraId="7E51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tcPr>
          <w:p w14:paraId="331437AC">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名称</w:t>
            </w:r>
          </w:p>
        </w:tc>
        <w:tc>
          <w:tcPr>
            <w:tcW w:w="8505" w:type="dxa"/>
            <w:gridSpan w:val="7"/>
          </w:tcPr>
          <w:p w14:paraId="6AC7C071">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p>
        </w:tc>
      </w:tr>
      <w:tr w14:paraId="0300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tcPr>
          <w:p w14:paraId="046ADF35">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供应商名称</w:t>
            </w:r>
          </w:p>
        </w:tc>
        <w:tc>
          <w:tcPr>
            <w:tcW w:w="8505" w:type="dxa"/>
            <w:gridSpan w:val="7"/>
          </w:tcPr>
          <w:p w14:paraId="1DA07E88">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p>
        </w:tc>
      </w:tr>
      <w:tr w14:paraId="3EE9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tcPr>
          <w:p w14:paraId="25E86FCC">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供应商货物名称</w:t>
            </w:r>
          </w:p>
        </w:tc>
        <w:tc>
          <w:tcPr>
            <w:tcW w:w="8505" w:type="dxa"/>
            <w:gridSpan w:val="7"/>
          </w:tcPr>
          <w:p w14:paraId="4A665D1A">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p>
        </w:tc>
      </w:tr>
      <w:tr w14:paraId="18FC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30139E98">
            <w:pPr>
              <w:keepNext w:val="0"/>
              <w:keepLines w:val="0"/>
              <w:pageBreakBefore w:val="0"/>
              <w:kinsoku/>
              <w:wordWrap/>
              <w:overflowPunct/>
              <w:topLinePunct w:val="0"/>
              <w:bidi w:val="0"/>
              <w:snapToGrid/>
              <w:spacing w:line="360" w:lineRule="auto"/>
              <w:ind w:left="-105" w:leftChars="-50" w:right="-105" w:rightChars="-50"/>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851" w:type="dxa"/>
            <w:vAlign w:val="center"/>
          </w:tcPr>
          <w:p w14:paraId="1F21BE7A">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履约评价项目</w:t>
            </w:r>
          </w:p>
        </w:tc>
        <w:tc>
          <w:tcPr>
            <w:tcW w:w="4253" w:type="dxa"/>
            <w:gridSpan w:val="2"/>
            <w:vAlign w:val="center"/>
          </w:tcPr>
          <w:p w14:paraId="5E8EDCCF">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评分标准</w:t>
            </w:r>
          </w:p>
        </w:tc>
        <w:tc>
          <w:tcPr>
            <w:tcW w:w="1701" w:type="dxa"/>
            <w:gridSpan w:val="2"/>
            <w:vAlign w:val="center"/>
          </w:tcPr>
          <w:p w14:paraId="29AA1EF5">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评分说明</w:t>
            </w:r>
          </w:p>
        </w:tc>
        <w:tc>
          <w:tcPr>
            <w:tcW w:w="709" w:type="dxa"/>
            <w:vAlign w:val="center"/>
          </w:tcPr>
          <w:p w14:paraId="49733189">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850" w:type="dxa"/>
            <w:vAlign w:val="center"/>
          </w:tcPr>
          <w:p w14:paraId="619A330A">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实得分</w:t>
            </w:r>
          </w:p>
        </w:tc>
        <w:tc>
          <w:tcPr>
            <w:tcW w:w="992" w:type="dxa"/>
            <w:vAlign w:val="center"/>
          </w:tcPr>
          <w:p w14:paraId="2B669C92">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p w14:paraId="61E369E3">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（该项分值80%分数）</w:t>
            </w:r>
          </w:p>
        </w:tc>
      </w:tr>
      <w:tr w14:paraId="39D9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2AEE7D77">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851" w:type="dxa"/>
            <w:vAlign w:val="center"/>
          </w:tcPr>
          <w:p w14:paraId="0610B3C3">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w:t>
            </w:r>
          </w:p>
        </w:tc>
        <w:tc>
          <w:tcPr>
            <w:tcW w:w="4253" w:type="dxa"/>
            <w:gridSpan w:val="2"/>
            <w:vAlign w:val="center"/>
          </w:tcPr>
          <w:p w14:paraId="57524BDA">
            <w:pPr>
              <w:keepNext w:val="0"/>
              <w:keepLines w:val="0"/>
              <w:pageBreakBefore w:val="0"/>
              <w:kinsoku/>
              <w:wordWrap/>
              <w:overflowPunct/>
              <w:topLinePunct w:val="0"/>
              <w:bidi w:val="0"/>
              <w:snapToGrid/>
              <w:spacing w:line="360" w:lineRule="auto"/>
              <w:ind w:firstLine="317" w:firstLineChars="151"/>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货物</w:t>
            </w:r>
            <w:r>
              <w:rPr>
                <w:rFonts w:hint="eastAsia" w:ascii="宋体" w:hAnsi="宋体" w:eastAsia="宋体" w:cs="宋体"/>
                <w:bCs/>
                <w:color w:val="000000" w:themeColor="text1"/>
                <w:sz w:val="21"/>
                <w:szCs w:val="21"/>
                <w:highlight w:val="none"/>
                <w14:textFill>
                  <w14:solidFill>
                    <w14:schemeClr w14:val="tx1"/>
                  </w14:solidFill>
                </w14:textFill>
              </w:rPr>
              <w:t>未出现全部拒收或换货等质量问题；</w:t>
            </w:r>
          </w:p>
          <w:p w14:paraId="65823892">
            <w:pPr>
              <w:keepNext w:val="0"/>
              <w:keepLines w:val="0"/>
              <w:pageBreakBefore w:val="0"/>
              <w:widowControl w:val="0"/>
              <w:kinsoku/>
              <w:wordWrap/>
              <w:overflowPunct/>
              <w:topLinePunct w:val="0"/>
              <w:autoSpaceDE w:val="0"/>
              <w:autoSpaceDN w:val="0"/>
              <w:bidi w:val="0"/>
              <w:adjustRightInd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货物性能符合合同规定，货物其他指标符合合同规定；</w:t>
            </w:r>
          </w:p>
          <w:p w14:paraId="350F3F66">
            <w:pPr>
              <w:keepNext w:val="0"/>
              <w:keepLines w:val="0"/>
              <w:pageBreakBefore w:val="0"/>
              <w:kinsoku/>
              <w:wordWrap/>
              <w:overflowPunct/>
              <w:topLinePunct w:val="0"/>
              <w:bidi w:val="0"/>
              <w:snapToGrid/>
              <w:spacing w:line="360" w:lineRule="auto"/>
              <w:ind w:firstLine="317" w:firstLineChars="151"/>
              <w:jc w:val="left"/>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每批次货物质量稳定，使用效果良好，未出现由于货物质量参差不齐，造成实质性影响或损失等情况。</w:t>
            </w:r>
          </w:p>
        </w:tc>
        <w:tc>
          <w:tcPr>
            <w:tcW w:w="1701" w:type="dxa"/>
            <w:gridSpan w:val="2"/>
            <w:vAlign w:val="center"/>
          </w:tcPr>
          <w:p w14:paraId="7AEEF937">
            <w:pPr>
              <w:keepNext w:val="0"/>
              <w:keepLines w:val="0"/>
              <w:pageBreakBefore w:val="0"/>
              <w:kinsoku/>
              <w:wordWrap/>
              <w:overflowPunct/>
              <w:topLinePunct w:val="0"/>
              <w:bidi w:val="0"/>
              <w:snapToGrid/>
              <w:spacing w:line="360" w:lineRule="auto"/>
              <w:jc w:val="left"/>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达到标准的得满分，每月每次有一项未达到标准的扣4分。</w:t>
            </w:r>
          </w:p>
        </w:tc>
        <w:tc>
          <w:tcPr>
            <w:tcW w:w="709" w:type="dxa"/>
            <w:vAlign w:val="center"/>
          </w:tcPr>
          <w:p w14:paraId="684E3D9D">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850" w:type="dxa"/>
            <w:vAlign w:val="center"/>
          </w:tcPr>
          <w:p w14:paraId="17CE5AA5">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p>
        </w:tc>
        <w:tc>
          <w:tcPr>
            <w:tcW w:w="992" w:type="dxa"/>
            <w:vAlign w:val="center"/>
          </w:tcPr>
          <w:p w14:paraId="33A9C1ED">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r>
      <w:tr w14:paraId="0C05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766822B3">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851" w:type="dxa"/>
            <w:vAlign w:val="center"/>
          </w:tcPr>
          <w:p w14:paraId="6660A84E">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包装</w:t>
            </w:r>
          </w:p>
          <w:p w14:paraId="57ED62B6">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运输</w:t>
            </w:r>
          </w:p>
        </w:tc>
        <w:tc>
          <w:tcPr>
            <w:tcW w:w="4253" w:type="dxa"/>
            <w:gridSpan w:val="2"/>
            <w:vAlign w:val="center"/>
          </w:tcPr>
          <w:p w14:paraId="0882E484">
            <w:pPr>
              <w:keepNext w:val="0"/>
              <w:keepLines w:val="0"/>
              <w:pageBreakBefore w:val="0"/>
              <w:kinsoku/>
              <w:wordWrap/>
              <w:overflowPunct/>
              <w:topLinePunct w:val="0"/>
              <w:bidi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货物的包装、运输符合合同规定及行业标准；未出现由于包装、运输方式不当造成以下不良后果：</w:t>
            </w:r>
          </w:p>
          <w:p w14:paraId="6CF99FEE">
            <w:pPr>
              <w:keepNext w:val="0"/>
              <w:keepLines w:val="0"/>
              <w:pageBreakBefore w:val="0"/>
              <w:widowControl w:val="0"/>
              <w:kinsoku/>
              <w:wordWrap/>
              <w:overflowPunct/>
              <w:topLinePunct w:val="0"/>
              <w:autoSpaceDE w:val="0"/>
              <w:autoSpaceDN w:val="0"/>
              <w:bidi w:val="0"/>
              <w:adjustRightInd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影响货物转移或储存质量；</w:t>
            </w:r>
          </w:p>
          <w:p w14:paraId="12BA4E51">
            <w:pPr>
              <w:keepNext w:val="0"/>
              <w:keepLines w:val="0"/>
              <w:pageBreakBefore w:val="0"/>
              <w:widowControl w:val="0"/>
              <w:kinsoku/>
              <w:wordWrap/>
              <w:overflowPunct/>
              <w:topLinePunct w:val="0"/>
              <w:autoSpaceDE w:val="0"/>
              <w:autoSpaceDN w:val="0"/>
              <w:bidi w:val="0"/>
              <w:adjustRightInd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货物质量下降；</w:t>
            </w:r>
          </w:p>
          <w:p w14:paraId="2CF1E64E">
            <w:pPr>
              <w:keepNext w:val="0"/>
              <w:keepLines w:val="0"/>
              <w:pageBreakBefore w:val="0"/>
              <w:widowControl w:val="0"/>
              <w:kinsoku/>
              <w:wordWrap/>
              <w:overflowPunct/>
              <w:topLinePunct w:val="0"/>
              <w:autoSpaceDE w:val="0"/>
              <w:autoSpaceDN w:val="0"/>
              <w:bidi w:val="0"/>
              <w:adjustRightInd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货物泄漏导致供货量不足；</w:t>
            </w:r>
          </w:p>
          <w:p w14:paraId="639416B5">
            <w:pPr>
              <w:keepNext w:val="0"/>
              <w:keepLines w:val="0"/>
              <w:pageBreakBefore w:val="0"/>
              <w:kinsoku/>
              <w:wordWrap/>
              <w:overflowPunct/>
              <w:topLinePunct w:val="0"/>
              <w:bidi w:val="0"/>
              <w:snapToGrid/>
              <w:spacing w:line="360" w:lineRule="auto"/>
              <w:ind w:firstLine="317" w:firstLineChars="151"/>
              <w:jc w:val="left"/>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 造成环境污染。</w:t>
            </w:r>
          </w:p>
        </w:tc>
        <w:tc>
          <w:tcPr>
            <w:tcW w:w="1701" w:type="dxa"/>
            <w:gridSpan w:val="2"/>
            <w:vAlign w:val="center"/>
          </w:tcPr>
          <w:p w14:paraId="1E3ADA86">
            <w:pPr>
              <w:keepNext w:val="0"/>
              <w:keepLines w:val="0"/>
              <w:pageBreakBefore w:val="0"/>
              <w:kinsoku/>
              <w:wordWrap/>
              <w:overflowPunct/>
              <w:topLinePunct w:val="0"/>
              <w:bidi w:val="0"/>
              <w:snapToGrid/>
              <w:spacing w:line="360" w:lineRule="auto"/>
              <w:jc w:val="lef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达到标准的得满分，每月每次有一项未达到标准的扣3分。</w:t>
            </w:r>
          </w:p>
        </w:tc>
        <w:tc>
          <w:tcPr>
            <w:tcW w:w="709" w:type="dxa"/>
            <w:vAlign w:val="center"/>
          </w:tcPr>
          <w:p w14:paraId="7C0D92F1">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850" w:type="dxa"/>
            <w:vAlign w:val="center"/>
          </w:tcPr>
          <w:p w14:paraId="65D6BD2A">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p>
        </w:tc>
        <w:tc>
          <w:tcPr>
            <w:tcW w:w="992" w:type="dxa"/>
            <w:vAlign w:val="center"/>
          </w:tcPr>
          <w:p w14:paraId="7A8A9EA0">
            <w:pPr>
              <w:keepNext w:val="0"/>
              <w:keepLines w:val="0"/>
              <w:pageBreakBefore w:val="0"/>
              <w:kinsoku/>
              <w:wordWrap/>
              <w:overflowPunct/>
              <w:topLinePunct w:val="0"/>
              <w:bidi w:val="0"/>
              <w:snapToGrid/>
              <w:spacing w:line="360" w:lineRule="auto"/>
              <w:jc w:val="center"/>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r>
      <w:tr w14:paraId="4F2B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05E10102">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851" w:type="dxa"/>
            <w:vAlign w:val="center"/>
          </w:tcPr>
          <w:p w14:paraId="678CAF60">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w:t>
            </w:r>
          </w:p>
          <w:p w14:paraId="2393E6B9">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交货</w:t>
            </w:r>
          </w:p>
        </w:tc>
        <w:tc>
          <w:tcPr>
            <w:tcW w:w="4253" w:type="dxa"/>
            <w:gridSpan w:val="2"/>
            <w:vAlign w:val="center"/>
          </w:tcPr>
          <w:p w14:paraId="21F0F023">
            <w:pPr>
              <w:keepNext w:val="0"/>
              <w:keepLines w:val="0"/>
              <w:pageBreakBefore w:val="0"/>
              <w:kinsoku/>
              <w:wordWrap/>
              <w:overflowPunct/>
              <w:topLinePunct w:val="0"/>
              <w:bidi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 </w:t>
            </w:r>
            <w:r>
              <w:rPr>
                <w:rFonts w:hint="eastAsia" w:ascii="宋体" w:hAnsi="宋体" w:eastAsia="宋体" w:cs="宋体"/>
                <w:bCs/>
                <w:color w:val="000000" w:themeColor="text1"/>
                <w:sz w:val="21"/>
                <w:szCs w:val="21"/>
                <w:highlight w:val="none"/>
                <w14:textFill>
                  <w14:solidFill>
                    <w14:schemeClr w14:val="tx1"/>
                  </w14:solidFill>
                </w14:textFill>
              </w:rPr>
              <w:t>按合同约定时间供货</w:t>
            </w:r>
            <w:r>
              <w:rPr>
                <w:rFonts w:hint="eastAsia" w:ascii="宋体" w:hAnsi="宋体" w:eastAsia="宋体" w:cs="宋体"/>
                <w:color w:val="000000" w:themeColor="text1"/>
                <w:sz w:val="21"/>
                <w:szCs w:val="21"/>
                <w:highlight w:val="none"/>
                <w14:textFill>
                  <w14:solidFill>
                    <w14:schemeClr w14:val="tx1"/>
                  </w14:solidFill>
                </w14:textFill>
              </w:rPr>
              <w:t>；</w:t>
            </w:r>
          </w:p>
          <w:p w14:paraId="31206BAB">
            <w:pPr>
              <w:keepNext w:val="0"/>
              <w:keepLines w:val="0"/>
              <w:pageBreakBefore w:val="0"/>
              <w:widowControl w:val="0"/>
              <w:kinsoku/>
              <w:wordWrap/>
              <w:overflowPunct/>
              <w:topLinePunct w:val="0"/>
              <w:autoSpaceDE w:val="0"/>
              <w:autoSpaceDN w:val="0"/>
              <w:bidi w:val="0"/>
              <w:adjustRightInd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每批次供货配合提供货物清单、配合清点货物；</w:t>
            </w:r>
          </w:p>
          <w:p w14:paraId="0816DC8F">
            <w:pPr>
              <w:keepNext w:val="0"/>
              <w:keepLines w:val="0"/>
              <w:pageBreakBefore w:val="0"/>
              <w:widowControl w:val="0"/>
              <w:kinsoku/>
              <w:wordWrap/>
              <w:overflowPunct/>
              <w:topLinePunct w:val="0"/>
              <w:autoSpaceDE w:val="0"/>
              <w:autoSpaceDN w:val="0"/>
              <w:bidi w:val="0"/>
              <w:adjustRightInd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交付人员专业性强，工作效率高，熟悉交付操作流程；</w:t>
            </w:r>
          </w:p>
          <w:p w14:paraId="631C8B19">
            <w:pPr>
              <w:keepNext w:val="0"/>
              <w:keepLines w:val="0"/>
              <w:pageBreakBefore w:val="0"/>
              <w:widowControl w:val="0"/>
              <w:kinsoku/>
              <w:wordWrap/>
              <w:overflowPunct/>
              <w:topLinePunct w:val="0"/>
              <w:autoSpaceDE w:val="0"/>
              <w:autoSpaceDN w:val="0"/>
              <w:bidi w:val="0"/>
              <w:adjustRightInd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 运输车辆按厂区指示行驶及停放、卸货方式恰当；</w:t>
            </w:r>
          </w:p>
          <w:p w14:paraId="671C5485">
            <w:pPr>
              <w:keepNext w:val="0"/>
              <w:keepLines w:val="0"/>
              <w:pageBreakBefore w:val="0"/>
              <w:kinsoku/>
              <w:wordWrap/>
              <w:overflowPunct/>
              <w:topLinePunct w:val="0"/>
              <w:bidi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 每批次实际供货数量与</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发出的供货通知清单要求的供货数量一致。</w:t>
            </w:r>
          </w:p>
        </w:tc>
        <w:tc>
          <w:tcPr>
            <w:tcW w:w="1701" w:type="dxa"/>
            <w:gridSpan w:val="2"/>
            <w:vAlign w:val="center"/>
          </w:tcPr>
          <w:p w14:paraId="0C9E4E9F">
            <w:pPr>
              <w:keepNext w:val="0"/>
              <w:keepLines w:val="0"/>
              <w:pageBreakBefore w:val="0"/>
              <w:kinsoku/>
              <w:wordWrap/>
              <w:overflowPunct/>
              <w:topLinePunct w:val="0"/>
              <w:bidi w:val="0"/>
              <w:snapToGrid/>
              <w:spacing w:line="360" w:lineRule="auto"/>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达到标准的得满分，每月每次有一项未达到标准的扣3分。</w:t>
            </w:r>
          </w:p>
        </w:tc>
        <w:tc>
          <w:tcPr>
            <w:tcW w:w="709" w:type="dxa"/>
            <w:vAlign w:val="center"/>
          </w:tcPr>
          <w:p w14:paraId="4E2D9CE9">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850" w:type="dxa"/>
            <w:vAlign w:val="center"/>
          </w:tcPr>
          <w:p w14:paraId="7DB7196E">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2" w:type="dxa"/>
            <w:vAlign w:val="center"/>
          </w:tcPr>
          <w:p w14:paraId="7BEBED3C">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r>
      <w:tr w14:paraId="6B83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0918BB0E">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851" w:type="dxa"/>
            <w:vAlign w:val="center"/>
          </w:tcPr>
          <w:p w14:paraId="244BDE8E">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验收</w:t>
            </w:r>
          </w:p>
        </w:tc>
        <w:tc>
          <w:tcPr>
            <w:tcW w:w="4253" w:type="dxa"/>
            <w:gridSpan w:val="2"/>
            <w:vAlign w:val="center"/>
          </w:tcPr>
          <w:p w14:paraId="3B7568D0">
            <w:pPr>
              <w:keepNext w:val="0"/>
              <w:keepLines w:val="0"/>
              <w:pageBreakBefore w:val="0"/>
              <w:kinsoku/>
              <w:wordWrap/>
              <w:overflowPunct/>
              <w:topLinePunct w:val="0"/>
              <w:bidi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 </w:t>
            </w:r>
            <w:r>
              <w:rPr>
                <w:rFonts w:hint="eastAsia" w:ascii="宋体" w:hAnsi="宋体" w:eastAsia="宋体" w:cs="宋体"/>
                <w:bCs/>
                <w:color w:val="000000" w:themeColor="text1"/>
                <w:sz w:val="21"/>
                <w:szCs w:val="21"/>
                <w:highlight w:val="none"/>
                <w14:textFill>
                  <w14:solidFill>
                    <w14:schemeClr w14:val="tx1"/>
                  </w14:solidFill>
                </w14:textFill>
              </w:rPr>
              <w:t>及时提供货物的各项技术资料</w:t>
            </w:r>
            <w:r>
              <w:rPr>
                <w:rFonts w:hint="eastAsia" w:ascii="宋体" w:hAnsi="宋体" w:eastAsia="宋体" w:cs="宋体"/>
                <w:color w:val="000000" w:themeColor="text1"/>
                <w:sz w:val="21"/>
                <w:szCs w:val="21"/>
                <w:highlight w:val="none"/>
                <w14:textFill>
                  <w14:solidFill>
                    <w14:schemeClr w14:val="tx1"/>
                  </w14:solidFill>
                </w14:textFill>
              </w:rPr>
              <w:t>；</w:t>
            </w:r>
          </w:p>
          <w:p w14:paraId="66C8D948">
            <w:pPr>
              <w:keepNext w:val="0"/>
              <w:keepLines w:val="0"/>
              <w:pageBreakBefore w:val="0"/>
              <w:widowControl w:val="0"/>
              <w:kinsoku/>
              <w:wordWrap/>
              <w:overflowPunct/>
              <w:topLinePunct w:val="0"/>
              <w:autoSpaceDE w:val="0"/>
              <w:autoSpaceDN w:val="0"/>
              <w:bidi w:val="0"/>
              <w:adjustRightInd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高效处理退换货工作、态度良好；</w:t>
            </w:r>
          </w:p>
          <w:p w14:paraId="6B50A261">
            <w:pPr>
              <w:keepNext w:val="0"/>
              <w:keepLines w:val="0"/>
              <w:pageBreakBefore w:val="0"/>
              <w:widowControl w:val="0"/>
              <w:kinsoku/>
              <w:wordWrap/>
              <w:overflowPunct/>
              <w:topLinePunct w:val="0"/>
              <w:autoSpaceDE w:val="0"/>
              <w:autoSpaceDN w:val="0"/>
              <w:bidi w:val="0"/>
              <w:adjustRightInd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未出现因对检验结果存在异议而影响供货的情况；</w:t>
            </w:r>
          </w:p>
          <w:p w14:paraId="578497F5">
            <w:pPr>
              <w:keepNext w:val="0"/>
              <w:keepLines w:val="0"/>
              <w:pageBreakBefore w:val="0"/>
              <w:widowControl w:val="0"/>
              <w:kinsoku/>
              <w:wordWrap/>
              <w:overflowPunct/>
              <w:topLinePunct w:val="0"/>
              <w:autoSpaceDE w:val="0"/>
              <w:autoSpaceDN w:val="0"/>
              <w:bidi w:val="0"/>
              <w:adjustRightInd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 所送货物的品种、规格型号、数量、推荐品牌均供货清单一致；</w:t>
            </w:r>
          </w:p>
          <w:p w14:paraId="76D1C5E3">
            <w:pPr>
              <w:keepNext w:val="0"/>
              <w:keepLines w:val="0"/>
              <w:pageBreakBefore w:val="0"/>
              <w:kinsoku/>
              <w:wordWrap/>
              <w:overflowPunct/>
              <w:topLinePunct w:val="0"/>
              <w:bidi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 未出现因货物检验不合格，或因货物不合格影响厂区生产效果的情况。</w:t>
            </w:r>
          </w:p>
        </w:tc>
        <w:tc>
          <w:tcPr>
            <w:tcW w:w="1701" w:type="dxa"/>
            <w:gridSpan w:val="2"/>
            <w:vAlign w:val="center"/>
          </w:tcPr>
          <w:p w14:paraId="752ACCEF">
            <w:pPr>
              <w:keepNext w:val="0"/>
              <w:keepLines w:val="0"/>
              <w:pageBreakBefore w:val="0"/>
              <w:kinsoku/>
              <w:wordWrap/>
              <w:overflowPunct/>
              <w:topLinePunct w:val="0"/>
              <w:bidi w:val="0"/>
              <w:snapToGrid/>
              <w:spacing w:line="360" w:lineRule="auto"/>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达到标准的得满分，每月每次有一项未达到标准的扣4分。</w:t>
            </w:r>
          </w:p>
        </w:tc>
        <w:tc>
          <w:tcPr>
            <w:tcW w:w="709" w:type="dxa"/>
            <w:vAlign w:val="center"/>
          </w:tcPr>
          <w:p w14:paraId="4847B954">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850" w:type="dxa"/>
            <w:vAlign w:val="center"/>
          </w:tcPr>
          <w:p w14:paraId="328C1E63">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2" w:type="dxa"/>
            <w:vAlign w:val="center"/>
          </w:tcPr>
          <w:p w14:paraId="32D4A517">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r>
      <w:tr w14:paraId="72A0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21F83318">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851" w:type="dxa"/>
            <w:vAlign w:val="center"/>
          </w:tcPr>
          <w:p w14:paraId="635B7C0E">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w:t>
            </w:r>
          </w:p>
        </w:tc>
        <w:tc>
          <w:tcPr>
            <w:tcW w:w="4253" w:type="dxa"/>
            <w:gridSpan w:val="2"/>
            <w:vAlign w:val="center"/>
          </w:tcPr>
          <w:p w14:paraId="218667B7">
            <w:pPr>
              <w:keepNext w:val="0"/>
              <w:keepLines w:val="0"/>
              <w:pageBreakBefore w:val="0"/>
              <w:kinsoku/>
              <w:wordWrap/>
              <w:overflowPunct/>
              <w:topLinePunct w:val="0"/>
              <w:bidi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 </w:t>
            </w:r>
            <w:r>
              <w:rPr>
                <w:rFonts w:hint="eastAsia" w:ascii="宋体" w:hAnsi="宋体" w:eastAsia="宋体" w:cs="宋体"/>
                <w:bCs/>
                <w:color w:val="000000" w:themeColor="text1"/>
                <w:sz w:val="21"/>
                <w:szCs w:val="21"/>
                <w:highlight w:val="none"/>
                <w14:textFill>
                  <w14:solidFill>
                    <w14:schemeClr w14:val="tx1"/>
                  </w14:solidFill>
                </w14:textFill>
              </w:rPr>
              <w:t>未出无证驾驶、酒后驾驶等情况</w:t>
            </w:r>
            <w:r>
              <w:rPr>
                <w:rFonts w:hint="eastAsia" w:ascii="宋体" w:hAnsi="宋体" w:eastAsia="宋体" w:cs="宋体"/>
                <w:color w:val="000000" w:themeColor="text1"/>
                <w:sz w:val="21"/>
                <w:szCs w:val="21"/>
                <w:highlight w:val="none"/>
                <w14:textFill>
                  <w14:solidFill>
                    <w14:schemeClr w14:val="tx1"/>
                  </w14:solidFill>
                </w14:textFill>
              </w:rPr>
              <w:t>；</w:t>
            </w:r>
          </w:p>
          <w:p w14:paraId="57947D26">
            <w:pPr>
              <w:keepNext w:val="0"/>
              <w:keepLines w:val="0"/>
              <w:pageBreakBefore w:val="0"/>
              <w:widowControl w:val="0"/>
              <w:kinsoku/>
              <w:wordWrap/>
              <w:overflowPunct/>
              <w:topLinePunct w:val="0"/>
              <w:autoSpaceDE w:val="0"/>
              <w:autoSpaceDN w:val="0"/>
              <w:bidi w:val="0"/>
              <w:adjustRightInd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未出现超载或非法运输等情况；</w:t>
            </w:r>
          </w:p>
          <w:p w14:paraId="72C003A8">
            <w:pPr>
              <w:keepNext w:val="0"/>
              <w:keepLines w:val="0"/>
              <w:pageBreakBefore w:val="0"/>
              <w:kinsoku/>
              <w:wordWrap/>
              <w:overflowPunct/>
              <w:topLinePunct w:val="0"/>
              <w:bidi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未出现由于运输服务商资质不符、超载或非法运输造成第三方或厂区事故、损失的情况。</w:t>
            </w:r>
          </w:p>
        </w:tc>
        <w:tc>
          <w:tcPr>
            <w:tcW w:w="1701" w:type="dxa"/>
            <w:gridSpan w:val="2"/>
            <w:vAlign w:val="center"/>
          </w:tcPr>
          <w:p w14:paraId="3FDAB737">
            <w:pPr>
              <w:keepNext w:val="0"/>
              <w:keepLines w:val="0"/>
              <w:pageBreakBefore w:val="0"/>
              <w:kinsoku/>
              <w:wordWrap/>
              <w:overflowPunct/>
              <w:topLinePunct w:val="0"/>
              <w:bidi w:val="0"/>
              <w:snapToGrid/>
              <w:spacing w:line="360" w:lineRule="auto"/>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达到标准的得满分，每月每次有一项未达到标准的扣3分。</w:t>
            </w:r>
          </w:p>
        </w:tc>
        <w:tc>
          <w:tcPr>
            <w:tcW w:w="709" w:type="dxa"/>
            <w:vAlign w:val="center"/>
          </w:tcPr>
          <w:p w14:paraId="6365518A">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850" w:type="dxa"/>
            <w:vAlign w:val="center"/>
          </w:tcPr>
          <w:p w14:paraId="4FAB340E">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2" w:type="dxa"/>
            <w:vAlign w:val="center"/>
          </w:tcPr>
          <w:p w14:paraId="36BCB6F8">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r>
      <w:tr w14:paraId="2059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76B25559">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851" w:type="dxa"/>
            <w:vAlign w:val="center"/>
          </w:tcPr>
          <w:p w14:paraId="5FF978E0">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w:t>
            </w:r>
          </w:p>
          <w:p w14:paraId="2646F789">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w:t>
            </w:r>
          </w:p>
        </w:tc>
        <w:tc>
          <w:tcPr>
            <w:tcW w:w="4253" w:type="dxa"/>
            <w:gridSpan w:val="2"/>
            <w:vAlign w:val="center"/>
          </w:tcPr>
          <w:p w14:paraId="2FF190D1">
            <w:pPr>
              <w:keepNext w:val="0"/>
              <w:keepLines w:val="0"/>
              <w:pageBreakBefore w:val="0"/>
              <w:kinsoku/>
              <w:wordWrap/>
              <w:overflowPunct/>
              <w:topLinePunct w:val="0"/>
              <w:bidi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 </w:t>
            </w:r>
            <w:r>
              <w:rPr>
                <w:rFonts w:hint="eastAsia" w:ascii="宋体" w:hAnsi="宋体" w:eastAsia="宋体" w:cs="宋体"/>
                <w:bCs/>
                <w:color w:val="000000" w:themeColor="text1"/>
                <w:sz w:val="21"/>
                <w:szCs w:val="21"/>
                <w:highlight w:val="none"/>
                <w14:textFill>
                  <w14:solidFill>
                    <w14:schemeClr w14:val="tx1"/>
                  </w14:solidFill>
                </w14:textFill>
              </w:rPr>
              <w:t>人员</w:t>
            </w:r>
            <w:r>
              <w:rPr>
                <w:rFonts w:hint="eastAsia" w:ascii="宋体" w:hAnsi="宋体" w:eastAsia="宋体" w:cs="宋体"/>
                <w:color w:val="000000" w:themeColor="text1"/>
                <w:sz w:val="21"/>
                <w:szCs w:val="21"/>
                <w:highlight w:val="none"/>
                <w14:textFill>
                  <w14:solidFill>
                    <w14:schemeClr w14:val="tx1"/>
                  </w14:solidFill>
                </w14:textFill>
              </w:rPr>
              <w:t>：</w:t>
            </w:r>
          </w:p>
          <w:p w14:paraId="29A353BB">
            <w:pPr>
              <w:keepNext w:val="0"/>
              <w:keepLines w:val="0"/>
              <w:pageBreakBefore w:val="0"/>
              <w:widowControl w:val="0"/>
              <w:kinsoku/>
              <w:wordWrap/>
              <w:overflowPunct/>
              <w:topLinePunct w:val="0"/>
              <w:autoSpaceDE w:val="0"/>
              <w:autoSpaceDN w:val="0"/>
              <w:bidi w:val="0"/>
              <w:adjustRightInd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 管理、技术及服务人员均符合投标文件的承诺，服务队伍稳定，人员充足、专业性强，充分配合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供货需求；</w:t>
            </w:r>
          </w:p>
          <w:p w14:paraId="0AD7BDCD">
            <w:pPr>
              <w:keepNext w:val="0"/>
              <w:keepLines w:val="0"/>
              <w:pageBreakBefore w:val="0"/>
              <w:widowControl w:val="0"/>
              <w:kinsoku/>
              <w:wordWrap/>
              <w:overflowPunct/>
              <w:topLinePunct w:val="0"/>
              <w:autoSpaceDE w:val="0"/>
              <w:autoSpaceDN w:val="0"/>
              <w:bidi w:val="0"/>
              <w:adjustRightInd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 对接人员与</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沟通良好、理解到位、执行力强，能及时发现、解决问题，并未雨绸缪地因应各运营项目实际情况提供合理化的供配货建议；</w:t>
            </w:r>
          </w:p>
          <w:p w14:paraId="277834D5">
            <w:pPr>
              <w:keepNext w:val="0"/>
              <w:keepLines w:val="0"/>
              <w:pageBreakBefore w:val="0"/>
              <w:widowControl w:val="0"/>
              <w:kinsoku/>
              <w:wordWrap/>
              <w:overflowPunct/>
              <w:topLinePunct w:val="0"/>
              <w:autoSpaceDE w:val="0"/>
              <w:autoSpaceDN w:val="0"/>
              <w:bidi w:val="0"/>
              <w:adjustRightInd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 未出现推诿，借故不肯签署合同规定的文件或者敷衍了事、置之不理等情况。</w:t>
            </w:r>
          </w:p>
          <w:p w14:paraId="5D9AACC8">
            <w:pPr>
              <w:keepNext w:val="0"/>
              <w:keepLines w:val="0"/>
              <w:pageBreakBefore w:val="0"/>
              <w:widowControl w:val="0"/>
              <w:kinsoku/>
              <w:wordWrap/>
              <w:overflowPunct/>
              <w:topLinePunct w:val="0"/>
              <w:autoSpaceDE w:val="0"/>
              <w:autoSpaceDN w:val="0"/>
              <w:bidi w:val="0"/>
              <w:adjustRightInd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配合：</w:t>
            </w:r>
          </w:p>
          <w:p w14:paraId="76768F91">
            <w:pPr>
              <w:keepNext w:val="0"/>
              <w:keepLines w:val="0"/>
              <w:pageBreakBefore w:val="0"/>
              <w:widowControl w:val="0"/>
              <w:kinsoku/>
              <w:wordWrap/>
              <w:overflowPunct/>
              <w:topLinePunct w:val="0"/>
              <w:autoSpaceDE w:val="0"/>
              <w:autoSpaceDN w:val="0"/>
              <w:bidi w:val="0"/>
              <w:adjustRightInd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 售后服务流程完善，跟踪到位，响应速度快；</w:t>
            </w:r>
          </w:p>
          <w:p w14:paraId="02190408">
            <w:pPr>
              <w:keepNext w:val="0"/>
              <w:keepLines w:val="0"/>
              <w:pageBreakBefore w:val="0"/>
              <w:widowControl w:val="0"/>
              <w:kinsoku/>
              <w:wordWrap/>
              <w:overflowPunct/>
              <w:topLinePunct w:val="0"/>
              <w:autoSpaceDE w:val="0"/>
              <w:autoSpaceDN w:val="0"/>
              <w:bidi w:val="0"/>
              <w:adjustRightInd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 就货物储存保质方式、方法提出合理化建议并能提供专业技术指导；</w:t>
            </w:r>
          </w:p>
          <w:p w14:paraId="6AA45A3D">
            <w:pPr>
              <w:keepNext w:val="0"/>
              <w:keepLines w:val="0"/>
              <w:pageBreakBefore w:val="0"/>
              <w:widowControl w:val="0"/>
              <w:kinsoku/>
              <w:wordWrap/>
              <w:overflowPunct/>
              <w:topLinePunct w:val="0"/>
              <w:autoSpaceDE w:val="0"/>
              <w:autoSpaceDN w:val="0"/>
              <w:bidi w:val="0"/>
              <w:adjustRightInd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 积极配合</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进行试验、积极协助</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接受相关部门的检查工作及提供各类资质证明材料；</w:t>
            </w:r>
          </w:p>
          <w:p w14:paraId="0CFB971C">
            <w:pPr>
              <w:keepNext w:val="0"/>
              <w:keepLines w:val="0"/>
              <w:pageBreakBefore w:val="0"/>
              <w:widowControl w:val="0"/>
              <w:kinsoku/>
              <w:wordWrap/>
              <w:overflowPunct/>
              <w:topLinePunct w:val="0"/>
              <w:autoSpaceDE w:val="0"/>
              <w:autoSpaceDN w:val="0"/>
              <w:bidi w:val="0"/>
              <w:adjustRightInd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 能根据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甲方（买方）</w:t>
            </w:r>
            <w:r>
              <w:rPr>
                <w:rFonts w:hint="eastAsia" w:ascii="宋体" w:hAnsi="宋体" w:eastAsia="宋体" w:cs="宋体"/>
                <w:color w:val="000000" w:themeColor="text1"/>
                <w:sz w:val="21"/>
                <w:szCs w:val="21"/>
                <w:highlight w:val="none"/>
                <w14:textFill>
                  <w14:solidFill>
                    <w14:schemeClr w14:val="tx1"/>
                  </w14:solidFill>
                </w14:textFill>
              </w:rPr>
              <w:t>要求提供专业培训；</w:t>
            </w:r>
          </w:p>
          <w:p w14:paraId="5FA899D6">
            <w:pPr>
              <w:keepNext w:val="0"/>
              <w:keepLines w:val="0"/>
              <w:pageBreakBefore w:val="0"/>
              <w:kinsoku/>
              <w:wordWrap/>
              <w:overflowPunct/>
              <w:topLinePunct w:val="0"/>
              <w:bidi w:val="0"/>
              <w:snapToGrid/>
              <w:spacing w:line="360" w:lineRule="auto"/>
              <w:ind w:firstLine="317" w:firstLineChars="151"/>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⑤ 及时提供货物价款等额合法的增值税专用发票、请款报告等请款资料。</w:t>
            </w:r>
          </w:p>
        </w:tc>
        <w:tc>
          <w:tcPr>
            <w:tcW w:w="1701" w:type="dxa"/>
            <w:gridSpan w:val="2"/>
            <w:vAlign w:val="center"/>
          </w:tcPr>
          <w:p w14:paraId="4807D524">
            <w:pPr>
              <w:keepNext w:val="0"/>
              <w:keepLines w:val="0"/>
              <w:pageBreakBefore w:val="0"/>
              <w:kinsoku/>
              <w:wordWrap/>
              <w:overflowPunct/>
              <w:topLinePunct w:val="0"/>
              <w:bidi w:val="0"/>
              <w:snapToGrid/>
              <w:spacing w:line="360" w:lineRule="auto"/>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达到标准的得满分，每月每次有一项未达到标准的扣2分。</w:t>
            </w:r>
          </w:p>
        </w:tc>
        <w:tc>
          <w:tcPr>
            <w:tcW w:w="709" w:type="dxa"/>
            <w:vAlign w:val="center"/>
          </w:tcPr>
          <w:p w14:paraId="61AF2641">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850" w:type="dxa"/>
            <w:vAlign w:val="center"/>
          </w:tcPr>
          <w:p w14:paraId="4185E501">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2" w:type="dxa"/>
            <w:vAlign w:val="center"/>
          </w:tcPr>
          <w:p w14:paraId="2F51C4E3">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r>
      <w:tr w14:paraId="15AA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372" w:type="dxa"/>
            <w:gridSpan w:val="6"/>
            <w:vAlign w:val="center"/>
          </w:tcPr>
          <w:p w14:paraId="019C8715">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09" w:type="dxa"/>
            <w:vAlign w:val="center"/>
          </w:tcPr>
          <w:p w14:paraId="558FD1C0">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p>
        </w:tc>
        <w:tc>
          <w:tcPr>
            <w:tcW w:w="850" w:type="dxa"/>
            <w:vAlign w:val="center"/>
          </w:tcPr>
          <w:p w14:paraId="594F6D99">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2" w:type="dxa"/>
            <w:vAlign w:val="center"/>
          </w:tcPr>
          <w:p w14:paraId="13B09ED6">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80</w:t>
            </w:r>
          </w:p>
        </w:tc>
      </w:tr>
      <w:tr w14:paraId="5C69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gridSpan w:val="3"/>
            <w:vAlign w:val="center"/>
          </w:tcPr>
          <w:p w14:paraId="263FCBDD">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评审结论</w:t>
            </w:r>
          </w:p>
        </w:tc>
        <w:tc>
          <w:tcPr>
            <w:tcW w:w="6237" w:type="dxa"/>
            <w:gridSpan w:val="6"/>
            <w:vAlign w:val="center"/>
          </w:tcPr>
          <w:p w14:paraId="4044097B">
            <w:pPr>
              <w:keepNext w:val="0"/>
              <w:keepLines w:val="0"/>
              <w:pageBreakBefore w:val="0"/>
              <w:kinsoku/>
              <w:wordWrap/>
              <w:overflowPunct/>
              <w:topLinePunct w:val="0"/>
              <w:bidi w:val="0"/>
              <w:snapToGrid/>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每项实得分均不低于该项分值80%的，评审结论合格</w:t>
            </w:r>
          </w:p>
          <w:p w14:paraId="6810AD2F">
            <w:pPr>
              <w:keepNext w:val="0"/>
              <w:keepLines w:val="0"/>
              <w:pageBreakBefore w:val="0"/>
              <w:kinsoku/>
              <w:wordWrap/>
              <w:overflowPunct/>
              <w:topLinePunct w:val="0"/>
              <w:bidi w:val="0"/>
              <w:snapToGrid/>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评审结论不合格，说明：</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p>
        </w:tc>
      </w:tr>
      <w:tr w14:paraId="329E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gridSpan w:val="3"/>
            <w:vMerge w:val="restart"/>
            <w:vAlign w:val="center"/>
          </w:tcPr>
          <w:p w14:paraId="63226B94">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履约评审</w:t>
            </w:r>
            <w:r>
              <w:rPr>
                <w:rFonts w:hint="eastAsia" w:ascii="宋体" w:hAnsi="宋体" w:eastAsia="宋体" w:cs="宋体"/>
                <w:bCs/>
                <w:color w:val="000000" w:themeColor="text1"/>
                <w:sz w:val="21"/>
                <w:szCs w:val="21"/>
                <w:highlight w:val="none"/>
                <w14:textFill>
                  <w14:solidFill>
                    <w14:schemeClr w14:val="tx1"/>
                  </w14:solidFill>
                </w14:textFill>
              </w:rPr>
              <w:t>运营项目</w:t>
            </w:r>
            <w:r>
              <w:rPr>
                <w:rFonts w:hint="eastAsia" w:ascii="宋体" w:hAnsi="宋体" w:eastAsia="宋体" w:cs="宋体"/>
                <w:color w:val="000000" w:themeColor="text1"/>
                <w:sz w:val="21"/>
                <w:szCs w:val="21"/>
                <w:highlight w:val="none"/>
                <w14:textFill>
                  <w14:solidFill>
                    <w14:schemeClr w14:val="tx1"/>
                  </w14:solidFill>
                </w14:textFill>
              </w:rPr>
              <w:t>其他</w:t>
            </w:r>
            <w:r>
              <w:rPr>
                <w:rFonts w:hint="eastAsia" w:ascii="宋体" w:hAnsi="宋体" w:eastAsia="宋体" w:cs="宋体"/>
                <w:bCs/>
                <w:color w:val="000000" w:themeColor="text1"/>
                <w:sz w:val="21"/>
                <w:szCs w:val="21"/>
                <w:highlight w:val="none"/>
                <w14:textFill>
                  <w14:solidFill>
                    <w14:schemeClr w14:val="tx1"/>
                  </w14:solidFill>
                </w14:textFill>
              </w:rPr>
              <w:t>意见及签署</w:t>
            </w:r>
          </w:p>
        </w:tc>
        <w:tc>
          <w:tcPr>
            <w:tcW w:w="2268" w:type="dxa"/>
            <w:gridSpan w:val="2"/>
            <w:vAlign w:val="center"/>
          </w:tcPr>
          <w:p w14:paraId="1D6DA762">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经办人</w:t>
            </w:r>
          </w:p>
        </w:tc>
        <w:tc>
          <w:tcPr>
            <w:tcW w:w="3969" w:type="dxa"/>
            <w:gridSpan w:val="4"/>
            <w:vAlign w:val="center"/>
          </w:tcPr>
          <w:p w14:paraId="00880B5F">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03E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gridSpan w:val="3"/>
            <w:vMerge w:val="continue"/>
            <w:vAlign w:val="center"/>
          </w:tcPr>
          <w:p w14:paraId="2E0E73B8">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268" w:type="dxa"/>
            <w:gridSpan w:val="2"/>
            <w:vAlign w:val="center"/>
          </w:tcPr>
          <w:p w14:paraId="1B01F342">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运营项目负责人</w:t>
            </w:r>
          </w:p>
        </w:tc>
        <w:tc>
          <w:tcPr>
            <w:tcW w:w="3969" w:type="dxa"/>
            <w:gridSpan w:val="4"/>
            <w:vAlign w:val="center"/>
          </w:tcPr>
          <w:p w14:paraId="2098704B">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2F5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gridSpan w:val="3"/>
            <w:vAlign w:val="center"/>
          </w:tcPr>
          <w:p w14:paraId="43D1804D">
            <w:pPr>
              <w:keepNext w:val="0"/>
              <w:keepLines w:val="0"/>
              <w:pageBreakBefore w:val="0"/>
              <w:kinsoku/>
              <w:wordWrap/>
              <w:overflowPunct/>
              <w:topLinePunct w:val="0"/>
              <w:bidi w:val="0"/>
              <w:snapToGrid/>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意见及签署</w:t>
            </w:r>
          </w:p>
        </w:tc>
        <w:tc>
          <w:tcPr>
            <w:tcW w:w="6237" w:type="dxa"/>
            <w:gridSpan w:val="6"/>
            <w:vAlign w:val="center"/>
          </w:tcPr>
          <w:p w14:paraId="6E83B2C5">
            <w:pPr>
              <w:keepNext w:val="0"/>
              <w:keepLines w:val="0"/>
              <w:pageBreakBefore w:val="0"/>
              <w:kinsoku/>
              <w:wordWrap/>
              <w:overflowPunct/>
              <w:topLinePunct w:val="0"/>
              <w:bidi w:val="0"/>
              <w:snapToGrid/>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2D812343">
      <w:pPr>
        <w:adjustRightInd w:val="0"/>
        <w:snapToGrid w:val="0"/>
        <w:spacing w:line="360" w:lineRule="auto"/>
        <w:ind w:firstLine="371" w:firstLineChars="177"/>
        <w:rPr>
          <w:rFonts w:ascii="宋体" w:hAnsi="宋体" w:eastAsia="宋体" w:cs="宋体"/>
          <w:color w:val="000000" w:themeColor="text1"/>
          <w:szCs w:val="21"/>
          <w:highlight w:val="none"/>
          <w:lang w:bidi="ar"/>
          <w14:textFill>
            <w14:solidFill>
              <w14:schemeClr w14:val="tx1"/>
            </w14:solidFill>
          </w14:textFill>
        </w:rPr>
      </w:pPr>
    </w:p>
    <w:p w14:paraId="39D4C1B7">
      <w:pPr>
        <w:tabs>
          <w:tab w:val="left" w:pos="1983"/>
        </w:tabs>
        <w:autoSpaceDE w:val="0"/>
        <w:autoSpaceDN w:val="0"/>
        <w:adjustRightInd w:val="0"/>
        <w:spacing w:line="360" w:lineRule="auto"/>
        <w:jc w:val="left"/>
        <w:rPr>
          <w:rFonts w:ascii="Times New Roman" w:hAnsi="Times New Roman" w:eastAsia="宋体" w:cs="Times New Roman"/>
          <w:color w:val="000000" w:themeColor="text1"/>
          <w:kern w:val="0"/>
          <w:szCs w:val="21"/>
          <w:highlight w:val="none"/>
          <w14:textFill>
            <w14:solidFill>
              <w14:schemeClr w14:val="tx1"/>
            </w14:solidFill>
          </w14:textFill>
        </w:rPr>
      </w:pPr>
      <w:bookmarkStart w:id="397" w:name="_Toc32401"/>
      <w:bookmarkStart w:id="398" w:name="_Toc8695"/>
    </w:p>
    <w:bookmarkEnd w:id="397"/>
    <w:bookmarkEnd w:id="398"/>
    <w:p w14:paraId="071E5866">
      <w:pPr>
        <w:rPr>
          <w:rFonts w:ascii="宋体" w:hAnsi="宋体" w:eastAsia="宋体" w:cs="宋体"/>
          <w:color w:val="000000" w:themeColor="text1"/>
          <w:szCs w:val="21"/>
          <w:highlight w:val="none"/>
          <w14:textFill>
            <w14:solidFill>
              <w14:schemeClr w14:val="tx1"/>
            </w14:solidFill>
          </w14:textFill>
        </w:rPr>
      </w:pPr>
    </w:p>
    <w:p w14:paraId="43BA8B00">
      <w:pPr>
        <w:pageBreakBefore/>
        <w:spacing w:line="360" w:lineRule="auto"/>
        <w:rPr>
          <w:rFonts w:ascii="宋体" w:hAnsi="宋体" w:eastAsia="宋体" w:cs="宋体"/>
          <w:b/>
          <w:color w:val="000000" w:themeColor="text1"/>
          <w:kern w:val="0"/>
          <w:sz w:val="24"/>
          <w:szCs w:val="24"/>
          <w:highlight w:val="none"/>
          <w:lang w:bidi="ar"/>
          <w14:textFill>
            <w14:solidFill>
              <w14:schemeClr w14:val="tx1"/>
            </w14:solidFill>
          </w14:textFill>
        </w:rPr>
      </w:pPr>
      <w:r>
        <w:rPr>
          <w:rFonts w:hint="eastAsia" w:ascii="宋体" w:hAnsi="宋体" w:eastAsia="宋体" w:cs="宋体"/>
          <w:b/>
          <w:color w:val="000000" w:themeColor="text1"/>
          <w:kern w:val="0"/>
          <w:sz w:val="24"/>
          <w:szCs w:val="24"/>
          <w:highlight w:val="none"/>
          <w:lang w:bidi="ar"/>
          <w14:textFill>
            <w14:solidFill>
              <w14:schemeClr w14:val="tx1"/>
            </w14:solidFill>
          </w14:textFill>
        </w:rPr>
        <w:t>附件2：廉洁协议书</w:t>
      </w:r>
    </w:p>
    <w:p w14:paraId="3301122A">
      <w:pPr>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bidi="ar"/>
          <w14:textFill>
            <w14:solidFill>
              <w14:schemeClr w14:val="tx1"/>
            </w14:solidFill>
          </w14:textFill>
        </w:rPr>
        <w:t>廉洁协议书</w:t>
      </w:r>
    </w:p>
    <w:p w14:paraId="32E22F90">
      <w:pPr>
        <w:autoSpaceDE w:val="0"/>
        <w:autoSpaceDN w:val="0"/>
        <w:adjustRightInd w:val="0"/>
        <w:spacing w:line="360" w:lineRule="auto"/>
        <w:jc w:val="left"/>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项目名称：</w:t>
      </w:r>
      <w:r>
        <w:rPr>
          <w:rFonts w:hint="eastAsia" w:ascii="宋体" w:hAnsi="宋体" w:eastAsia="宋体" w:cs="宋体"/>
          <w:color w:val="000000" w:themeColor="text1"/>
          <w:kern w:val="0"/>
          <w:szCs w:val="21"/>
          <w:highlight w:val="none"/>
          <w:lang w:eastAsia="zh-CN" w:bidi="ar"/>
          <w14:textFill>
            <w14:solidFill>
              <w14:schemeClr w14:val="tx1"/>
            </w14:solidFill>
          </w14:textFill>
        </w:rPr>
        <w:t>东莞市水务环境投资控股集团净水有限公司2026年五金材料及工器具物资采购项目</w:t>
      </w:r>
      <w:r>
        <w:rPr>
          <w:rFonts w:hint="eastAsia" w:ascii="宋体" w:hAnsi="宋体" w:eastAsia="宋体" w:cs="宋体"/>
          <w:color w:val="000000" w:themeColor="text1"/>
          <w:kern w:val="0"/>
          <w:szCs w:val="21"/>
          <w:highlight w:val="none"/>
          <w:lang w:bidi="ar"/>
          <w14:textFill>
            <w14:solidFill>
              <w14:schemeClr w14:val="tx1"/>
            </w14:solidFill>
          </w14:textFill>
        </w:rPr>
        <w:t>（招标编号：</w:t>
      </w:r>
      <w:r>
        <w:rPr>
          <w:rFonts w:hint="eastAsia" w:ascii="宋体" w:hAnsi="宋体" w:eastAsia="宋体" w:cs="宋体"/>
          <w:color w:val="000000" w:themeColor="text1"/>
          <w:kern w:val="0"/>
          <w:szCs w:val="21"/>
          <w:highlight w:val="none"/>
          <w:lang w:eastAsia="zh-CN" w:bidi="ar"/>
          <w14:textFill>
            <w14:solidFill>
              <w14:schemeClr w14:val="tx1"/>
            </w14:solidFill>
          </w14:textFill>
        </w:rPr>
        <w:t>广建咨询（东招）2025-0122号</w:t>
      </w:r>
      <w:r>
        <w:rPr>
          <w:rFonts w:hint="eastAsia" w:ascii="宋体" w:hAnsi="宋体" w:eastAsia="宋体" w:cs="宋体"/>
          <w:color w:val="000000" w:themeColor="text1"/>
          <w:kern w:val="0"/>
          <w:szCs w:val="21"/>
          <w:highlight w:val="none"/>
          <w:lang w:bidi="ar"/>
          <w14:textFill>
            <w14:solidFill>
              <w14:schemeClr w14:val="tx1"/>
            </w14:solidFill>
          </w14:textFill>
        </w:rPr>
        <w:t>）</w:t>
      </w:r>
    </w:p>
    <w:p w14:paraId="53F3D848">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甲方</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1</w:t>
      </w:r>
      <w:r>
        <w:rPr>
          <w:rFonts w:hint="eastAsia" w:ascii="宋体" w:hAnsi="宋体" w:eastAsia="宋体" w:cs="宋体"/>
          <w:color w:val="000000" w:themeColor="text1"/>
          <w:kern w:val="0"/>
          <w:szCs w:val="21"/>
          <w:highlight w:val="none"/>
          <w:lang w:bidi="ar"/>
          <w14:textFill>
            <w14:solidFill>
              <w14:schemeClr w14:val="tx1"/>
            </w14:solidFill>
          </w14:textFill>
        </w:rPr>
        <w:t xml:space="preserve">（业主单位）： </w:t>
      </w:r>
    </w:p>
    <w:p w14:paraId="033CC32A">
      <w:pPr>
        <w:autoSpaceDE w:val="0"/>
        <w:autoSpaceDN w:val="0"/>
        <w:adjustRightInd w:val="0"/>
        <w:spacing w:line="360" w:lineRule="auto"/>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甲方</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Cs w:val="21"/>
          <w:highlight w:val="none"/>
          <w:lang w:bidi="ar"/>
          <w14:textFill>
            <w14:solidFill>
              <w14:schemeClr w14:val="tx1"/>
            </w14:solidFill>
          </w14:textFill>
        </w:rPr>
        <w:t>（业主单位）：</w:t>
      </w:r>
    </w:p>
    <w:p w14:paraId="7312A624">
      <w:pPr>
        <w:autoSpaceDE w:val="0"/>
        <w:autoSpaceDN w:val="0"/>
        <w:adjustRightInd w:val="0"/>
        <w:spacing w:line="360" w:lineRule="auto"/>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甲方</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3</w:t>
      </w:r>
      <w:r>
        <w:rPr>
          <w:rFonts w:hint="eastAsia" w:ascii="宋体" w:hAnsi="宋体" w:eastAsia="宋体" w:cs="宋体"/>
          <w:color w:val="000000" w:themeColor="text1"/>
          <w:kern w:val="0"/>
          <w:szCs w:val="21"/>
          <w:highlight w:val="none"/>
          <w:lang w:bidi="ar"/>
          <w14:textFill>
            <w14:solidFill>
              <w14:schemeClr w14:val="tx1"/>
            </w14:solidFill>
          </w14:textFill>
        </w:rPr>
        <w:t>（业主单位）：</w:t>
      </w:r>
    </w:p>
    <w:p w14:paraId="0EE71FE0">
      <w:pPr>
        <w:autoSpaceDE w:val="0"/>
        <w:autoSpaceDN w:val="0"/>
        <w:adjustRightInd w:val="0"/>
        <w:spacing w:line="360" w:lineRule="auto"/>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甲方</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4</w:t>
      </w:r>
      <w:r>
        <w:rPr>
          <w:rFonts w:hint="eastAsia" w:ascii="宋体" w:hAnsi="宋体" w:eastAsia="宋体" w:cs="宋体"/>
          <w:color w:val="000000" w:themeColor="text1"/>
          <w:kern w:val="0"/>
          <w:szCs w:val="21"/>
          <w:highlight w:val="none"/>
          <w:lang w:bidi="ar"/>
          <w14:textFill>
            <w14:solidFill>
              <w14:schemeClr w14:val="tx1"/>
            </w14:solidFill>
          </w14:textFill>
        </w:rPr>
        <w:t>（业主单位）：</w:t>
      </w:r>
    </w:p>
    <w:p w14:paraId="76AF023F">
      <w:pPr>
        <w:autoSpaceDE w:val="0"/>
        <w:autoSpaceDN w:val="0"/>
        <w:adjustRightInd w:val="0"/>
        <w:spacing w:line="360" w:lineRule="auto"/>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甲方</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0"/>
          <w:szCs w:val="21"/>
          <w:highlight w:val="none"/>
          <w:lang w:bidi="ar"/>
          <w14:textFill>
            <w14:solidFill>
              <w14:schemeClr w14:val="tx1"/>
            </w14:solidFill>
          </w14:textFill>
        </w:rPr>
        <w:t>（业主单位）：</w:t>
      </w:r>
    </w:p>
    <w:p w14:paraId="59CBB454">
      <w:pPr>
        <w:autoSpaceDE w:val="0"/>
        <w:autoSpaceDN w:val="0"/>
        <w:adjustRightInd w:val="0"/>
        <w:spacing w:line="360" w:lineRule="auto"/>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甲方</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6</w:t>
      </w:r>
      <w:r>
        <w:rPr>
          <w:rFonts w:hint="eastAsia" w:ascii="宋体" w:hAnsi="宋体" w:eastAsia="宋体" w:cs="宋体"/>
          <w:color w:val="000000" w:themeColor="text1"/>
          <w:kern w:val="0"/>
          <w:szCs w:val="21"/>
          <w:highlight w:val="none"/>
          <w:lang w:bidi="ar"/>
          <w14:textFill>
            <w14:solidFill>
              <w14:schemeClr w14:val="tx1"/>
            </w14:solidFill>
          </w14:textFill>
        </w:rPr>
        <w:t>（业主单位）：</w:t>
      </w:r>
    </w:p>
    <w:p w14:paraId="313A0C08">
      <w:pPr>
        <w:autoSpaceDE w:val="0"/>
        <w:autoSpaceDN w:val="0"/>
        <w:adjustRightInd w:val="0"/>
        <w:spacing w:line="360" w:lineRule="auto"/>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（以下统称为“甲方”）</w:t>
      </w:r>
    </w:p>
    <w:p w14:paraId="69E68DBB">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乙方：</w:t>
      </w:r>
    </w:p>
    <w:p w14:paraId="1906F85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374A6C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第一条  甲乙双方的权利和义务</w:t>
      </w:r>
    </w:p>
    <w:p w14:paraId="60E9A4A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（一）严格遵守党和国家有关法律法规等有关廉洁从业规定。</w:t>
      </w:r>
    </w:p>
    <w:p w14:paraId="493D71C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（二）严格执行本项目的合同文件，自觉按合同办事。</w:t>
      </w:r>
    </w:p>
    <w:p w14:paraId="7C70C1B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（三）双方的业务活动坚持公开、公正、诚信、透明的原则（除法律认定的商业秘密和合同文件另有规定之外）不得损害国家和集体利益，违反工程建设管理及其他法律法规规章制度。</w:t>
      </w:r>
    </w:p>
    <w:p w14:paraId="1DCFD42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（四）建立健全廉洁制度，开展廉洁教育，设立廉洁监督公示牌，公布举报电话，监督并认真查处违法违纪行为。</w:t>
      </w:r>
    </w:p>
    <w:p w14:paraId="7517A5F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（五）发现对方在业务活动中有违反廉洁规定的行为，有及时提醒对方纠正的权利和义务。</w:t>
      </w:r>
    </w:p>
    <w:p w14:paraId="37A856C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（六）发现对方严重违反本协议义务条款的行为，有向其上级有关部门举报、建议给予处理并要求告知处理结果的权利。</w:t>
      </w:r>
    </w:p>
    <w:p w14:paraId="5EB30E7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第二条  甲方的义务</w:t>
      </w:r>
    </w:p>
    <w:p w14:paraId="6C40414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（一）甲方及其工作人员不得索要或接受乙方的礼金、有价证券和贵重物品，不得在乙方报销任何应由甲方或个人支付的费用。</w:t>
      </w:r>
    </w:p>
    <w:p w14:paraId="5F1F066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（二）甲方工作人员不得参加乙方安排的高消费宴请和娱乐活动；不得接受乙方提供的通讯工具、交通工具和高档办公用品。</w:t>
      </w:r>
    </w:p>
    <w:p w14:paraId="37DF974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（三）甲方及其工作人员不得要求或者接受乙方为其住房装修、婚丧嫁娶活动、家属或亲友的工作安排以及出国出境、旅游等提供方便。</w:t>
      </w:r>
    </w:p>
    <w:p w14:paraId="2858E7D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（四）甲方工作人员不得向乙方介绍其家属或者亲友（包括家属或亲友开办的公司企业）从事于本项目涉及的经济业务活动。</w:t>
      </w:r>
    </w:p>
    <w:p w14:paraId="1828A4A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（五）甲方及其工作人员不得以任何理由向乙方推荐分包单位，不得要求乙方购买合同规定外的材料和设备。</w:t>
      </w:r>
    </w:p>
    <w:p w14:paraId="69B5984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（六）甲方及其工作人员不得进行违反廉洁规定的其他活动。</w:t>
      </w:r>
    </w:p>
    <w:p w14:paraId="230E604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（七）甲方应对甲方工作人员进行廉洁监督管理，如甲方工作人员违反本协议第一、第二条，甲方应依据有关法律法规、党纪规定对其进行处理；涉嫌犯罪的，甲方应将其移交司法机关追究刑事责任。</w:t>
      </w:r>
    </w:p>
    <w:p w14:paraId="0F8BA4B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第三条  乙方义务</w:t>
      </w:r>
    </w:p>
    <w:p w14:paraId="310E39C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（一）乙方不得以任何理由向甲方及其工作人员馈赠礼金、有价证券、贵重礼品，或报销应由甲方单位或个人支付的任何费用。</w:t>
      </w:r>
    </w:p>
    <w:p w14:paraId="6F7150D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（二）乙方及其工作人员不得以考察、参观、洽谈业务、签订合同等的借口邀请甲方及其工作人员参加高消费的宴请、娱乐和健身等活动。</w:t>
      </w:r>
    </w:p>
    <w:p w14:paraId="736A273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（三）乙方不得为甲方单位和个人购置或提供通讯工具、交通工具和高档办公用品等。</w:t>
      </w:r>
    </w:p>
    <w:p w14:paraId="49537B9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（四）乙方及其工作人员不得为甲方工作人员购买、装修、维修私人住房、汽车等。</w:t>
      </w:r>
    </w:p>
    <w:p w14:paraId="632F261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（五）乙方及其工作人员不得为甲方工作人员的婚丧嫁娶、家属或亲友的工作安排，及出国出境提供方便以及报销任何私人消费的费用。</w:t>
      </w:r>
    </w:p>
    <w:p w14:paraId="019C93D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（六）乙方及其工作人员不得进行影响甲方及其工作人员公正执行合同和履行职务的其他活动。</w:t>
      </w:r>
    </w:p>
    <w:p w14:paraId="0FA5473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B307CF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第四条  违约责任</w:t>
      </w:r>
    </w:p>
    <w:p w14:paraId="5737746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（一）甲方违反本协议第一、第二条给乙方单位造成经济损失的，应予以赔偿。</w:t>
      </w:r>
    </w:p>
    <w:p w14:paraId="2EF832D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（二）乙方违反本协议第一、第三条给甲方单位造成经济损失的，应予以赔偿。</w:t>
      </w:r>
    </w:p>
    <w:p w14:paraId="75EBED0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第五条  监督检查</w:t>
      </w:r>
    </w:p>
    <w:p w14:paraId="5E652AC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甲乙双方的廉洁从业行为由双方或双方上级单位的纪检、监察负责监督，对本协议履行情况进行检查。</w:t>
      </w:r>
    </w:p>
    <w:p w14:paraId="1014462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第六条  举报信访受理</w:t>
      </w:r>
    </w:p>
    <w:p w14:paraId="3A886C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（一）举报受理部门：</w:t>
      </w:r>
      <w:r>
        <w:rPr>
          <w:rFonts w:hint="eastAsia" w:ascii="宋体" w:hAnsi="宋体" w:eastAsia="宋体" w:cs="宋体"/>
          <w:color w:val="000000" w:themeColor="text1"/>
          <w:szCs w:val="21"/>
          <w:highlight w:val="none"/>
          <w:lang w:eastAsia="zh-CN"/>
          <w14:textFill>
            <w14:solidFill>
              <w14:schemeClr w14:val="tx1"/>
            </w14:solidFill>
          </w14:textFill>
        </w:rPr>
        <w:t>东莞市水务环境投资控股集团有限公司</w:t>
      </w:r>
      <w:r>
        <w:rPr>
          <w:rFonts w:hint="eastAsia" w:ascii="宋体" w:hAnsi="宋体" w:eastAsia="宋体" w:cs="宋体"/>
          <w:color w:val="000000" w:themeColor="text1"/>
          <w:szCs w:val="21"/>
          <w:highlight w:val="none"/>
          <w14:textFill>
            <w14:solidFill>
              <w14:schemeClr w14:val="tx1"/>
            </w14:solidFill>
          </w14:textFill>
        </w:rPr>
        <w:t>纪检监察部。</w:t>
      </w:r>
    </w:p>
    <w:p w14:paraId="4C59A9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（二）举报电话：（0769）23076092。</w:t>
      </w:r>
    </w:p>
    <w:p w14:paraId="711E1E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（三）举报邮箱：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"mailto:jcsj@dgswjt.cn。" </w:instrText>
      </w:r>
      <w:r>
        <w:rPr>
          <w:color w:val="000000" w:themeColor="text1"/>
          <w:highlight w:val="none"/>
          <w14:textFill>
            <w14:solidFill>
              <w14:schemeClr w14:val="tx1"/>
            </w14:solidFill>
          </w14:textFill>
        </w:rPr>
        <w:fldChar w:fldCharType="separate"/>
      </w:r>
      <w:r>
        <w:rPr>
          <w:rStyle w:val="46"/>
          <w:rFonts w:hint="eastAsia" w:ascii="宋体" w:hAnsi="宋体" w:eastAsia="宋体" w:cs="宋体"/>
          <w:color w:val="000000" w:themeColor="text1"/>
          <w:sz w:val="21"/>
          <w:szCs w:val="21"/>
          <w:highlight w:val="none"/>
          <w14:textFill>
            <w14:solidFill>
              <w14:schemeClr w14:val="tx1"/>
            </w14:solidFill>
          </w14:textFill>
        </w:rPr>
        <w:t>jcsj@dgswjt.cn。</w:t>
      </w:r>
      <w:r>
        <w:rPr>
          <w:rStyle w:val="46"/>
          <w:rFonts w:hint="eastAsia" w:ascii="宋体" w:hAnsi="宋体" w:eastAsia="宋体" w:cs="宋体"/>
          <w:color w:val="000000" w:themeColor="text1"/>
          <w:sz w:val="21"/>
          <w:szCs w:val="21"/>
          <w:highlight w:val="none"/>
          <w14:textFill>
            <w14:solidFill>
              <w14:schemeClr w14:val="tx1"/>
            </w14:solidFill>
          </w14:textFill>
        </w:rPr>
        <w:fldChar w:fldCharType="end"/>
      </w:r>
    </w:p>
    <w:p w14:paraId="16BF88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（四）信访地址：东莞市南城街道宏北路16号水业大厦。</w:t>
      </w:r>
    </w:p>
    <w:p w14:paraId="074BEDE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第七条  其他</w:t>
      </w:r>
    </w:p>
    <w:p w14:paraId="4D5D88F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本协议有效期为甲乙双方盖章、并经甲方法定代表人或负责人或授权代表及乙方法定代表人签字之日起生效之日起至该工程/采购项目竣工验收完毕，质保期/服务期满后止。本协议一式</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份，甲、乙双方各执</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份，甲、乙双方上级主管部门各执</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份。</w:t>
      </w:r>
    </w:p>
    <w:p w14:paraId="4D15B471">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br w:type="page"/>
      </w:r>
    </w:p>
    <w:tbl>
      <w:tblPr>
        <w:tblStyle w:val="40"/>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3C2E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52CA271C">
            <w:pPr>
              <w:spacing w:line="360" w:lineRule="auto"/>
              <w:jc w:val="both"/>
              <w:rPr>
                <w:rFonts w:hint="eastAsia" w:ascii="宋体" w:hAnsi="宋体" w:eastAsia="宋体" w:cs="宋体"/>
                <w:color w:val="000000" w:themeColor="text1"/>
                <w:sz w:val="21"/>
                <w:szCs w:val="21"/>
                <w:highlight w:val="none"/>
                <w:vertAlign w:val="baseline"/>
                <w:lang w:val="en-US"/>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c>
          <w:tcPr>
            <w:tcW w:w="5102" w:type="dxa"/>
            <w:tcBorders>
              <w:tl2br w:val="nil"/>
              <w:tr2bl w:val="nil"/>
            </w:tcBorders>
            <w:shd w:val="clear" w:color="auto" w:fill="auto"/>
            <w:tcMar>
              <w:top w:w="0" w:type="dxa"/>
              <w:left w:w="57" w:type="dxa"/>
              <w:bottom w:w="0" w:type="dxa"/>
              <w:right w:w="57" w:type="dxa"/>
            </w:tcMar>
            <w:vAlign w:val="top"/>
          </w:tcPr>
          <w:p w14:paraId="77A5D4A1">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r>
      <w:tr w14:paraId="46EC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48047C39">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法定代表人：</w:t>
            </w:r>
          </w:p>
        </w:tc>
        <w:tc>
          <w:tcPr>
            <w:tcW w:w="5102" w:type="dxa"/>
            <w:tcBorders>
              <w:tl2br w:val="nil"/>
              <w:tr2bl w:val="nil"/>
            </w:tcBorders>
            <w:shd w:val="clear" w:color="auto" w:fill="auto"/>
            <w:tcMar>
              <w:top w:w="0" w:type="dxa"/>
              <w:left w:w="57" w:type="dxa"/>
              <w:bottom w:w="0" w:type="dxa"/>
              <w:right w:w="57" w:type="dxa"/>
            </w:tcMar>
            <w:vAlign w:val="top"/>
          </w:tcPr>
          <w:p w14:paraId="0106DC28">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法定代表人：</w:t>
            </w:r>
          </w:p>
        </w:tc>
      </w:tr>
      <w:tr w14:paraId="581A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4EDCB78A">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tcMar>
              <w:top w:w="0" w:type="dxa"/>
              <w:left w:w="57" w:type="dxa"/>
              <w:bottom w:w="0" w:type="dxa"/>
              <w:right w:w="57" w:type="dxa"/>
            </w:tcMar>
            <w:vAlign w:val="top"/>
          </w:tcPr>
          <w:p w14:paraId="4671AA89">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7F844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4518F1EC">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c>
          <w:tcPr>
            <w:tcW w:w="5102" w:type="dxa"/>
            <w:tcBorders>
              <w:tl2br w:val="nil"/>
              <w:tr2bl w:val="nil"/>
            </w:tcBorders>
            <w:shd w:val="clear" w:color="auto" w:fill="auto"/>
            <w:tcMar>
              <w:top w:w="0" w:type="dxa"/>
              <w:left w:w="57" w:type="dxa"/>
              <w:bottom w:w="0" w:type="dxa"/>
              <w:right w:w="57" w:type="dxa"/>
            </w:tcMar>
            <w:vAlign w:val="top"/>
          </w:tcPr>
          <w:p w14:paraId="4B174D3B">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r>
      <w:tr w14:paraId="14A15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26E2CF0F">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t>法定代表人：</w:t>
            </w:r>
          </w:p>
        </w:tc>
        <w:tc>
          <w:tcPr>
            <w:tcW w:w="5102" w:type="dxa"/>
            <w:tcBorders>
              <w:tl2br w:val="nil"/>
              <w:tr2bl w:val="nil"/>
            </w:tcBorders>
            <w:shd w:val="clear" w:color="auto" w:fill="auto"/>
            <w:tcMar>
              <w:top w:w="0" w:type="dxa"/>
              <w:left w:w="57" w:type="dxa"/>
              <w:bottom w:w="0" w:type="dxa"/>
              <w:right w:w="57" w:type="dxa"/>
            </w:tcMar>
            <w:vAlign w:val="top"/>
          </w:tcPr>
          <w:p w14:paraId="5738F33C">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法定代表人：</w:t>
            </w:r>
          </w:p>
        </w:tc>
      </w:tr>
      <w:tr w14:paraId="73E9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22AE7E85">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tcMar>
              <w:top w:w="0" w:type="dxa"/>
              <w:left w:w="57" w:type="dxa"/>
              <w:bottom w:w="0" w:type="dxa"/>
              <w:right w:w="57" w:type="dxa"/>
            </w:tcMar>
            <w:vAlign w:val="top"/>
          </w:tcPr>
          <w:p w14:paraId="46992FF8">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71D2A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6E1F1E8">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c>
          <w:tcPr>
            <w:tcW w:w="5102" w:type="dxa"/>
            <w:tcBorders>
              <w:tl2br w:val="nil"/>
              <w:tr2bl w:val="nil"/>
            </w:tcBorders>
            <w:tcMar>
              <w:top w:w="0" w:type="dxa"/>
              <w:left w:w="57" w:type="dxa"/>
              <w:bottom w:w="0" w:type="dxa"/>
              <w:right w:w="57" w:type="dxa"/>
            </w:tcMar>
            <w:vAlign w:val="top"/>
          </w:tcPr>
          <w:p w14:paraId="4E889754">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r>
      <w:tr w14:paraId="1FAB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DE878B3">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t>法定代表人：</w:t>
            </w:r>
          </w:p>
        </w:tc>
        <w:tc>
          <w:tcPr>
            <w:tcW w:w="5102" w:type="dxa"/>
            <w:tcBorders>
              <w:tl2br w:val="nil"/>
              <w:tr2bl w:val="nil"/>
            </w:tcBorders>
            <w:tcMar>
              <w:top w:w="0" w:type="dxa"/>
              <w:left w:w="57" w:type="dxa"/>
              <w:bottom w:w="0" w:type="dxa"/>
              <w:right w:w="57" w:type="dxa"/>
            </w:tcMar>
            <w:vAlign w:val="top"/>
          </w:tcPr>
          <w:p w14:paraId="52F6F845">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法定代表人：</w:t>
            </w:r>
          </w:p>
        </w:tc>
      </w:tr>
      <w:tr w14:paraId="1E162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4063AD91">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tcMar>
              <w:top w:w="0" w:type="dxa"/>
              <w:left w:w="57" w:type="dxa"/>
              <w:bottom w:w="0" w:type="dxa"/>
              <w:right w:w="57" w:type="dxa"/>
            </w:tcMar>
            <w:vAlign w:val="top"/>
          </w:tcPr>
          <w:p w14:paraId="2A141B5C">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55EAA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50ACF26E">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3C144E0A">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乙方（盖章）：</w:t>
            </w:r>
          </w:p>
        </w:tc>
      </w:tr>
      <w:tr w14:paraId="1651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EC480B1">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12DF7BA3">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法定代表人：</w:t>
            </w:r>
          </w:p>
        </w:tc>
      </w:tr>
    </w:tbl>
    <w:p w14:paraId="77C02627">
      <w:pPr>
        <w:autoSpaceDE w:val="0"/>
        <w:spacing w:before="48" w:beforeLines="20" w:after="48" w:afterLines="20"/>
        <w:ind w:firstLine="420" w:firstLineChars="200"/>
        <w:rPr>
          <w:rFonts w:hint="eastAsia" w:ascii="宋体" w:hAnsi="宋体" w:eastAsia="宋体" w:cs="宋体"/>
          <w:color w:val="000000" w:themeColor="text1"/>
          <w:szCs w:val="21"/>
          <w:highlight w:val="none"/>
          <w:lang w:bidi="ar"/>
          <w14:textFill>
            <w14:solidFill>
              <w14:schemeClr w14:val="tx1"/>
            </w14:solidFill>
          </w14:textFill>
        </w:rPr>
      </w:pPr>
    </w:p>
    <w:p w14:paraId="3E345490">
      <w:pPr>
        <w:autoSpaceDE w:val="0"/>
        <w:spacing w:before="48" w:beforeLines="20" w:after="48" w:afterLines="20"/>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签订日期：    年  月  日</w:t>
      </w:r>
    </w:p>
    <w:p w14:paraId="083D8404">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br w:type="page"/>
      </w:r>
    </w:p>
    <w:p w14:paraId="39DB12AE">
      <w:pPr>
        <w:pStyle w:val="5"/>
        <w:spacing w:line="360" w:lineRule="auto"/>
        <w:rPr>
          <w:rFonts w:hint="eastAsia" w:ascii="宋体" w:hAnsi="宋体" w:eastAsia="宋体" w:cs="宋体"/>
          <w:b/>
          <w:color w:val="000000" w:themeColor="text1"/>
          <w:kern w:val="0"/>
          <w:sz w:val="24"/>
          <w:szCs w:val="24"/>
          <w:highlight w:val="none"/>
          <w:lang w:bidi="ar"/>
          <w14:textFill>
            <w14:solidFill>
              <w14:schemeClr w14:val="tx1"/>
            </w14:solidFill>
          </w14:textFill>
        </w:rPr>
      </w:pPr>
      <w:bookmarkStart w:id="399" w:name="_Toc10731"/>
      <w:bookmarkStart w:id="400" w:name="_Toc28485"/>
      <w:bookmarkStart w:id="401" w:name="_Toc1081"/>
      <w:r>
        <w:rPr>
          <w:rFonts w:hint="eastAsia" w:ascii="宋体" w:hAnsi="宋体" w:eastAsia="宋体" w:cs="宋体"/>
          <w:b/>
          <w:color w:val="000000" w:themeColor="text1"/>
          <w:kern w:val="0"/>
          <w:sz w:val="24"/>
          <w:szCs w:val="24"/>
          <w:highlight w:val="none"/>
          <w:lang w:bidi="ar"/>
          <w14:textFill>
            <w14:solidFill>
              <w14:schemeClr w14:val="tx1"/>
            </w14:solidFill>
          </w14:textFill>
        </w:rPr>
        <w:t>附件</w:t>
      </w:r>
      <w:r>
        <w:rPr>
          <w:rFonts w:hint="eastAsia" w:hAnsi="宋体" w:cs="宋体"/>
          <w:b/>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b/>
          <w:color w:val="000000" w:themeColor="text1"/>
          <w:kern w:val="0"/>
          <w:sz w:val="24"/>
          <w:szCs w:val="24"/>
          <w:highlight w:val="none"/>
          <w:lang w:bidi="ar"/>
          <w14:textFill>
            <w14:solidFill>
              <w14:schemeClr w14:val="tx1"/>
            </w14:solidFill>
          </w14:textFill>
        </w:rPr>
        <w:t>：</w:t>
      </w:r>
      <w:bookmarkEnd w:id="399"/>
      <w:bookmarkEnd w:id="400"/>
      <w:r>
        <w:rPr>
          <w:rFonts w:hint="eastAsia" w:ascii="宋体" w:hAnsi="宋体" w:eastAsia="宋体" w:cs="宋体"/>
          <w:b/>
          <w:color w:val="000000" w:themeColor="text1"/>
          <w:kern w:val="0"/>
          <w:sz w:val="24"/>
          <w:szCs w:val="24"/>
          <w:highlight w:val="none"/>
          <w:lang w:bidi="ar"/>
          <w14:textFill>
            <w14:solidFill>
              <w14:schemeClr w14:val="tx1"/>
            </w14:solidFill>
          </w14:textFill>
        </w:rPr>
        <w:t>采购清单及价格表（模版）（注：该模版内容届时以合同签订为准）</w:t>
      </w:r>
      <w:bookmarkEnd w:id="401"/>
    </w:p>
    <w:tbl>
      <w:tblPr>
        <w:tblStyle w:val="39"/>
        <w:tblW w:w="5234" w:type="pct"/>
        <w:tblInd w:w="0" w:type="dxa"/>
        <w:shd w:val="clear" w:color="auto" w:fill="auto"/>
        <w:tblLayout w:type="fixed"/>
        <w:tblCellMar>
          <w:top w:w="0" w:type="dxa"/>
          <w:left w:w="108" w:type="dxa"/>
          <w:bottom w:w="0" w:type="dxa"/>
          <w:right w:w="108" w:type="dxa"/>
        </w:tblCellMar>
      </w:tblPr>
      <w:tblGrid>
        <w:gridCol w:w="600"/>
        <w:gridCol w:w="656"/>
        <w:gridCol w:w="792"/>
        <w:gridCol w:w="775"/>
        <w:gridCol w:w="742"/>
        <w:gridCol w:w="726"/>
        <w:gridCol w:w="825"/>
        <w:gridCol w:w="759"/>
        <w:gridCol w:w="676"/>
        <w:gridCol w:w="676"/>
        <w:gridCol w:w="659"/>
        <w:gridCol w:w="462"/>
        <w:gridCol w:w="742"/>
        <w:gridCol w:w="890"/>
        <w:gridCol w:w="873"/>
      </w:tblGrid>
      <w:tr w14:paraId="65181749">
        <w:tblPrEx>
          <w:tblCellMar>
            <w:top w:w="0" w:type="dxa"/>
            <w:left w:w="108" w:type="dxa"/>
            <w:bottom w:w="0" w:type="dxa"/>
            <w:right w:w="108" w:type="dxa"/>
          </w:tblCellMar>
        </w:tblPrEx>
        <w:trPr>
          <w:trHeight w:val="270" w:hRule="atLeast"/>
        </w:trPr>
        <w:tc>
          <w:tcPr>
            <w:tcW w:w="276"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474FE03">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序号</w:t>
            </w:r>
          </w:p>
        </w:tc>
        <w:tc>
          <w:tcPr>
            <w:tcW w:w="302" w:type="pct"/>
            <w:tcBorders>
              <w:top w:val="single" w:color="000000" w:sz="8" w:space="0"/>
              <w:left w:val="nil"/>
              <w:bottom w:val="single" w:color="000000" w:sz="8" w:space="0"/>
              <w:right w:val="single" w:color="000000" w:sz="8" w:space="0"/>
            </w:tcBorders>
            <w:shd w:val="clear" w:color="auto" w:fill="auto"/>
            <w:noWrap w:val="0"/>
            <w:vAlign w:val="center"/>
          </w:tcPr>
          <w:p w14:paraId="456E2D9B">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物资重要程度</w:t>
            </w:r>
          </w:p>
        </w:tc>
        <w:tc>
          <w:tcPr>
            <w:tcW w:w="364" w:type="pct"/>
            <w:tcBorders>
              <w:top w:val="single" w:color="000000" w:sz="8" w:space="0"/>
              <w:left w:val="nil"/>
              <w:bottom w:val="single" w:color="000000" w:sz="8" w:space="0"/>
              <w:right w:val="single" w:color="000000" w:sz="8" w:space="0"/>
            </w:tcBorders>
            <w:shd w:val="clear" w:color="auto" w:fill="auto"/>
            <w:noWrap w:val="0"/>
            <w:vAlign w:val="center"/>
          </w:tcPr>
          <w:p w14:paraId="323187FE">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物资名称</w:t>
            </w:r>
          </w:p>
        </w:tc>
        <w:tc>
          <w:tcPr>
            <w:tcW w:w="356" w:type="pct"/>
            <w:tcBorders>
              <w:top w:val="single" w:color="000000" w:sz="8" w:space="0"/>
              <w:left w:val="nil"/>
              <w:bottom w:val="single" w:color="000000" w:sz="8" w:space="0"/>
              <w:right w:val="single" w:color="000000" w:sz="8" w:space="0"/>
            </w:tcBorders>
            <w:shd w:val="clear" w:color="auto" w:fill="auto"/>
            <w:noWrap w:val="0"/>
            <w:vAlign w:val="center"/>
          </w:tcPr>
          <w:p w14:paraId="58CE9FF0">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物资类别</w:t>
            </w:r>
          </w:p>
        </w:tc>
        <w:tc>
          <w:tcPr>
            <w:tcW w:w="341" w:type="pct"/>
            <w:tcBorders>
              <w:top w:val="single" w:color="000000" w:sz="8" w:space="0"/>
              <w:left w:val="nil"/>
              <w:bottom w:val="single" w:color="000000" w:sz="8" w:space="0"/>
              <w:right w:val="single" w:color="000000" w:sz="8" w:space="0"/>
            </w:tcBorders>
            <w:shd w:val="clear" w:color="auto" w:fill="auto"/>
            <w:noWrap w:val="0"/>
            <w:vAlign w:val="center"/>
          </w:tcPr>
          <w:p w14:paraId="5DA4442F">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推荐品牌</w:t>
            </w:r>
          </w:p>
        </w:tc>
        <w:tc>
          <w:tcPr>
            <w:tcW w:w="334" w:type="pct"/>
            <w:tcBorders>
              <w:top w:val="single" w:color="000000" w:sz="8" w:space="0"/>
              <w:left w:val="nil"/>
              <w:bottom w:val="single" w:color="000000" w:sz="8" w:space="0"/>
              <w:right w:val="single" w:color="000000" w:sz="8" w:space="0"/>
            </w:tcBorders>
            <w:shd w:val="clear" w:color="auto" w:fill="auto"/>
            <w:noWrap w:val="0"/>
            <w:vAlign w:val="center"/>
          </w:tcPr>
          <w:p w14:paraId="3D87DA5B">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规格型号</w:t>
            </w:r>
          </w:p>
        </w:tc>
        <w:tc>
          <w:tcPr>
            <w:tcW w:w="379" w:type="pct"/>
            <w:tcBorders>
              <w:top w:val="single" w:color="000000" w:sz="8" w:space="0"/>
              <w:left w:val="nil"/>
              <w:bottom w:val="single" w:color="000000" w:sz="8" w:space="0"/>
              <w:right w:val="single" w:color="000000" w:sz="8" w:space="0"/>
            </w:tcBorders>
            <w:shd w:val="clear" w:color="auto" w:fill="auto"/>
            <w:noWrap w:val="0"/>
            <w:vAlign w:val="center"/>
          </w:tcPr>
          <w:p w14:paraId="3C954D47">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石鼓</w:t>
            </w:r>
            <w:r>
              <w:rPr>
                <w:rFonts w:hint="eastAsia" w:ascii="宋体" w:hAnsi="宋体" w:eastAsia="宋体" w:cs="宋体"/>
                <w:color w:val="000000" w:themeColor="text1"/>
                <w:kern w:val="0"/>
                <w:sz w:val="21"/>
                <w:szCs w:val="21"/>
                <w:highlight w:val="none"/>
                <w:lang w:bidi="ar"/>
                <w14:textFill>
                  <w14:solidFill>
                    <w14:schemeClr w14:val="tx1"/>
                  </w14:solidFill>
                </w14:textFill>
              </w:rPr>
              <w:t>暂定数量</w:t>
            </w:r>
          </w:p>
        </w:tc>
        <w:tc>
          <w:tcPr>
            <w:tcW w:w="349" w:type="pct"/>
            <w:tcBorders>
              <w:top w:val="single" w:color="000000" w:sz="8" w:space="0"/>
              <w:left w:val="nil"/>
              <w:bottom w:val="single" w:color="000000" w:sz="8" w:space="0"/>
              <w:right w:val="single" w:color="000000" w:sz="8" w:space="0"/>
            </w:tcBorders>
            <w:shd w:val="clear" w:color="auto" w:fill="auto"/>
            <w:noWrap w:val="0"/>
            <w:vAlign w:val="center"/>
          </w:tcPr>
          <w:p w14:paraId="3E4E42B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樟</w:t>
            </w:r>
            <w:r>
              <w:rPr>
                <w:rFonts w:hint="eastAsia" w:ascii="宋体" w:hAnsi="宋体" w:eastAsia="宋体" w:cs="宋体"/>
                <w:color w:val="000000" w:themeColor="text1"/>
                <w:sz w:val="21"/>
                <w:szCs w:val="21"/>
                <w:highlight w:val="none"/>
                <w:lang w:val="en-US" w:eastAsia="zh-CN"/>
                <w14:textFill>
                  <w14:solidFill>
                    <w14:schemeClr w14:val="tx1"/>
                  </w14:solidFill>
                </w14:textFill>
              </w:rPr>
              <w:t>村暂定数量</w:t>
            </w:r>
          </w:p>
        </w:tc>
        <w:tc>
          <w:tcPr>
            <w:tcW w:w="311" w:type="pct"/>
            <w:tcBorders>
              <w:top w:val="single" w:color="000000" w:sz="8" w:space="0"/>
              <w:left w:val="nil"/>
              <w:bottom w:val="single" w:color="000000" w:sz="8" w:space="0"/>
              <w:right w:val="single" w:color="000000" w:sz="8" w:space="0"/>
            </w:tcBorders>
            <w:shd w:val="clear" w:color="auto" w:fill="auto"/>
            <w:noWrap w:val="0"/>
            <w:vAlign w:val="center"/>
          </w:tcPr>
          <w:p w14:paraId="5748F9A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清源</w:t>
            </w:r>
            <w:r>
              <w:rPr>
                <w:rFonts w:hint="eastAsia" w:ascii="宋体" w:hAnsi="宋体" w:eastAsia="宋体" w:cs="宋体"/>
                <w:color w:val="000000" w:themeColor="text1"/>
                <w:kern w:val="0"/>
                <w:sz w:val="21"/>
                <w:szCs w:val="21"/>
                <w:highlight w:val="none"/>
                <w:lang w:bidi="ar"/>
                <w14:textFill>
                  <w14:solidFill>
                    <w14:schemeClr w14:val="tx1"/>
                  </w14:solidFill>
                </w14:textFill>
              </w:rPr>
              <w:t>暂定数量</w:t>
            </w:r>
          </w:p>
        </w:tc>
        <w:tc>
          <w:tcPr>
            <w:tcW w:w="311" w:type="pct"/>
            <w:tcBorders>
              <w:top w:val="single" w:color="000000" w:sz="8" w:space="0"/>
              <w:left w:val="nil"/>
              <w:bottom w:val="single" w:color="000000" w:sz="8" w:space="0"/>
              <w:right w:val="single" w:color="000000" w:sz="8" w:space="0"/>
            </w:tcBorders>
            <w:shd w:val="clear" w:color="auto" w:fill="auto"/>
            <w:noWrap w:val="0"/>
            <w:vAlign w:val="center"/>
          </w:tcPr>
          <w:p w14:paraId="3A88211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莞水暂定数量</w:t>
            </w:r>
          </w:p>
        </w:tc>
        <w:tc>
          <w:tcPr>
            <w:tcW w:w="303" w:type="pct"/>
            <w:tcBorders>
              <w:top w:val="single" w:color="000000" w:sz="8" w:space="0"/>
              <w:left w:val="nil"/>
              <w:bottom w:val="single" w:color="000000" w:sz="8" w:space="0"/>
              <w:right w:val="single" w:color="000000" w:sz="8" w:space="0"/>
            </w:tcBorders>
            <w:shd w:val="clear" w:color="auto" w:fill="auto"/>
            <w:noWrap w:val="0"/>
            <w:vAlign w:val="center"/>
          </w:tcPr>
          <w:p w14:paraId="02A03E0B">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合计暂定数量</w:t>
            </w:r>
          </w:p>
        </w:tc>
        <w:tc>
          <w:tcPr>
            <w:tcW w:w="212" w:type="pct"/>
            <w:tcBorders>
              <w:top w:val="single" w:color="000000" w:sz="8" w:space="0"/>
              <w:left w:val="nil"/>
              <w:bottom w:val="single" w:color="000000" w:sz="8" w:space="0"/>
              <w:right w:val="single" w:color="000000" w:sz="8" w:space="0"/>
            </w:tcBorders>
            <w:shd w:val="clear" w:color="auto" w:fill="auto"/>
            <w:noWrap w:val="0"/>
            <w:vAlign w:val="center"/>
          </w:tcPr>
          <w:p w14:paraId="4245156F">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单位</w:t>
            </w:r>
          </w:p>
        </w:tc>
        <w:tc>
          <w:tcPr>
            <w:tcW w:w="341" w:type="pct"/>
            <w:tcBorders>
              <w:top w:val="single" w:color="000000" w:sz="8" w:space="0"/>
              <w:left w:val="nil"/>
              <w:bottom w:val="single" w:color="000000" w:sz="8" w:space="0"/>
              <w:right w:val="single" w:color="000000" w:sz="8" w:space="0"/>
            </w:tcBorders>
            <w:shd w:val="clear" w:color="auto" w:fill="auto"/>
            <w:noWrap w:val="0"/>
            <w:vAlign w:val="center"/>
          </w:tcPr>
          <w:p w14:paraId="134A2C1A">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投标品牌</w:t>
            </w:r>
          </w:p>
        </w:tc>
        <w:tc>
          <w:tcPr>
            <w:tcW w:w="410" w:type="pct"/>
            <w:tcBorders>
              <w:top w:val="single" w:color="000000" w:sz="8" w:space="0"/>
              <w:left w:val="nil"/>
              <w:bottom w:val="single" w:color="000000" w:sz="8" w:space="0"/>
              <w:right w:val="single" w:color="000000" w:sz="8" w:space="0"/>
            </w:tcBorders>
            <w:shd w:val="clear" w:color="auto" w:fill="auto"/>
            <w:noWrap w:val="0"/>
            <w:vAlign w:val="center"/>
          </w:tcPr>
          <w:p w14:paraId="477AA313">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bidi="ar"/>
                <w14:textFill>
                  <w14:solidFill>
                    <w14:schemeClr w14:val="tx1"/>
                  </w14:solidFill>
                </w14:textFill>
              </w:rPr>
              <w:t>不含税预算</w:t>
            </w: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综合</w:t>
            </w:r>
            <w:r>
              <w:rPr>
                <w:rFonts w:hint="eastAsia" w:ascii="宋体" w:hAnsi="宋体" w:eastAsia="宋体" w:cs="宋体"/>
                <w:b w:val="0"/>
                <w:bCs w:val="0"/>
                <w:color w:val="000000" w:themeColor="text1"/>
                <w:sz w:val="21"/>
                <w:szCs w:val="21"/>
                <w:highlight w:val="none"/>
                <w:lang w:bidi="ar"/>
                <w14:textFill>
                  <w14:solidFill>
                    <w14:schemeClr w14:val="tx1"/>
                  </w14:solidFill>
                </w14:textFill>
              </w:rPr>
              <w:t>单价（元）</w:t>
            </w:r>
          </w:p>
        </w:tc>
        <w:tc>
          <w:tcPr>
            <w:tcW w:w="402" w:type="pct"/>
            <w:tcBorders>
              <w:top w:val="single" w:color="000000" w:sz="8" w:space="0"/>
              <w:left w:val="nil"/>
              <w:bottom w:val="single" w:color="000000" w:sz="8" w:space="0"/>
              <w:right w:val="single" w:color="000000" w:sz="8" w:space="0"/>
            </w:tcBorders>
            <w:shd w:val="clear" w:color="auto" w:fill="auto"/>
            <w:noWrap w:val="0"/>
            <w:vAlign w:val="center"/>
          </w:tcPr>
          <w:p w14:paraId="14F1E862">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bidi="ar"/>
                <w14:textFill>
                  <w14:solidFill>
                    <w14:schemeClr w14:val="tx1"/>
                  </w14:solidFill>
                </w14:textFill>
              </w:rPr>
              <w:t>中标不含税综合单价（元）</w:t>
            </w:r>
          </w:p>
        </w:tc>
      </w:tr>
      <w:tr w14:paraId="5D3127A3">
        <w:tblPrEx>
          <w:tblCellMar>
            <w:top w:w="0" w:type="dxa"/>
            <w:left w:w="108" w:type="dxa"/>
            <w:bottom w:w="0" w:type="dxa"/>
            <w:right w:w="108" w:type="dxa"/>
          </w:tblCellMar>
        </w:tblPrEx>
        <w:trPr>
          <w:trHeight w:val="270" w:hRule="atLeast"/>
        </w:trPr>
        <w:tc>
          <w:tcPr>
            <w:tcW w:w="276"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D43D2F5">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02" w:type="pct"/>
            <w:tcBorders>
              <w:top w:val="single" w:color="000000" w:sz="8" w:space="0"/>
              <w:left w:val="nil"/>
              <w:bottom w:val="single" w:color="000000" w:sz="8" w:space="0"/>
              <w:right w:val="single" w:color="000000" w:sz="8" w:space="0"/>
            </w:tcBorders>
            <w:shd w:val="clear" w:color="auto" w:fill="auto"/>
            <w:noWrap w:val="0"/>
            <w:vAlign w:val="center"/>
          </w:tcPr>
          <w:p w14:paraId="0DB2E5E2">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64" w:type="pct"/>
            <w:tcBorders>
              <w:top w:val="single" w:color="000000" w:sz="8" w:space="0"/>
              <w:left w:val="nil"/>
              <w:bottom w:val="single" w:color="000000" w:sz="8" w:space="0"/>
              <w:right w:val="single" w:color="000000" w:sz="8" w:space="0"/>
            </w:tcBorders>
            <w:shd w:val="clear" w:color="auto" w:fill="auto"/>
            <w:noWrap w:val="0"/>
            <w:vAlign w:val="center"/>
          </w:tcPr>
          <w:p w14:paraId="778D8B89">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56" w:type="pct"/>
            <w:tcBorders>
              <w:top w:val="single" w:color="000000" w:sz="8" w:space="0"/>
              <w:left w:val="nil"/>
              <w:bottom w:val="single" w:color="000000" w:sz="8" w:space="0"/>
              <w:right w:val="single" w:color="000000" w:sz="8" w:space="0"/>
            </w:tcBorders>
            <w:shd w:val="clear" w:color="auto" w:fill="auto"/>
            <w:noWrap w:val="0"/>
            <w:vAlign w:val="center"/>
          </w:tcPr>
          <w:p w14:paraId="1B4FD84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1" w:type="pct"/>
            <w:tcBorders>
              <w:top w:val="single" w:color="000000" w:sz="8" w:space="0"/>
              <w:left w:val="nil"/>
              <w:bottom w:val="single" w:color="000000" w:sz="8" w:space="0"/>
              <w:right w:val="single" w:color="000000" w:sz="8" w:space="0"/>
            </w:tcBorders>
            <w:shd w:val="clear" w:color="auto" w:fill="auto"/>
            <w:noWrap w:val="0"/>
            <w:vAlign w:val="center"/>
          </w:tcPr>
          <w:p w14:paraId="2A200B5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34" w:type="pct"/>
            <w:tcBorders>
              <w:top w:val="single" w:color="000000" w:sz="8" w:space="0"/>
              <w:left w:val="nil"/>
              <w:bottom w:val="single" w:color="000000" w:sz="8" w:space="0"/>
              <w:right w:val="single" w:color="000000" w:sz="8" w:space="0"/>
            </w:tcBorders>
            <w:shd w:val="clear" w:color="auto" w:fill="auto"/>
            <w:noWrap w:val="0"/>
            <w:vAlign w:val="center"/>
          </w:tcPr>
          <w:p w14:paraId="793E4BC8">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79" w:type="pct"/>
            <w:tcBorders>
              <w:top w:val="single" w:color="000000" w:sz="8" w:space="0"/>
              <w:left w:val="nil"/>
              <w:bottom w:val="single" w:color="000000" w:sz="8" w:space="0"/>
              <w:right w:val="single" w:color="000000" w:sz="8" w:space="0"/>
            </w:tcBorders>
            <w:shd w:val="clear" w:color="auto" w:fill="auto"/>
            <w:noWrap w:val="0"/>
            <w:vAlign w:val="center"/>
          </w:tcPr>
          <w:p w14:paraId="09DDADC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9" w:type="pct"/>
            <w:tcBorders>
              <w:top w:val="single" w:color="000000" w:sz="8" w:space="0"/>
              <w:left w:val="nil"/>
              <w:bottom w:val="single" w:color="000000" w:sz="8" w:space="0"/>
              <w:right w:val="single" w:color="000000" w:sz="8" w:space="0"/>
            </w:tcBorders>
            <w:shd w:val="clear" w:color="auto" w:fill="auto"/>
            <w:noWrap w:val="0"/>
            <w:vAlign w:val="center"/>
          </w:tcPr>
          <w:p w14:paraId="626A66E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11" w:type="pct"/>
            <w:tcBorders>
              <w:top w:val="single" w:color="000000" w:sz="8" w:space="0"/>
              <w:left w:val="nil"/>
              <w:bottom w:val="single" w:color="000000" w:sz="8" w:space="0"/>
              <w:right w:val="single" w:color="000000" w:sz="8" w:space="0"/>
            </w:tcBorders>
            <w:shd w:val="clear" w:color="auto" w:fill="auto"/>
            <w:noWrap w:val="0"/>
            <w:vAlign w:val="center"/>
          </w:tcPr>
          <w:p w14:paraId="104B985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11" w:type="pct"/>
            <w:tcBorders>
              <w:top w:val="single" w:color="000000" w:sz="8" w:space="0"/>
              <w:left w:val="nil"/>
              <w:bottom w:val="single" w:color="000000" w:sz="8" w:space="0"/>
              <w:right w:val="single" w:color="000000" w:sz="8" w:space="0"/>
            </w:tcBorders>
            <w:shd w:val="clear" w:color="auto" w:fill="auto"/>
            <w:noWrap w:val="0"/>
            <w:vAlign w:val="center"/>
          </w:tcPr>
          <w:p w14:paraId="41833FF2">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03" w:type="pct"/>
            <w:tcBorders>
              <w:top w:val="single" w:color="000000" w:sz="8" w:space="0"/>
              <w:left w:val="nil"/>
              <w:bottom w:val="single" w:color="000000" w:sz="8" w:space="0"/>
              <w:right w:val="single" w:color="000000" w:sz="8" w:space="0"/>
            </w:tcBorders>
            <w:shd w:val="clear" w:color="auto" w:fill="auto"/>
            <w:noWrap w:val="0"/>
            <w:vAlign w:val="center"/>
          </w:tcPr>
          <w:p w14:paraId="4B8D331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12" w:type="pct"/>
            <w:tcBorders>
              <w:top w:val="single" w:color="000000" w:sz="8" w:space="0"/>
              <w:left w:val="nil"/>
              <w:bottom w:val="single" w:color="000000" w:sz="8" w:space="0"/>
              <w:right w:val="single" w:color="000000" w:sz="8" w:space="0"/>
            </w:tcBorders>
            <w:shd w:val="clear" w:color="auto" w:fill="auto"/>
            <w:noWrap w:val="0"/>
            <w:vAlign w:val="center"/>
          </w:tcPr>
          <w:p w14:paraId="7F6EF09F">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1" w:type="pct"/>
            <w:tcBorders>
              <w:top w:val="single" w:color="000000" w:sz="8" w:space="0"/>
              <w:left w:val="nil"/>
              <w:bottom w:val="single" w:color="000000" w:sz="8" w:space="0"/>
              <w:right w:val="single" w:color="000000" w:sz="8" w:space="0"/>
            </w:tcBorders>
            <w:shd w:val="clear" w:color="auto" w:fill="auto"/>
            <w:noWrap w:val="0"/>
            <w:vAlign w:val="center"/>
          </w:tcPr>
          <w:p w14:paraId="235EA503">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410" w:type="pct"/>
            <w:tcBorders>
              <w:top w:val="single" w:color="000000" w:sz="8" w:space="0"/>
              <w:left w:val="nil"/>
              <w:bottom w:val="single" w:color="000000" w:sz="8" w:space="0"/>
              <w:right w:val="single" w:color="000000" w:sz="8" w:space="0"/>
            </w:tcBorders>
            <w:shd w:val="clear" w:color="auto" w:fill="auto"/>
            <w:noWrap w:val="0"/>
            <w:vAlign w:val="center"/>
          </w:tcPr>
          <w:p w14:paraId="1ECB5040">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402" w:type="pct"/>
            <w:tcBorders>
              <w:top w:val="single" w:color="000000" w:sz="8" w:space="0"/>
              <w:left w:val="nil"/>
              <w:bottom w:val="single" w:color="000000" w:sz="8" w:space="0"/>
              <w:right w:val="single" w:color="000000" w:sz="8" w:space="0"/>
            </w:tcBorders>
            <w:shd w:val="clear" w:color="auto" w:fill="auto"/>
            <w:noWrap w:val="0"/>
            <w:vAlign w:val="center"/>
          </w:tcPr>
          <w:p w14:paraId="411F4928">
            <w:pPr>
              <w:widowControl/>
              <w:jc w:val="center"/>
              <w:textAlignment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tc>
      </w:tr>
      <w:tr w14:paraId="5D8153B8">
        <w:tblPrEx>
          <w:tblCellMar>
            <w:top w:w="0" w:type="dxa"/>
            <w:left w:w="108" w:type="dxa"/>
            <w:bottom w:w="0" w:type="dxa"/>
            <w:right w:w="108" w:type="dxa"/>
          </w:tblCellMar>
        </w:tblPrEx>
        <w:trPr>
          <w:trHeight w:val="270" w:hRule="atLeast"/>
        </w:trPr>
        <w:tc>
          <w:tcPr>
            <w:tcW w:w="276"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1B61F95">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02" w:type="pct"/>
            <w:tcBorders>
              <w:top w:val="single" w:color="000000" w:sz="8" w:space="0"/>
              <w:left w:val="nil"/>
              <w:bottom w:val="single" w:color="000000" w:sz="8" w:space="0"/>
              <w:right w:val="single" w:color="000000" w:sz="8" w:space="0"/>
            </w:tcBorders>
            <w:shd w:val="clear" w:color="auto" w:fill="auto"/>
            <w:noWrap w:val="0"/>
            <w:vAlign w:val="center"/>
          </w:tcPr>
          <w:p w14:paraId="4D87BAF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64" w:type="pct"/>
            <w:tcBorders>
              <w:top w:val="single" w:color="000000" w:sz="8" w:space="0"/>
              <w:left w:val="nil"/>
              <w:bottom w:val="single" w:color="000000" w:sz="8" w:space="0"/>
              <w:right w:val="single" w:color="000000" w:sz="8" w:space="0"/>
            </w:tcBorders>
            <w:shd w:val="clear" w:color="auto" w:fill="auto"/>
            <w:noWrap w:val="0"/>
            <w:vAlign w:val="center"/>
          </w:tcPr>
          <w:p w14:paraId="3C1C42B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56" w:type="pct"/>
            <w:tcBorders>
              <w:top w:val="single" w:color="000000" w:sz="8" w:space="0"/>
              <w:left w:val="nil"/>
              <w:bottom w:val="single" w:color="000000" w:sz="8" w:space="0"/>
              <w:right w:val="single" w:color="000000" w:sz="8" w:space="0"/>
            </w:tcBorders>
            <w:shd w:val="clear" w:color="auto" w:fill="auto"/>
            <w:noWrap w:val="0"/>
            <w:vAlign w:val="center"/>
          </w:tcPr>
          <w:p w14:paraId="458ADFFB">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1" w:type="pct"/>
            <w:tcBorders>
              <w:top w:val="single" w:color="000000" w:sz="8" w:space="0"/>
              <w:left w:val="nil"/>
              <w:bottom w:val="single" w:color="000000" w:sz="8" w:space="0"/>
              <w:right w:val="single" w:color="000000" w:sz="8" w:space="0"/>
            </w:tcBorders>
            <w:shd w:val="clear" w:color="auto" w:fill="auto"/>
            <w:noWrap w:val="0"/>
            <w:vAlign w:val="center"/>
          </w:tcPr>
          <w:p w14:paraId="443B3E93">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34" w:type="pct"/>
            <w:tcBorders>
              <w:top w:val="single" w:color="000000" w:sz="8" w:space="0"/>
              <w:left w:val="nil"/>
              <w:bottom w:val="single" w:color="000000" w:sz="8" w:space="0"/>
              <w:right w:val="single" w:color="000000" w:sz="8" w:space="0"/>
            </w:tcBorders>
            <w:shd w:val="clear" w:color="auto" w:fill="auto"/>
            <w:noWrap w:val="0"/>
            <w:vAlign w:val="center"/>
          </w:tcPr>
          <w:p w14:paraId="27D6B87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79" w:type="pct"/>
            <w:tcBorders>
              <w:top w:val="single" w:color="000000" w:sz="8" w:space="0"/>
              <w:left w:val="nil"/>
              <w:bottom w:val="single" w:color="000000" w:sz="8" w:space="0"/>
              <w:right w:val="single" w:color="000000" w:sz="8" w:space="0"/>
            </w:tcBorders>
            <w:shd w:val="clear" w:color="auto" w:fill="auto"/>
            <w:noWrap w:val="0"/>
            <w:vAlign w:val="center"/>
          </w:tcPr>
          <w:p w14:paraId="49E093A5">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9" w:type="pct"/>
            <w:tcBorders>
              <w:top w:val="single" w:color="000000" w:sz="8" w:space="0"/>
              <w:left w:val="nil"/>
              <w:bottom w:val="single" w:color="000000" w:sz="8" w:space="0"/>
              <w:right w:val="single" w:color="000000" w:sz="8" w:space="0"/>
            </w:tcBorders>
            <w:shd w:val="clear" w:color="auto" w:fill="auto"/>
            <w:noWrap w:val="0"/>
            <w:vAlign w:val="center"/>
          </w:tcPr>
          <w:p w14:paraId="2A3CC11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11" w:type="pct"/>
            <w:tcBorders>
              <w:top w:val="single" w:color="000000" w:sz="8" w:space="0"/>
              <w:left w:val="nil"/>
              <w:bottom w:val="single" w:color="000000" w:sz="8" w:space="0"/>
              <w:right w:val="single" w:color="000000" w:sz="8" w:space="0"/>
            </w:tcBorders>
            <w:shd w:val="clear" w:color="auto" w:fill="auto"/>
            <w:noWrap w:val="0"/>
            <w:vAlign w:val="center"/>
          </w:tcPr>
          <w:p w14:paraId="2B46E438">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11" w:type="pct"/>
            <w:tcBorders>
              <w:top w:val="single" w:color="000000" w:sz="8" w:space="0"/>
              <w:left w:val="nil"/>
              <w:bottom w:val="single" w:color="000000" w:sz="8" w:space="0"/>
              <w:right w:val="single" w:color="000000" w:sz="8" w:space="0"/>
            </w:tcBorders>
            <w:shd w:val="clear" w:color="auto" w:fill="auto"/>
            <w:noWrap w:val="0"/>
            <w:vAlign w:val="center"/>
          </w:tcPr>
          <w:p w14:paraId="0CF38A8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03" w:type="pct"/>
            <w:tcBorders>
              <w:top w:val="single" w:color="000000" w:sz="8" w:space="0"/>
              <w:left w:val="nil"/>
              <w:bottom w:val="single" w:color="000000" w:sz="8" w:space="0"/>
              <w:right w:val="single" w:color="000000" w:sz="8" w:space="0"/>
            </w:tcBorders>
            <w:shd w:val="clear" w:color="auto" w:fill="auto"/>
            <w:noWrap w:val="0"/>
            <w:vAlign w:val="center"/>
          </w:tcPr>
          <w:p w14:paraId="28996502">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12" w:type="pct"/>
            <w:tcBorders>
              <w:top w:val="single" w:color="000000" w:sz="8" w:space="0"/>
              <w:left w:val="nil"/>
              <w:bottom w:val="single" w:color="000000" w:sz="8" w:space="0"/>
              <w:right w:val="single" w:color="000000" w:sz="8" w:space="0"/>
            </w:tcBorders>
            <w:shd w:val="clear" w:color="auto" w:fill="auto"/>
            <w:noWrap w:val="0"/>
            <w:vAlign w:val="center"/>
          </w:tcPr>
          <w:p w14:paraId="5C4623C6">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1" w:type="pct"/>
            <w:tcBorders>
              <w:top w:val="single" w:color="000000" w:sz="8" w:space="0"/>
              <w:left w:val="nil"/>
              <w:bottom w:val="single" w:color="000000" w:sz="8" w:space="0"/>
              <w:right w:val="single" w:color="000000" w:sz="8" w:space="0"/>
            </w:tcBorders>
            <w:shd w:val="clear" w:color="auto" w:fill="auto"/>
            <w:noWrap w:val="0"/>
            <w:vAlign w:val="center"/>
          </w:tcPr>
          <w:p w14:paraId="2DCFEAE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410" w:type="pct"/>
            <w:tcBorders>
              <w:top w:val="single" w:color="000000" w:sz="8" w:space="0"/>
              <w:left w:val="nil"/>
              <w:bottom w:val="single" w:color="000000" w:sz="8" w:space="0"/>
              <w:right w:val="single" w:color="000000" w:sz="8" w:space="0"/>
            </w:tcBorders>
            <w:shd w:val="clear" w:color="auto" w:fill="auto"/>
            <w:noWrap w:val="0"/>
            <w:vAlign w:val="center"/>
          </w:tcPr>
          <w:p w14:paraId="4B864021">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402" w:type="pct"/>
            <w:tcBorders>
              <w:top w:val="single" w:color="000000" w:sz="8" w:space="0"/>
              <w:left w:val="nil"/>
              <w:bottom w:val="single" w:color="000000" w:sz="8" w:space="0"/>
              <w:right w:val="single" w:color="000000" w:sz="8" w:space="0"/>
            </w:tcBorders>
            <w:shd w:val="clear" w:color="auto" w:fill="auto"/>
            <w:noWrap w:val="0"/>
            <w:vAlign w:val="center"/>
          </w:tcPr>
          <w:p w14:paraId="2B2F0D4A">
            <w:pPr>
              <w:widowControl/>
              <w:jc w:val="center"/>
              <w:textAlignment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tc>
      </w:tr>
      <w:tr w14:paraId="7725CBE9">
        <w:tblPrEx>
          <w:shd w:val="clear" w:color="auto" w:fill="auto"/>
          <w:tblCellMar>
            <w:top w:w="0" w:type="dxa"/>
            <w:left w:w="108" w:type="dxa"/>
            <w:bottom w:w="0" w:type="dxa"/>
            <w:right w:w="108" w:type="dxa"/>
          </w:tblCellMar>
        </w:tblPrEx>
        <w:trPr>
          <w:trHeight w:val="270" w:hRule="atLeast"/>
        </w:trPr>
        <w:tc>
          <w:tcPr>
            <w:tcW w:w="276"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673561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02" w:type="pct"/>
            <w:tcBorders>
              <w:top w:val="single" w:color="000000" w:sz="8" w:space="0"/>
              <w:left w:val="nil"/>
              <w:bottom w:val="single" w:color="000000" w:sz="8" w:space="0"/>
              <w:right w:val="single" w:color="000000" w:sz="8" w:space="0"/>
            </w:tcBorders>
            <w:shd w:val="clear" w:color="auto" w:fill="auto"/>
            <w:noWrap w:val="0"/>
            <w:vAlign w:val="center"/>
          </w:tcPr>
          <w:p w14:paraId="369BBD0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64" w:type="pct"/>
            <w:tcBorders>
              <w:top w:val="single" w:color="000000" w:sz="8" w:space="0"/>
              <w:left w:val="nil"/>
              <w:bottom w:val="single" w:color="000000" w:sz="8" w:space="0"/>
              <w:right w:val="single" w:color="000000" w:sz="8" w:space="0"/>
            </w:tcBorders>
            <w:shd w:val="clear" w:color="auto" w:fill="auto"/>
            <w:noWrap w:val="0"/>
            <w:vAlign w:val="center"/>
          </w:tcPr>
          <w:p w14:paraId="01429C49">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56" w:type="pct"/>
            <w:tcBorders>
              <w:top w:val="single" w:color="000000" w:sz="8" w:space="0"/>
              <w:left w:val="nil"/>
              <w:bottom w:val="single" w:color="000000" w:sz="8" w:space="0"/>
              <w:right w:val="single" w:color="000000" w:sz="8" w:space="0"/>
            </w:tcBorders>
            <w:shd w:val="clear" w:color="auto" w:fill="auto"/>
            <w:noWrap w:val="0"/>
            <w:vAlign w:val="center"/>
          </w:tcPr>
          <w:p w14:paraId="7D390D4B">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1" w:type="pct"/>
            <w:tcBorders>
              <w:top w:val="single" w:color="000000" w:sz="8" w:space="0"/>
              <w:left w:val="nil"/>
              <w:bottom w:val="single" w:color="000000" w:sz="8" w:space="0"/>
              <w:right w:val="single" w:color="000000" w:sz="8" w:space="0"/>
            </w:tcBorders>
            <w:shd w:val="clear" w:color="auto" w:fill="auto"/>
            <w:noWrap w:val="0"/>
            <w:vAlign w:val="center"/>
          </w:tcPr>
          <w:p w14:paraId="140A0493">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34" w:type="pct"/>
            <w:tcBorders>
              <w:top w:val="single" w:color="000000" w:sz="8" w:space="0"/>
              <w:left w:val="nil"/>
              <w:bottom w:val="single" w:color="000000" w:sz="8" w:space="0"/>
              <w:right w:val="single" w:color="000000" w:sz="8" w:space="0"/>
            </w:tcBorders>
            <w:shd w:val="clear" w:color="auto" w:fill="auto"/>
            <w:noWrap w:val="0"/>
            <w:vAlign w:val="center"/>
          </w:tcPr>
          <w:p w14:paraId="2F4C38C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79" w:type="pct"/>
            <w:tcBorders>
              <w:top w:val="single" w:color="000000" w:sz="8" w:space="0"/>
              <w:left w:val="nil"/>
              <w:bottom w:val="single" w:color="000000" w:sz="8" w:space="0"/>
              <w:right w:val="single" w:color="000000" w:sz="8" w:space="0"/>
            </w:tcBorders>
            <w:shd w:val="clear" w:color="auto" w:fill="auto"/>
            <w:noWrap w:val="0"/>
            <w:vAlign w:val="center"/>
          </w:tcPr>
          <w:p w14:paraId="75FDCC1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9" w:type="pct"/>
            <w:tcBorders>
              <w:top w:val="single" w:color="000000" w:sz="8" w:space="0"/>
              <w:left w:val="nil"/>
              <w:bottom w:val="single" w:color="000000" w:sz="8" w:space="0"/>
              <w:right w:val="single" w:color="000000" w:sz="8" w:space="0"/>
            </w:tcBorders>
            <w:shd w:val="clear" w:color="auto" w:fill="auto"/>
            <w:noWrap w:val="0"/>
            <w:vAlign w:val="center"/>
          </w:tcPr>
          <w:p w14:paraId="0A810DE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11" w:type="pct"/>
            <w:tcBorders>
              <w:top w:val="single" w:color="000000" w:sz="8" w:space="0"/>
              <w:left w:val="nil"/>
              <w:bottom w:val="single" w:color="000000" w:sz="8" w:space="0"/>
              <w:right w:val="single" w:color="000000" w:sz="8" w:space="0"/>
            </w:tcBorders>
            <w:shd w:val="clear" w:color="auto" w:fill="auto"/>
            <w:noWrap w:val="0"/>
            <w:vAlign w:val="center"/>
          </w:tcPr>
          <w:p w14:paraId="3FB63A03">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11" w:type="pct"/>
            <w:tcBorders>
              <w:top w:val="single" w:color="000000" w:sz="8" w:space="0"/>
              <w:left w:val="nil"/>
              <w:bottom w:val="single" w:color="000000" w:sz="8" w:space="0"/>
              <w:right w:val="single" w:color="000000" w:sz="8" w:space="0"/>
            </w:tcBorders>
            <w:shd w:val="clear" w:color="auto" w:fill="auto"/>
            <w:noWrap w:val="0"/>
            <w:vAlign w:val="center"/>
          </w:tcPr>
          <w:p w14:paraId="518C811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03" w:type="pct"/>
            <w:tcBorders>
              <w:top w:val="single" w:color="000000" w:sz="8" w:space="0"/>
              <w:left w:val="nil"/>
              <w:bottom w:val="single" w:color="000000" w:sz="8" w:space="0"/>
              <w:right w:val="single" w:color="000000" w:sz="8" w:space="0"/>
            </w:tcBorders>
            <w:shd w:val="clear" w:color="auto" w:fill="auto"/>
            <w:noWrap w:val="0"/>
            <w:vAlign w:val="center"/>
          </w:tcPr>
          <w:p w14:paraId="0291138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12" w:type="pct"/>
            <w:tcBorders>
              <w:top w:val="single" w:color="000000" w:sz="8" w:space="0"/>
              <w:left w:val="nil"/>
              <w:bottom w:val="single" w:color="000000" w:sz="8" w:space="0"/>
              <w:right w:val="single" w:color="000000" w:sz="8" w:space="0"/>
            </w:tcBorders>
            <w:shd w:val="clear" w:color="auto" w:fill="auto"/>
            <w:noWrap w:val="0"/>
            <w:vAlign w:val="center"/>
          </w:tcPr>
          <w:p w14:paraId="4C648C5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1" w:type="pct"/>
            <w:tcBorders>
              <w:top w:val="single" w:color="000000" w:sz="8" w:space="0"/>
              <w:left w:val="nil"/>
              <w:bottom w:val="single" w:color="000000" w:sz="8" w:space="0"/>
              <w:right w:val="single" w:color="000000" w:sz="8" w:space="0"/>
            </w:tcBorders>
            <w:shd w:val="clear" w:color="auto" w:fill="auto"/>
            <w:noWrap w:val="0"/>
            <w:vAlign w:val="center"/>
          </w:tcPr>
          <w:p w14:paraId="0C04A7AB">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410" w:type="pct"/>
            <w:tcBorders>
              <w:top w:val="single" w:color="000000" w:sz="8" w:space="0"/>
              <w:left w:val="nil"/>
              <w:bottom w:val="single" w:color="000000" w:sz="8" w:space="0"/>
              <w:right w:val="single" w:color="000000" w:sz="8" w:space="0"/>
            </w:tcBorders>
            <w:shd w:val="clear" w:color="auto" w:fill="auto"/>
            <w:noWrap w:val="0"/>
            <w:vAlign w:val="center"/>
          </w:tcPr>
          <w:p w14:paraId="1977B266">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402" w:type="pct"/>
            <w:tcBorders>
              <w:top w:val="single" w:color="000000" w:sz="8" w:space="0"/>
              <w:left w:val="nil"/>
              <w:bottom w:val="single" w:color="000000" w:sz="8" w:space="0"/>
              <w:right w:val="single" w:color="000000" w:sz="8" w:space="0"/>
            </w:tcBorders>
            <w:shd w:val="clear" w:color="auto" w:fill="auto"/>
            <w:noWrap w:val="0"/>
            <w:vAlign w:val="center"/>
          </w:tcPr>
          <w:p w14:paraId="6C391957">
            <w:pPr>
              <w:widowControl/>
              <w:jc w:val="center"/>
              <w:textAlignment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tc>
      </w:tr>
      <w:tr w14:paraId="1D9AC96F">
        <w:tblPrEx>
          <w:shd w:val="clear" w:color="auto" w:fill="auto"/>
          <w:tblCellMar>
            <w:top w:w="0" w:type="dxa"/>
            <w:left w:w="108" w:type="dxa"/>
            <w:bottom w:w="0" w:type="dxa"/>
            <w:right w:w="108" w:type="dxa"/>
          </w:tblCellMar>
        </w:tblPrEx>
        <w:trPr>
          <w:trHeight w:val="270" w:hRule="atLeast"/>
        </w:trPr>
        <w:tc>
          <w:tcPr>
            <w:tcW w:w="276"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326FA03">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02" w:type="pct"/>
            <w:tcBorders>
              <w:top w:val="single" w:color="000000" w:sz="8" w:space="0"/>
              <w:left w:val="nil"/>
              <w:bottom w:val="single" w:color="000000" w:sz="8" w:space="0"/>
              <w:right w:val="single" w:color="000000" w:sz="8" w:space="0"/>
            </w:tcBorders>
            <w:shd w:val="clear" w:color="auto" w:fill="auto"/>
            <w:noWrap w:val="0"/>
            <w:vAlign w:val="center"/>
          </w:tcPr>
          <w:p w14:paraId="7B095105">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64" w:type="pct"/>
            <w:tcBorders>
              <w:top w:val="single" w:color="000000" w:sz="8" w:space="0"/>
              <w:left w:val="nil"/>
              <w:bottom w:val="single" w:color="000000" w:sz="8" w:space="0"/>
              <w:right w:val="single" w:color="000000" w:sz="8" w:space="0"/>
            </w:tcBorders>
            <w:shd w:val="clear" w:color="auto" w:fill="auto"/>
            <w:noWrap w:val="0"/>
            <w:vAlign w:val="center"/>
          </w:tcPr>
          <w:p w14:paraId="53F0B02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56" w:type="pct"/>
            <w:tcBorders>
              <w:top w:val="single" w:color="000000" w:sz="8" w:space="0"/>
              <w:left w:val="nil"/>
              <w:bottom w:val="single" w:color="000000" w:sz="8" w:space="0"/>
              <w:right w:val="single" w:color="000000" w:sz="8" w:space="0"/>
            </w:tcBorders>
            <w:shd w:val="clear" w:color="auto" w:fill="auto"/>
            <w:noWrap w:val="0"/>
            <w:vAlign w:val="center"/>
          </w:tcPr>
          <w:p w14:paraId="084A4D6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1" w:type="pct"/>
            <w:tcBorders>
              <w:top w:val="single" w:color="000000" w:sz="8" w:space="0"/>
              <w:left w:val="nil"/>
              <w:bottom w:val="single" w:color="000000" w:sz="8" w:space="0"/>
              <w:right w:val="single" w:color="000000" w:sz="8" w:space="0"/>
            </w:tcBorders>
            <w:shd w:val="clear" w:color="auto" w:fill="auto"/>
            <w:noWrap w:val="0"/>
            <w:vAlign w:val="center"/>
          </w:tcPr>
          <w:p w14:paraId="0862DC4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34" w:type="pct"/>
            <w:tcBorders>
              <w:top w:val="single" w:color="000000" w:sz="8" w:space="0"/>
              <w:left w:val="nil"/>
              <w:bottom w:val="single" w:color="000000" w:sz="8" w:space="0"/>
              <w:right w:val="single" w:color="000000" w:sz="8" w:space="0"/>
            </w:tcBorders>
            <w:shd w:val="clear" w:color="auto" w:fill="auto"/>
            <w:noWrap w:val="0"/>
            <w:vAlign w:val="center"/>
          </w:tcPr>
          <w:p w14:paraId="3379E902">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79" w:type="pct"/>
            <w:tcBorders>
              <w:top w:val="single" w:color="000000" w:sz="8" w:space="0"/>
              <w:left w:val="nil"/>
              <w:bottom w:val="single" w:color="000000" w:sz="8" w:space="0"/>
              <w:right w:val="single" w:color="000000" w:sz="8" w:space="0"/>
            </w:tcBorders>
            <w:shd w:val="clear" w:color="auto" w:fill="auto"/>
            <w:noWrap w:val="0"/>
            <w:vAlign w:val="center"/>
          </w:tcPr>
          <w:p w14:paraId="7349C16F">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9" w:type="pct"/>
            <w:tcBorders>
              <w:top w:val="single" w:color="000000" w:sz="8" w:space="0"/>
              <w:left w:val="nil"/>
              <w:bottom w:val="single" w:color="000000" w:sz="8" w:space="0"/>
              <w:right w:val="single" w:color="000000" w:sz="8" w:space="0"/>
            </w:tcBorders>
            <w:shd w:val="clear" w:color="auto" w:fill="auto"/>
            <w:noWrap w:val="0"/>
            <w:vAlign w:val="center"/>
          </w:tcPr>
          <w:p w14:paraId="72F0D456">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11" w:type="pct"/>
            <w:tcBorders>
              <w:top w:val="single" w:color="000000" w:sz="8" w:space="0"/>
              <w:left w:val="nil"/>
              <w:bottom w:val="single" w:color="000000" w:sz="8" w:space="0"/>
              <w:right w:val="single" w:color="000000" w:sz="8" w:space="0"/>
            </w:tcBorders>
            <w:shd w:val="clear" w:color="auto" w:fill="auto"/>
            <w:noWrap w:val="0"/>
            <w:vAlign w:val="center"/>
          </w:tcPr>
          <w:p w14:paraId="04859406">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11" w:type="pct"/>
            <w:tcBorders>
              <w:top w:val="single" w:color="000000" w:sz="8" w:space="0"/>
              <w:left w:val="nil"/>
              <w:bottom w:val="single" w:color="000000" w:sz="8" w:space="0"/>
              <w:right w:val="single" w:color="000000" w:sz="8" w:space="0"/>
            </w:tcBorders>
            <w:shd w:val="clear" w:color="auto" w:fill="auto"/>
            <w:noWrap w:val="0"/>
            <w:vAlign w:val="center"/>
          </w:tcPr>
          <w:p w14:paraId="4365E85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03" w:type="pct"/>
            <w:tcBorders>
              <w:top w:val="single" w:color="000000" w:sz="8" w:space="0"/>
              <w:left w:val="nil"/>
              <w:bottom w:val="single" w:color="000000" w:sz="8" w:space="0"/>
              <w:right w:val="single" w:color="000000" w:sz="8" w:space="0"/>
            </w:tcBorders>
            <w:shd w:val="clear" w:color="auto" w:fill="auto"/>
            <w:noWrap w:val="0"/>
            <w:vAlign w:val="center"/>
          </w:tcPr>
          <w:p w14:paraId="21B6DF8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12" w:type="pct"/>
            <w:tcBorders>
              <w:top w:val="single" w:color="000000" w:sz="8" w:space="0"/>
              <w:left w:val="nil"/>
              <w:bottom w:val="single" w:color="000000" w:sz="8" w:space="0"/>
              <w:right w:val="single" w:color="000000" w:sz="8" w:space="0"/>
            </w:tcBorders>
            <w:shd w:val="clear" w:color="auto" w:fill="auto"/>
            <w:noWrap w:val="0"/>
            <w:vAlign w:val="center"/>
          </w:tcPr>
          <w:p w14:paraId="3E7C594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1" w:type="pct"/>
            <w:tcBorders>
              <w:top w:val="single" w:color="000000" w:sz="8" w:space="0"/>
              <w:left w:val="nil"/>
              <w:bottom w:val="single" w:color="000000" w:sz="8" w:space="0"/>
              <w:right w:val="single" w:color="000000" w:sz="8" w:space="0"/>
            </w:tcBorders>
            <w:shd w:val="clear" w:color="auto" w:fill="auto"/>
            <w:noWrap w:val="0"/>
            <w:vAlign w:val="center"/>
          </w:tcPr>
          <w:p w14:paraId="142F2C83">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410" w:type="pct"/>
            <w:tcBorders>
              <w:top w:val="single" w:color="000000" w:sz="8" w:space="0"/>
              <w:left w:val="nil"/>
              <w:bottom w:val="single" w:color="000000" w:sz="8" w:space="0"/>
              <w:right w:val="single" w:color="000000" w:sz="8" w:space="0"/>
            </w:tcBorders>
            <w:shd w:val="clear" w:color="auto" w:fill="auto"/>
            <w:noWrap w:val="0"/>
            <w:vAlign w:val="center"/>
          </w:tcPr>
          <w:p w14:paraId="508AED4D">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402" w:type="pct"/>
            <w:tcBorders>
              <w:top w:val="single" w:color="000000" w:sz="8" w:space="0"/>
              <w:left w:val="nil"/>
              <w:bottom w:val="single" w:color="000000" w:sz="8" w:space="0"/>
              <w:right w:val="single" w:color="000000" w:sz="8" w:space="0"/>
            </w:tcBorders>
            <w:shd w:val="clear" w:color="auto" w:fill="auto"/>
            <w:noWrap w:val="0"/>
            <w:vAlign w:val="center"/>
          </w:tcPr>
          <w:p w14:paraId="2A45E9ED">
            <w:pPr>
              <w:widowControl/>
              <w:jc w:val="center"/>
              <w:textAlignment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tc>
      </w:tr>
      <w:tr w14:paraId="2CE0E9AC">
        <w:tblPrEx>
          <w:shd w:val="clear" w:color="auto" w:fill="auto"/>
          <w:tblCellMar>
            <w:top w:w="0" w:type="dxa"/>
            <w:left w:w="108" w:type="dxa"/>
            <w:bottom w:w="0" w:type="dxa"/>
            <w:right w:w="108" w:type="dxa"/>
          </w:tblCellMar>
        </w:tblPrEx>
        <w:trPr>
          <w:trHeight w:val="270" w:hRule="atLeast"/>
        </w:trPr>
        <w:tc>
          <w:tcPr>
            <w:tcW w:w="276"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2094679">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02" w:type="pct"/>
            <w:tcBorders>
              <w:top w:val="single" w:color="000000" w:sz="8" w:space="0"/>
              <w:left w:val="nil"/>
              <w:bottom w:val="single" w:color="000000" w:sz="8" w:space="0"/>
              <w:right w:val="single" w:color="000000" w:sz="8" w:space="0"/>
            </w:tcBorders>
            <w:shd w:val="clear" w:color="auto" w:fill="auto"/>
            <w:noWrap w:val="0"/>
            <w:vAlign w:val="center"/>
          </w:tcPr>
          <w:p w14:paraId="404341D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64" w:type="pct"/>
            <w:tcBorders>
              <w:top w:val="single" w:color="000000" w:sz="8" w:space="0"/>
              <w:left w:val="nil"/>
              <w:bottom w:val="single" w:color="000000" w:sz="8" w:space="0"/>
              <w:right w:val="single" w:color="000000" w:sz="8" w:space="0"/>
            </w:tcBorders>
            <w:shd w:val="clear" w:color="auto" w:fill="auto"/>
            <w:noWrap w:val="0"/>
            <w:vAlign w:val="center"/>
          </w:tcPr>
          <w:p w14:paraId="23D1501B">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56" w:type="pct"/>
            <w:tcBorders>
              <w:top w:val="single" w:color="000000" w:sz="8" w:space="0"/>
              <w:left w:val="nil"/>
              <w:bottom w:val="single" w:color="000000" w:sz="8" w:space="0"/>
              <w:right w:val="single" w:color="000000" w:sz="8" w:space="0"/>
            </w:tcBorders>
            <w:shd w:val="clear" w:color="auto" w:fill="auto"/>
            <w:noWrap w:val="0"/>
            <w:vAlign w:val="center"/>
          </w:tcPr>
          <w:p w14:paraId="4F8DF003">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1" w:type="pct"/>
            <w:tcBorders>
              <w:top w:val="single" w:color="000000" w:sz="8" w:space="0"/>
              <w:left w:val="nil"/>
              <w:bottom w:val="single" w:color="000000" w:sz="8" w:space="0"/>
              <w:right w:val="single" w:color="000000" w:sz="8" w:space="0"/>
            </w:tcBorders>
            <w:shd w:val="clear" w:color="auto" w:fill="auto"/>
            <w:noWrap w:val="0"/>
            <w:vAlign w:val="center"/>
          </w:tcPr>
          <w:p w14:paraId="230836EB">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34" w:type="pct"/>
            <w:tcBorders>
              <w:top w:val="single" w:color="000000" w:sz="8" w:space="0"/>
              <w:left w:val="nil"/>
              <w:bottom w:val="single" w:color="000000" w:sz="8" w:space="0"/>
              <w:right w:val="single" w:color="000000" w:sz="8" w:space="0"/>
            </w:tcBorders>
            <w:shd w:val="clear" w:color="auto" w:fill="auto"/>
            <w:noWrap w:val="0"/>
            <w:vAlign w:val="center"/>
          </w:tcPr>
          <w:p w14:paraId="2D1119B5">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79" w:type="pct"/>
            <w:tcBorders>
              <w:top w:val="single" w:color="000000" w:sz="8" w:space="0"/>
              <w:left w:val="nil"/>
              <w:bottom w:val="single" w:color="000000" w:sz="8" w:space="0"/>
              <w:right w:val="single" w:color="000000" w:sz="8" w:space="0"/>
            </w:tcBorders>
            <w:shd w:val="clear" w:color="auto" w:fill="auto"/>
            <w:noWrap w:val="0"/>
            <w:vAlign w:val="center"/>
          </w:tcPr>
          <w:p w14:paraId="5F6E8C7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9" w:type="pct"/>
            <w:tcBorders>
              <w:top w:val="single" w:color="000000" w:sz="8" w:space="0"/>
              <w:left w:val="nil"/>
              <w:bottom w:val="single" w:color="000000" w:sz="8" w:space="0"/>
              <w:right w:val="single" w:color="000000" w:sz="8" w:space="0"/>
            </w:tcBorders>
            <w:shd w:val="clear" w:color="auto" w:fill="auto"/>
            <w:noWrap w:val="0"/>
            <w:vAlign w:val="center"/>
          </w:tcPr>
          <w:p w14:paraId="5D03FC65">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11" w:type="pct"/>
            <w:tcBorders>
              <w:top w:val="single" w:color="000000" w:sz="8" w:space="0"/>
              <w:left w:val="nil"/>
              <w:bottom w:val="single" w:color="000000" w:sz="8" w:space="0"/>
              <w:right w:val="single" w:color="000000" w:sz="8" w:space="0"/>
            </w:tcBorders>
            <w:shd w:val="clear" w:color="auto" w:fill="auto"/>
            <w:noWrap w:val="0"/>
            <w:vAlign w:val="center"/>
          </w:tcPr>
          <w:p w14:paraId="1C2CC116">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11" w:type="pct"/>
            <w:tcBorders>
              <w:top w:val="single" w:color="000000" w:sz="8" w:space="0"/>
              <w:left w:val="nil"/>
              <w:bottom w:val="single" w:color="000000" w:sz="8" w:space="0"/>
              <w:right w:val="single" w:color="000000" w:sz="8" w:space="0"/>
            </w:tcBorders>
            <w:shd w:val="clear" w:color="auto" w:fill="auto"/>
            <w:noWrap w:val="0"/>
            <w:vAlign w:val="center"/>
          </w:tcPr>
          <w:p w14:paraId="098E8C8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03" w:type="pct"/>
            <w:tcBorders>
              <w:top w:val="single" w:color="000000" w:sz="8" w:space="0"/>
              <w:left w:val="nil"/>
              <w:bottom w:val="single" w:color="000000" w:sz="8" w:space="0"/>
              <w:right w:val="single" w:color="000000" w:sz="8" w:space="0"/>
            </w:tcBorders>
            <w:shd w:val="clear" w:color="auto" w:fill="auto"/>
            <w:noWrap w:val="0"/>
            <w:vAlign w:val="center"/>
          </w:tcPr>
          <w:p w14:paraId="61DA6A6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12" w:type="pct"/>
            <w:tcBorders>
              <w:top w:val="single" w:color="000000" w:sz="8" w:space="0"/>
              <w:left w:val="nil"/>
              <w:bottom w:val="single" w:color="000000" w:sz="8" w:space="0"/>
              <w:right w:val="single" w:color="000000" w:sz="8" w:space="0"/>
            </w:tcBorders>
            <w:shd w:val="clear" w:color="auto" w:fill="auto"/>
            <w:noWrap w:val="0"/>
            <w:vAlign w:val="center"/>
          </w:tcPr>
          <w:p w14:paraId="6B38DA9B">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1" w:type="pct"/>
            <w:tcBorders>
              <w:top w:val="single" w:color="000000" w:sz="8" w:space="0"/>
              <w:left w:val="nil"/>
              <w:bottom w:val="single" w:color="000000" w:sz="8" w:space="0"/>
              <w:right w:val="single" w:color="000000" w:sz="8" w:space="0"/>
            </w:tcBorders>
            <w:shd w:val="clear" w:color="auto" w:fill="auto"/>
            <w:noWrap w:val="0"/>
            <w:vAlign w:val="center"/>
          </w:tcPr>
          <w:p w14:paraId="394A00C2">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410" w:type="pct"/>
            <w:tcBorders>
              <w:top w:val="single" w:color="000000" w:sz="8" w:space="0"/>
              <w:left w:val="nil"/>
              <w:bottom w:val="single" w:color="000000" w:sz="8" w:space="0"/>
              <w:right w:val="single" w:color="000000" w:sz="8" w:space="0"/>
            </w:tcBorders>
            <w:shd w:val="clear" w:color="auto" w:fill="auto"/>
            <w:noWrap w:val="0"/>
            <w:vAlign w:val="center"/>
          </w:tcPr>
          <w:p w14:paraId="6143435C">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402" w:type="pct"/>
            <w:tcBorders>
              <w:top w:val="single" w:color="000000" w:sz="8" w:space="0"/>
              <w:left w:val="nil"/>
              <w:bottom w:val="single" w:color="000000" w:sz="8" w:space="0"/>
              <w:right w:val="single" w:color="000000" w:sz="8" w:space="0"/>
            </w:tcBorders>
            <w:shd w:val="clear" w:color="auto" w:fill="auto"/>
            <w:noWrap w:val="0"/>
            <w:vAlign w:val="center"/>
          </w:tcPr>
          <w:p w14:paraId="3C077D66">
            <w:pPr>
              <w:widowControl/>
              <w:jc w:val="center"/>
              <w:textAlignment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tc>
      </w:tr>
      <w:tr w14:paraId="341E8A04">
        <w:tblPrEx>
          <w:tblCellMar>
            <w:top w:w="0" w:type="dxa"/>
            <w:left w:w="108" w:type="dxa"/>
            <w:bottom w:w="0" w:type="dxa"/>
            <w:right w:w="108" w:type="dxa"/>
          </w:tblCellMar>
        </w:tblPrEx>
        <w:trPr>
          <w:trHeight w:val="270" w:hRule="atLeast"/>
        </w:trPr>
        <w:tc>
          <w:tcPr>
            <w:tcW w:w="276"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A21F2C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02" w:type="pct"/>
            <w:tcBorders>
              <w:top w:val="single" w:color="000000" w:sz="8" w:space="0"/>
              <w:left w:val="nil"/>
              <w:bottom w:val="single" w:color="000000" w:sz="8" w:space="0"/>
              <w:right w:val="single" w:color="000000" w:sz="8" w:space="0"/>
            </w:tcBorders>
            <w:shd w:val="clear" w:color="auto" w:fill="auto"/>
            <w:noWrap w:val="0"/>
            <w:vAlign w:val="center"/>
          </w:tcPr>
          <w:p w14:paraId="272F7F25">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64" w:type="pct"/>
            <w:tcBorders>
              <w:top w:val="single" w:color="000000" w:sz="8" w:space="0"/>
              <w:left w:val="nil"/>
              <w:bottom w:val="single" w:color="000000" w:sz="8" w:space="0"/>
              <w:right w:val="single" w:color="000000" w:sz="8" w:space="0"/>
            </w:tcBorders>
            <w:shd w:val="clear" w:color="auto" w:fill="auto"/>
            <w:noWrap w:val="0"/>
            <w:vAlign w:val="center"/>
          </w:tcPr>
          <w:p w14:paraId="5968172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56" w:type="pct"/>
            <w:tcBorders>
              <w:top w:val="single" w:color="000000" w:sz="8" w:space="0"/>
              <w:left w:val="nil"/>
              <w:bottom w:val="single" w:color="000000" w:sz="8" w:space="0"/>
              <w:right w:val="single" w:color="000000" w:sz="8" w:space="0"/>
            </w:tcBorders>
            <w:shd w:val="clear" w:color="auto" w:fill="auto"/>
            <w:noWrap w:val="0"/>
            <w:vAlign w:val="center"/>
          </w:tcPr>
          <w:p w14:paraId="4628422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1" w:type="pct"/>
            <w:tcBorders>
              <w:top w:val="single" w:color="000000" w:sz="8" w:space="0"/>
              <w:left w:val="nil"/>
              <w:bottom w:val="single" w:color="000000" w:sz="8" w:space="0"/>
              <w:right w:val="single" w:color="000000" w:sz="8" w:space="0"/>
            </w:tcBorders>
            <w:shd w:val="clear" w:color="auto" w:fill="auto"/>
            <w:noWrap w:val="0"/>
            <w:vAlign w:val="center"/>
          </w:tcPr>
          <w:p w14:paraId="70581BB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34" w:type="pct"/>
            <w:tcBorders>
              <w:top w:val="single" w:color="000000" w:sz="8" w:space="0"/>
              <w:left w:val="nil"/>
              <w:bottom w:val="single" w:color="000000" w:sz="8" w:space="0"/>
              <w:right w:val="single" w:color="000000" w:sz="8" w:space="0"/>
            </w:tcBorders>
            <w:shd w:val="clear" w:color="auto" w:fill="auto"/>
            <w:noWrap w:val="0"/>
            <w:vAlign w:val="center"/>
          </w:tcPr>
          <w:p w14:paraId="5E300DC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79" w:type="pct"/>
            <w:tcBorders>
              <w:top w:val="single" w:color="000000" w:sz="8" w:space="0"/>
              <w:left w:val="nil"/>
              <w:bottom w:val="single" w:color="000000" w:sz="8" w:space="0"/>
              <w:right w:val="single" w:color="000000" w:sz="8" w:space="0"/>
            </w:tcBorders>
            <w:shd w:val="clear" w:color="auto" w:fill="auto"/>
            <w:noWrap w:val="0"/>
            <w:vAlign w:val="center"/>
          </w:tcPr>
          <w:p w14:paraId="521F3F6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9" w:type="pct"/>
            <w:tcBorders>
              <w:top w:val="single" w:color="000000" w:sz="8" w:space="0"/>
              <w:left w:val="nil"/>
              <w:bottom w:val="single" w:color="000000" w:sz="8" w:space="0"/>
              <w:right w:val="single" w:color="000000" w:sz="8" w:space="0"/>
            </w:tcBorders>
            <w:shd w:val="clear" w:color="auto" w:fill="auto"/>
            <w:noWrap w:val="0"/>
            <w:vAlign w:val="center"/>
          </w:tcPr>
          <w:p w14:paraId="1F26B289">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11" w:type="pct"/>
            <w:tcBorders>
              <w:top w:val="single" w:color="000000" w:sz="8" w:space="0"/>
              <w:left w:val="nil"/>
              <w:bottom w:val="single" w:color="000000" w:sz="8" w:space="0"/>
              <w:right w:val="single" w:color="000000" w:sz="8" w:space="0"/>
            </w:tcBorders>
            <w:shd w:val="clear" w:color="auto" w:fill="auto"/>
            <w:noWrap w:val="0"/>
            <w:vAlign w:val="center"/>
          </w:tcPr>
          <w:p w14:paraId="46202AE5">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11" w:type="pct"/>
            <w:tcBorders>
              <w:top w:val="single" w:color="000000" w:sz="8" w:space="0"/>
              <w:left w:val="nil"/>
              <w:bottom w:val="single" w:color="000000" w:sz="8" w:space="0"/>
              <w:right w:val="single" w:color="000000" w:sz="8" w:space="0"/>
            </w:tcBorders>
            <w:shd w:val="clear" w:color="auto" w:fill="auto"/>
            <w:noWrap w:val="0"/>
            <w:vAlign w:val="center"/>
          </w:tcPr>
          <w:p w14:paraId="6CB5A186">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03" w:type="pct"/>
            <w:tcBorders>
              <w:top w:val="single" w:color="000000" w:sz="8" w:space="0"/>
              <w:left w:val="nil"/>
              <w:bottom w:val="single" w:color="000000" w:sz="8" w:space="0"/>
              <w:right w:val="single" w:color="000000" w:sz="8" w:space="0"/>
            </w:tcBorders>
            <w:shd w:val="clear" w:color="auto" w:fill="auto"/>
            <w:noWrap w:val="0"/>
            <w:vAlign w:val="center"/>
          </w:tcPr>
          <w:p w14:paraId="7478CE1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12" w:type="pct"/>
            <w:tcBorders>
              <w:top w:val="single" w:color="000000" w:sz="8" w:space="0"/>
              <w:left w:val="nil"/>
              <w:bottom w:val="single" w:color="000000" w:sz="8" w:space="0"/>
              <w:right w:val="single" w:color="000000" w:sz="8" w:space="0"/>
            </w:tcBorders>
            <w:shd w:val="clear" w:color="auto" w:fill="auto"/>
            <w:noWrap w:val="0"/>
            <w:vAlign w:val="center"/>
          </w:tcPr>
          <w:p w14:paraId="55BA6DE6">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1" w:type="pct"/>
            <w:tcBorders>
              <w:top w:val="single" w:color="000000" w:sz="8" w:space="0"/>
              <w:left w:val="nil"/>
              <w:bottom w:val="single" w:color="000000" w:sz="8" w:space="0"/>
              <w:right w:val="single" w:color="000000" w:sz="8" w:space="0"/>
            </w:tcBorders>
            <w:shd w:val="clear" w:color="auto" w:fill="auto"/>
            <w:noWrap w:val="0"/>
            <w:vAlign w:val="center"/>
          </w:tcPr>
          <w:p w14:paraId="4C0B01B6">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410" w:type="pct"/>
            <w:tcBorders>
              <w:top w:val="single" w:color="000000" w:sz="8" w:space="0"/>
              <w:left w:val="nil"/>
              <w:bottom w:val="single" w:color="000000" w:sz="8" w:space="0"/>
              <w:right w:val="single" w:color="000000" w:sz="8" w:space="0"/>
            </w:tcBorders>
            <w:shd w:val="clear" w:color="auto" w:fill="auto"/>
            <w:noWrap w:val="0"/>
            <w:vAlign w:val="center"/>
          </w:tcPr>
          <w:p w14:paraId="2E8F4848">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402" w:type="pct"/>
            <w:tcBorders>
              <w:top w:val="single" w:color="000000" w:sz="8" w:space="0"/>
              <w:left w:val="nil"/>
              <w:bottom w:val="single" w:color="000000" w:sz="8" w:space="0"/>
              <w:right w:val="single" w:color="000000" w:sz="8" w:space="0"/>
            </w:tcBorders>
            <w:shd w:val="clear" w:color="auto" w:fill="auto"/>
            <w:noWrap w:val="0"/>
            <w:vAlign w:val="center"/>
          </w:tcPr>
          <w:p w14:paraId="5F9A5FFE">
            <w:pPr>
              <w:widowControl/>
              <w:jc w:val="center"/>
              <w:textAlignment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tc>
      </w:tr>
      <w:tr w14:paraId="3C3EFF81">
        <w:tblPrEx>
          <w:tblCellMar>
            <w:top w:w="0" w:type="dxa"/>
            <w:left w:w="108" w:type="dxa"/>
            <w:bottom w:w="0" w:type="dxa"/>
            <w:right w:w="108" w:type="dxa"/>
          </w:tblCellMar>
        </w:tblPrEx>
        <w:trPr>
          <w:trHeight w:val="270" w:hRule="atLeast"/>
        </w:trPr>
        <w:tc>
          <w:tcPr>
            <w:tcW w:w="276"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EF112D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02" w:type="pct"/>
            <w:tcBorders>
              <w:top w:val="single" w:color="000000" w:sz="8" w:space="0"/>
              <w:left w:val="nil"/>
              <w:bottom w:val="single" w:color="000000" w:sz="8" w:space="0"/>
              <w:right w:val="single" w:color="000000" w:sz="8" w:space="0"/>
            </w:tcBorders>
            <w:shd w:val="clear" w:color="auto" w:fill="auto"/>
            <w:noWrap w:val="0"/>
            <w:vAlign w:val="center"/>
          </w:tcPr>
          <w:p w14:paraId="4CEE663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64" w:type="pct"/>
            <w:tcBorders>
              <w:top w:val="single" w:color="000000" w:sz="8" w:space="0"/>
              <w:left w:val="nil"/>
              <w:bottom w:val="single" w:color="000000" w:sz="8" w:space="0"/>
              <w:right w:val="single" w:color="000000" w:sz="8" w:space="0"/>
            </w:tcBorders>
            <w:shd w:val="clear" w:color="auto" w:fill="auto"/>
            <w:noWrap w:val="0"/>
            <w:vAlign w:val="center"/>
          </w:tcPr>
          <w:p w14:paraId="3A852006">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56" w:type="pct"/>
            <w:tcBorders>
              <w:top w:val="single" w:color="000000" w:sz="8" w:space="0"/>
              <w:left w:val="nil"/>
              <w:bottom w:val="single" w:color="000000" w:sz="8" w:space="0"/>
              <w:right w:val="single" w:color="000000" w:sz="8" w:space="0"/>
            </w:tcBorders>
            <w:shd w:val="clear" w:color="auto" w:fill="auto"/>
            <w:noWrap w:val="0"/>
            <w:vAlign w:val="center"/>
          </w:tcPr>
          <w:p w14:paraId="4960686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1" w:type="pct"/>
            <w:tcBorders>
              <w:top w:val="single" w:color="000000" w:sz="8" w:space="0"/>
              <w:left w:val="nil"/>
              <w:bottom w:val="single" w:color="000000" w:sz="8" w:space="0"/>
              <w:right w:val="single" w:color="000000" w:sz="8" w:space="0"/>
            </w:tcBorders>
            <w:shd w:val="clear" w:color="auto" w:fill="auto"/>
            <w:noWrap w:val="0"/>
            <w:vAlign w:val="center"/>
          </w:tcPr>
          <w:p w14:paraId="4A8063A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34" w:type="pct"/>
            <w:tcBorders>
              <w:top w:val="single" w:color="000000" w:sz="8" w:space="0"/>
              <w:left w:val="nil"/>
              <w:bottom w:val="single" w:color="000000" w:sz="8" w:space="0"/>
              <w:right w:val="single" w:color="000000" w:sz="8" w:space="0"/>
            </w:tcBorders>
            <w:shd w:val="clear" w:color="auto" w:fill="auto"/>
            <w:noWrap w:val="0"/>
            <w:vAlign w:val="center"/>
          </w:tcPr>
          <w:p w14:paraId="59AC0368">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79" w:type="pct"/>
            <w:tcBorders>
              <w:top w:val="single" w:color="000000" w:sz="8" w:space="0"/>
              <w:left w:val="nil"/>
              <w:bottom w:val="single" w:color="000000" w:sz="8" w:space="0"/>
              <w:right w:val="single" w:color="000000" w:sz="8" w:space="0"/>
            </w:tcBorders>
            <w:shd w:val="clear" w:color="auto" w:fill="auto"/>
            <w:noWrap w:val="0"/>
            <w:vAlign w:val="center"/>
          </w:tcPr>
          <w:p w14:paraId="4A7C089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9" w:type="pct"/>
            <w:tcBorders>
              <w:top w:val="single" w:color="000000" w:sz="8" w:space="0"/>
              <w:left w:val="nil"/>
              <w:bottom w:val="single" w:color="000000" w:sz="8" w:space="0"/>
              <w:right w:val="single" w:color="000000" w:sz="8" w:space="0"/>
            </w:tcBorders>
            <w:shd w:val="clear" w:color="auto" w:fill="auto"/>
            <w:noWrap w:val="0"/>
            <w:vAlign w:val="center"/>
          </w:tcPr>
          <w:p w14:paraId="4EB209A2">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11" w:type="pct"/>
            <w:tcBorders>
              <w:top w:val="single" w:color="000000" w:sz="8" w:space="0"/>
              <w:left w:val="nil"/>
              <w:bottom w:val="single" w:color="000000" w:sz="8" w:space="0"/>
              <w:right w:val="single" w:color="000000" w:sz="8" w:space="0"/>
            </w:tcBorders>
            <w:shd w:val="clear" w:color="auto" w:fill="auto"/>
            <w:noWrap w:val="0"/>
            <w:vAlign w:val="center"/>
          </w:tcPr>
          <w:p w14:paraId="235FF87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11" w:type="pct"/>
            <w:tcBorders>
              <w:top w:val="single" w:color="000000" w:sz="8" w:space="0"/>
              <w:left w:val="nil"/>
              <w:bottom w:val="single" w:color="000000" w:sz="8" w:space="0"/>
              <w:right w:val="single" w:color="000000" w:sz="8" w:space="0"/>
            </w:tcBorders>
            <w:shd w:val="clear" w:color="auto" w:fill="auto"/>
            <w:noWrap w:val="0"/>
            <w:vAlign w:val="center"/>
          </w:tcPr>
          <w:p w14:paraId="767240CC">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03" w:type="pct"/>
            <w:tcBorders>
              <w:top w:val="single" w:color="000000" w:sz="8" w:space="0"/>
              <w:left w:val="nil"/>
              <w:bottom w:val="single" w:color="000000" w:sz="8" w:space="0"/>
              <w:right w:val="single" w:color="000000" w:sz="8" w:space="0"/>
            </w:tcBorders>
            <w:shd w:val="clear" w:color="auto" w:fill="auto"/>
            <w:noWrap w:val="0"/>
            <w:vAlign w:val="center"/>
          </w:tcPr>
          <w:p w14:paraId="7F20CCF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12" w:type="pct"/>
            <w:tcBorders>
              <w:top w:val="single" w:color="000000" w:sz="8" w:space="0"/>
              <w:left w:val="nil"/>
              <w:bottom w:val="single" w:color="000000" w:sz="8" w:space="0"/>
              <w:right w:val="single" w:color="000000" w:sz="8" w:space="0"/>
            </w:tcBorders>
            <w:shd w:val="clear" w:color="auto" w:fill="auto"/>
            <w:noWrap w:val="0"/>
            <w:vAlign w:val="center"/>
          </w:tcPr>
          <w:p w14:paraId="5FA5833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1" w:type="pct"/>
            <w:tcBorders>
              <w:top w:val="single" w:color="000000" w:sz="8" w:space="0"/>
              <w:left w:val="nil"/>
              <w:bottom w:val="single" w:color="000000" w:sz="8" w:space="0"/>
              <w:right w:val="single" w:color="000000" w:sz="8" w:space="0"/>
            </w:tcBorders>
            <w:shd w:val="clear" w:color="auto" w:fill="auto"/>
            <w:noWrap w:val="0"/>
            <w:vAlign w:val="center"/>
          </w:tcPr>
          <w:p w14:paraId="6735F35F">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410" w:type="pct"/>
            <w:tcBorders>
              <w:top w:val="single" w:color="000000" w:sz="8" w:space="0"/>
              <w:left w:val="nil"/>
              <w:bottom w:val="single" w:color="000000" w:sz="8" w:space="0"/>
              <w:right w:val="single" w:color="000000" w:sz="8" w:space="0"/>
            </w:tcBorders>
            <w:shd w:val="clear" w:color="auto" w:fill="auto"/>
            <w:noWrap w:val="0"/>
            <w:vAlign w:val="center"/>
          </w:tcPr>
          <w:p w14:paraId="41019A08">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402" w:type="pct"/>
            <w:tcBorders>
              <w:top w:val="single" w:color="000000" w:sz="8" w:space="0"/>
              <w:left w:val="nil"/>
              <w:bottom w:val="single" w:color="000000" w:sz="8" w:space="0"/>
              <w:right w:val="single" w:color="000000" w:sz="8" w:space="0"/>
            </w:tcBorders>
            <w:shd w:val="clear" w:color="auto" w:fill="auto"/>
            <w:noWrap w:val="0"/>
            <w:vAlign w:val="center"/>
          </w:tcPr>
          <w:p w14:paraId="21DB1A5E">
            <w:pPr>
              <w:widowControl/>
              <w:jc w:val="center"/>
              <w:textAlignment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tc>
      </w:tr>
      <w:tr w14:paraId="68FCB4F5">
        <w:tblPrEx>
          <w:shd w:val="clear" w:color="auto" w:fill="auto"/>
          <w:tblCellMar>
            <w:top w:w="0" w:type="dxa"/>
            <w:left w:w="108" w:type="dxa"/>
            <w:bottom w:w="0" w:type="dxa"/>
            <w:right w:w="108" w:type="dxa"/>
          </w:tblCellMar>
        </w:tblPrEx>
        <w:trPr>
          <w:trHeight w:val="270" w:hRule="atLeast"/>
        </w:trPr>
        <w:tc>
          <w:tcPr>
            <w:tcW w:w="276" w:type="pc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B71C565">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02" w:type="pct"/>
            <w:tcBorders>
              <w:top w:val="single" w:color="000000" w:sz="8" w:space="0"/>
              <w:left w:val="nil"/>
              <w:bottom w:val="single" w:color="000000" w:sz="8" w:space="0"/>
              <w:right w:val="single" w:color="000000" w:sz="8" w:space="0"/>
            </w:tcBorders>
            <w:shd w:val="clear" w:color="auto" w:fill="auto"/>
            <w:noWrap w:val="0"/>
            <w:vAlign w:val="center"/>
          </w:tcPr>
          <w:p w14:paraId="6657C85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64" w:type="pct"/>
            <w:tcBorders>
              <w:top w:val="single" w:color="000000" w:sz="8" w:space="0"/>
              <w:left w:val="nil"/>
              <w:bottom w:val="single" w:color="000000" w:sz="8" w:space="0"/>
              <w:right w:val="single" w:color="000000" w:sz="8" w:space="0"/>
            </w:tcBorders>
            <w:shd w:val="clear" w:color="auto" w:fill="auto"/>
            <w:noWrap w:val="0"/>
            <w:vAlign w:val="center"/>
          </w:tcPr>
          <w:p w14:paraId="5AAB5C6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56" w:type="pct"/>
            <w:tcBorders>
              <w:top w:val="single" w:color="000000" w:sz="8" w:space="0"/>
              <w:left w:val="nil"/>
              <w:bottom w:val="single" w:color="000000" w:sz="8" w:space="0"/>
              <w:right w:val="single" w:color="000000" w:sz="8" w:space="0"/>
            </w:tcBorders>
            <w:shd w:val="clear" w:color="auto" w:fill="auto"/>
            <w:noWrap w:val="0"/>
            <w:vAlign w:val="center"/>
          </w:tcPr>
          <w:p w14:paraId="2D2A762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1" w:type="pct"/>
            <w:tcBorders>
              <w:top w:val="single" w:color="000000" w:sz="8" w:space="0"/>
              <w:left w:val="nil"/>
              <w:bottom w:val="single" w:color="000000" w:sz="8" w:space="0"/>
              <w:right w:val="single" w:color="000000" w:sz="8" w:space="0"/>
            </w:tcBorders>
            <w:shd w:val="clear" w:color="auto" w:fill="auto"/>
            <w:noWrap w:val="0"/>
            <w:vAlign w:val="center"/>
          </w:tcPr>
          <w:p w14:paraId="5EE43A9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34" w:type="pct"/>
            <w:tcBorders>
              <w:top w:val="single" w:color="000000" w:sz="8" w:space="0"/>
              <w:left w:val="nil"/>
              <w:bottom w:val="single" w:color="000000" w:sz="8" w:space="0"/>
              <w:right w:val="single" w:color="000000" w:sz="8" w:space="0"/>
            </w:tcBorders>
            <w:shd w:val="clear" w:color="auto" w:fill="auto"/>
            <w:noWrap w:val="0"/>
            <w:vAlign w:val="center"/>
          </w:tcPr>
          <w:p w14:paraId="70A08B4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79" w:type="pct"/>
            <w:tcBorders>
              <w:top w:val="single" w:color="000000" w:sz="8" w:space="0"/>
              <w:left w:val="nil"/>
              <w:bottom w:val="single" w:color="000000" w:sz="8" w:space="0"/>
              <w:right w:val="single" w:color="000000" w:sz="8" w:space="0"/>
            </w:tcBorders>
            <w:shd w:val="clear" w:color="auto" w:fill="auto"/>
            <w:noWrap w:val="0"/>
            <w:vAlign w:val="center"/>
          </w:tcPr>
          <w:p w14:paraId="74BE9087">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9" w:type="pct"/>
            <w:tcBorders>
              <w:top w:val="single" w:color="000000" w:sz="8" w:space="0"/>
              <w:left w:val="nil"/>
              <w:bottom w:val="single" w:color="000000" w:sz="8" w:space="0"/>
              <w:right w:val="single" w:color="000000" w:sz="8" w:space="0"/>
            </w:tcBorders>
            <w:shd w:val="clear" w:color="auto" w:fill="auto"/>
            <w:noWrap w:val="0"/>
            <w:vAlign w:val="center"/>
          </w:tcPr>
          <w:p w14:paraId="62DD4F43">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11" w:type="pct"/>
            <w:tcBorders>
              <w:top w:val="single" w:color="000000" w:sz="8" w:space="0"/>
              <w:left w:val="nil"/>
              <w:bottom w:val="single" w:color="000000" w:sz="8" w:space="0"/>
              <w:right w:val="single" w:color="000000" w:sz="8" w:space="0"/>
            </w:tcBorders>
            <w:shd w:val="clear" w:color="auto" w:fill="auto"/>
            <w:noWrap w:val="0"/>
            <w:vAlign w:val="center"/>
          </w:tcPr>
          <w:p w14:paraId="6840C70E">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11" w:type="pct"/>
            <w:tcBorders>
              <w:top w:val="single" w:color="000000" w:sz="8" w:space="0"/>
              <w:left w:val="nil"/>
              <w:bottom w:val="single" w:color="000000" w:sz="8" w:space="0"/>
              <w:right w:val="single" w:color="000000" w:sz="8" w:space="0"/>
            </w:tcBorders>
            <w:shd w:val="clear" w:color="auto" w:fill="auto"/>
            <w:noWrap w:val="0"/>
            <w:vAlign w:val="center"/>
          </w:tcPr>
          <w:p w14:paraId="5F843C9D">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03" w:type="pct"/>
            <w:tcBorders>
              <w:top w:val="single" w:color="000000" w:sz="8" w:space="0"/>
              <w:left w:val="nil"/>
              <w:bottom w:val="single" w:color="000000" w:sz="8" w:space="0"/>
              <w:right w:val="single" w:color="000000" w:sz="8" w:space="0"/>
            </w:tcBorders>
            <w:shd w:val="clear" w:color="auto" w:fill="auto"/>
            <w:noWrap w:val="0"/>
            <w:vAlign w:val="center"/>
          </w:tcPr>
          <w:p w14:paraId="09D646F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12" w:type="pct"/>
            <w:tcBorders>
              <w:top w:val="single" w:color="000000" w:sz="8" w:space="0"/>
              <w:left w:val="nil"/>
              <w:bottom w:val="single" w:color="000000" w:sz="8" w:space="0"/>
              <w:right w:val="single" w:color="000000" w:sz="8" w:space="0"/>
            </w:tcBorders>
            <w:shd w:val="clear" w:color="auto" w:fill="auto"/>
            <w:noWrap w:val="0"/>
            <w:vAlign w:val="center"/>
          </w:tcPr>
          <w:p w14:paraId="09331B7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341" w:type="pct"/>
            <w:tcBorders>
              <w:top w:val="single" w:color="000000" w:sz="8" w:space="0"/>
              <w:left w:val="nil"/>
              <w:bottom w:val="single" w:color="000000" w:sz="8" w:space="0"/>
              <w:right w:val="single" w:color="000000" w:sz="8" w:space="0"/>
            </w:tcBorders>
            <w:shd w:val="clear" w:color="auto" w:fill="auto"/>
            <w:noWrap w:val="0"/>
            <w:vAlign w:val="center"/>
          </w:tcPr>
          <w:p w14:paraId="16723572">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410" w:type="pct"/>
            <w:tcBorders>
              <w:top w:val="single" w:color="000000" w:sz="8" w:space="0"/>
              <w:left w:val="nil"/>
              <w:bottom w:val="single" w:color="000000" w:sz="8" w:space="0"/>
              <w:right w:val="single" w:color="000000" w:sz="8" w:space="0"/>
            </w:tcBorders>
            <w:shd w:val="clear" w:color="auto" w:fill="auto"/>
            <w:noWrap w:val="0"/>
            <w:vAlign w:val="center"/>
          </w:tcPr>
          <w:p w14:paraId="6D61558B">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p>
        </w:tc>
        <w:tc>
          <w:tcPr>
            <w:tcW w:w="402" w:type="pct"/>
            <w:tcBorders>
              <w:top w:val="single" w:color="000000" w:sz="8" w:space="0"/>
              <w:left w:val="nil"/>
              <w:bottom w:val="single" w:color="000000" w:sz="8" w:space="0"/>
              <w:right w:val="single" w:color="000000" w:sz="8" w:space="0"/>
            </w:tcBorders>
            <w:shd w:val="clear" w:color="auto" w:fill="auto"/>
            <w:noWrap w:val="0"/>
            <w:vAlign w:val="center"/>
          </w:tcPr>
          <w:p w14:paraId="14137CEC">
            <w:pPr>
              <w:widowControl/>
              <w:jc w:val="center"/>
              <w:textAlignment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tc>
      </w:tr>
    </w:tbl>
    <w:p w14:paraId="66D54EB3">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000000" w:themeColor="text1"/>
          <w:kern w:val="44"/>
          <w:sz w:val="32"/>
          <w:szCs w:val="32"/>
          <w:highlight w:val="none"/>
          <w:lang w:val="zh-CN"/>
          <w14:textFill>
            <w14:solidFill>
              <w14:schemeClr w14:val="tx1"/>
            </w14:solidFill>
          </w14:textFill>
        </w:rPr>
      </w:pPr>
      <w:bookmarkStart w:id="402" w:name="_Toc512353083"/>
      <w:bookmarkStart w:id="403" w:name="_Toc447045090"/>
      <w:bookmarkStart w:id="404" w:name="_Toc22246"/>
      <w:bookmarkStart w:id="405" w:name="_Toc447044479"/>
      <w:bookmarkStart w:id="406" w:name="_Toc24427_WPSOffice_Level1"/>
      <w:bookmarkStart w:id="407" w:name="_Toc142508360"/>
      <w:bookmarkStart w:id="408" w:name="_Toc10038"/>
      <w:bookmarkStart w:id="409" w:name="_Toc447044603"/>
      <w:bookmarkStart w:id="410" w:name="_Toc4388"/>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第五篇 相关保函格式</w:t>
      </w:r>
      <w:bookmarkEnd w:id="402"/>
      <w:bookmarkEnd w:id="403"/>
      <w:bookmarkEnd w:id="404"/>
      <w:bookmarkEnd w:id="405"/>
      <w:bookmarkEnd w:id="406"/>
      <w:bookmarkEnd w:id="407"/>
      <w:bookmarkEnd w:id="408"/>
      <w:bookmarkEnd w:id="409"/>
      <w:bookmarkEnd w:id="410"/>
      <w:bookmarkStart w:id="411" w:name="_Toc447044480"/>
      <w:bookmarkStart w:id="412" w:name="_Toc447045091"/>
      <w:bookmarkStart w:id="413" w:name="_Toc447044604"/>
    </w:p>
    <w:p w14:paraId="7B497D15">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bookmarkStart w:id="414" w:name="_Toc26521_WPSOffice_Level2"/>
      <w:r>
        <w:rPr>
          <w:rFonts w:hint="eastAsia" w:ascii="宋体" w:hAnsi="宋体" w:eastAsia="宋体" w:cs="Times New Roman"/>
          <w:b/>
          <w:color w:val="000000" w:themeColor="text1"/>
          <w:kern w:val="0"/>
          <w:sz w:val="28"/>
          <w:szCs w:val="28"/>
          <w:highlight w:val="none"/>
          <w14:textFill>
            <w14:solidFill>
              <w14:schemeClr w14:val="tx1"/>
            </w14:solidFill>
          </w14:textFill>
        </w:rPr>
        <w:t>一、不可撤销银行履约保函格式</w:t>
      </w:r>
      <w:bookmarkEnd w:id="411"/>
      <w:bookmarkEnd w:id="412"/>
      <w:bookmarkEnd w:id="413"/>
      <w:bookmarkEnd w:id="414"/>
    </w:p>
    <w:p w14:paraId="1E233168">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不可撤销银行履约保函</w:t>
      </w:r>
    </w:p>
    <w:p w14:paraId="209EA77A">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1F003ACE">
      <w:pPr>
        <w:autoSpaceDE w:val="0"/>
        <w:autoSpaceDN w:val="0"/>
        <w:adjustRightInd w:val="0"/>
        <w:spacing w:line="360" w:lineRule="auto"/>
        <w:ind w:firstLine="6300"/>
        <w:jc w:val="left"/>
        <w:rPr>
          <w:rFonts w:ascii="宋体" w:hAnsi="宋体" w:eastAsia="宋体" w:cs="Times New Roman"/>
          <w:color w:val="000000" w:themeColor="text1"/>
          <w:kern w:val="0"/>
          <w:szCs w:val="21"/>
          <w:highlight w:val="none"/>
          <w:u w:val="singl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银行编号：</w:t>
      </w:r>
    </w:p>
    <w:p w14:paraId="7AFC5EF9">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2DD54A3E">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申请人</w:t>
      </w:r>
      <w:r>
        <w:rPr>
          <w:rFonts w:ascii="宋体" w:hAnsi="宋体" w:eastAsia="宋体" w:cs="宋体"/>
          <w:color w:val="000000" w:themeColor="text1"/>
          <w:kern w:val="0"/>
          <w:szCs w:val="21"/>
          <w:highlight w:val="none"/>
          <w:u w:val="single"/>
          <w14:textFill>
            <w14:solidFill>
              <w14:schemeClr w14:val="tx1"/>
            </w14:solidFill>
          </w14:textFill>
        </w:rPr>
        <w:t xml:space="preserve">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ascii="宋体" w:hAnsi="宋体" w:eastAsia="宋体" w:cs="宋体"/>
          <w:color w:val="000000" w:themeColor="text1"/>
          <w:kern w:val="0"/>
          <w:szCs w:val="21"/>
          <w:highlight w:val="none"/>
          <w:u w:val="single"/>
          <w14:textFill>
            <w14:solidFill>
              <w14:schemeClr w14:val="tx1"/>
            </w14:solidFill>
          </w14:textFill>
        </w:rPr>
        <w:t xml:space="preserve"> 项目名称       （招标编号：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14:paraId="07FC9284">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RMB</w:t>
      </w:r>
      <w:r>
        <w:rPr>
          <w:rFonts w:ascii="宋体" w:hAnsi="宋体" w:eastAsia="宋体" w:cs="宋体"/>
          <w:color w:val="000000" w:themeColor="text1"/>
          <w:kern w:val="0"/>
          <w:szCs w:val="21"/>
          <w:highlight w:val="none"/>
          <w:u w:val="single"/>
          <w14:textFill>
            <w14:solidFill>
              <w14:schemeClr w14:val="tx1"/>
            </w14:solidFill>
          </w14:textFill>
        </w:rPr>
        <w:t>元）</w:t>
      </w:r>
      <w:r>
        <w:rPr>
          <w:rFonts w:hint="eastAsia" w:ascii="宋体" w:hAnsi="宋体" w:eastAsia="宋体" w:cs="宋体"/>
          <w:color w:val="000000" w:themeColor="text1"/>
          <w:kern w:val="0"/>
          <w:szCs w:val="21"/>
          <w:highlight w:val="none"/>
          <w14:textFill>
            <w14:solidFill>
              <w14:schemeClr w14:val="tx1"/>
            </w14:solidFill>
          </w14:textFill>
        </w:rPr>
        <w:t>的无条件、不可撤销银行履约保函，作为申请人履行上述合同的担保。</w:t>
      </w:r>
    </w:p>
    <w:p w14:paraId="691381B8">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kern w:val="0"/>
          <w:szCs w:val="21"/>
          <w:highlight w:val="none"/>
          <w14:textFill>
            <w14:solidFill>
              <w14:schemeClr w14:val="tx1"/>
            </w14:solidFill>
          </w14:textFill>
        </w:rPr>
        <w:t>，受申请人的委托，无条件和不可撤销地在受益人出具本保函原件且提出因申请人没有履行上述合同规定，而要求我方承担保证责任</w:t>
      </w:r>
      <w:r>
        <w:rPr>
          <w:rFonts w:hint="eastAsia" w:ascii="宋体" w:hAnsi="宋体" w:eastAsia="宋体" w:cs="宋体"/>
          <w:color w:val="000000" w:themeColor="text1"/>
          <w:kern w:val="0"/>
          <w:szCs w:val="21"/>
          <w:highlight w:val="none"/>
          <w:lang w:val="en-US" w:eastAsia="zh-CN"/>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在保函限额内向受益人支付不超过人民币（大写）_________（¥_______元）的款项。</w:t>
      </w:r>
    </w:p>
    <w:p w14:paraId="54492348">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在向我行提出要求前，我行将不坚持要求受益人首先向申请人提出上述款项的索赔。</w:t>
      </w:r>
    </w:p>
    <w:p w14:paraId="322CB80A">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3AD83769">
      <w:pPr>
        <w:widowControl/>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本保函应从合同签订之日起至合同期限届满并全部货物经验收合格，受益人向申请人支付全部货款（除质保金）后二十八（28）日内保持有效。</w:t>
      </w:r>
    </w:p>
    <w:p w14:paraId="1C36676B">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p>
    <w:p w14:paraId="5B6ED2C4">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保</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银</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行：</w:t>
      </w:r>
      <w:r>
        <w:rPr>
          <w:rFonts w:ascii="宋体" w:hAnsi="宋体" w:eastAsia="宋体" w:cs="宋体"/>
          <w:color w:val="000000" w:themeColor="text1"/>
          <w:kern w:val="0"/>
          <w:szCs w:val="21"/>
          <w:highlight w:val="none"/>
          <w:u w:val="single"/>
          <w14:textFill>
            <w14:solidFill>
              <w14:schemeClr w14:val="tx1"/>
            </w14:solidFill>
          </w14:textFill>
        </w:rPr>
        <w:t xml:space="preserve">          银行全称          (盖章)   </w:t>
      </w:r>
    </w:p>
    <w:p w14:paraId="6EC28E96">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法定代表人或其授权的代表人：</w:t>
      </w:r>
      <w:r>
        <w:rPr>
          <w:rFonts w:ascii="宋体" w:hAnsi="宋体" w:eastAsia="宋体" w:cs="宋体"/>
          <w:color w:val="000000" w:themeColor="text1"/>
          <w:kern w:val="0"/>
          <w:szCs w:val="21"/>
          <w:highlight w:val="none"/>
          <w:u w:val="single"/>
          <w14:textFill>
            <w14:solidFill>
              <w14:schemeClr w14:val="tx1"/>
            </w14:solidFill>
          </w14:textFill>
        </w:rPr>
        <w:t xml:space="preserve">       (职务)         </w:t>
      </w:r>
    </w:p>
    <w:p w14:paraId="769145B8">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(姓名)         </w:t>
      </w:r>
    </w:p>
    <w:p w14:paraId="43865303">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(签章)         </w:t>
      </w:r>
    </w:p>
    <w:p w14:paraId="003EAFBC">
      <w:pPr>
        <w:autoSpaceDE w:val="0"/>
        <w:autoSpaceDN w:val="0"/>
        <w:adjustRightInd w:val="0"/>
        <w:spacing w:line="360" w:lineRule="auto"/>
        <w:ind w:left="84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00C44489">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0BC36160">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3CB1EE75">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sectPr>
          <w:footerReference r:id="rId6" w:type="first"/>
          <w:footerReference r:id="rId5" w:type="default"/>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p>
    <w:p w14:paraId="0E361219">
      <w:pPr>
        <w:numPr>
          <w:ilvl w:val="0"/>
          <w:numId w:val="0"/>
        </w:numP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t>二、</w:t>
      </w:r>
      <w: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t>履约保证保险凭证格式</w:t>
      </w:r>
    </w:p>
    <w:p w14:paraId="336D68A3">
      <w:pPr>
        <w:autoSpaceDE w:val="0"/>
        <w:autoSpaceDN w:val="0"/>
        <w:adjustRightInd w:val="0"/>
        <w:jc w:val="cente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pPr>
    </w:p>
    <w:p w14:paraId="6433AD44">
      <w:pPr>
        <w:autoSpaceDE w:val="0"/>
        <w:autoSpaceDN w:val="0"/>
        <w:adjustRightInd w:val="0"/>
        <w:jc w:val="cente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t>履约保证保险凭证</w:t>
      </w:r>
    </w:p>
    <w:p w14:paraId="25B4F6FE">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5CCC4050">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编号：</w:t>
      </w:r>
    </w:p>
    <w:p w14:paraId="6B4F0149">
      <w:pPr>
        <w:autoSpaceDE w:val="0"/>
        <w:autoSpaceDN w:val="0"/>
        <w:adjustRightInd w:val="0"/>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（下称“受益人”）： </w:t>
      </w:r>
    </w:p>
    <w:p w14:paraId="773B4D65">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p>
    <w:p w14:paraId="79538BEC">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鉴于</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（下称“申请人”）已与贵方签订了</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lang w:val="en-US" w:eastAsia="zh-CN"/>
          <w14:textFill>
            <w14:solidFill>
              <w14:schemeClr w14:val="tx1"/>
            </w14:solidFill>
          </w14:textFill>
        </w:rPr>
        <w:t>。我方已接受申请人的请求，并出具《履约保证保险》保险单。</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2935E2A7">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一、保证保险金额 </w:t>
      </w:r>
    </w:p>
    <w:p w14:paraId="27AD00A0">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我方承担的履约保证保险的保险金额（最高限额）为人民币（大写）</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元 （</w:t>
      </w:r>
      <w:r>
        <w:rPr>
          <w:rFonts w:hint="default"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21EBB5B3">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二、保证保险的责任范围 </w:t>
      </w:r>
    </w:p>
    <w:p w14:paraId="57AE7231">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在保险期间内，申请人因自身原因未按照与贵方签订的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履行相关义务，给贵方造成损失的，贵方可向我方提出索赔，我方按照保险合同的约定承担损失赔偿责任。 </w:t>
      </w:r>
    </w:p>
    <w:p w14:paraId="7D880281">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三、代偿的安排 </w:t>
      </w:r>
    </w:p>
    <w:p w14:paraId="0C903D72">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1E7D0011">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四、生效时间 </w:t>
      </w:r>
    </w:p>
    <w:p w14:paraId="23756CFF">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本保险凭证自我方法定代表人（或其授权代理人）签字并加盖保险承保章之日起生效。 </w:t>
      </w:r>
    </w:p>
    <w:p w14:paraId="42E5A11C">
      <w:pPr>
        <w:numPr>
          <w:ilvl w:val="0"/>
          <w:numId w:val="0"/>
        </w:numPr>
        <w:autoSpaceDE w:val="0"/>
        <w:autoSpaceDN w:val="0"/>
        <w:adjustRightInd w:val="0"/>
        <w:spacing w:line="360" w:lineRule="auto"/>
        <w:ind w:firstLine="437" w:firstLineChars="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五、</w:t>
      </w:r>
      <w:r>
        <w:rPr>
          <w:rFonts w:hint="eastAsia" w:ascii="宋体" w:hAnsi="宋体" w:eastAsia="宋体" w:cs="宋体"/>
          <w:color w:val="000000" w:themeColor="text1"/>
          <w:kern w:val="0"/>
          <w:szCs w:val="21"/>
          <w:highlight w:val="none"/>
          <w:lang w:val="en-US" w:eastAsia="zh-CN"/>
          <w14:textFill>
            <w14:solidFill>
              <w14:schemeClr w14:val="tx1"/>
            </w14:solidFill>
          </w14:textFill>
        </w:rPr>
        <w:t>其他</w:t>
      </w:r>
    </w:p>
    <w:p w14:paraId="1B508385">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履约保证保险</w:t>
      </w:r>
      <w:r>
        <w:rPr>
          <w:rFonts w:hint="eastAsia" w:ascii="宋体" w:hAnsi="宋体" w:eastAsia="宋体" w:cs="Times New Roman"/>
          <w:color w:val="000000" w:themeColor="text1"/>
          <w:kern w:val="0"/>
          <w:szCs w:val="21"/>
          <w:highlight w:val="none"/>
          <w14:textFill>
            <w14:solidFill>
              <w14:schemeClr w14:val="tx1"/>
            </w14:solidFill>
          </w14:textFill>
        </w:rPr>
        <w:t>应从合同签订之日起至合同期限届满并全部货物经验收合格，受益人向申请人支付全部货款（除质保金）后二十八（28）日内保持有效。</w:t>
      </w:r>
    </w:p>
    <w:p w14:paraId="184A2D8A">
      <w:pPr>
        <w:pStyle w:val="5"/>
        <w:numPr>
          <w:ilvl w:val="0"/>
          <w:numId w:val="0"/>
        </w:numPr>
        <w:rPr>
          <w:rFonts w:hint="default"/>
          <w:color w:val="000000" w:themeColor="text1"/>
          <w:highlight w:val="none"/>
          <w:lang w:val="en-US" w:eastAsia="zh-CN"/>
          <w14:textFill>
            <w14:solidFill>
              <w14:schemeClr w14:val="tx1"/>
            </w14:solidFill>
          </w14:textFill>
        </w:rPr>
      </w:pPr>
    </w:p>
    <w:p w14:paraId="71E50663">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XXX </w:t>
      </w:r>
      <w:r>
        <w:rPr>
          <w:rFonts w:hint="eastAsia" w:ascii="宋体" w:hAnsi="宋体" w:eastAsia="宋体" w:cs="宋体"/>
          <w:color w:val="000000" w:themeColor="text1"/>
          <w:kern w:val="0"/>
          <w:szCs w:val="21"/>
          <w:highlight w:val="none"/>
          <w:lang w:val="en-US" w:eastAsia="zh-CN"/>
          <w14:textFill>
            <w14:solidFill>
              <w14:schemeClr w14:val="tx1"/>
            </w14:solidFill>
          </w14:textFill>
        </w:rPr>
        <w:t>保险有限公司履约保证保险（</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X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款）条款》及保单 </w:t>
      </w:r>
    </w:p>
    <w:p w14:paraId="438DB0CE">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30C3D433">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保险人：（盖章）</w:t>
      </w:r>
    </w:p>
    <w:p w14:paraId="1FBEF71D">
      <w:pPr>
        <w:autoSpaceDE w:val="0"/>
        <w:autoSpaceDN w:val="0"/>
        <w:adjustRightInd w:val="0"/>
        <w:spacing w:line="360" w:lineRule="auto"/>
        <w:ind w:firstLine="437"/>
        <w:jc w:val="righ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法定代表人或授权代理人：</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________ </w:t>
      </w:r>
    </w:p>
    <w:p w14:paraId="2E88195C">
      <w:pPr>
        <w:jc w:val="right"/>
        <w:rPr>
          <w:rFonts w:hint="eastAsia"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年</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月</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日</w:t>
      </w:r>
      <w:r>
        <w:rPr>
          <w:rFonts w:hint="eastAsia" w:ascii="宋体" w:hAnsi="宋体" w:eastAsia="宋体" w:cs="Times New Roman"/>
          <w:b/>
          <w:color w:val="000000" w:themeColor="text1"/>
          <w:kern w:val="0"/>
          <w:sz w:val="28"/>
          <w:szCs w:val="28"/>
          <w:highlight w:val="none"/>
          <w14:textFill>
            <w14:solidFill>
              <w14:schemeClr w14:val="tx1"/>
            </w14:solidFill>
          </w14:textFill>
        </w:rPr>
        <w:br w:type="page"/>
      </w:r>
    </w:p>
    <w:p w14:paraId="40E38BF9">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t>三</w:t>
      </w:r>
      <w:r>
        <w:rPr>
          <w:rFonts w:hint="eastAsia" w:ascii="宋体" w:hAnsi="宋体" w:eastAsia="宋体" w:cs="Times New Roman"/>
          <w:b/>
          <w:color w:val="000000" w:themeColor="text1"/>
          <w:kern w:val="0"/>
          <w:sz w:val="28"/>
          <w:szCs w:val="28"/>
          <w:highlight w:val="none"/>
          <w14:textFill>
            <w14:solidFill>
              <w14:schemeClr w14:val="tx1"/>
            </w14:solidFill>
          </w14:textFill>
        </w:rPr>
        <w:t>、担保公司履约担保书格式</w:t>
      </w:r>
    </w:p>
    <w:p w14:paraId="1353B999">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担保公司履约担保书</w:t>
      </w:r>
    </w:p>
    <w:p w14:paraId="65E34246">
      <w:pPr>
        <w:widowControl/>
        <w:autoSpaceDE w:val="0"/>
        <w:autoSpaceDN w:val="0"/>
        <w:adjustRightInd w:val="0"/>
        <w:spacing w:before="100" w:beforeAutospacing="1" w:after="100" w:afterAutospacing="1"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37DE0145">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鉴于</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申请人</w:t>
      </w:r>
      <w:r>
        <w:rPr>
          <w:rFonts w:ascii="宋体" w:hAnsi="宋体" w:eastAsia="宋体" w:cs="Times New Roman"/>
          <w:color w:val="000000" w:themeColor="text1"/>
          <w:kern w:val="0"/>
          <w:szCs w:val="21"/>
          <w:highlight w:val="none"/>
          <w:u w:val="single"/>
          <w14:textFill>
            <w14:solidFill>
              <w14:schemeClr w14:val="tx1"/>
            </w14:solidFill>
          </w14:textFill>
        </w:rPr>
        <w:t xml:space="preserve">的名称与地址）  </w:t>
      </w:r>
      <w:r>
        <w:rPr>
          <w:rFonts w:ascii="宋体" w:hAnsi="宋体" w:eastAsia="宋体" w:cs="Times New Roman"/>
          <w:color w:val="000000" w:themeColor="text1"/>
          <w:kern w:val="0"/>
          <w:szCs w:val="21"/>
          <w:highlight w:val="none"/>
          <w14:textFill>
            <w14:solidFill>
              <w14:schemeClr w14:val="tx1"/>
            </w14:solidFill>
          </w14:textFill>
        </w:rPr>
        <w:t>（下称“</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”），已保证按</w:t>
      </w:r>
      <w:r>
        <w:rPr>
          <w:rFonts w:hint="eastAsia" w:ascii="宋体" w:hAnsi="宋体" w:eastAsia="宋体" w:cs="宋体"/>
          <w:color w:val="000000" w:themeColor="text1"/>
          <w:kern w:val="0"/>
          <w:szCs w:val="21"/>
          <w:highlight w:val="none"/>
          <w14:textFill>
            <w14:solidFill>
              <w14:schemeClr w14:val="tx1"/>
            </w14:solidFill>
          </w14:textFill>
        </w:rPr>
        <w:t>拟签订的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合同（招标文件）</w:t>
      </w:r>
      <w:r>
        <w:rPr>
          <w:rFonts w:ascii="宋体" w:hAnsi="宋体" w:eastAsia="宋体" w:cs="Times New Roman"/>
          <w:color w:val="000000" w:themeColor="text1"/>
          <w:kern w:val="0"/>
          <w:szCs w:val="21"/>
          <w:highlight w:val="none"/>
          <w14:textFill>
            <w14:solidFill>
              <w14:schemeClr w14:val="tx1"/>
            </w14:solidFill>
          </w14:textFill>
        </w:rPr>
        <w:t>中规定的义务履行合同。</w:t>
      </w:r>
    </w:p>
    <w:p w14:paraId="281CF666">
      <w:pPr>
        <w:widowControl/>
        <w:autoSpaceDE w:val="0"/>
        <w:autoSpaceDN w:val="0"/>
        <w:adjustRightInd w:val="0"/>
        <w:spacing w:line="360" w:lineRule="auto"/>
        <w:ind w:firstLine="567" w:firstLineChars="27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根据上述合同（招标文件）规定，</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应向受益人提供一份金额为人民币</w:t>
      </w:r>
      <w:r>
        <w:rPr>
          <w:rFonts w:hint="eastAsia" w:ascii="宋体" w:hAnsi="宋体" w:eastAsia="宋体" w:cs="宋体"/>
          <w:color w:val="000000" w:themeColor="text1"/>
          <w:kern w:val="0"/>
          <w:szCs w:val="21"/>
          <w:highlight w:val="none"/>
          <w14:textFill>
            <w14:solidFill>
              <w14:schemeClr w14:val="tx1"/>
            </w14:solidFill>
          </w14:textFill>
        </w:rPr>
        <w:t>（大写）</w:t>
      </w:r>
      <w:r>
        <w:rPr>
          <w:rFonts w:ascii="宋体" w:hAnsi="宋体" w:eastAsia="宋体" w:cs="Times New Roman"/>
          <w:color w:val="000000" w:themeColor="text1"/>
          <w:kern w:val="0"/>
          <w:szCs w:val="21"/>
          <w:highlight w:val="none"/>
          <w:u w:val="single"/>
          <w14:textFill>
            <w14:solidFill>
              <w14:schemeClr w14:val="tx1"/>
            </w14:solidFill>
          </w14:textFill>
        </w:rPr>
        <w:t xml:space="preserve">     （RMB元）</w:t>
      </w:r>
      <w:r>
        <w:rPr>
          <w:rFonts w:ascii="宋体" w:hAnsi="宋体" w:eastAsia="宋体" w:cs="Times New Roman"/>
          <w:color w:val="000000" w:themeColor="text1"/>
          <w:kern w:val="0"/>
          <w:szCs w:val="21"/>
          <w:highlight w:val="none"/>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无条件、</w:t>
      </w:r>
      <w:r>
        <w:rPr>
          <w:rFonts w:ascii="宋体" w:hAnsi="宋体" w:eastAsia="宋体" w:cs="Times New Roman"/>
          <w:bCs/>
          <w:color w:val="000000" w:themeColor="text1"/>
          <w:kern w:val="0"/>
          <w:szCs w:val="21"/>
          <w:highlight w:val="none"/>
          <w14:textFill>
            <w14:solidFill>
              <w14:schemeClr w14:val="tx1"/>
            </w14:solidFill>
          </w14:textFill>
        </w:rPr>
        <w:t>不可撤销</w:t>
      </w:r>
      <w:r>
        <w:rPr>
          <w:rFonts w:ascii="宋体" w:hAnsi="宋体" w:eastAsia="宋体" w:cs="Times New Roman"/>
          <w:color w:val="000000" w:themeColor="text1"/>
          <w:kern w:val="0"/>
          <w:szCs w:val="21"/>
          <w:highlight w:val="none"/>
          <w14:textFill>
            <w14:solidFill>
              <w14:schemeClr w14:val="tx1"/>
            </w14:solidFill>
          </w14:textFill>
        </w:rPr>
        <w:t>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，作为</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履行上述合同的担保</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Hans"/>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名称）</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Hans"/>
          <w14:textFill>
            <w14:solidFill>
              <w14:schemeClr w14:val="tx1"/>
            </w14:solidFill>
          </w14:textFill>
        </w:rPr>
        <w:t>本合同项下的保证责任为连带责任保证</w:t>
      </w:r>
      <w:r>
        <w:rPr>
          <w:rFonts w:hint="eastAsia" w:ascii="宋体" w:hAnsi="宋体" w:eastAsia="宋体" w:cs="宋体"/>
          <w:color w:val="000000" w:themeColor="text1"/>
          <w:kern w:val="0"/>
          <w:szCs w:val="21"/>
          <w:highlight w:val="none"/>
          <w14:textFill>
            <w14:solidFill>
              <w14:schemeClr w14:val="tx1"/>
            </w14:solidFill>
          </w14:textFill>
        </w:rPr>
        <w:t>。</w:t>
      </w:r>
    </w:p>
    <w:p w14:paraId="7F9E80BD">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 xml:space="preserve">名称）  </w:t>
      </w:r>
      <w:r>
        <w:rPr>
          <w:rFonts w:ascii="宋体" w:hAnsi="宋体" w:eastAsia="宋体" w:cs="Times New Roman"/>
          <w:color w:val="000000" w:themeColor="text1"/>
          <w:kern w:val="0"/>
          <w:szCs w:val="21"/>
          <w:highlight w:val="none"/>
          <w14:textFill>
            <w14:solidFill>
              <w14:schemeClr w14:val="tx1"/>
            </w14:solidFill>
          </w14:textFill>
        </w:rPr>
        <w:t>，受</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的委托，</w:t>
      </w:r>
      <w:r>
        <w:rPr>
          <w:rFonts w:hint="eastAsia" w:ascii="宋体" w:hAnsi="宋体" w:eastAsia="宋体" w:cs="宋体"/>
          <w:color w:val="000000" w:themeColor="text1"/>
          <w:kern w:val="0"/>
          <w:szCs w:val="21"/>
          <w:highlight w:val="none"/>
          <w14:textFill>
            <w14:solidFill>
              <w14:schemeClr w14:val="tx1"/>
            </w14:solidFill>
          </w14:textFill>
        </w:rPr>
        <w:t>无条件和不可撤销地在受益人出具本担保书原件且提出因申请人没有履行上述合同规定，在担保书限额内向受益人支付不超过人民币（大写）_________（¥</w:t>
      </w:r>
      <w:r>
        <w:rPr>
          <w:rFonts w:ascii="宋体" w:hAnsi="宋体" w:eastAsia="宋体" w:cs="宋体"/>
          <w:color w:val="000000" w:themeColor="text1"/>
          <w:kern w:val="0"/>
          <w:szCs w:val="21"/>
          <w:highlight w:val="none"/>
          <w14:textFill>
            <w14:solidFill>
              <w14:schemeClr w14:val="tx1"/>
            </w14:solidFill>
          </w14:textFill>
        </w:rPr>
        <w:t>_______元）</w:t>
      </w:r>
      <w:r>
        <w:rPr>
          <w:rFonts w:hint="eastAsia" w:ascii="宋体" w:hAnsi="宋体" w:eastAsia="宋体" w:cs="宋体"/>
          <w:color w:val="000000" w:themeColor="text1"/>
          <w:kern w:val="0"/>
          <w:szCs w:val="21"/>
          <w:highlight w:val="none"/>
          <w14:textFill>
            <w14:solidFill>
              <w14:schemeClr w14:val="tx1"/>
            </w14:solidFill>
          </w14:textFill>
        </w:rPr>
        <w:t>的款项。</w:t>
      </w:r>
    </w:p>
    <w:p w14:paraId="51EEB7C1">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我方还同意，任何受益人与</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之间可能对合同条款的修改、规范或其他合同文件的变动补充，都不能免除我方按本</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函所承担的责任。因此，有关上述变动、补充和修改无须通知</w:t>
      </w:r>
      <w:r>
        <w:rPr>
          <w:rFonts w:hint="eastAsia" w:ascii="宋体" w:hAnsi="宋体" w:eastAsia="宋体" w:cs="Times New Roman"/>
          <w:color w:val="000000" w:themeColor="text1"/>
          <w:kern w:val="0"/>
          <w:szCs w:val="21"/>
          <w:highlight w:val="none"/>
          <w14:textFill>
            <w14:solidFill>
              <w14:schemeClr w14:val="tx1"/>
            </w14:solidFill>
          </w14:textFill>
        </w:rPr>
        <w:t>或征得</w:t>
      </w:r>
      <w:r>
        <w:rPr>
          <w:rFonts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4C39CD95">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w:t>
      </w:r>
      <w:r>
        <w:rPr>
          <w:rFonts w:hint="eastAsia" w:ascii="宋体" w:hAnsi="宋体" w:eastAsia="宋体" w:cs="Times New Roman"/>
          <w:color w:val="000000" w:themeColor="text1"/>
          <w:kern w:val="0"/>
          <w:szCs w:val="21"/>
          <w:highlight w:val="none"/>
          <w14:textFill>
            <w14:solidFill>
              <w14:schemeClr w14:val="tx1"/>
            </w14:solidFill>
          </w14:textFill>
        </w:rPr>
        <w:t>担保书应从合同签订之日起至合同期限届满并全部货物经验收合格，受益人向申请人支付全部货款（除质保金）后二十八（28）日内保持有效。</w:t>
      </w:r>
    </w:p>
    <w:p w14:paraId="23261402">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27839391">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法定代表人或其授权的代理人：（签字或盖私章）</w:t>
      </w:r>
    </w:p>
    <w:p w14:paraId="25F3501A">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担保公司盖章：</w:t>
      </w:r>
    </w:p>
    <w:p w14:paraId="5C1CE240">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联系电话：</w:t>
      </w:r>
    </w:p>
    <w:p w14:paraId="3DA9B6C3">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地址：</w:t>
      </w:r>
    </w:p>
    <w:p w14:paraId="5D58A7DF">
      <w:pPr>
        <w:autoSpaceDE w:val="0"/>
        <w:autoSpaceDN w:val="0"/>
        <w:adjustRightInd w:val="0"/>
        <w:spacing w:line="360" w:lineRule="auto"/>
        <w:ind w:firstLine="3990" w:firstLineChars="1900"/>
        <w:jc w:val="left"/>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日期：    年   月   日</w:t>
      </w:r>
    </w:p>
    <w:p w14:paraId="2E4E43D4">
      <w:pPr>
        <w:pStyle w:val="2"/>
        <w:rPr>
          <w:color w:val="000000" w:themeColor="text1"/>
          <w:highlight w:val="none"/>
          <w:lang w:val="zh-CN"/>
          <w14:textFill>
            <w14:solidFill>
              <w14:schemeClr w14:val="tx1"/>
            </w14:solidFill>
          </w14:textFill>
        </w:rPr>
      </w:pPr>
    </w:p>
    <w:p w14:paraId="5B51F607">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538D7AF5">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415" w:name="_Toc142508361"/>
      <w:bookmarkStart w:id="416" w:name="_Toc15502"/>
      <w:bookmarkStart w:id="417" w:name="_Toc486167708"/>
      <w:bookmarkStart w:id="418" w:name="_Toc12794"/>
      <w:bookmarkStart w:id="419" w:name="_Toc8165"/>
      <w:bookmarkStart w:id="420" w:name="_Toc450662895"/>
      <w:bookmarkStart w:id="421" w:name="_Toc32761_WPSOffice_Level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第六篇 投标文件格式</w:t>
      </w:r>
      <w:bookmarkEnd w:id="415"/>
      <w:bookmarkEnd w:id="416"/>
      <w:bookmarkEnd w:id="417"/>
      <w:bookmarkEnd w:id="418"/>
      <w:bookmarkEnd w:id="419"/>
      <w:bookmarkEnd w:id="420"/>
      <w:bookmarkEnd w:id="421"/>
    </w:p>
    <w:p w14:paraId="3C1577D6">
      <w:pPr>
        <w:pStyle w:val="21"/>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bookmarkStart w:id="422" w:name="_Toc140596921"/>
      <w:bookmarkStart w:id="423" w:name="_Toc21133_WPSOffice_Level2"/>
      <w:bookmarkStart w:id="424" w:name="_Toc94107202"/>
      <w:bookmarkStart w:id="425" w:name="_Toc533708121"/>
      <w:bookmarkStart w:id="426" w:name="_Toc486167709"/>
      <w:bookmarkStart w:id="427" w:name="_Toc104991868"/>
      <w:bookmarkStart w:id="428" w:name="_Toc102860411"/>
      <w:bookmarkStart w:id="429" w:name="_Toc102860067"/>
      <w:bookmarkStart w:id="430" w:name="_Toc1977721"/>
      <w:bookmarkStart w:id="431" w:name="_Toc142508362"/>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453D4D1B">
      <w:pPr>
        <w:pStyle w:val="21"/>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58994A13">
      <w:pPr>
        <w:pStyle w:val="21"/>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7E69F058">
      <w:pPr>
        <w:pStyle w:val="21"/>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0942778F">
      <w:pPr>
        <w:pStyle w:val="21"/>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6474B358">
      <w:pPr>
        <w:pStyle w:val="21"/>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6C70CC53">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18E99249">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6EB5595C">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6CFA723F">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326A20C3">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7692E59B">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5D03C619">
      <w:pPr>
        <w:pStyle w:val="21"/>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58967302">
      <w:pPr>
        <w:pStyle w:val="21"/>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08D9EC70">
      <w:pPr>
        <w:pStyle w:val="21"/>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投标文件商务部分 </w:t>
      </w:r>
    </w:p>
    <w:p w14:paraId="7D09B7DE">
      <w:pPr>
        <w:pStyle w:val="21"/>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46188B51">
      <w:pPr>
        <w:pStyle w:val="21"/>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13022202">
      <w:pPr>
        <w:pStyle w:val="21"/>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69FFEFE7">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0225009F">
      <w:pPr>
        <w:pStyle w:val="21"/>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6CC0577B">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4CD98B7B">
      <w:pPr>
        <w:pBdr>
          <w:bottom w:val="single" w:color="auto" w:sz="6" w:space="0"/>
        </w:pBdr>
        <w:spacing w:line="480" w:lineRule="auto"/>
        <w:ind w:firstLine="472" w:firstLineChars="224"/>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投标文件商务评审部分索引表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3BB9AF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683720DA">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0B1CF81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861" w:type="pct"/>
            <w:vAlign w:val="center"/>
          </w:tcPr>
          <w:p w14:paraId="48B74BBC">
            <w:pPr>
              <w:adjustRightInd w:val="0"/>
              <w:snapToGrid w:val="0"/>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2136" w:type="pct"/>
            <w:tcBorders>
              <w:left w:val="single" w:color="auto" w:sz="4" w:space="0"/>
            </w:tcBorders>
            <w:vAlign w:val="center"/>
          </w:tcPr>
          <w:p w14:paraId="733BB712">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424789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9ACA4E0">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556C3D7B">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090BAF92">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5B929D57">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542A90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501E5422">
            <w:pP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7A2C4584">
            <w:pP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471AEE6B">
            <w:pP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052BBB5B">
            <w:pPr>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14:paraId="0DEF7C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64738D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1529F30A">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57B09B8B">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491F2576">
            <w:pPr>
              <w:spacing w:line="360" w:lineRule="auto"/>
              <w:ind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14:paraId="2EF19D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9662341">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2E989574">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tcBorders>
              <w:top w:val="single" w:color="auto" w:sz="6" w:space="0"/>
              <w:left w:val="single" w:color="auto" w:sz="6" w:space="0"/>
              <w:bottom w:val="outset" w:color="808080" w:sz="6" w:space="0"/>
              <w:right w:val="single" w:color="auto" w:sz="6" w:space="0"/>
            </w:tcBorders>
            <w:vAlign w:val="center"/>
          </w:tcPr>
          <w:p w14:paraId="2BE8627E">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top w:val="single" w:color="auto" w:sz="6" w:space="0"/>
              <w:left w:val="single" w:color="auto" w:sz="4" w:space="0"/>
              <w:bottom w:val="outset" w:color="808080" w:sz="6" w:space="0"/>
              <w:right w:val="single" w:color="auto" w:sz="6" w:space="0"/>
            </w:tcBorders>
            <w:vAlign w:val="center"/>
          </w:tcPr>
          <w:p w14:paraId="5867B1CD">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6B689A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B76E70B">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861" w:type="pct"/>
            <w:tcBorders>
              <w:bottom w:val="single" w:color="auto" w:sz="4" w:space="0"/>
            </w:tcBorders>
            <w:vAlign w:val="center"/>
          </w:tcPr>
          <w:p w14:paraId="5A72A73C">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bottom w:val="single" w:color="auto" w:sz="4" w:space="0"/>
            </w:tcBorders>
            <w:vAlign w:val="center"/>
          </w:tcPr>
          <w:p w14:paraId="5F18E5D7">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14:paraId="3F3218D1">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44A4A4FF">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5C7CBD16">
      <w:pPr>
        <w:widowControl/>
        <w:jc w:val="left"/>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78214615">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432" w:name="_Toc18706"/>
      <w:bookmarkStart w:id="433" w:name="_Toc5898"/>
      <w:bookmarkStart w:id="434" w:name="_Toc13331"/>
      <w:bookmarkStart w:id="435" w:name="_Toc28809"/>
      <w:r>
        <w:rPr>
          <w:rFonts w:hint="eastAsia" w:ascii="宋体" w:hAnsi="宋体" w:eastAsia="宋体" w:cs="宋体"/>
          <w:b/>
          <w:color w:val="000000" w:themeColor="text1"/>
          <w:kern w:val="0"/>
          <w:sz w:val="32"/>
          <w:szCs w:val="32"/>
          <w:highlight w:val="none"/>
          <w14:textFill>
            <w14:solidFill>
              <w14:schemeClr w14:val="tx1"/>
            </w14:solidFill>
          </w14:textFill>
        </w:rPr>
        <w:t>一、投标函格式</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1C935D06">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436" w:name="_Toc16695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 标 函</w:t>
      </w:r>
      <w:bookmarkEnd w:id="436"/>
    </w:p>
    <w:p w14:paraId="20E0B24C">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2B98F4BB">
      <w:pPr>
        <w:autoSpaceDE w:val="0"/>
        <w:autoSpaceDN w:val="0"/>
        <w:adjustRightInd w:val="0"/>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致：</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东莞市水务环境投资控股集团净水有限公司</w:t>
      </w:r>
    </w:p>
    <w:p w14:paraId="095D426B">
      <w:pPr>
        <w:autoSpaceDE w:val="0"/>
        <w:autoSpaceDN w:val="0"/>
        <w:adjustRightInd w:val="0"/>
        <w:spacing w:line="360" w:lineRule="auto"/>
        <w:rPr>
          <w:rFonts w:ascii="宋体" w:hAnsi="宋体" w:eastAsia="宋体" w:cs="宋体"/>
          <w:color w:val="000000" w:themeColor="text1"/>
          <w:szCs w:val="21"/>
          <w:highlight w:val="none"/>
          <w14:textFill>
            <w14:solidFill>
              <w14:schemeClr w14:val="tx1"/>
            </w14:solidFill>
          </w14:textFill>
        </w:rPr>
      </w:pPr>
    </w:p>
    <w:p w14:paraId="04EA9F9D">
      <w:pPr>
        <w:wordWrap w:val="0"/>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根据贵方为</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东莞市水务环境投资控股集团净水有限公司2026年五金材料及工器具物资采购项目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广建咨询（东招）2025-0122号</w:t>
      </w:r>
      <w:r>
        <w:rPr>
          <w:rFonts w:hint="eastAsia" w:ascii="宋体" w:hAnsi="宋体" w:eastAsia="宋体" w:cs="宋体"/>
          <w:color w:val="000000" w:themeColor="text1"/>
          <w:szCs w:val="21"/>
          <w:highlight w:val="none"/>
          <w:lang w:val="zh-CN"/>
          <w14:textFill>
            <w14:solidFill>
              <w14:schemeClr w14:val="tx1"/>
            </w14:solidFill>
          </w14:textFill>
        </w:rPr>
        <w:t>)的投标邀请，我方（投标人名称）作为投标人正式授权</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授权代表全名，职务）代表我方进行有关本次投标的一切事宜。</w:t>
      </w:r>
    </w:p>
    <w:p w14:paraId="0512D09A">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在此提交的投标文件，包括如下等内容，并已单独密封封装：</w:t>
      </w:r>
    </w:p>
    <w:p w14:paraId="5D76C2F5">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份】（含投标文件电子文件）；</w:t>
      </w:r>
    </w:p>
    <w:p w14:paraId="4258EFC3">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（二）投标文件【正本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份，副本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w:t>
      </w:r>
    </w:p>
    <w:p w14:paraId="19C1927C">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我方已完全明白招标文件的所有条款要求，并重申以下几点：</w:t>
      </w:r>
    </w:p>
    <w:p w14:paraId="21E57D84">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w:t>
      </w:r>
      <w:r>
        <w:rPr>
          <w:rFonts w:hint="eastAsia" w:ascii="宋体" w:hAnsi="宋体" w:eastAsia="宋体" w:cs="Times New Roman"/>
          <w:color w:val="000000" w:themeColor="text1"/>
          <w:szCs w:val="21"/>
          <w:highlight w:val="none"/>
          <w:lang w:val="zh-CN"/>
          <w14:textFill>
            <w14:solidFill>
              <w14:schemeClr w14:val="tx1"/>
            </w14:solidFill>
          </w14:textFill>
        </w:rPr>
        <w:t>决定</w:t>
      </w:r>
      <w:r>
        <w:rPr>
          <w:rFonts w:hint="eastAsia" w:ascii="宋体" w:hAnsi="宋体" w:eastAsia="宋体" w:cs="宋体"/>
          <w:color w:val="000000" w:themeColor="text1"/>
          <w:szCs w:val="21"/>
          <w:highlight w:val="none"/>
          <w:lang w:val="zh-CN"/>
          <w14:textFill>
            <w14:solidFill>
              <w14:schemeClr w14:val="tx1"/>
            </w14:solidFill>
          </w14:textFill>
        </w:rPr>
        <w:t>参加招标编号为</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广建咨询（东招）2025-0122号</w:t>
      </w:r>
      <w:r>
        <w:rPr>
          <w:rFonts w:hint="eastAsia" w:ascii="宋体" w:hAnsi="宋体" w:eastAsia="宋体" w:cs="宋体"/>
          <w:color w:val="000000" w:themeColor="text1"/>
          <w:szCs w:val="21"/>
          <w:highlight w:val="none"/>
          <w:lang w:val="zh-CN"/>
          <w14:textFill>
            <w14:solidFill>
              <w14:schemeClr w14:val="tx1"/>
            </w14:solidFill>
          </w14:textFill>
        </w:rPr>
        <w:t>的投标；</w:t>
      </w:r>
    </w:p>
    <w:p w14:paraId="7301E9D3">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（二）本投标文件的有效期自递交投标文件截止时间届满后90日有效，如中标，有效期将延至合同终止日为止；</w:t>
      </w:r>
    </w:p>
    <w:p w14:paraId="3DDE52B9">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（三）我方已详细研究了招标文件的所有内容包括修正文（如有）和所有已提供的参考资料以及有关附件并完全明白，我方放弃在此方面提出含糊意见或误解的一切权力；</w:t>
      </w:r>
    </w:p>
    <w:p w14:paraId="103FC43B">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（四）我方明白并愿意在规定的递交投标文件截止时间和日期之后，投标有效期之内撤回投标，则不予退还我方投标保证金；</w:t>
      </w:r>
    </w:p>
    <w:p w14:paraId="2AD29E9C">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（五）我方同意按照贵方可能提出的要求而提供与投标有关的任何其它数据或信息；</w:t>
      </w:r>
    </w:p>
    <w:p w14:paraId="5C341F7F">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（六）我方理解贵方不一定接受最低报价或任何贵方可能收到的报价；</w:t>
      </w:r>
    </w:p>
    <w:p w14:paraId="2111B333">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（七）我方如果中标，将保证履行招标文件以及招标文件修改书（如有）中的全部责任和义务，按质、按量、按期完成《合同书》中的全部任务；</w:t>
      </w:r>
    </w:p>
    <w:p w14:paraId="09A56723">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（八）保证投标文件中所有资料均真实有效，否则按无效投标处理或可取消中标资格，并愿意接受按弄虚作假骗取中标的有关规定进行处理，并不予退还我方投标保证金；</w:t>
      </w:r>
    </w:p>
    <w:p w14:paraId="5CCFB081">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（九）若我方中标后，我方一定按照招标文件的要求和投标文件的承诺签订和履行合同，否则贵方可取消我方中标资格，并依法不予退还我方投标保证金或履约担保，我方愿意接受违约处罚；</w:t>
      </w:r>
    </w:p>
    <w:p w14:paraId="0AC13DED">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（十）若我方中标后，核查出投标文件内容前后不一致，我方愿按最高标准的承诺履约义务；</w:t>
      </w:r>
    </w:p>
    <w:p w14:paraId="4EE0676E">
      <w:pPr>
        <w:autoSpaceDE w:val="0"/>
        <w:autoSpaceDN w:val="0"/>
        <w:adjustRightInd w:val="0"/>
        <w:spacing w:line="360" w:lineRule="auto"/>
        <w:ind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（十一）所有与本投标有关的函件请发往下列地址：</w:t>
      </w:r>
    </w:p>
    <w:p w14:paraId="3B4FEC66">
      <w:pPr>
        <w:autoSpaceDE w:val="0"/>
        <w:autoSpaceDN w:val="0"/>
        <w:adjustRightInd w:val="0"/>
        <w:spacing w:line="360" w:lineRule="auto"/>
        <w:ind w:left="395" w:leftChars="-12" w:hanging="420" w:hangingChars="200"/>
        <w:rPr>
          <w:rFonts w:ascii="宋体" w:hAnsi="宋体" w:eastAsia="宋体" w:cs="宋体"/>
          <w:color w:val="000000" w:themeColor="text1"/>
          <w:szCs w:val="21"/>
          <w:highlight w:val="none"/>
          <w:u w:val="single"/>
          <w:lang w:val="zh-CN"/>
          <w14:textFill>
            <w14:solidFill>
              <w14:schemeClr w14:val="tx1"/>
            </w14:solidFill>
          </w14:textFill>
        </w:rPr>
      </w:pPr>
    </w:p>
    <w:p w14:paraId="5BD97427">
      <w:pPr>
        <w:autoSpaceDE w:val="0"/>
        <w:autoSpaceDN w:val="0"/>
        <w:adjustRightInd w:val="0"/>
        <w:spacing w:line="360" w:lineRule="auto"/>
        <w:ind w:firstLine="420" w:firstLineChars="200"/>
        <w:rPr>
          <w:rFonts w:ascii="宋体" w:hAnsi="宋体" w:eastAsia="宋体" w:cs="宋体"/>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地  　址：</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邮政编码：</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4B1DE99D">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电　　话：</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代表姓名：</w:t>
      </w:r>
      <w:r>
        <w:rPr>
          <w:rFonts w:hint="eastAsia" w:ascii="宋体" w:hAnsi="宋体" w:eastAsia="宋体" w:cs="宋体"/>
          <w:color w:val="000000" w:themeColor="text1"/>
          <w:szCs w:val="21"/>
          <w:highlight w:val="none"/>
          <w:u w:val="single"/>
          <w:lang w:val="zh-CN"/>
          <w14:textFill>
            <w14:solidFill>
              <w14:schemeClr w14:val="tx1"/>
            </w14:solidFill>
          </w14:textFill>
        </w:rPr>
        <w:t>　　　　　　　　　　　</w:t>
      </w:r>
    </w:p>
    <w:p w14:paraId="16DD24A3">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传　　真：</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 xml:space="preserve">        职　　务：</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5270856B">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en-US" w:eastAsia="zh-CN"/>
          <w14:textFill>
            <w14:solidFill>
              <w14:schemeClr w14:val="tx1"/>
            </w14:solidFill>
          </w14:textFill>
        </w:rPr>
        <w:t>电子邮箱：</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p>
    <w:p w14:paraId="5B42375F">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5657C320">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18A77B5E">
      <w:pPr>
        <w:autoSpaceDE w:val="0"/>
        <w:autoSpaceDN w:val="0"/>
        <w:adjustRightInd w:val="0"/>
        <w:spacing w:line="360" w:lineRule="auto"/>
        <w:ind w:firstLine="4960" w:firstLineChars="2362"/>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565F33F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bookmarkStart w:id="437" w:name="_Toc486167710"/>
      <w:bookmarkStart w:id="438" w:name="_Toc5760"/>
      <w:bookmarkStart w:id="439" w:name="_Toc28613_WPSOffice_Level2"/>
      <w:bookmarkStart w:id="440" w:name="_Toc142508363"/>
      <w:bookmarkStart w:id="441" w:name="_Toc104991869"/>
      <w:bookmarkStart w:id="442" w:name="_Toc26795"/>
      <w:bookmarkStart w:id="443" w:name="_Toc102860068"/>
      <w:bookmarkStart w:id="444" w:name="_Toc8696"/>
      <w:bookmarkStart w:id="445" w:name="_Toc140596922"/>
      <w:bookmarkStart w:id="446" w:name="_Toc94107203"/>
      <w:bookmarkStart w:id="447" w:name="_Toc533708122"/>
      <w:bookmarkStart w:id="448" w:name="_Toc1977722"/>
      <w:bookmarkStart w:id="449" w:name="_Toc27584"/>
      <w:bookmarkStart w:id="450" w:name="_Toc102860412"/>
      <w:r>
        <w:rPr>
          <w:rFonts w:hint="eastAsia" w:ascii="宋体" w:hAnsi="宋体" w:eastAsia="宋体" w:cs="宋体"/>
          <w:b/>
          <w:color w:val="000000" w:themeColor="text1"/>
          <w:kern w:val="0"/>
          <w:sz w:val="32"/>
          <w:szCs w:val="32"/>
          <w:highlight w:val="none"/>
          <w14:textFill>
            <w14:solidFill>
              <w14:schemeClr w14:val="tx1"/>
            </w14:solidFill>
          </w14:textFill>
        </w:rPr>
        <w:t>二、投标承诺书格式</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7B8568AE">
      <w:pPr>
        <w:autoSpaceDE w:val="0"/>
        <w:autoSpaceDN w:val="0"/>
        <w:adjustRightInd w:val="0"/>
        <w:spacing w:line="360" w:lineRule="auto"/>
        <w:jc w:val="center"/>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投标承诺书</w:t>
      </w:r>
    </w:p>
    <w:p w14:paraId="4D150371">
      <w:pPr>
        <w:widowControl/>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1BF66EC7">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（投标人名称）已完整阅读了</w:t>
      </w:r>
      <w:r>
        <w:rPr>
          <w:rFonts w:hint="eastAsia" w:ascii="宋体" w:hAnsi="宋体" w:eastAsia="宋体" w:cs="Times New Roman"/>
          <w:color w:val="000000" w:themeColor="text1"/>
          <w:kern w:val="0"/>
          <w:szCs w:val="21"/>
          <w:highlight w:val="none"/>
          <w:u w:val="single"/>
          <w:lang w:eastAsia="zh-CN"/>
          <w14:textFill>
            <w14:solidFill>
              <w14:schemeClr w14:val="tx1"/>
            </w14:solidFill>
          </w14:textFill>
        </w:rPr>
        <w:t>东莞市水务环境投资控股集团净水有限公司2026年五金材料及工器具物资采购项目</w:t>
      </w:r>
      <w:r>
        <w:rPr>
          <w:rFonts w:hint="eastAsia" w:ascii="宋体" w:hAnsi="宋体" w:eastAsia="宋体" w:cs="Times New Roman"/>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kern w:val="0"/>
          <w:szCs w:val="21"/>
          <w:highlight w:val="none"/>
          <w:lang w:eastAsia="zh-CN"/>
          <w14:textFill>
            <w14:solidFill>
              <w14:schemeClr w14:val="tx1"/>
            </w14:solidFill>
          </w14:textFill>
        </w:rPr>
        <w:t>广建咨询（东招）2025-0122号</w:t>
      </w:r>
      <w:r>
        <w:rPr>
          <w:rFonts w:hint="eastAsia" w:ascii="宋体" w:hAnsi="宋体" w:eastAsia="宋体" w:cs="Times New Roman"/>
          <w:color w:val="000000" w:themeColor="text1"/>
          <w:kern w:val="0"/>
          <w:szCs w:val="21"/>
          <w:highlight w:val="none"/>
          <w14:textFill>
            <w14:solidFill>
              <w14:schemeClr w14:val="tx1"/>
            </w14:solidFill>
          </w14:textFill>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000000" w:themeColor="text1"/>
          <w:kern w:val="0"/>
          <w:szCs w:val="21"/>
          <w:highlight w:val="none"/>
          <w:lang w:eastAsia="zh-CN"/>
          <w14:textFill>
            <w14:solidFill>
              <w14:schemeClr w14:val="tx1"/>
            </w14:solidFill>
          </w14:textFill>
        </w:rPr>
        <w:t>异议</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cr/>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14:textFill>
            <w14:solidFill>
              <w14:schemeClr w14:val="tx1"/>
            </w14:solidFill>
          </w14:textFill>
        </w:rPr>
        <w:t>承诺，若我方存在通过弄虚作假、虚假响应招标文件要求等手段骗取中标的，招标人有权或协助主管部门认定我方严重失信的不良行为，纳入相关</w:t>
      </w:r>
      <w:r>
        <w:rPr>
          <w:rFonts w:ascii="宋体" w:hAnsi="宋体" w:eastAsia="宋体" w:cs="宋体"/>
          <w:color w:val="000000" w:themeColor="text1"/>
          <w:kern w:val="0"/>
          <w:szCs w:val="21"/>
          <w:highlight w:val="none"/>
          <w14:textFill>
            <w14:solidFill>
              <w14:schemeClr w14:val="tx1"/>
            </w14:solidFill>
          </w14:textFill>
        </w:rPr>
        <w:t>企业信用“黑名单”</w:t>
      </w:r>
      <w:r>
        <w:rPr>
          <w:rFonts w:hint="eastAsia" w:ascii="宋体" w:hAnsi="宋体" w:eastAsia="宋体" w:cs="宋体"/>
          <w:color w:val="000000" w:themeColor="text1"/>
          <w:kern w:val="0"/>
          <w:szCs w:val="21"/>
          <w:highlight w:val="none"/>
          <w14:textFill>
            <w14:solidFill>
              <w14:schemeClr w14:val="tx1"/>
            </w14:solidFill>
          </w14:textFill>
        </w:rPr>
        <w:t>，限制我方参与依法必须招标项目的投标，并</w:t>
      </w:r>
      <w:r>
        <w:rPr>
          <w:rFonts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14:textFill>
            <w14:solidFill>
              <w14:schemeClr w14:val="tx1"/>
            </w14:solidFill>
          </w14:textFill>
        </w:rPr>
        <w:t>行政主管部门报送</w:t>
      </w:r>
      <w:r>
        <w:rPr>
          <w:rFonts w:ascii="宋体" w:hAnsi="宋体" w:eastAsia="宋体" w:cs="宋体"/>
          <w:color w:val="000000" w:themeColor="text1"/>
          <w:kern w:val="0"/>
          <w:szCs w:val="21"/>
          <w:highlight w:val="none"/>
          <w14:textFill>
            <w14:solidFill>
              <w14:schemeClr w14:val="tx1"/>
            </w14:solidFill>
          </w14:textFill>
        </w:rPr>
        <w:t>结果。</w:t>
      </w:r>
      <w:r>
        <w:rPr>
          <w:rFonts w:hint="eastAsia" w:ascii="宋体" w:hAnsi="宋体" w:eastAsia="宋体" w:cs="宋体"/>
          <w:color w:val="000000" w:themeColor="text1"/>
          <w:kern w:val="0"/>
          <w:szCs w:val="21"/>
          <w:highlight w:val="none"/>
          <w14:textFill>
            <w14:solidFill>
              <w14:schemeClr w14:val="tx1"/>
            </w14:solidFill>
          </w14:textFill>
        </w:rPr>
        <w:t>同时，招标人有权根据《关于对环境保护领域失信生产经营单位及其有关人员开展联合惩戒的合作备忘录》等规定，通过“信用中国”网站向社会公示我方的失信行为，实现“一处失信、处处受限”。</w:t>
      </w:r>
    </w:p>
    <w:p w14:paraId="02B40DDD">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若我方在投标或履行本合同过程中存在提供虚假材料、虚假响应招标文件要求等弄虚作假行为，或未能根据招标文件投标人须知第2</w:t>
      </w:r>
      <w:r>
        <w:rPr>
          <w:rFonts w:ascii="宋体" w:hAnsi="宋体" w:eastAsia="宋体" w:cs="宋体"/>
          <w:color w:val="000000" w:themeColor="text1"/>
          <w:kern w:val="0"/>
          <w:szCs w:val="21"/>
          <w:highlight w:val="none"/>
          <w14:textFill>
            <w14:solidFill>
              <w14:schemeClr w14:val="tx1"/>
            </w14:solidFill>
          </w14:textFill>
        </w:rPr>
        <w:t>9.2</w:t>
      </w:r>
      <w:r>
        <w:rPr>
          <w:rFonts w:hint="eastAsia" w:ascii="宋体" w:hAnsi="宋体" w:eastAsia="宋体" w:cs="宋体"/>
          <w:color w:val="000000" w:themeColor="text1"/>
          <w:kern w:val="0"/>
          <w:szCs w:val="21"/>
          <w:highlight w:val="none"/>
          <w14:textFill>
            <w14:solidFill>
              <w14:schemeClr w14:val="tx1"/>
            </w14:solidFill>
          </w14:textFill>
        </w:rPr>
        <w:t>款约定按时提供原件核查的，因此导致我方无法参与</w:t>
      </w:r>
      <w:r>
        <w:rPr>
          <w:rFonts w:hint="eastAsia" w:ascii="宋体" w:hAnsi="宋体" w:eastAsia="宋体" w:cs="宋体"/>
          <w:color w:val="000000" w:themeColor="text1"/>
          <w:kern w:val="0"/>
          <w:szCs w:val="21"/>
          <w:highlight w:val="none"/>
          <w:lang w:eastAsia="zh-CN"/>
          <w14:textFill>
            <w14:solidFill>
              <w14:schemeClr w14:val="tx1"/>
            </w14:solidFill>
          </w14:textFill>
        </w:rPr>
        <w:t>东莞市水务环境投资控股集团有限公司</w:t>
      </w:r>
      <w:r>
        <w:rPr>
          <w:rFonts w:hint="eastAsia" w:ascii="宋体" w:hAnsi="宋体" w:eastAsia="宋体" w:cs="宋体"/>
          <w:color w:val="000000" w:themeColor="text1"/>
          <w:kern w:val="0"/>
          <w:szCs w:val="21"/>
          <w:highlight w:val="none"/>
          <w14:textFill>
            <w14:solidFill>
              <w14:schemeClr w14:val="tx1"/>
            </w14:solidFill>
          </w14:textFill>
        </w:rPr>
        <w:t>相关招标采购活动的，由我方自行承担全部后果。</w:t>
      </w:r>
    </w:p>
    <w:p w14:paraId="6DDFC8C4">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59CAAC0C">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28E4D22E">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67819936">
      <w:pPr>
        <w:autoSpaceDE w:val="0"/>
        <w:autoSpaceDN w:val="0"/>
        <w:adjustRightInd w:val="0"/>
        <w:spacing w:line="360" w:lineRule="auto"/>
        <w:ind w:firstLine="504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7D1C3E00">
      <w:pPr>
        <w:autoSpaceDE w:val="0"/>
        <w:autoSpaceDN w:val="0"/>
        <w:adjustRightInd w:val="0"/>
        <w:spacing w:line="360" w:lineRule="auto"/>
        <w:ind w:firstLine="504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法定代表人或其授权代表签名（或盖私章）：</w:t>
      </w:r>
    </w:p>
    <w:p w14:paraId="7DEB742B">
      <w:pPr>
        <w:autoSpaceDE w:val="0"/>
        <w:autoSpaceDN w:val="0"/>
        <w:adjustRightInd w:val="0"/>
        <w:spacing w:line="360" w:lineRule="auto"/>
        <w:ind w:firstLine="5040"/>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337F473C">
      <w:pPr>
        <w:autoSpaceDE w:val="0"/>
        <w:autoSpaceDN w:val="0"/>
        <w:adjustRightInd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p>
    <w:p w14:paraId="465903CE">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p>
    <w:p w14:paraId="21011D3E">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bookmarkStart w:id="451" w:name="_Toc311032584"/>
      <w:bookmarkStart w:id="452" w:name="_Toc326768876"/>
      <w:bookmarkStart w:id="453" w:name="_Toc316896755"/>
    </w:p>
    <w:p w14:paraId="0859A93A">
      <w:pPr>
        <w:pageBreakBefore/>
        <w:autoSpaceDE w:val="0"/>
        <w:autoSpaceDN w:val="0"/>
        <w:adjustRightInd w:val="0"/>
        <w:spacing w:line="360" w:lineRule="auto"/>
        <w:jc w:val="left"/>
        <w:outlineLvl w:val="2"/>
        <w:rPr>
          <w:rFonts w:ascii="宋体" w:hAnsi="宋体" w:eastAsia="宋体" w:cs="宋体"/>
          <w:b/>
          <w:color w:val="000000" w:themeColor="text1"/>
          <w:kern w:val="44"/>
          <w:sz w:val="32"/>
          <w:szCs w:val="32"/>
          <w:highlight w:val="none"/>
          <w14:textFill>
            <w14:solidFill>
              <w14:schemeClr w14:val="tx1"/>
            </w14:solidFill>
          </w14:textFill>
        </w:rPr>
      </w:pPr>
      <w:bookmarkStart w:id="454" w:name="_Toc6934"/>
      <w:bookmarkStart w:id="455" w:name="_Toc82182546"/>
      <w:bookmarkStart w:id="456" w:name="_Toc25162"/>
      <w:bookmarkStart w:id="457" w:name="_Toc104991870"/>
      <w:bookmarkStart w:id="458" w:name="_Toc86764083"/>
      <w:bookmarkStart w:id="459" w:name="_Toc142508364"/>
      <w:bookmarkStart w:id="460" w:name="_Toc140596923"/>
      <w:bookmarkStart w:id="461" w:name="_Toc102860413"/>
      <w:bookmarkStart w:id="462" w:name="_Toc12590"/>
      <w:bookmarkStart w:id="463" w:name="_Toc9778"/>
      <w:bookmarkStart w:id="464" w:name="_Toc94107204"/>
      <w:bookmarkStart w:id="465" w:name="_Toc102860069"/>
      <w:bookmarkStart w:id="466" w:name="_Toc1977723"/>
      <w:bookmarkStart w:id="467" w:name="_Toc533708123"/>
      <w:bookmarkStart w:id="468" w:name="_Toc486167711"/>
      <w:bookmarkStart w:id="469" w:name="_Toc7024_WPSOffice_Level2"/>
      <w:r>
        <w:rPr>
          <w:rFonts w:hint="eastAsia" w:ascii="宋体" w:hAnsi="宋体" w:eastAsia="宋体" w:cs="宋体"/>
          <w:b/>
          <w:color w:val="000000" w:themeColor="text1"/>
          <w:kern w:val="44"/>
          <w:sz w:val="32"/>
          <w:szCs w:val="32"/>
          <w:highlight w:val="none"/>
          <w14:textFill>
            <w14:solidFill>
              <w14:schemeClr w14:val="tx1"/>
            </w14:solidFill>
          </w14:textFill>
        </w:rPr>
        <w:t>三、供货及/或提供服务过程承诺函格式</w:t>
      </w:r>
      <w:bookmarkEnd w:id="454"/>
      <w:bookmarkEnd w:id="455"/>
      <w:bookmarkEnd w:id="456"/>
      <w:bookmarkEnd w:id="457"/>
      <w:bookmarkEnd w:id="458"/>
      <w:bookmarkEnd w:id="459"/>
      <w:bookmarkEnd w:id="460"/>
      <w:bookmarkEnd w:id="461"/>
      <w:bookmarkEnd w:id="462"/>
      <w:bookmarkEnd w:id="463"/>
      <w:bookmarkEnd w:id="464"/>
      <w:bookmarkEnd w:id="465"/>
    </w:p>
    <w:p w14:paraId="76A3875A">
      <w:pPr>
        <w:autoSpaceDE w:val="0"/>
        <w:autoSpaceDN w:val="0"/>
        <w:adjustRightInd w:val="0"/>
        <w:spacing w:line="360" w:lineRule="auto"/>
        <w:jc w:val="center"/>
        <w:rPr>
          <w:rFonts w:ascii="宋体" w:hAnsi="宋体" w:eastAsia="宋体" w:cs="宋体"/>
          <w:b/>
          <w:color w:val="000000" w:themeColor="text1"/>
          <w:kern w:val="44"/>
          <w:sz w:val="30"/>
          <w:szCs w:val="30"/>
          <w:highlight w:val="none"/>
          <w14:textFill>
            <w14:solidFill>
              <w14:schemeClr w14:val="tx1"/>
            </w14:solidFill>
          </w14:textFill>
        </w:rPr>
      </w:pPr>
      <w:r>
        <w:rPr>
          <w:rFonts w:hint="eastAsia" w:ascii="宋体" w:hAnsi="宋体" w:eastAsia="宋体" w:cs="宋体"/>
          <w:b/>
          <w:color w:val="000000" w:themeColor="text1"/>
          <w:kern w:val="44"/>
          <w:sz w:val="30"/>
          <w:szCs w:val="30"/>
          <w:highlight w:val="none"/>
          <w14:textFill>
            <w14:solidFill>
              <w14:schemeClr w14:val="tx1"/>
            </w14:solidFill>
          </w14:textFill>
        </w:rPr>
        <w:t>供货及/或提供服务过程承诺函</w:t>
      </w:r>
    </w:p>
    <w:p w14:paraId="3DF311E2">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lang w:eastAsia="zh-CN"/>
          <w14:textFill>
            <w14:solidFill>
              <w14:schemeClr w14:val="tx1"/>
            </w14:solidFill>
          </w14:textFill>
        </w:rPr>
        <w:t>东莞市水务环境投资控股集团净水有限公司</w:t>
      </w:r>
      <w:r>
        <w:rPr>
          <w:rFonts w:hint="eastAsia" w:ascii="宋体" w:hAnsi="宋体" w:eastAsia="宋体" w:cs="宋体"/>
          <w:color w:val="000000" w:themeColor="text1"/>
          <w:kern w:val="0"/>
          <w:szCs w:val="21"/>
          <w:highlight w:val="none"/>
          <w14:textFill>
            <w14:solidFill>
              <w14:schemeClr w14:val="tx1"/>
            </w14:solidFill>
          </w14:textFill>
        </w:rPr>
        <w:t>：</w:t>
      </w:r>
    </w:p>
    <w:p w14:paraId="5C47A64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（投标人名称）为招标人公开招标的</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东莞市水务环境投资控股集团净水有限公司2026年五金材料及工器具物资采购项目</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广建咨询（东招）2025-0122号</w:t>
      </w:r>
      <w:r>
        <w:rPr>
          <w:rFonts w:hint="eastAsia" w:ascii="宋体" w:hAnsi="宋体" w:eastAsia="宋体" w:cs="宋体"/>
          <w:color w:val="000000" w:themeColor="text1"/>
          <w:kern w:val="0"/>
          <w:szCs w:val="21"/>
          <w:highlight w:val="none"/>
          <w14:textFill>
            <w14:solidFill>
              <w14:schemeClr w14:val="tx1"/>
            </w14:solidFill>
          </w14:textFill>
        </w:rPr>
        <w:t>)的投标单位，为确保供货及/或提供服务过程中的人身、财产安全，我方承诺，如我方获得中标资格，将严格按照下列要求开展工作。</w:t>
      </w:r>
    </w:p>
    <w:p w14:paraId="3EAB910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1、我方承诺将严格遵守国家、地方政府有关安全生产及劳动保护的法律法规、标准、规定，贯彻执行招标人的各项安全管理规章制度。</w:t>
      </w:r>
    </w:p>
    <w:p w14:paraId="00BAB7A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2、我方承诺将依法参加工伤保险，为安排至招标人从事本项目的工作人员缴纳保险费，并为从事危险作业的人员办理意外伤害保险。</w:t>
      </w:r>
    </w:p>
    <w:p w14:paraId="0A66DED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09F26E1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03435C5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3DD9CD7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0D1884E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7、我方承诺协助和指导招标人进行货物的储存，对招标人的储存方式、方法、储存数量、仓库的安全设施设备、安全生产规章制度等是否符合国家标准或者国家有关规定提出合理的建议，并进行技术指导。</w:t>
      </w:r>
    </w:p>
    <w:p w14:paraId="0441FF7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8、我方车辆在招标人场所行驶时，将严格遵守厂区道路限行，限速和限重要求，如因我方未遵守前述要求，对厂区/招标人（含其人员）、我方人员、第三方造成损失的，由我方承担赔偿责任。</w:t>
      </w:r>
    </w:p>
    <w:p w14:paraId="40CAB3F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3A3D559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10、因我方原因，造成我方损失，由我方自负，给招标人造成财产损失和人员伤害，我方承担全部责任，并全额赔偿招标人。</w:t>
      </w:r>
    </w:p>
    <w:p w14:paraId="7DF18FB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11、非因招标人原因，造成我方损失的，招标人无需承担任何责任，由我方自行承担全部责任。</w:t>
      </w:r>
    </w:p>
    <w:p w14:paraId="3D07657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12、我方承诺严格遵守法律法规以及招标人的安全管理要求，并接受招标人的安全生产工作协调和监督，积极消除安全隐患。安全管理的基本要求包括但不限于以下条款：</w:t>
      </w:r>
    </w:p>
    <w:p w14:paraId="18E229C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①禁火区内严禁吸烟、动火。有火灾危险的作业区域，我方承诺配置足够的灭火设施。</w:t>
      </w:r>
    </w:p>
    <w:p w14:paraId="3F35EC7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②我方承诺焊接、气割作业时两瓶距离必须达到5M及以上，气瓶距可能产生火花的电器、设备和其它火源的间距必须达到10M及以上。</w:t>
      </w:r>
    </w:p>
    <w:p w14:paraId="4BB788D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③我方承诺不在厂内道路、消防通道内搭建临时建筑或堆放物资。</w:t>
      </w:r>
    </w:p>
    <w:p w14:paraId="54A7C39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④我方承诺电动工具、电焊机等均具有漏电保护器和相应的安全防护装置。</w:t>
      </w:r>
    </w:p>
    <w:p w14:paraId="625A08C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⑤我方承诺用电设施符合要求，杜绝电线乱接、乱拉，刀闸和开关无盖，在电器设施上堆放物品等行为。</w:t>
      </w:r>
    </w:p>
    <w:p w14:paraId="62A6D5E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⑥我方承诺防雷、防静电设施及用电设施有良好接地。</w:t>
      </w:r>
    </w:p>
    <w:p w14:paraId="0B6B582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20B735F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13、我方承诺接受招标人的检查与监督，并主动配合，做好安全工作，凡有违反上述条款的即视为我方违约，招标人有权视情况从货物/服务价款中扣除2000元/次作为违约金。</w:t>
      </w:r>
    </w:p>
    <w:p w14:paraId="3C1C089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14:paraId="26EE2D27">
      <w:pPr>
        <w:autoSpaceDE w:val="0"/>
        <w:autoSpaceDN w:val="0"/>
        <w:adjustRightInd w:val="0"/>
        <w:spacing w:line="360" w:lineRule="auto"/>
        <w:ind w:firstLine="504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442B5797">
      <w:pPr>
        <w:autoSpaceDE w:val="0"/>
        <w:autoSpaceDN w:val="0"/>
        <w:adjustRightInd w:val="0"/>
        <w:spacing w:line="360" w:lineRule="auto"/>
        <w:ind w:firstLine="504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投标人：（加盖投标人法人公章）</w:t>
      </w:r>
    </w:p>
    <w:p w14:paraId="4257E1BD">
      <w:pPr>
        <w:autoSpaceDE w:val="0"/>
        <w:autoSpaceDN w:val="0"/>
        <w:adjustRightInd w:val="0"/>
        <w:spacing w:line="360" w:lineRule="auto"/>
        <w:ind w:firstLine="504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法定代表人或其授权代表签名（或盖私章）：</w:t>
      </w:r>
    </w:p>
    <w:p w14:paraId="6BAFF166">
      <w:pPr>
        <w:autoSpaceDE w:val="0"/>
        <w:autoSpaceDN w:val="0"/>
        <w:adjustRightInd w:val="0"/>
        <w:spacing w:line="360" w:lineRule="auto"/>
        <w:ind w:right="420" w:firstLine="5040" w:firstLineChars="24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日期：   年   月   日</w:t>
      </w:r>
    </w:p>
    <w:p w14:paraId="1157A095">
      <w:pPr>
        <w:pageBreakBefore/>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470" w:name="_Toc140596924"/>
      <w:bookmarkStart w:id="471" w:name="_Toc102860414"/>
      <w:bookmarkStart w:id="472" w:name="_Toc142508365"/>
      <w:bookmarkStart w:id="473" w:name="_Toc104991871"/>
      <w:bookmarkStart w:id="474" w:name="_Toc94107205"/>
      <w:bookmarkStart w:id="475" w:name="_Toc102860070"/>
      <w:bookmarkStart w:id="476" w:name="_Toc82182547"/>
      <w:bookmarkStart w:id="477" w:name="_Toc86764084"/>
      <w:bookmarkStart w:id="478" w:name="_Toc9237"/>
      <w:bookmarkStart w:id="479" w:name="_Toc6287"/>
      <w:bookmarkStart w:id="480" w:name="_Toc3993"/>
      <w:bookmarkStart w:id="481" w:name="_Toc14035"/>
      <w:r>
        <w:rPr>
          <w:rFonts w:hint="eastAsia" w:ascii="宋体" w:hAnsi="宋体" w:eastAsia="宋体" w:cs="宋体"/>
          <w:b/>
          <w:color w:val="000000" w:themeColor="text1"/>
          <w:kern w:val="44"/>
          <w:sz w:val="32"/>
          <w:szCs w:val="32"/>
          <w:highlight w:val="none"/>
          <w14:textFill>
            <w14:solidFill>
              <w14:schemeClr w14:val="tx1"/>
            </w14:solidFill>
          </w14:textFill>
        </w:rPr>
        <w:t>四</w:t>
      </w:r>
      <w:bookmarkEnd w:id="470"/>
      <w:bookmarkEnd w:id="471"/>
      <w:bookmarkEnd w:id="472"/>
      <w:bookmarkEnd w:id="473"/>
      <w:bookmarkEnd w:id="474"/>
      <w:bookmarkEnd w:id="475"/>
      <w:bookmarkEnd w:id="476"/>
      <w:bookmarkEnd w:id="477"/>
      <w:bookmarkStart w:id="482" w:name="_Toc104991872"/>
      <w:bookmarkStart w:id="483" w:name="_Toc140596925"/>
      <w:bookmarkStart w:id="484" w:name="_Toc142508366"/>
      <w:bookmarkStart w:id="485" w:name="_Toc102860071"/>
      <w:bookmarkStart w:id="486" w:name="_Toc102860415"/>
      <w:bookmarkStart w:id="487" w:name="_Toc94107206"/>
      <w:r>
        <w:rPr>
          <w:rFonts w:hint="eastAsia" w:ascii="宋体" w:hAnsi="宋体" w:eastAsia="宋体" w:cs="宋体"/>
          <w:b/>
          <w:color w:val="000000" w:themeColor="text1"/>
          <w:kern w:val="0"/>
          <w:sz w:val="32"/>
          <w:szCs w:val="32"/>
          <w:highlight w:val="none"/>
          <w14:textFill>
            <w14:solidFill>
              <w14:schemeClr w14:val="tx1"/>
            </w14:solidFill>
          </w14:textFill>
        </w:rPr>
        <w:t>、投标报价表格式</w:t>
      </w:r>
      <w:bookmarkEnd w:id="466"/>
      <w:bookmarkEnd w:id="467"/>
      <w:bookmarkEnd w:id="468"/>
      <w:bookmarkEnd w:id="469"/>
      <w:bookmarkEnd w:id="478"/>
      <w:bookmarkEnd w:id="479"/>
      <w:bookmarkEnd w:id="480"/>
      <w:bookmarkEnd w:id="481"/>
      <w:bookmarkEnd w:id="482"/>
      <w:bookmarkEnd w:id="483"/>
      <w:bookmarkEnd w:id="484"/>
      <w:bookmarkEnd w:id="485"/>
      <w:bookmarkEnd w:id="486"/>
      <w:bookmarkEnd w:id="487"/>
    </w:p>
    <w:p w14:paraId="4FE9A588">
      <w:pPr>
        <w:spacing w:line="360" w:lineRule="auto"/>
        <w:jc w:val="center"/>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投标报价表</w:t>
      </w:r>
    </w:p>
    <w:p w14:paraId="3F5B5338">
      <w:pPr>
        <w:spacing w:line="360" w:lineRule="auto"/>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东莞市水务环境投资控股集团净水有限公司2026年五金材料及工器具物资采购项目</w:t>
      </w:r>
    </w:p>
    <w:p w14:paraId="634C63FF">
      <w:pPr>
        <w:spacing w:line="360" w:lineRule="auto"/>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广建咨询（东招）2025-0122号</w:t>
      </w:r>
    </w:p>
    <w:tbl>
      <w:tblPr>
        <w:tblStyle w:val="3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37051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5BB8678E">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77E01511">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2C85460F">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投标折扣系数</w:t>
            </w:r>
          </w:p>
        </w:tc>
        <w:tc>
          <w:tcPr>
            <w:tcW w:w="642" w:type="pct"/>
            <w:tcBorders>
              <w:top w:val="single" w:color="auto" w:sz="4" w:space="0"/>
              <w:left w:val="single" w:color="auto" w:sz="4" w:space="0"/>
              <w:bottom w:val="single" w:color="auto" w:sz="4" w:space="0"/>
              <w:right w:val="single" w:color="auto" w:sz="4" w:space="0"/>
            </w:tcBorders>
            <w:vAlign w:val="center"/>
          </w:tcPr>
          <w:p w14:paraId="50D88A77">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备注</w:t>
            </w:r>
          </w:p>
        </w:tc>
      </w:tr>
      <w:tr w14:paraId="5B681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0C7B0500">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p>
        </w:tc>
        <w:tc>
          <w:tcPr>
            <w:tcW w:w="2280" w:type="pct"/>
            <w:tcBorders>
              <w:top w:val="single" w:color="auto" w:sz="4" w:space="0"/>
              <w:left w:val="single" w:color="auto" w:sz="4" w:space="0"/>
              <w:right w:val="single" w:color="auto" w:sz="4" w:space="0"/>
            </w:tcBorders>
            <w:vAlign w:val="center"/>
          </w:tcPr>
          <w:p w14:paraId="727A71AA">
            <w:pPr>
              <w:autoSpaceDE w:val="0"/>
              <w:autoSpaceDN w:val="0"/>
              <w:spacing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zh-CN"/>
                <w14:textFill>
                  <w14:solidFill>
                    <w14:schemeClr w14:val="tx1"/>
                  </w14:solidFill>
                </w14:textFill>
              </w:rPr>
              <w:t>东莞市水务环境投资控股集团净水有限公司2026年五金材料及工器具物资采购项目</w:t>
            </w:r>
          </w:p>
        </w:tc>
        <w:tc>
          <w:tcPr>
            <w:tcW w:w="1578" w:type="pct"/>
            <w:tcBorders>
              <w:top w:val="single" w:color="auto" w:sz="4" w:space="0"/>
              <w:left w:val="single" w:color="auto" w:sz="4" w:space="0"/>
              <w:right w:val="single" w:color="auto" w:sz="4" w:space="0"/>
            </w:tcBorders>
            <w:vAlign w:val="center"/>
          </w:tcPr>
          <w:p w14:paraId="7DB2B075">
            <w:pPr>
              <w:keepNext w:val="0"/>
              <w:keepLines w:val="0"/>
              <w:suppressLineNumbers w:val="0"/>
              <w:spacing w:before="240" w:beforeLines="100" w:beforeAutospacing="0" w:after="0" w:afterAutospacing="0" w:line="360" w:lineRule="auto"/>
              <w:ind w:left="0" w:right="0"/>
              <w:rPr>
                <w:rFonts w:hint="default" w:ascii="宋体" w:hAnsi="宋体" w:eastAsia="宋体" w:cs="Times New Roman"/>
                <w:color w:val="000000" w:themeColor="text1"/>
                <w:kern w:val="0"/>
                <w:sz w:val="21"/>
                <w:szCs w:val="21"/>
                <w:highlight w:val="none"/>
                <w:u w:val="single"/>
                <w14:textFill>
                  <w14:solidFill>
                    <w14:schemeClr w14:val="tx1"/>
                  </w14:solidFill>
                </w14:textFill>
              </w:rPr>
            </w:pPr>
            <w:r>
              <w:rPr>
                <w:rFonts w:hint="eastAsia" w:ascii="宋体" w:hAnsi="宋体" w:eastAsia="宋体" w:cs="Times New Roman"/>
                <w:color w:val="000000" w:themeColor="text1"/>
                <w:kern w:val="0"/>
                <w:sz w:val="21"/>
                <w:szCs w:val="21"/>
                <w:highlight w:val="none"/>
                <w:lang w:bidi="ar"/>
                <w14:textFill>
                  <w14:solidFill>
                    <w14:schemeClr w14:val="tx1"/>
                  </w14:solidFill>
                </w14:textFill>
              </w:rPr>
              <w:t xml:space="preserve">      </w:t>
            </w:r>
            <w:r>
              <w:rPr>
                <w:rFonts w:hint="eastAsia" w:ascii="宋体" w:hAnsi="宋体" w:eastAsia="宋体" w:cs="Times New Roman"/>
                <w:color w:val="000000" w:themeColor="text1"/>
                <w:kern w:val="0"/>
                <w:sz w:val="21"/>
                <w:szCs w:val="21"/>
                <w:highlight w:val="none"/>
                <w:u w:val="single"/>
                <w:lang w:bidi="ar"/>
                <w14:textFill>
                  <w14:solidFill>
                    <w14:schemeClr w14:val="tx1"/>
                  </w14:solidFill>
                </w14:textFill>
              </w:rPr>
              <w:t xml:space="preserve">                       </w:t>
            </w:r>
          </w:p>
          <w:p w14:paraId="336A128E">
            <w:pPr>
              <w:tabs>
                <w:tab w:val="left" w:pos="8610"/>
              </w:tabs>
              <w:spacing w:line="360" w:lineRule="auto"/>
              <w:rPr>
                <w:rFonts w:ascii="宋体" w:hAnsi="宋体" w:eastAsia="宋体" w:cs="Times New Roman"/>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投标折扣系数报价不得超过1，且不能为0或负数）</w:t>
            </w:r>
          </w:p>
        </w:tc>
        <w:tc>
          <w:tcPr>
            <w:tcW w:w="642" w:type="pct"/>
            <w:tcBorders>
              <w:top w:val="single" w:color="auto" w:sz="4" w:space="0"/>
              <w:left w:val="single" w:color="auto" w:sz="4" w:space="0"/>
              <w:right w:val="single" w:color="auto" w:sz="4" w:space="0"/>
            </w:tcBorders>
            <w:vAlign w:val="center"/>
          </w:tcPr>
          <w:p w14:paraId="0C8E4D3E">
            <w:pPr>
              <w:tabs>
                <w:tab w:val="left" w:pos="8610"/>
              </w:tabs>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1DE61586">
      <w:pPr>
        <w:rPr>
          <w:rFonts w:ascii="宋体" w:hAnsi="宋体" w:eastAsia="宋体" w:cs="宋体"/>
          <w:color w:val="000000" w:themeColor="text1"/>
          <w:kern w:val="0"/>
          <w:sz w:val="20"/>
          <w:szCs w:val="21"/>
          <w:highlight w:val="none"/>
          <w14:textFill>
            <w14:solidFill>
              <w14:schemeClr w14:val="tx1"/>
            </w14:solidFill>
          </w14:textFill>
        </w:rPr>
      </w:pPr>
    </w:p>
    <w:p w14:paraId="21671C27">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1031F8AC">
      <w:pPr>
        <w:autoSpaceDE w:val="0"/>
        <w:autoSpaceDN w:val="0"/>
        <w:adjustRightInd w:val="0"/>
        <w:snapToGrid w:val="0"/>
        <w:spacing w:line="360" w:lineRule="auto"/>
        <w:ind w:left="605" w:leftChars="18"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本项目投标报价为不含税价，即为《</w:t>
      </w:r>
      <w:r>
        <w:rPr>
          <w:rFonts w:hint="eastAsia" w:ascii="宋体" w:hAnsi="宋体" w:eastAsia="宋体" w:cs="宋体"/>
          <w:bCs/>
          <w:color w:val="000000" w:themeColor="text1"/>
          <w:sz w:val="21"/>
          <w:szCs w:val="21"/>
          <w:highlight w:val="none"/>
          <w14:textFill>
            <w14:solidFill>
              <w14:schemeClr w14:val="tx1"/>
            </w14:solidFill>
          </w14:textFill>
        </w:rPr>
        <w:t>中华人民共和国增值税法实施条例</w:t>
      </w:r>
      <w:r>
        <w:rPr>
          <w:rFonts w:hint="eastAsia" w:ascii="宋体" w:hAnsi="宋体" w:eastAsia="宋体" w:cs="Times New Roman"/>
          <w:b/>
          <w:color w:val="000000" w:themeColor="text1"/>
          <w:kern w:val="0"/>
          <w:szCs w:val="21"/>
          <w:highlight w:val="none"/>
          <w:u w:val="single"/>
          <w14:textFill>
            <w14:solidFill>
              <w14:schemeClr w14:val="tx1"/>
            </w14:solidFill>
          </w14:textFill>
        </w:rPr>
        <w:t>》（国务院令第</w:t>
      </w:r>
      <w:r>
        <w:rPr>
          <w:rFonts w:hint="eastAsia" w:ascii="宋体" w:hAnsi="宋体" w:eastAsia="宋体" w:cs="Times New Roman"/>
          <w:b/>
          <w:color w:val="000000" w:themeColor="text1"/>
          <w:kern w:val="0"/>
          <w:szCs w:val="21"/>
          <w:highlight w:val="none"/>
          <w:u w:val="single"/>
          <w:lang w:val="en-US" w:eastAsia="zh-CN"/>
          <w14:textFill>
            <w14:solidFill>
              <w14:schemeClr w14:val="tx1"/>
            </w14:solidFill>
          </w14:textFill>
        </w:rPr>
        <w:t>826</w:t>
      </w:r>
      <w:r>
        <w:rPr>
          <w:rFonts w:hint="eastAsia" w:ascii="宋体" w:hAnsi="宋体" w:eastAsia="宋体" w:cs="Times New Roman"/>
          <w:b/>
          <w:color w:val="000000" w:themeColor="text1"/>
          <w:kern w:val="0"/>
          <w:szCs w:val="21"/>
          <w:highlight w:val="none"/>
          <w:u w:val="single"/>
          <w14:textFill>
            <w14:solidFill>
              <w14:schemeClr w14:val="tx1"/>
            </w14:solidFill>
          </w14:textFill>
        </w:rPr>
        <w:t>号）规定的销售额</w:t>
      </w:r>
      <w:r>
        <w:rPr>
          <w:rFonts w:hint="eastAsia" w:ascii="宋体" w:hAnsi="宋体" w:eastAsia="宋体" w:cs="Times New Roman"/>
          <w:color w:val="000000" w:themeColor="text1"/>
          <w:kern w:val="0"/>
          <w:szCs w:val="21"/>
          <w:highlight w:val="none"/>
          <w14:textFill>
            <w14:solidFill>
              <w14:schemeClr w14:val="tx1"/>
            </w14:solidFill>
          </w14:textFill>
        </w:rPr>
        <w:t>。本招标文件所称的不含税价是指不含本采购项目的投标人销项税额，包含了投标人完成合同义务（含投标人代缴代扣、分包及委外服务、采购货物等所产生的价税）的其他全部费用。</w:t>
      </w:r>
      <w:r>
        <w:rPr>
          <w:rFonts w:hint="eastAsia" w:ascii="宋体" w:hAnsi="宋体" w:eastAsia="宋体" w:cs="Times New Roman"/>
          <w:color w:val="000000" w:themeColor="text1"/>
          <w:szCs w:val="21"/>
          <w:highlight w:val="none"/>
          <w:lang w:val="zh-CN"/>
          <w14:textFill>
            <w14:solidFill>
              <w14:schemeClr w14:val="tx1"/>
            </w14:solidFill>
          </w14:textFill>
        </w:rPr>
        <w:t>本采购项目的销项税额由招标人承担</w:t>
      </w:r>
      <w:r>
        <w:rPr>
          <w:rFonts w:hint="eastAsia" w:ascii="宋体" w:hAnsi="宋体" w:eastAsia="宋体" w:cs="Times New Roman"/>
          <w:color w:val="000000" w:themeColor="text1"/>
          <w:kern w:val="0"/>
          <w:szCs w:val="21"/>
          <w:highlight w:val="none"/>
          <w14:textFill>
            <w14:solidFill>
              <w14:schemeClr w14:val="tx1"/>
            </w14:solidFill>
          </w14:textFill>
        </w:rPr>
        <w:t>，不计入投标报价。合同履约过程中，采购清单中五金材料及工器具不含税中标综合单价按以下方式计算：不含税中标综合单价=不含税预算综合单价×中标折扣系数，以实际供货数量进行结算，不含税中标综合单价出现小数点，保留小数点后两位，从小数点后第3位四舍五入。</w:t>
      </w:r>
    </w:p>
    <w:p w14:paraId="4F364B62">
      <w:pPr>
        <w:autoSpaceDE w:val="0"/>
        <w:autoSpaceDN w:val="0"/>
        <w:adjustRightInd w:val="0"/>
        <w:snapToGrid w:val="0"/>
        <w:spacing w:line="360" w:lineRule="auto"/>
        <w:ind w:left="607" w:leftChars="18" w:hanging="569" w:hangingChars="270"/>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w:t>
      </w:r>
      <w:r>
        <w:rPr>
          <w:rFonts w:ascii="宋体" w:hAnsi="宋体" w:eastAsia="宋体" w:cs="Times New Roman"/>
          <w:b/>
          <w:bCs/>
          <w:color w:val="000000" w:themeColor="text1"/>
          <w:kern w:val="0"/>
          <w:szCs w:val="21"/>
          <w:highlight w:val="none"/>
          <w14:textFill>
            <w14:solidFill>
              <w14:schemeClr w14:val="tx1"/>
            </w14:solidFill>
          </w14:textFill>
        </w:rPr>
        <w:t>2</w:t>
      </w:r>
      <w:r>
        <w:rPr>
          <w:rFonts w:hint="eastAsia" w:ascii="宋体" w:hAnsi="宋体" w:eastAsia="宋体" w:cs="Times New Roman"/>
          <w:b/>
          <w:bCs/>
          <w:color w:val="000000" w:themeColor="text1"/>
          <w:kern w:val="0"/>
          <w:szCs w:val="21"/>
          <w:highlight w:val="none"/>
          <w14:textFill>
            <w14:solidFill>
              <w14:schemeClr w14:val="tx1"/>
            </w14:solidFill>
          </w14:textFill>
        </w:rPr>
        <w:t>）投标人的投标折扣系数报价不得超过1，且不能为0或负数，投标折扣系数报价最多保留小数点后两位。投标人未按招标文件要求进行投标折扣系数报价的，该投标人的投标文件将被视为无效投标。</w:t>
      </w:r>
    </w:p>
    <w:p w14:paraId="57C47F5C">
      <w:pPr>
        <w:autoSpaceDE w:val="0"/>
        <w:autoSpaceDN w:val="0"/>
        <w:adjustRightInd w:val="0"/>
        <w:snapToGrid w:val="0"/>
        <w:spacing w:line="360" w:lineRule="auto"/>
        <w:ind w:left="605" w:leftChars="18" w:hanging="567" w:hangingChars="270"/>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b/>
          <w:bCs/>
          <w:color w:val="000000" w:themeColor="text1"/>
          <w:kern w:val="0"/>
          <w:szCs w:val="21"/>
          <w:highlight w:val="none"/>
          <w:u w:val="single"/>
          <w:lang w:val="zh-CN"/>
          <w14:textFill>
            <w14:solidFill>
              <w14:schemeClr w14:val="tx1"/>
            </w14:solidFill>
          </w14:textFill>
        </w:rPr>
        <w:t>本表一式二份，一份随唱标信封一起提交，一份编入投标文件商务文件</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w:t>
      </w:r>
    </w:p>
    <w:p w14:paraId="14929073">
      <w:pPr>
        <w:autoSpaceDE w:val="0"/>
        <w:autoSpaceDN w:val="0"/>
        <w:adjustRightInd w:val="0"/>
        <w:snapToGrid w:val="0"/>
        <w:spacing w:line="360" w:lineRule="auto"/>
        <w:ind w:left="605" w:leftChars="18" w:hanging="567" w:hangingChars="270"/>
        <w:jc w:val="left"/>
        <w:rPr>
          <w:rFonts w:hint="eastAsia" w:ascii="宋体" w:hAnsi="宋体" w:eastAsia="宋体" w:cs="Times New Roman"/>
          <w:bCs/>
          <w:color w:val="000000" w:themeColor="text1"/>
          <w:kern w:val="0"/>
          <w:szCs w:val="21"/>
          <w:highlight w:val="none"/>
          <w:lang w:val="zh-CN"/>
          <w14:textFill>
            <w14:solidFill>
              <w14:schemeClr w14:val="tx1"/>
            </w14:solidFill>
          </w14:textFill>
        </w:rPr>
      </w:pPr>
    </w:p>
    <w:p w14:paraId="72188595">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303D1E37">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5ACEB4AE">
      <w:pPr>
        <w:autoSpaceDE w:val="0"/>
        <w:autoSpaceDN w:val="0"/>
        <w:adjustRightInd w:val="0"/>
        <w:spacing w:line="360" w:lineRule="auto"/>
        <w:ind w:firstLine="4960" w:firstLineChars="2362"/>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3F33F3ED">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br w:type="page"/>
      </w:r>
      <w:bookmarkStart w:id="488" w:name="_Toc140596928"/>
      <w:bookmarkStart w:id="489" w:name="_Toc18828"/>
      <w:bookmarkStart w:id="490" w:name="_Toc102860074"/>
      <w:bookmarkStart w:id="491" w:name="_Toc9259"/>
      <w:bookmarkStart w:id="492" w:name="_Toc142508369"/>
      <w:bookmarkStart w:id="493" w:name="_Toc82"/>
      <w:bookmarkStart w:id="494" w:name="_Toc94107209"/>
      <w:bookmarkStart w:id="495" w:name="_Toc24015"/>
      <w:bookmarkStart w:id="496" w:name="_Toc102860418"/>
      <w:bookmarkStart w:id="497" w:name="_Toc1977725"/>
      <w:bookmarkStart w:id="498" w:name="_Toc104991875"/>
      <w:bookmarkStart w:id="499" w:name="_Toc533708124"/>
      <w:bookmarkStart w:id="500" w:name="_Toc486167712"/>
      <w:bookmarkStart w:id="501" w:name="_Toc20759_WPSOffice_Level2"/>
      <w:r>
        <w:rPr>
          <w:rFonts w:hint="eastAsia" w:ascii="宋体" w:hAnsi="宋体" w:eastAsia="宋体" w:cs="宋体"/>
          <w:b/>
          <w:bCs/>
          <w:color w:val="000000" w:themeColor="text1"/>
          <w:sz w:val="30"/>
          <w:szCs w:val="30"/>
          <w:highlight w:val="none"/>
          <w:lang w:val="en-US" w:eastAsia="zh-CN"/>
          <w14:textFill>
            <w14:solidFill>
              <w14:schemeClr w14:val="tx1"/>
            </w14:solidFill>
          </w14:textFill>
        </w:rPr>
        <w:t>五</w:t>
      </w:r>
      <w:r>
        <w:rPr>
          <w:rFonts w:hint="eastAsia" w:ascii="宋体" w:hAnsi="宋体" w:eastAsia="宋体" w:cs="宋体"/>
          <w:b/>
          <w:color w:val="000000" w:themeColor="text1"/>
          <w:kern w:val="0"/>
          <w:sz w:val="32"/>
          <w:szCs w:val="32"/>
          <w:highlight w:val="none"/>
          <w14:textFill>
            <w14:solidFill>
              <w14:schemeClr w14:val="tx1"/>
            </w14:solidFill>
          </w14:textFill>
        </w:rPr>
        <w:t>、投标人资格证明文件</w:t>
      </w:r>
      <w:bookmarkEnd w:id="488"/>
      <w:bookmarkEnd w:id="489"/>
      <w:bookmarkEnd w:id="490"/>
      <w:bookmarkEnd w:id="491"/>
      <w:bookmarkEnd w:id="492"/>
      <w:bookmarkEnd w:id="493"/>
      <w:bookmarkEnd w:id="494"/>
      <w:bookmarkEnd w:id="495"/>
      <w:bookmarkEnd w:id="496"/>
      <w:bookmarkEnd w:id="497"/>
      <w:bookmarkEnd w:id="498"/>
    </w:p>
    <w:p w14:paraId="677EBB70">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502" w:name="_Toc142508370"/>
      <w:bookmarkStart w:id="503" w:name="_Toc102860075"/>
      <w:bookmarkStart w:id="504" w:name="_Toc102860419"/>
      <w:bookmarkStart w:id="505" w:name="_Toc94107210"/>
      <w:bookmarkStart w:id="506" w:name="_Toc104991876"/>
      <w:bookmarkStart w:id="507" w:name="_Toc16353"/>
      <w:bookmarkStart w:id="508" w:name="_Toc140596929"/>
      <w:bookmarkStart w:id="509" w:name="_Toc29878"/>
      <w:bookmarkStart w:id="510" w:name="_Toc28382"/>
      <w:bookmarkStart w:id="511" w:name="_Toc31420"/>
      <w:bookmarkStart w:id="512" w:name="_Toc1977726"/>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.1 多证合一营业执照（或事业单位法人证书）复印件</w:t>
      </w:r>
      <w:bookmarkEnd w:id="502"/>
      <w:bookmarkEnd w:id="503"/>
      <w:bookmarkEnd w:id="504"/>
      <w:bookmarkEnd w:id="505"/>
      <w:bookmarkEnd w:id="506"/>
      <w:bookmarkEnd w:id="507"/>
      <w:bookmarkEnd w:id="508"/>
      <w:bookmarkEnd w:id="509"/>
      <w:bookmarkEnd w:id="510"/>
      <w:bookmarkEnd w:id="511"/>
    </w:p>
    <w:p w14:paraId="2A14BC7A">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87777E1">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000000" w:themeColor="text1"/>
          <w:kern w:val="0"/>
          <w:szCs w:val="21"/>
          <w:highlight w:val="none"/>
          <w14:textFill>
            <w14:solidFill>
              <w14:schemeClr w14:val="tx1"/>
            </w14:solidFill>
          </w14:textFill>
        </w:rPr>
        <w:sectPr>
          <w:footerReference r:id="rId8" w:type="first"/>
          <w:footerReference r:id="rId7" w:type="default"/>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p>
    <w:p w14:paraId="1410D638">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513" w:name="_Toc27935"/>
      <w:bookmarkStart w:id="514" w:name="_Toc26345"/>
      <w:bookmarkStart w:id="515" w:name="_Toc94107211"/>
      <w:bookmarkStart w:id="516" w:name="_Toc142508371"/>
      <w:bookmarkStart w:id="517" w:name="_Toc104991877"/>
      <w:bookmarkStart w:id="518" w:name="_Toc140596930"/>
      <w:bookmarkStart w:id="519" w:name="_Toc9489"/>
      <w:bookmarkStart w:id="520" w:name="_Toc102860076"/>
      <w:bookmarkStart w:id="521" w:name="_Toc5762"/>
      <w:bookmarkStart w:id="522" w:name="_Toc102860420"/>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13"/>
      <w:bookmarkEnd w:id="514"/>
      <w:bookmarkEnd w:id="515"/>
      <w:bookmarkEnd w:id="516"/>
      <w:bookmarkEnd w:id="517"/>
      <w:bookmarkEnd w:id="518"/>
      <w:bookmarkEnd w:id="519"/>
      <w:bookmarkEnd w:id="520"/>
      <w:bookmarkEnd w:id="521"/>
      <w:bookmarkEnd w:id="522"/>
    </w:p>
    <w:p w14:paraId="32718A2D">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bookmarkStart w:id="523" w:name="_Toc644"/>
      <w:bookmarkStart w:id="524" w:name="_Toc94107212"/>
      <w:bookmarkStart w:id="525" w:name="_Toc102860077"/>
      <w:bookmarkStart w:id="526" w:name="_Toc140596931"/>
      <w:bookmarkStart w:id="527" w:name="_Toc104991878"/>
      <w:bookmarkStart w:id="528" w:name="_Toc142508372"/>
      <w:bookmarkStart w:id="529" w:name="_Toc22119"/>
      <w:bookmarkStart w:id="530" w:name="_Toc102860421"/>
      <w:bookmarkStart w:id="531" w:name="_Toc28787"/>
      <w:bookmarkStart w:id="532" w:name="_Toc21657"/>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.3</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法定代表人身份证明书原件、法定代表人授权书原件格式（法定代表人投标时只需提供法定代表人身份证明书，委托他人为投标代表或签署投标文件时需同时提供法定代表人授权书）</w:t>
      </w:r>
      <w:bookmarkEnd w:id="523"/>
      <w:bookmarkEnd w:id="524"/>
      <w:bookmarkEnd w:id="525"/>
      <w:bookmarkEnd w:id="526"/>
      <w:bookmarkEnd w:id="527"/>
      <w:bookmarkEnd w:id="528"/>
      <w:bookmarkEnd w:id="529"/>
      <w:bookmarkEnd w:id="530"/>
      <w:bookmarkEnd w:id="531"/>
      <w:bookmarkEnd w:id="532"/>
    </w:p>
    <w:p w14:paraId="179A8EFE">
      <w:pPr>
        <w:spacing w:before="120" w:after="120" w:line="360" w:lineRule="auto"/>
        <w:ind w:firstLine="426" w:firstLineChars="202"/>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（1）法定代表人身份证明书格式</w:t>
      </w:r>
      <w:bookmarkEnd w:id="499"/>
      <w:bookmarkEnd w:id="500"/>
      <w:bookmarkEnd w:id="501"/>
      <w:bookmarkEnd w:id="512"/>
    </w:p>
    <w:p w14:paraId="64937FC0">
      <w:pPr>
        <w:spacing w:before="120" w:after="120" w:line="360" w:lineRule="auto"/>
        <w:ind w:firstLine="608" w:firstLineChars="202"/>
        <w:jc w:val="center"/>
        <w:rPr>
          <w:rFonts w:ascii="宋体" w:hAnsi="宋体" w:eastAsia="宋体" w:cs="宋体"/>
          <w:b/>
          <w:color w:val="000000" w:themeColor="text1"/>
          <w:sz w:val="30"/>
          <w:szCs w:val="30"/>
          <w:highlight w:val="none"/>
          <w14:textFill>
            <w14:solidFill>
              <w14:schemeClr w14:val="tx1"/>
            </w14:solidFill>
          </w14:textFill>
        </w:rPr>
      </w:pPr>
    </w:p>
    <w:p w14:paraId="50629F12">
      <w:pPr>
        <w:spacing w:before="120" w:after="120" w:line="360" w:lineRule="auto"/>
        <w:ind w:firstLine="608" w:firstLineChars="202"/>
        <w:jc w:val="center"/>
        <w:rPr>
          <w:rFonts w:ascii="宋体" w:hAnsi="宋体" w:eastAsia="宋体" w:cs="宋体"/>
          <w:b/>
          <w:bCs/>
          <w:color w:val="000000" w:themeColor="text1"/>
          <w:sz w:val="30"/>
          <w:szCs w:val="30"/>
          <w:highlight w:val="none"/>
          <w14:textFill>
            <w14:solidFill>
              <w14:schemeClr w14:val="tx1"/>
            </w14:solidFill>
          </w14:textFill>
        </w:rPr>
      </w:pPr>
      <w:bookmarkStart w:id="533" w:name="_Toc11033_WPSOffice_Level3"/>
      <w:r>
        <w:rPr>
          <w:rFonts w:hint="eastAsia" w:ascii="宋体" w:hAnsi="宋体" w:eastAsia="宋体" w:cs="宋体"/>
          <w:b/>
          <w:color w:val="000000" w:themeColor="text1"/>
          <w:sz w:val="30"/>
          <w:szCs w:val="30"/>
          <w:highlight w:val="none"/>
          <w14:textFill>
            <w14:solidFill>
              <w14:schemeClr w14:val="tx1"/>
            </w14:solidFill>
          </w14:textFill>
        </w:rPr>
        <w:t>法定代</w:t>
      </w:r>
      <w:bookmarkStart w:id="534" w:name="_Toc36971359"/>
      <w:bookmarkStart w:id="535" w:name="_Toc45995270"/>
      <w:r>
        <w:rPr>
          <w:rFonts w:hint="eastAsia" w:ascii="宋体" w:hAnsi="宋体" w:eastAsia="宋体" w:cs="宋体"/>
          <w:b/>
          <w:color w:val="000000" w:themeColor="text1"/>
          <w:sz w:val="30"/>
          <w:szCs w:val="30"/>
          <w:highlight w:val="none"/>
          <w14:textFill>
            <w14:solidFill>
              <w14:schemeClr w14:val="tx1"/>
            </w14:solidFill>
          </w14:textFill>
        </w:rPr>
        <w:t>表人身份证明书</w:t>
      </w:r>
      <w:bookmarkEnd w:id="533"/>
    </w:p>
    <w:bookmarkEnd w:id="534"/>
    <w:bookmarkEnd w:id="535"/>
    <w:p w14:paraId="2958568C">
      <w:pPr>
        <w:spacing w:before="120" w:after="120" w:line="360" w:lineRule="auto"/>
        <w:ind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先生／女士：现任我单位</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职务，为法定代表人，特此证明。</w:t>
      </w:r>
    </w:p>
    <w:p w14:paraId="2557BEEF">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有效日期：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签发日期：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076B5CA8">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附：代表人性别：</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年龄：</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身份证号码：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155ABC53">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营业执照号码：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经济性质： </w:t>
      </w:r>
    </w:p>
    <w:p w14:paraId="364E6B88">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主营（产）：</w:t>
      </w:r>
    </w:p>
    <w:p w14:paraId="7FA630C6">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兼营（产）：</w:t>
      </w:r>
    </w:p>
    <w:p w14:paraId="4933074D">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附 法定代表人身份证复印件 </w:t>
      </w:r>
    </w:p>
    <w:p w14:paraId="7A9209C0">
      <w:pPr>
        <w:spacing w:before="120" w:after="120" w:line="360" w:lineRule="auto"/>
        <w:ind w:left="340" w:leftChars="162" w:firstLine="474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投标人：（加盖投标人法人公章）</w:t>
      </w:r>
    </w:p>
    <w:p w14:paraId="272E76E1">
      <w:pPr>
        <w:autoSpaceDE w:val="0"/>
        <w:autoSpaceDN w:val="0"/>
        <w:adjustRightInd w:val="0"/>
        <w:spacing w:line="360" w:lineRule="auto"/>
        <w:ind w:right="1010" w:rightChars="481" w:firstLine="6090" w:firstLineChars="29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5B6F7C7E">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43C31D0"/>
                          <w:p w14:paraId="513ED56D"/>
                          <w:p w14:paraId="4EB70CA9"/>
                          <w:p w14:paraId="209697AC"/>
                          <w:p w14:paraId="73D1E9A9">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143C31D0"/>
                    <w:p w14:paraId="513ED56D"/>
                    <w:p w14:paraId="4EB70CA9"/>
                    <w:p w14:paraId="209697AC"/>
                    <w:p w14:paraId="73D1E9A9">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ACFAD36"/>
                          <w:p w14:paraId="0E83F27D"/>
                          <w:p w14:paraId="4021EF40"/>
                          <w:p w14:paraId="75A6B28A"/>
                          <w:p w14:paraId="6C718715">
                            <w:pPr>
                              <w:jc w:val="center"/>
                              <w:rPr>
                                <w:szCs w:val="21"/>
                              </w:rPr>
                            </w:pPr>
                            <w:r>
                              <w:rPr>
                                <w:rFonts w:hint="eastAsia"/>
                                <w:szCs w:val="21"/>
                              </w:rPr>
                              <w:t>法定代表人身份证反面</w:t>
                            </w:r>
                          </w:p>
                          <w:p w14:paraId="6F3B6C2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6ACFAD36"/>
                    <w:p w14:paraId="0E83F27D"/>
                    <w:p w14:paraId="4021EF40"/>
                    <w:p w14:paraId="75A6B28A"/>
                    <w:p w14:paraId="6C718715">
                      <w:pPr>
                        <w:jc w:val="center"/>
                        <w:rPr>
                          <w:szCs w:val="21"/>
                        </w:rPr>
                      </w:pPr>
                      <w:r>
                        <w:rPr>
                          <w:rFonts w:hint="eastAsia"/>
                          <w:szCs w:val="21"/>
                        </w:rPr>
                        <w:t>法定代表人身份证反面</w:t>
                      </w:r>
                    </w:p>
                    <w:p w14:paraId="6F3B6C29">
                      <w:pPr>
                        <w:jc w:val="center"/>
                        <w:rPr>
                          <w:szCs w:val="21"/>
                        </w:rPr>
                      </w:pP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B4512F6"/>
                          <w:p w14:paraId="4B353AF0"/>
                          <w:p w14:paraId="066CE5E3"/>
                          <w:p w14:paraId="29ADCBC3"/>
                          <w:p w14:paraId="4E721541">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7B4512F6"/>
                    <w:p w14:paraId="4B353AF0"/>
                    <w:p w14:paraId="066CE5E3"/>
                    <w:p w14:paraId="29ADCBC3"/>
                    <w:p w14:paraId="4E721541">
                      <w:pPr>
                        <w:jc w:val="center"/>
                      </w:pPr>
                      <w:r>
                        <w:rPr>
                          <w:rFonts w:hint="eastAsia"/>
                        </w:rPr>
                        <w:t>身份证正面</w:t>
                      </w:r>
                    </w:p>
                  </w:txbxContent>
                </v:textbox>
              </v:shape>
            </w:pict>
          </mc:Fallback>
        </mc:AlternateContent>
      </w:r>
    </w:p>
    <w:p w14:paraId="663F90AF">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4BE458B9">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3EA8912">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FA645E0">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D78E245">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8D6BE27">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245B002">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7A5B896">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698914A">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4A547EDC">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p>
    <w:p w14:paraId="57143E46">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注：法定代表人身份证须在有效期限内。</w:t>
      </w:r>
    </w:p>
    <w:p w14:paraId="65FB5EF0">
      <w:pPr>
        <w:autoSpaceDE w:val="0"/>
        <w:autoSpaceDN w:val="0"/>
        <w:adjustRightInd w:val="0"/>
        <w:jc w:val="left"/>
        <w:rPr>
          <w:rFonts w:ascii="宋体" w:hAnsi="宋体" w:eastAsia="宋体" w:cs="宋体"/>
          <w:color w:val="000000" w:themeColor="text1"/>
          <w:kern w:val="0"/>
          <w:szCs w:val="21"/>
          <w:highlight w:val="none"/>
          <w14:textFill>
            <w14:solidFill>
              <w14:schemeClr w14:val="tx1"/>
            </w14:solidFill>
          </w14:textFill>
        </w:rPr>
      </w:pPr>
    </w:p>
    <w:p w14:paraId="6B2AB1CF">
      <w:pPr>
        <w:spacing w:before="120" w:after="120" w:line="360" w:lineRule="auto"/>
        <w:ind w:firstLine="424" w:firstLineChars="202"/>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End w:id="451"/>
      <w:bookmarkEnd w:id="452"/>
      <w:bookmarkEnd w:id="453"/>
      <w:bookmarkStart w:id="536" w:name="_Toc6240_WPSOffice_Level2"/>
      <w:bookmarkStart w:id="537" w:name="_Toc533708125"/>
      <w:bookmarkStart w:id="538" w:name="_Toc486167713"/>
      <w:bookmarkStart w:id="539" w:name="_Toc1977727"/>
      <w:r>
        <w:rPr>
          <w:rFonts w:hint="eastAsia" w:ascii="宋体" w:hAnsi="宋体" w:eastAsia="宋体" w:cs="宋体"/>
          <w:b/>
          <w:color w:val="000000" w:themeColor="text1"/>
          <w:szCs w:val="24"/>
          <w:highlight w:val="none"/>
          <w14:textFill>
            <w14:solidFill>
              <w14:schemeClr w14:val="tx1"/>
            </w14:solidFill>
          </w14:textFill>
        </w:rPr>
        <w:t>（2）法定代表人授权书格式</w:t>
      </w:r>
      <w:bookmarkEnd w:id="536"/>
      <w:bookmarkEnd w:id="537"/>
      <w:bookmarkEnd w:id="538"/>
      <w:bookmarkEnd w:id="539"/>
    </w:p>
    <w:p w14:paraId="593C5462">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p>
    <w:p w14:paraId="1D17C683">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540" w:name="_Toc29146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法定代表人授权书</w:t>
      </w:r>
      <w:bookmarkEnd w:id="540"/>
    </w:p>
    <w:p w14:paraId="089B94BD">
      <w:pPr>
        <w:autoSpaceDE w:val="0"/>
        <w:autoSpaceDN w:val="0"/>
        <w:adjustRightInd w:val="0"/>
        <w:spacing w:line="360" w:lineRule="auto"/>
        <w:jc w:val="center"/>
        <w:rPr>
          <w:rFonts w:ascii="宋体" w:hAnsi="宋体" w:eastAsia="宋体" w:cs="宋体"/>
          <w:color w:val="000000" w:themeColor="text1"/>
          <w:szCs w:val="28"/>
          <w:highlight w:val="none"/>
          <w:lang w:val="zh-CN"/>
          <w14:textFill>
            <w14:solidFill>
              <w14:schemeClr w14:val="tx1"/>
            </w14:solidFill>
          </w14:textFill>
        </w:rPr>
      </w:pPr>
    </w:p>
    <w:p w14:paraId="36F415F0">
      <w:pPr>
        <w:spacing w:before="120" w:after="120" w:line="360" w:lineRule="auto"/>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致：东莞市水务环境投资控股集团净水有限公司</w:t>
      </w:r>
    </w:p>
    <w:p w14:paraId="3C580E11">
      <w:pPr>
        <w:spacing w:before="120" w:after="120" w:line="360" w:lineRule="auto"/>
        <w:ind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本授权书声明：注册于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（投标人地址）的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（投标人名称）在下面签字或盖私章的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（法定代表人姓名、职务、身份证号码）代表本公司授权在下面签字或盖私章的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（被授权人的姓名、职务、身份证号码）为本公司的合法代表人，签署</w:t>
      </w:r>
      <w:r>
        <w:rPr>
          <w:rFonts w:hint="eastAsia" w:ascii="宋体" w:hAnsi="宋体" w:eastAsia="宋体" w:cs="宋体"/>
          <w:color w:val="000000" w:themeColor="text1"/>
          <w:szCs w:val="21"/>
          <w:highlight w:val="none"/>
          <w:u w:val="single"/>
          <w:lang w:eastAsia="zh-CN"/>
          <w14:textFill>
            <w14:solidFill>
              <w14:schemeClr w14:val="tx1"/>
            </w14:solidFill>
          </w14:textFill>
        </w:rPr>
        <w:t>东莞市水务环境投资控股集团净水有限公司2026年五金材料及工器具物资采购项目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广建咨询（东招）2025-0122号</w:t>
      </w:r>
      <w:r>
        <w:rPr>
          <w:rFonts w:hint="eastAsia" w:ascii="宋体" w:hAnsi="宋体" w:eastAsia="宋体" w:cs="宋体"/>
          <w:color w:val="000000" w:themeColor="text1"/>
          <w:szCs w:val="21"/>
          <w:highlight w:val="none"/>
          <w:lang w:val="zh-CN"/>
          <w14:textFill>
            <w14:solidFill>
              <w14:schemeClr w14:val="tx1"/>
            </w14:solidFill>
          </w14:textFill>
        </w:rPr>
        <w:t>）的投标文件，</w:t>
      </w:r>
      <w:r>
        <w:rPr>
          <w:rFonts w:hint="eastAsia" w:ascii="宋体" w:hAnsi="宋体" w:eastAsia="宋体" w:cs="宋体"/>
          <w:color w:val="000000" w:themeColor="text1"/>
          <w:szCs w:val="21"/>
          <w:highlight w:val="none"/>
          <w14:textFill>
            <w14:solidFill>
              <w14:schemeClr w14:val="tx1"/>
            </w14:solidFill>
          </w14:textFill>
        </w:rPr>
        <w:t>代表我公司</w:t>
      </w:r>
      <w:r>
        <w:rPr>
          <w:rFonts w:hint="eastAsia" w:ascii="宋体" w:hAnsi="宋体" w:eastAsia="宋体" w:cs="宋体"/>
          <w:color w:val="000000" w:themeColor="text1"/>
          <w:szCs w:val="24"/>
          <w:highlight w:val="none"/>
          <w:lang w:val="zh-CN"/>
          <w14:textFill>
            <w14:solidFill>
              <w14:schemeClr w14:val="tx1"/>
            </w14:solidFill>
          </w14:textFill>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000000" w:themeColor="text1"/>
          <w:szCs w:val="21"/>
          <w:highlight w:val="none"/>
          <w14:textFill>
            <w14:solidFill>
              <w14:schemeClr w14:val="tx1"/>
            </w14:solidFill>
          </w14:textFill>
        </w:rPr>
        <w:t>我承认代理人全权代表我所签署的本项目投标文件的内容及</w:t>
      </w:r>
      <w:r>
        <w:rPr>
          <w:rFonts w:hint="eastAsia" w:ascii="宋体" w:hAnsi="宋体" w:eastAsia="宋体" w:cs="宋体"/>
          <w:color w:val="000000" w:themeColor="text1"/>
          <w:szCs w:val="24"/>
          <w:highlight w:val="none"/>
          <w:lang w:val="zh-CN"/>
          <w14:textFill>
            <w14:solidFill>
              <w14:schemeClr w14:val="tx1"/>
            </w14:solidFill>
          </w14:textFill>
        </w:rPr>
        <w:t>所进行的上述活动。</w:t>
      </w:r>
    </w:p>
    <w:p w14:paraId="5BC77305">
      <w:pPr>
        <w:spacing w:before="120" w:after="1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日签字生效，有效期至投标文件失效期止，</w:t>
      </w:r>
      <w:r>
        <w:rPr>
          <w:rFonts w:hint="eastAsia" w:ascii="宋体" w:hAnsi="宋体" w:eastAsia="宋体" w:cs="宋体"/>
          <w:color w:val="000000" w:themeColor="text1"/>
          <w:szCs w:val="21"/>
          <w:highlight w:val="none"/>
          <w14:textFill>
            <w14:solidFill>
              <w14:schemeClr w14:val="tx1"/>
            </w14:solidFill>
          </w14:textFill>
        </w:rPr>
        <w:t>代理人无转委托权，</w:t>
      </w:r>
      <w:r>
        <w:rPr>
          <w:rFonts w:hint="eastAsia" w:ascii="宋体" w:hAnsi="宋体" w:eastAsia="宋体" w:cs="宋体"/>
          <w:color w:val="000000" w:themeColor="text1"/>
          <w:szCs w:val="24"/>
          <w:highlight w:val="none"/>
          <w:lang w:val="zh-CN"/>
          <w14:textFill>
            <w14:solidFill>
              <w14:schemeClr w14:val="tx1"/>
            </w14:solidFill>
          </w14:textFill>
        </w:rPr>
        <w:t>特此声明。</w:t>
      </w:r>
    </w:p>
    <w:p w14:paraId="7FE52A77">
      <w:pPr>
        <w:spacing w:before="120" w:after="120" w:line="360" w:lineRule="auto"/>
        <w:ind w:left="348" w:leftChars="136" w:hanging="62"/>
        <w:rPr>
          <w:rFonts w:ascii="宋体" w:hAnsi="宋体" w:eastAsia="宋体" w:cs="宋体"/>
          <w:color w:val="000000" w:themeColor="text1"/>
          <w:szCs w:val="24"/>
          <w:highlight w:val="none"/>
          <w14:textFill>
            <w14:solidFill>
              <w14:schemeClr w14:val="tx1"/>
            </w14:solidFill>
          </w14:textFill>
        </w:rPr>
      </w:pPr>
    </w:p>
    <w:p w14:paraId="2CFEAD10">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  标  人：（加盖投标人法人公章）</w:t>
      </w:r>
    </w:p>
    <w:p w14:paraId="2F43B2CB">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投标人地址：</w:t>
      </w:r>
    </w:p>
    <w:p w14:paraId="6750AD26">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法定代表人（签名或盖私章）：</w:t>
      </w:r>
    </w:p>
    <w:p w14:paraId="56D9B539">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03B81BCC">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被授权人（签名或盖私章）：</w:t>
      </w:r>
    </w:p>
    <w:p w14:paraId="56B4BF47">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72010675">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被授权人联系手机：</w:t>
      </w:r>
    </w:p>
    <w:p w14:paraId="04CB8AA5">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电 子 邮 箱：</w:t>
      </w:r>
    </w:p>
    <w:p w14:paraId="1F07137E">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r>
        <w:rPr>
          <w:rFonts w:hint="eastAsia" w:ascii="宋体" w:hAnsi="宋体" w:eastAsia="宋体" w:cs="宋体"/>
          <w:color w:val="000000" w:themeColor="text1"/>
          <w:szCs w:val="24"/>
          <w:highlight w:val="none"/>
          <w14:textFill>
            <w14:solidFill>
              <w14:schemeClr w14:val="tx1"/>
            </w14:solidFill>
          </w14:textFill>
        </w:rPr>
        <w:t>附 法定代表人、被授权人身份证复印件</w:t>
      </w:r>
    </w:p>
    <w:p w14:paraId="161FD0FA">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EAD75EB"/>
                          <w:p w14:paraId="610E6035"/>
                          <w:p w14:paraId="72241E5B"/>
                          <w:p w14:paraId="119AD7E1"/>
                          <w:p w14:paraId="1092B284">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EAD75EB"/>
                    <w:p w14:paraId="610E6035"/>
                    <w:p w14:paraId="72241E5B"/>
                    <w:p w14:paraId="119AD7E1"/>
                    <w:p w14:paraId="1092B284">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D4F46BA"/>
                          <w:p w14:paraId="6E522633"/>
                          <w:p w14:paraId="14AE4975"/>
                          <w:p w14:paraId="511CAE0B"/>
                          <w:p w14:paraId="2A650133">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D4F46BA"/>
                    <w:p w14:paraId="6E522633"/>
                    <w:p w14:paraId="14AE4975"/>
                    <w:p w14:paraId="511CAE0B"/>
                    <w:p w14:paraId="2A650133">
                      <w:pPr>
                        <w:jc w:val="center"/>
                        <w:rPr>
                          <w:rFonts w:hAnsi="宋体"/>
                        </w:rPr>
                      </w:pPr>
                      <w:r>
                        <w:rPr>
                          <w:rFonts w:hint="eastAsia" w:hAnsi="宋体"/>
                        </w:rPr>
                        <w:t>法定代表人身份证正面</w:t>
                      </w:r>
                    </w:p>
                  </w:txbxContent>
                </v:textbox>
              </v:shape>
            </w:pict>
          </mc:Fallback>
        </mc:AlternateContent>
      </w:r>
    </w:p>
    <w:p w14:paraId="1D2245FF">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516CD1D2">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52B4394">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2538630">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54AFA6B7">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2B5A66E">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FFEA4A1">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55F9998C">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8C0788E">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ED2598E"/>
                          <w:p w14:paraId="7FC58766">
                            <w:pPr>
                              <w:jc w:val="center"/>
                              <w:rPr>
                                <w:rFonts w:hAnsi="宋体"/>
                                <w:color w:val="FF0000"/>
                              </w:rPr>
                            </w:pPr>
                          </w:p>
                          <w:p w14:paraId="7A0879A6">
                            <w:pPr>
                              <w:jc w:val="center"/>
                              <w:rPr>
                                <w:rFonts w:hAnsi="宋体"/>
                                <w:color w:val="FF0000"/>
                              </w:rPr>
                            </w:pPr>
                          </w:p>
                          <w:p w14:paraId="78C518F2">
                            <w:pPr>
                              <w:jc w:val="center"/>
                              <w:rPr>
                                <w:rFonts w:hAnsi="宋体"/>
                                <w:color w:val="FF0000"/>
                              </w:rPr>
                            </w:pPr>
                          </w:p>
                          <w:p w14:paraId="6F2450D3">
                            <w:pPr>
                              <w:jc w:val="center"/>
                            </w:pPr>
                            <w:r>
                              <w:rPr>
                                <w:rFonts w:hint="eastAsia" w:hAnsi="宋体"/>
                              </w:rPr>
                              <w:t>被授权人身份证反面</w:t>
                            </w:r>
                          </w:p>
                          <w:p w14:paraId="1BDA437A"/>
                          <w:p w14:paraId="0021CCA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7ED2598E"/>
                    <w:p w14:paraId="7FC58766">
                      <w:pPr>
                        <w:jc w:val="center"/>
                        <w:rPr>
                          <w:rFonts w:hAnsi="宋体"/>
                          <w:color w:val="FF0000"/>
                        </w:rPr>
                      </w:pPr>
                    </w:p>
                    <w:p w14:paraId="7A0879A6">
                      <w:pPr>
                        <w:jc w:val="center"/>
                        <w:rPr>
                          <w:rFonts w:hAnsi="宋体"/>
                          <w:color w:val="FF0000"/>
                        </w:rPr>
                      </w:pPr>
                    </w:p>
                    <w:p w14:paraId="78C518F2">
                      <w:pPr>
                        <w:jc w:val="center"/>
                        <w:rPr>
                          <w:rFonts w:hAnsi="宋体"/>
                          <w:color w:val="FF0000"/>
                        </w:rPr>
                      </w:pPr>
                    </w:p>
                    <w:p w14:paraId="6F2450D3">
                      <w:pPr>
                        <w:jc w:val="center"/>
                      </w:pPr>
                      <w:r>
                        <w:rPr>
                          <w:rFonts w:hint="eastAsia" w:hAnsi="宋体"/>
                        </w:rPr>
                        <w:t>被授权人身份证反面</w:t>
                      </w:r>
                    </w:p>
                    <w:p w14:paraId="1BDA437A"/>
                    <w:p w14:paraId="0021CCAC"/>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ECBA9DB"/>
                          <w:p w14:paraId="2F880FA6">
                            <w:pPr>
                              <w:jc w:val="center"/>
                              <w:rPr>
                                <w:rFonts w:hAnsi="宋体"/>
                                <w:color w:val="FF0000"/>
                              </w:rPr>
                            </w:pPr>
                          </w:p>
                          <w:p w14:paraId="5AF56A5E">
                            <w:pPr>
                              <w:jc w:val="center"/>
                              <w:rPr>
                                <w:rFonts w:hAnsi="宋体"/>
                                <w:color w:val="FF0000"/>
                              </w:rPr>
                            </w:pPr>
                          </w:p>
                          <w:p w14:paraId="09ED899B">
                            <w:pPr>
                              <w:jc w:val="center"/>
                              <w:rPr>
                                <w:rFonts w:hAnsi="宋体"/>
                                <w:color w:val="FF0000"/>
                              </w:rPr>
                            </w:pPr>
                          </w:p>
                          <w:p w14:paraId="6003424E">
                            <w:pPr>
                              <w:jc w:val="center"/>
                            </w:pPr>
                            <w:r>
                              <w:rPr>
                                <w:rFonts w:hint="eastAsia" w:hAnsi="宋体"/>
                              </w:rPr>
                              <w:t>被授权人身份证正面</w:t>
                            </w:r>
                          </w:p>
                          <w:p w14:paraId="708504EA"/>
                          <w:p w14:paraId="00891857"/>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5ECBA9DB"/>
                    <w:p w14:paraId="2F880FA6">
                      <w:pPr>
                        <w:jc w:val="center"/>
                        <w:rPr>
                          <w:rFonts w:hAnsi="宋体"/>
                          <w:color w:val="FF0000"/>
                        </w:rPr>
                      </w:pPr>
                    </w:p>
                    <w:p w14:paraId="5AF56A5E">
                      <w:pPr>
                        <w:jc w:val="center"/>
                        <w:rPr>
                          <w:rFonts w:hAnsi="宋体"/>
                          <w:color w:val="FF0000"/>
                        </w:rPr>
                      </w:pPr>
                    </w:p>
                    <w:p w14:paraId="09ED899B">
                      <w:pPr>
                        <w:jc w:val="center"/>
                        <w:rPr>
                          <w:rFonts w:hAnsi="宋体"/>
                          <w:color w:val="FF0000"/>
                        </w:rPr>
                      </w:pPr>
                    </w:p>
                    <w:p w14:paraId="6003424E">
                      <w:pPr>
                        <w:jc w:val="center"/>
                      </w:pPr>
                      <w:r>
                        <w:rPr>
                          <w:rFonts w:hint="eastAsia" w:hAnsi="宋体"/>
                        </w:rPr>
                        <w:t>被授权人身份证正面</w:t>
                      </w:r>
                    </w:p>
                    <w:p w14:paraId="708504EA"/>
                    <w:p w14:paraId="00891857"/>
                  </w:txbxContent>
                </v:textbox>
              </v:shape>
            </w:pict>
          </mc:Fallback>
        </mc:AlternateContent>
      </w:r>
    </w:p>
    <w:p w14:paraId="69EFF83F">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3CEF84E">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CD9B1C5">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B048B12">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056CBD4">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305D737">
      <w:pPr>
        <w:widowControl/>
        <w:autoSpaceDE w:val="0"/>
        <w:autoSpaceDN w:val="0"/>
        <w:spacing w:before="120" w:after="120" w:line="360" w:lineRule="auto"/>
        <w:ind w:right="781" w:rightChars="372" w:firstLine="422" w:firstLineChars="200"/>
        <w:textAlignment w:val="bottom"/>
        <w:rPr>
          <w:rFonts w:ascii="宋体" w:hAnsi="宋体" w:eastAsia="宋体" w:cs="宋体"/>
          <w:b/>
          <w:color w:val="000000" w:themeColor="text1"/>
          <w:szCs w:val="24"/>
          <w:highlight w:val="none"/>
          <w14:textFill>
            <w14:solidFill>
              <w14:schemeClr w14:val="tx1"/>
            </w14:solidFill>
          </w14:textFill>
        </w:rPr>
        <w:sectPr>
          <w:footerReference r:id="rId10" w:type="first"/>
          <w:footerReference r:id="rId9" w:type="default"/>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r>
        <w:rPr>
          <w:rFonts w:hint="eastAsia" w:ascii="宋体" w:hAnsi="宋体" w:eastAsia="宋体" w:cs="宋体"/>
          <w:b/>
          <w:color w:val="000000" w:themeColor="text1"/>
          <w:szCs w:val="24"/>
          <w:highlight w:val="none"/>
          <w14:textFill>
            <w14:solidFill>
              <w14:schemeClr w14:val="tx1"/>
            </w14:solidFill>
          </w14:textFill>
        </w:rPr>
        <w:t>注：上述所附身份证应在有效期限内。</w:t>
      </w:r>
    </w:p>
    <w:p w14:paraId="7DF23974">
      <w:pPr>
        <w:pStyle w:val="5"/>
        <w:pageBreakBefore/>
        <w:spacing w:line="360" w:lineRule="auto"/>
        <w:rPr>
          <w:rFonts w:hAnsi="宋体"/>
          <w:b/>
          <w:color w:val="000000" w:themeColor="text1"/>
          <w:sz w:val="30"/>
          <w:szCs w:val="30"/>
          <w:highlight w:val="none"/>
          <w:lang w:val="zh-CN"/>
          <w14:textFill>
            <w14:solidFill>
              <w14:schemeClr w14:val="tx1"/>
            </w14:solidFill>
          </w14:textFill>
        </w:rPr>
      </w:pPr>
      <w:bookmarkStart w:id="541" w:name="_Toc24761"/>
      <w:bookmarkStart w:id="542" w:name="_Toc8338"/>
      <w:bookmarkStart w:id="543" w:name="_Toc77"/>
      <w:bookmarkStart w:id="544" w:name="_Toc30070"/>
      <w:bookmarkStart w:id="545" w:name="_Toc142508373"/>
      <w:bookmarkStart w:id="546" w:name="_Toc140596933"/>
      <w:bookmarkStart w:id="547" w:name="_Toc1977730"/>
      <w:bookmarkStart w:id="548" w:name="_Toc104991880"/>
      <w:bookmarkStart w:id="549" w:name="_Toc94107214"/>
      <w:r>
        <w:rPr>
          <w:rFonts w:hint="eastAsia" w:hAnsi="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w:t>
      </w:r>
      <w:r>
        <w:rPr>
          <w:rFonts w:hint="default" w:ascii="宋体" w:hAnsi="宋体" w:eastAsia="宋体" w:cs="宋体"/>
          <w:b/>
          <w:color w:val="000000" w:themeColor="text1"/>
          <w:kern w:val="0"/>
          <w:sz w:val="30"/>
          <w:szCs w:val="30"/>
          <w:highlight w:val="none"/>
          <w:lang w:val="en-US"/>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hAnsi="宋体"/>
          <w:b/>
          <w:bCs/>
          <w:color w:val="000000" w:themeColor="text1"/>
          <w:kern w:val="2"/>
          <w:sz w:val="32"/>
          <w:szCs w:val="32"/>
          <w:highlight w:val="none"/>
          <w14:textFill>
            <w14:solidFill>
              <w14:schemeClr w14:val="tx1"/>
            </w14:solidFill>
          </w14:textFill>
        </w:rPr>
        <w:t>资格业绩</w:t>
      </w:r>
      <w:r>
        <w:rPr>
          <w:rFonts w:hint="eastAsia" w:ascii="宋体" w:hAnsi="宋体" w:eastAsia="宋体"/>
          <w:b/>
          <w:bCs/>
          <w:color w:val="000000" w:themeColor="text1"/>
          <w:sz w:val="32"/>
          <w:szCs w:val="32"/>
          <w:highlight w:val="none"/>
          <w14:textFill>
            <w14:solidFill>
              <w14:schemeClr w14:val="tx1"/>
            </w14:solidFill>
          </w14:textFill>
        </w:rPr>
        <w:t>【投标人提供一份</w:t>
      </w:r>
      <w:r>
        <w:rPr>
          <w:rFonts w:hint="eastAsia" w:hAnsi="宋体"/>
          <w:b/>
          <w:bCs/>
          <w:color w:val="000000" w:themeColor="text1"/>
          <w:sz w:val="32"/>
          <w:szCs w:val="32"/>
          <w:highlight w:val="none"/>
          <w:lang w:val="en-US" w:eastAsia="zh-CN"/>
          <w14:textFill>
            <w14:solidFill>
              <w14:schemeClr w14:val="tx1"/>
            </w14:solidFill>
          </w14:textFill>
        </w:rPr>
        <w:t>2023</w:t>
      </w:r>
      <w:r>
        <w:rPr>
          <w:rFonts w:hint="eastAsia" w:ascii="宋体" w:hAnsi="宋体" w:eastAsia="宋体"/>
          <w:b/>
          <w:bCs/>
          <w:color w:val="000000" w:themeColor="text1"/>
          <w:sz w:val="32"/>
          <w:szCs w:val="32"/>
          <w:highlight w:val="none"/>
          <w14:textFill>
            <w14:solidFill>
              <w14:schemeClr w14:val="tx1"/>
            </w14:solidFill>
          </w14:textFill>
        </w:rPr>
        <w:t>年</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月</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日以来承接的五金材料或工器具在国内的销售</w:t>
      </w:r>
      <w:r>
        <w:rPr>
          <w:rFonts w:hint="eastAsia" w:ascii="宋体" w:hAnsi="宋体" w:eastAsia="宋体" w:cs="宋体"/>
          <w:b/>
          <w:bCs/>
          <w:color w:val="000000" w:themeColor="text1"/>
          <w:sz w:val="32"/>
          <w:szCs w:val="32"/>
          <w:highlight w:val="none"/>
          <w14:textFill>
            <w14:solidFill>
              <w14:schemeClr w14:val="tx1"/>
            </w14:solidFill>
          </w14:textFill>
        </w:rPr>
        <w:t>业绩</w:t>
      </w:r>
      <w:r>
        <w:rPr>
          <w:rFonts w:hint="eastAsia" w:ascii="宋体" w:hAnsi="宋体" w:eastAsia="宋体"/>
          <w:b/>
          <w:bCs/>
          <w:color w:val="000000" w:themeColor="text1"/>
          <w:sz w:val="32"/>
          <w:szCs w:val="32"/>
          <w:highlight w:val="none"/>
          <w14:textFill>
            <w14:solidFill>
              <w14:schemeClr w14:val="tx1"/>
            </w14:solidFill>
          </w14:textFill>
        </w:rPr>
        <w:t>（合同签订日期为</w:t>
      </w:r>
      <w:r>
        <w:rPr>
          <w:rFonts w:hint="eastAsia" w:hAnsi="宋体"/>
          <w:b/>
          <w:bCs/>
          <w:color w:val="000000" w:themeColor="text1"/>
          <w:sz w:val="32"/>
          <w:szCs w:val="32"/>
          <w:highlight w:val="none"/>
          <w:lang w:val="en-US" w:eastAsia="zh-CN"/>
          <w14:textFill>
            <w14:solidFill>
              <w14:schemeClr w14:val="tx1"/>
            </w14:solidFill>
          </w14:textFill>
        </w:rPr>
        <w:t>2023</w:t>
      </w:r>
      <w:r>
        <w:rPr>
          <w:rFonts w:hint="eastAsia" w:ascii="宋体" w:hAnsi="宋体" w:eastAsia="宋体"/>
          <w:b/>
          <w:bCs/>
          <w:color w:val="000000" w:themeColor="text1"/>
          <w:sz w:val="32"/>
          <w:szCs w:val="32"/>
          <w:highlight w:val="none"/>
          <w14:textFill>
            <w14:solidFill>
              <w14:schemeClr w14:val="tx1"/>
            </w14:solidFill>
          </w14:textFill>
        </w:rPr>
        <w:t>年</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月</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日或以后）</w:t>
      </w:r>
      <w:bookmarkEnd w:id="541"/>
      <w:bookmarkEnd w:id="542"/>
      <w:bookmarkEnd w:id="543"/>
      <w:bookmarkEnd w:id="544"/>
    </w:p>
    <w:tbl>
      <w:tblPr>
        <w:tblStyle w:val="39"/>
        <w:tblW w:w="506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6"/>
        <w:gridCol w:w="2274"/>
        <w:gridCol w:w="2894"/>
        <w:gridCol w:w="1380"/>
        <w:gridCol w:w="1382"/>
        <w:gridCol w:w="614"/>
      </w:tblGrid>
      <w:tr w14:paraId="4D6B9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60" w:type="pct"/>
            <w:tcBorders>
              <w:top w:val="single" w:color="auto" w:sz="4" w:space="0"/>
              <w:left w:val="single" w:color="auto" w:sz="4" w:space="0"/>
              <w:bottom w:val="single" w:color="auto" w:sz="4" w:space="0"/>
              <w:right w:val="single" w:color="auto" w:sz="4" w:space="0"/>
            </w:tcBorders>
            <w:vAlign w:val="center"/>
          </w:tcPr>
          <w:p w14:paraId="033D63B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1208" w:type="pct"/>
            <w:tcBorders>
              <w:top w:val="single" w:color="auto" w:sz="4" w:space="0"/>
              <w:left w:val="single" w:color="auto" w:sz="4" w:space="0"/>
              <w:bottom w:val="single" w:color="auto" w:sz="4" w:space="0"/>
              <w:right w:val="single" w:color="auto" w:sz="4" w:space="0"/>
            </w:tcBorders>
            <w:vAlign w:val="center"/>
          </w:tcPr>
          <w:p w14:paraId="774E518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项目名称</w:t>
            </w:r>
          </w:p>
        </w:tc>
        <w:tc>
          <w:tcPr>
            <w:tcW w:w="1537" w:type="pct"/>
            <w:tcBorders>
              <w:top w:val="single" w:color="auto" w:sz="4" w:space="0"/>
              <w:left w:val="single" w:color="auto" w:sz="4" w:space="0"/>
              <w:bottom w:val="single" w:color="auto" w:sz="4" w:space="0"/>
              <w:right w:val="single" w:color="auto" w:sz="4" w:space="0"/>
            </w:tcBorders>
            <w:vAlign w:val="center"/>
          </w:tcPr>
          <w:p w14:paraId="58D546D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733" w:type="pct"/>
            <w:tcBorders>
              <w:top w:val="single" w:color="auto" w:sz="4" w:space="0"/>
              <w:left w:val="single" w:color="auto" w:sz="4" w:space="0"/>
              <w:bottom w:val="single" w:color="auto" w:sz="4" w:space="0"/>
              <w:right w:val="single" w:color="auto" w:sz="4" w:space="0"/>
            </w:tcBorders>
            <w:vAlign w:val="center"/>
          </w:tcPr>
          <w:p w14:paraId="5A2F709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合同签订日期</w:t>
            </w:r>
          </w:p>
        </w:tc>
        <w:tc>
          <w:tcPr>
            <w:tcW w:w="734" w:type="pct"/>
            <w:tcBorders>
              <w:top w:val="single" w:color="auto" w:sz="4" w:space="0"/>
              <w:left w:val="single" w:color="auto" w:sz="4" w:space="0"/>
              <w:bottom w:val="single" w:color="auto" w:sz="4" w:space="0"/>
              <w:right w:val="single" w:color="auto" w:sz="4" w:space="0"/>
            </w:tcBorders>
            <w:vAlign w:val="center"/>
          </w:tcPr>
          <w:p w14:paraId="4FBE254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326" w:type="pct"/>
            <w:tcBorders>
              <w:top w:val="single" w:color="auto" w:sz="4" w:space="0"/>
              <w:left w:val="single" w:color="auto" w:sz="4" w:space="0"/>
              <w:bottom w:val="single" w:color="auto" w:sz="4" w:space="0"/>
              <w:right w:val="single" w:color="auto" w:sz="4" w:space="0"/>
            </w:tcBorders>
            <w:vAlign w:val="center"/>
          </w:tcPr>
          <w:p w14:paraId="7D48A3E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14:paraId="2ED55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60" w:type="pct"/>
            <w:tcBorders>
              <w:top w:val="single" w:color="auto" w:sz="4" w:space="0"/>
              <w:left w:val="single" w:color="auto" w:sz="4" w:space="0"/>
              <w:bottom w:val="single" w:color="auto" w:sz="4" w:space="0"/>
              <w:right w:val="single" w:color="auto" w:sz="4" w:space="0"/>
            </w:tcBorders>
            <w:vAlign w:val="center"/>
          </w:tcPr>
          <w:p w14:paraId="76FAD2D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lang w:val="zh-CN"/>
                <w14:textFill>
                  <w14:solidFill>
                    <w14:schemeClr w14:val="tx1"/>
                  </w14:solidFill>
                </w14:textFill>
              </w:rPr>
            </w:pPr>
            <w:r>
              <w:rPr>
                <w:rFonts w:hint="default" w:ascii="宋体" w:hAnsi="宋体" w:eastAsia="宋体" w:cs="Times New Roman"/>
                <w:color w:val="000000" w:themeColor="text1"/>
                <w:kern w:val="0"/>
                <w:szCs w:val="21"/>
                <w:highlight w:val="none"/>
                <w:lang w:val="zh-CN"/>
                <w14:textFill>
                  <w14:solidFill>
                    <w14:schemeClr w14:val="tx1"/>
                  </w14:solidFill>
                </w14:textFill>
              </w:rPr>
              <w:t>1</w:t>
            </w:r>
          </w:p>
        </w:tc>
        <w:tc>
          <w:tcPr>
            <w:tcW w:w="1208" w:type="pct"/>
            <w:tcBorders>
              <w:top w:val="single" w:color="auto" w:sz="4" w:space="0"/>
              <w:left w:val="single" w:color="auto" w:sz="4" w:space="0"/>
              <w:bottom w:val="single" w:color="auto" w:sz="4" w:space="0"/>
              <w:right w:val="single" w:color="auto" w:sz="4" w:space="0"/>
            </w:tcBorders>
            <w:vAlign w:val="center"/>
          </w:tcPr>
          <w:p w14:paraId="1FC8874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1537" w:type="pct"/>
            <w:tcBorders>
              <w:top w:val="single" w:color="auto" w:sz="4" w:space="0"/>
              <w:left w:val="single" w:color="auto" w:sz="4" w:space="0"/>
              <w:bottom w:val="single" w:color="auto" w:sz="4" w:space="0"/>
              <w:right w:val="single" w:color="auto" w:sz="4" w:space="0"/>
            </w:tcBorders>
            <w:vAlign w:val="center"/>
          </w:tcPr>
          <w:p w14:paraId="01F6B3A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33" w:type="pct"/>
            <w:tcBorders>
              <w:top w:val="single" w:color="auto" w:sz="4" w:space="0"/>
              <w:left w:val="single" w:color="auto" w:sz="4" w:space="0"/>
              <w:bottom w:val="single" w:color="auto" w:sz="4" w:space="0"/>
              <w:right w:val="single" w:color="auto" w:sz="4" w:space="0"/>
            </w:tcBorders>
            <w:vAlign w:val="center"/>
          </w:tcPr>
          <w:p w14:paraId="7742980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34" w:type="pct"/>
            <w:tcBorders>
              <w:top w:val="single" w:color="auto" w:sz="4" w:space="0"/>
              <w:left w:val="single" w:color="auto" w:sz="4" w:space="0"/>
              <w:bottom w:val="single" w:color="auto" w:sz="4" w:space="0"/>
              <w:right w:val="single" w:color="auto" w:sz="4" w:space="0"/>
            </w:tcBorders>
            <w:vAlign w:val="center"/>
          </w:tcPr>
          <w:p w14:paraId="6E3A509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26" w:type="pct"/>
            <w:tcBorders>
              <w:top w:val="single" w:color="auto" w:sz="4" w:space="0"/>
              <w:left w:val="single" w:color="auto" w:sz="4" w:space="0"/>
              <w:bottom w:val="single" w:color="auto" w:sz="4" w:space="0"/>
              <w:right w:val="single" w:color="auto" w:sz="4" w:space="0"/>
            </w:tcBorders>
            <w:vAlign w:val="center"/>
          </w:tcPr>
          <w:p w14:paraId="4A9C16E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r>
      <w:tr w14:paraId="7F85D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60" w:type="pct"/>
            <w:tcBorders>
              <w:top w:val="single" w:color="auto" w:sz="4" w:space="0"/>
              <w:left w:val="single" w:color="auto" w:sz="4" w:space="0"/>
              <w:bottom w:val="single" w:color="auto" w:sz="4" w:space="0"/>
              <w:right w:val="single" w:color="auto" w:sz="4" w:space="0"/>
            </w:tcBorders>
            <w:vAlign w:val="center"/>
          </w:tcPr>
          <w:p w14:paraId="4E1ACC2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lang w:val="zh-CN"/>
                <w14:textFill>
                  <w14:solidFill>
                    <w14:schemeClr w14:val="tx1"/>
                  </w14:solidFill>
                </w14:textFill>
              </w:rPr>
            </w:pPr>
            <w:r>
              <w:rPr>
                <w:rFonts w:hint="default" w:ascii="宋体" w:hAnsi="宋体" w:eastAsia="宋体" w:cs="Times New Roman"/>
                <w:color w:val="000000" w:themeColor="text1"/>
                <w:kern w:val="0"/>
                <w:szCs w:val="21"/>
                <w:highlight w:val="none"/>
                <w:lang w:val="zh-CN"/>
                <w14:textFill>
                  <w14:solidFill>
                    <w14:schemeClr w14:val="tx1"/>
                  </w14:solidFill>
                </w14:textFill>
              </w:rPr>
              <w:t>2</w:t>
            </w:r>
          </w:p>
        </w:tc>
        <w:tc>
          <w:tcPr>
            <w:tcW w:w="1208" w:type="pct"/>
            <w:tcBorders>
              <w:top w:val="single" w:color="auto" w:sz="4" w:space="0"/>
              <w:left w:val="single" w:color="auto" w:sz="4" w:space="0"/>
              <w:bottom w:val="single" w:color="auto" w:sz="4" w:space="0"/>
              <w:right w:val="single" w:color="auto" w:sz="4" w:space="0"/>
            </w:tcBorders>
            <w:vAlign w:val="center"/>
          </w:tcPr>
          <w:p w14:paraId="2EBE1E6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1537" w:type="pct"/>
            <w:tcBorders>
              <w:top w:val="single" w:color="auto" w:sz="4" w:space="0"/>
              <w:left w:val="single" w:color="auto" w:sz="4" w:space="0"/>
              <w:bottom w:val="single" w:color="auto" w:sz="4" w:space="0"/>
              <w:right w:val="single" w:color="auto" w:sz="4" w:space="0"/>
            </w:tcBorders>
            <w:vAlign w:val="center"/>
          </w:tcPr>
          <w:p w14:paraId="2E6260C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33" w:type="pct"/>
            <w:tcBorders>
              <w:top w:val="single" w:color="auto" w:sz="4" w:space="0"/>
              <w:left w:val="single" w:color="auto" w:sz="4" w:space="0"/>
              <w:bottom w:val="single" w:color="auto" w:sz="4" w:space="0"/>
              <w:right w:val="single" w:color="auto" w:sz="4" w:space="0"/>
            </w:tcBorders>
            <w:vAlign w:val="center"/>
          </w:tcPr>
          <w:p w14:paraId="345CFCE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34" w:type="pct"/>
            <w:tcBorders>
              <w:top w:val="single" w:color="auto" w:sz="4" w:space="0"/>
              <w:left w:val="single" w:color="auto" w:sz="4" w:space="0"/>
              <w:bottom w:val="single" w:color="auto" w:sz="4" w:space="0"/>
              <w:right w:val="single" w:color="auto" w:sz="4" w:space="0"/>
            </w:tcBorders>
            <w:vAlign w:val="center"/>
          </w:tcPr>
          <w:p w14:paraId="1B46FA0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26" w:type="pct"/>
            <w:tcBorders>
              <w:top w:val="single" w:color="auto" w:sz="4" w:space="0"/>
              <w:left w:val="single" w:color="auto" w:sz="4" w:space="0"/>
              <w:bottom w:val="single" w:color="auto" w:sz="4" w:space="0"/>
              <w:right w:val="single" w:color="auto" w:sz="4" w:space="0"/>
            </w:tcBorders>
            <w:vAlign w:val="center"/>
          </w:tcPr>
          <w:p w14:paraId="3CCC4C1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r>
      <w:tr w14:paraId="267B1B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60" w:type="pct"/>
            <w:tcBorders>
              <w:top w:val="single" w:color="auto" w:sz="4" w:space="0"/>
              <w:left w:val="single" w:color="auto" w:sz="4" w:space="0"/>
              <w:bottom w:val="single" w:color="auto" w:sz="4" w:space="0"/>
              <w:right w:val="single" w:color="auto" w:sz="4" w:space="0"/>
            </w:tcBorders>
            <w:vAlign w:val="center"/>
          </w:tcPr>
          <w:p w14:paraId="4871A66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lang w:val="zh-CN"/>
                <w14:textFill>
                  <w14:solidFill>
                    <w14:schemeClr w14:val="tx1"/>
                  </w14:solidFill>
                </w14:textFill>
              </w:rPr>
            </w:pPr>
            <w:r>
              <w:rPr>
                <w:rFonts w:hint="default" w:ascii="宋体" w:hAnsi="宋体" w:eastAsia="宋体" w:cs="Times New Roman"/>
                <w:color w:val="000000" w:themeColor="text1"/>
                <w:kern w:val="0"/>
                <w:szCs w:val="21"/>
                <w:highlight w:val="none"/>
                <w:lang w:val="zh-CN"/>
                <w14:textFill>
                  <w14:solidFill>
                    <w14:schemeClr w14:val="tx1"/>
                  </w14:solidFill>
                </w14:textFill>
              </w:rPr>
              <w:t>3</w:t>
            </w:r>
          </w:p>
        </w:tc>
        <w:tc>
          <w:tcPr>
            <w:tcW w:w="1208" w:type="pct"/>
            <w:tcBorders>
              <w:top w:val="single" w:color="auto" w:sz="4" w:space="0"/>
              <w:left w:val="single" w:color="auto" w:sz="4" w:space="0"/>
              <w:bottom w:val="single" w:color="auto" w:sz="4" w:space="0"/>
              <w:right w:val="single" w:color="auto" w:sz="4" w:space="0"/>
            </w:tcBorders>
            <w:vAlign w:val="center"/>
          </w:tcPr>
          <w:p w14:paraId="0837020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1537" w:type="pct"/>
            <w:tcBorders>
              <w:top w:val="single" w:color="auto" w:sz="4" w:space="0"/>
              <w:left w:val="single" w:color="auto" w:sz="4" w:space="0"/>
              <w:bottom w:val="single" w:color="auto" w:sz="4" w:space="0"/>
              <w:right w:val="single" w:color="auto" w:sz="4" w:space="0"/>
            </w:tcBorders>
            <w:vAlign w:val="center"/>
          </w:tcPr>
          <w:p w14:paraId="76399AC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33" w:type="pct"/>
            <w:tcBorders>
              <w:top w:val="single" w:color="auto" w:sz="4" w:space="0"/>
              <w:left w:val="single" w:color="auto" w:sz="4" w:space="0"/>
              <w:bottom w:val="single" w:color="auto" w:sz="4" w:space="0"/>
              <w:right w:val="single" w:color="auto" w:sz="4" w:space="0"/>
            </w:tcBorders>
            <w:vAlign w:val="center"/>
          </w:tcPr>
          <w:p w14:paraId="55F4206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34" w:type="pct"/>
            <w:tcBorders>
              <w:top w:val="single" w:color="auto" w:sz="4" w:space="0"/>
              <w:left w:val="single" w:color="auto" w:sz="4" w:space="0"/>
              <w:bottom w:val="single" w:color="auto" w:sz="4" w:space="0"/>
              <w:right w:val="single" w:color="auto" w:sz="4" w:space="0"/>
            </w:tcBorders>
            <w:vAlign w:val="center"/>
          </w:tcPr>
          <w:p w14:paraId="5D41689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26" w:type="pct"/>
            <w:tcBorders>
              <w:top w:val="single" w:color="auto" w:sz="4" w:space="0"/>
              <w:left w:val="single" w:color="auto" w:sz="4" w:space="0"/>
              <w:bottom w:val="single" w:color="auto" w:sz="4" w:space="0"/>
              <w:right w:val="single" w:color="auto" w:sz="4" w:space="0"/>
            </w:tcBorders>
            <w:vAlign w:val="center"/>
          </w:tcPr>
          <w:p w14:paraId="45ECF77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r>
      <w:tr w14:paraId="5A0F0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60" w:type="pct"/>
            <w:tcBorders>
              <w:top w:val="single" w:color="auto" w:sz="4" w:space="0"/>
              <w:left w:val="single" w:color="auto" w:sz="4" w:space="0"/>
              <w:bottom w:val="single" w:color="auto" w:sz="4" w:space="0"/>
              <w:right w:val="single" w:color="auto" w:sz="4" w:space="0"/>
            </w:tcBorders>
            <w:vAlign w:val="center"/>
          </w:tcPr>
          <w:p w14:paraId="112CED7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default" w:ascii="宋体" w:hAnsi="宋体" w:eastAsia="宋体" w:cs="Courier New"/>
                <w:color w:val="000000" w:themeColor="text1"/>
                <w:kern w:val="0"/>
                <w:szCs w:val="21"/>
                <w:highlight w:val="none"/>
                <w14:textFill>
                  <w14:solidFill>
                    <w14:schemeClr w14:val="tx1"/>
                  </w14:solidFill>
                </w14:textFill>
              </w:rPr>
              <w:t>…</w:t>
            </w:r>
          </w:p>
        </w:tc>
        <w:tc>
          <w:tcPr>
            <w:tcW w:w="1208" w:type="pct"/>
            <w:tcBorders>
              <w:top w:val="single" w:color="auto" w:sz="4" w:space="0"/>
              <w:left w:val="single" w:color="auto" w:sz="4" w:space="0"/>
              <w:bottom w:val="single" w:color="auto" w:sz="4" w:space="0"/>
              <w:right w:val="single" w:color="auto" w:sz="4" w:space="0"/>
            </w:tcBorders>
            <w:vAlign w:val="center"/>
          </w:tcPr>
          <w:p w14:paraId="3DB3AB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1537" w:type="pct"/>
            <w:tcBorders>
              <w:top w:val="single" w:color="auto" w:sz="4" w:space="0"/>
              <w:left w:val="single" w:color="auto" w:sz="4" w:space="0"/>
              <w:bottom w:val="single" w:color="auto" w:sz="4" w:space="0"/>
              <w:right w:val="single" w:color="auto" w:sz="4" w:space="0"/>
            </w:tcBorders>
            <w:vAlign w:val="center"/>
          </w:tcPr>
          <w:p w14:paraId="0551F69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33" w:type="pct"/>
            <w:tcBorders>
              <w:top w:val="single" w:color="auto" w:sz="4" w:space="0"/>
              <w:left w:val="single" w:color="auto" w:sz="4" w:space="0"/>
              <w:bottom w:val="single" w:color="auto" w:sz="4" w:space="0"/>
              <w:right w:val="single" w:color="auto" w:sz="4" w:space="0"/>
            </w:tcBorders>
            <w:vAlign w:val="center"/>
          </w:tcPr>
          <w:p w14:paraId="01EA293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34" w:type="pct"/>
            <w:tcBorders>
              <w:top w:val="single" w:color="auto" w:sz="4" w:space="0"/>
              <w:left w:val="single" w:color="auto" w:sz="4" w:space="0"/>
              <w:bottom w:val="single" w:color="auto" w:sz="4" w:space="0"/>
              <w:right w:val="single" w:color="auto" w:sz="4" w:space="0"/>
            </w:tcBorders>
            <w:vAlign w:val="center"/>
          </w:tcPr>
          <w:p w14:paraId="49A40A5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26" w:type="pct"/>
            <w:tcBorders>
              <w:top w:val="single" w:color="auto" w:sz="4" w:space="0"/>
              <w:left w:val="single" w:color="auto" w:sz="4" w:space="0"/>
              <w:bottom w:val="single" w:color="auto" w:sz="4" w:space="0"/>
              <w:right w:val="single" w:color="auto" w:sz="4" w:space="0"/>
            </w:tcBorders>
            <w:vAlign w:val="center"/>
          </w:tcPr>
          <w:p w14:paraId="35BDACA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r>
    </w:tbl>
    <w:p w14:paraId="78A7C6D8">
      <w:pPr>
        <w:spacing w:line="360" w:lineRule="auto"/>
        <w:ind w:left="424" w:hanging="424" w:hangingChars="201"/>
        <w:rPr>
          <w:rFonts w:hint="eastAsia" w:ascii="宋体" w:hAnsi="宋体" w:eastAsia="宋体" w:cs="宋体"/>
          <w:b/>
          <w:color w:val="000000" w:themeColor="text1"/>
          <w:szCs w:val="21"/>
          <w:highlight w:val="none"/>
          <w:lang w:val="zh-CN"/>
          <w14:textFill>
            <w14:solidFill>
              <w14:schemeClr w14:val="tx1"/>
            </w14:solidFill>
          </w14:textFill>
        </w:rPr>
      </w:pPr>
    </w:p>
    <w:p w14:paraId="3CCCB56B">
      <w:pPr>
        <w:spacing w:line="360" w:lineRule="auto"/>
        <w:ind w:left="424" w:hanging="424" w:hangingChars="20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资格业绩证明材料提交要求：</w:t>
      </w:r>
    </w:p>
    <w:p w14:paraId="3B45CD92">
      <w:pPr>
        <w:tabs>
          <w:tab w:val="left" w:pos="567"/>
        </w:tabs>
        <w:autoSpaceDE w:val="0"/>
        <w:autoSpaceDN w:val="0"/>
        <w:adjustRightInd w:val="0"/>
        <w:spacing w:line="360" w:lineRule="auto"/>
        <w:jc w:val="left"/>
        <w:outlineLvl w:val="2"/>
        <w:rPr>
          <w:rFonts w:hint="eastAsia" w:ascii="宋体" w:hAnsi="宋体" w:eastAsia="宋体" w:cs="宋体"/>
          <w:b/>
          <w:color w:val="000000" w:themeColor="text1"/>
          <w:szCs w:val="21"/>
          <w:highlight w:val="none"/>
          <w:lang w:val="zh-CN"/>
          <w14:textFill>
            <w14:solidFill>
              <w14:schemeClr w14:val="tx1"/>
            </w14:solidFill>
          </w14:textFill>
        </w:rPr>
      </w:pPr>
      <w:bookmarkStart w:id="550" w:name="_Toc26375"/>
      <w:bookmarkStart w:id="551" w:name="_Toc10371"/>
      <w:bookmarkStart w:id="552" w:name="_Toc8529"/>
      <w:bookmarkStart w:id="553" w:name="_Toc3404"/>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）业绩须同时提供①五金材料或工器具销售合同复印件（合同卖方为投标人），②已供货产品任意一张发票复印件（发票开具日期须在本项目招标公告发布之日前）；</w:t>
      </w:r>
      <w:bookmarkEnd w:id="550"/>
      <w:bookmarkEnd w:id="551"/>
      <w:bookmarkEnd w:id="552"/>
    </w:p>
    <w:p w14:paraId="1A847F90">
      <w:pPr>
        <w:tabs>
          <w:tab w:val="left" w:pos="567"/>
        </w:tabs>
        <w:autoSpaceDE w:val="0"/>
        <w:autoSpaceDN w:val="0"/>
        <w:adjustRightInd w:val="0"/>
        <w:spacing w:line="360" w:lineRule="auto"/>
        <w:jc w:val="left"/>
        <w:outlineLvl w:val="2"/>
        <w:rPr>
          <w:rFonts w:hint="eastAsia" w:ascii="宋体" w:hAnsi="宋体" w:eastAsia="宋体" w:cs="宋体"/>
          <w:b/>
          <w:color w:val="000000" w:themeColor="text1"/>
          <w:szCs w:val="21"/>
          <w:highlight w:val="none"/>
          <w:lang w:val="zh-CN"/>
          <w14:textFill>
            <w14:solidFill>
              <w14:schemeClr w14:val="tx1"/>
            </w14:solidFill>
          </w14:textFill>
        </w:rPr>
      </w:pPr>
      <w:bookmarkStart w:id="554" w:name="_Toc27326"/>
      <w:bookmarkStart w:id="555" w:name="_Toc21817"/>
      <w:bookmarkStart w:id="556" w:name="_Toc25092"/>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）若合同无法反映</w:t>
      </w:r>
      <w:r>
        <w:rPr>
          <w:rFonts w:hint="eastAsia" w:ascii="宋体" w:hAnsi="宋体" w:eastAsia="宋体" w:cs="宋体"/>
          <w:b/>
          <w:color w:val="000000" w:themeColor="text1"/>
          <w:szCs w:val="21"/>
          <w:highlight w:val="none"/>
          <w:lang w:val="en-US" w:eastAsia="zh-CN"/>
          <w14:textFill>
            <w14:solidFill>
              <w14:schemeClr w14:val="tx1"/>
            </w14:solidFill>
          </w14:textFill>
        </w:rPr>
        <w:t>资格业绩</w:t>
      </w:r>
      <w:r>
        <w:rPr>
          <w:rFonts w:hint="eastAsia" w:ascii="宋体" w:hAnsi="宋体" w:eastAsia="宋体" w:cs="宋体"/>
          <w:b/>
          <w:color w:val="000000" w:themeColor="text1"/>
          <w:szCs w:val="21"/>
          <w:highlight w:val="none"/>
          <w:lang w:val="zh-CN"/>
          <w14:textFill>
            <w14:solidFill>
              <w14:schemeClr w14:val="tx1"/>
            </w14:solidFill>
          </w14:textFill>
        </w:rPr>
        <w:t>条件（合同签订日期为2023年1月1日或以后，合同标的必须包含五金材料或工器具）的，还需提供产品购买方出具的书面补充说明文件复印件作为辅助证明（补充说明文件复印件能显示购买方法人公章）；</w:t>
      </w:r>
      <w:bookmarkEnd w:id="553"/>
      <w:bookmarkEnd w:id="554"/>
      <w:bookmarkEnd w:id="555"/>
      <w:bookmarkEnd w:id="556"/>
    </w:p>
    <w:p w14:paraId="4CB5CBAB">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557" w:name="_Toc6253"/>
      <w:bookmarkStart w:id="558" w:name="_Toc14967"/>
      <w:bookmarkStart w:id="559" w:name="_Toc28298"/>
      <w:bookmarkStart w:id="560" w:name="_Toc3645"/>
      <w:r>
        <w:rPr>
          <w:rFonts w:hint="eastAsia" w:ascii="宋体" w:hAnsi="宋体" w:eastAsia="宋体" w:cs="宋体"/>
          <w:b/>
          <w:color w:val="000000" w:themeColor="text1"/>
          <w:szCs w:val="21"/>
          <w:highlight w:val="none"/>
          <w:lang w:val="zh-CN"/>
          <w14:textFill>
            <w14:solidFill>
              <w14:schemeClr w14:val="tx1"/>
            </w14:solidFill>
          </w14:textFill>
        </w:rPr>
        <w:t>（3）</w:t>
      </w:r>
      <w:bookmarkEnd w:id="557"/>
      <w:bookmarkEnd w:id="558"/>
      <w:r>
        <w:rPr>
          <w:rFonts w:hint="eastAsia" w:ascii="宋体" w:hAnsi="宋体" w:eastAsia="宋体" w:cs="宋体"/>
          <w:b/>
          <w:color w:val="000000" w:themeColor="text1"/>
          <w:szCs w:val="21"/>
          <w:highlight w:val="none"/>
          <w:lang w:val="zh-CN"/>
          <w14:textFill>
            <w14:solidFill>
              <w14:schemeClr w14:val="tx1"/>
            </w14:solidFill>
          </w14:textFill>
        </w:rPr>
        <w:t>未按上述要求在此格式下提供证明材料的业绩，或在此格式下所附材料无法证明符合资格要求的业绩，按无效投标文件处理。</w:t>
      </w:r>
      <w:bookmarkEnd w:id="559"/>
      <w:bookmarkEnd w:id="560"/>
    </w:p>
    <w:p w14:paraId="64A0ECBC">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p>
    <w:p w14:paraId="608F76AB">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4A80B542">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5A9C58FF">
      <w:pPr>
        <w:rPr>
          <w:rFonts w:ascii="宋体" w:hAnsi="宋体" w:eastAsia="宋体" w:cs="宋体"/>
          <w:b/>
          <w:color w:val="000000" w:themeColor="text1"/>
          <w:kern w:val="0"/>
          <w:sz w:val="30"/>
          <w:szCs w:val="30"/>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p>
    <w:p w14:paraId="3C1A1ACE">
      <w:pPr>
        <w:tabs>
          <w:tab w:val="left" w:pos="567"/>
        </w:tabs>
        <w:autoSpaceDE w:val="0"/>
        <w:autoSpaceDN w:val="0"/>
        <w:adjustRightInd w:val="0"/>
        <w:spacing w:line="360" w:lineRule="auto"/>
        <w:jc w:val="left"/>
        <w:outlineLvl w:val="2"/>
        <w:rPr>
          <w:rFonts w:ascii="宋体" w:hAnsi="宋体" w:eastAsia="宋体" w:cs="Times New Roman"/>
          <w:b/>
          <w:bCs/>
          <w:color w:val="000000" w:themeColor="text1"/>
          <w:sz w:val="32"/>
          <w:szCs w:val="32"/>
          <w:highlight w:val="none"/>
          <w:lang w:val="zh-CN"/>
          <w14:textFill>
            <w14:solidFill>
              <w14:schemeClr w14:val="tx1"/>
            </w14:solidFill>
          </w14:textFill>
        </w:rPr>
      </w:pPr>
      <w:bookmarkStart w:id="561" w:name="_Toc8979"/>
      <w:bookmarkStart w:id="562" w:name="_Toc29172"/>
      <w:bookmarkStart w:id="563" w:name="_Toc31879"/>
      <w:bookmarkStart w:id="564" w:name="_Toc32223"/>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default"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最近3年投标人牵涉的其他（失信和违法）处罚说明格式</w:t>
      </w:r>
      <w:bookmarkEnd w:id="545"/>
      <w:bookmarkEnd w:id="546"/>
      <w:bookmarkEnd w:id="547"/>
      <w:bookmarkEnd w:id="548"/>
      <w:bookmarkEnd w:id="549"/>
      <w:bookmarkEnd w:id="561"/>
      <w:bookmarkEnd w:id="562"/>
      <w:bookmarkEnd w:id="563"/>
      <w:bookmarkEnd w:id="564"/>
    </w:p>
    <w:p w14:paraId="1117E457">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w:t>
      </w:r>
      <w:r>
        <w:rPr>
          <w:rFonts w:hint="eastAsia" w:ascii="宋体" w:hAnsi="宋体" w:eastAsia="宋体" w:cs="宋体"/>
          <w:b/>
          <w:bCs/>
          <w:color w:val="000000" w:themeColor="text1"/>
          <w:sz w:val="32"/>
          <w:szCs w:val="32"/>
          <w:highlight w:val="none"/>
          <w:lang w:val="zh-CN"/>
          <w14:textFill>
            <w14:solidFill>
              <w14:schemeClr w14:val="tx1"/>
            </w14:solidFill>
          </w14:textFill>
        </w:rPr>
        <w:t>处罚说明</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823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5F22A62C">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vAlign w:val="center"/>
          </w:tcPr>
          <w:p w14:paraId="26F33CF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tcPr>
          <w:p w14:paraId="65985CF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vAlign w:val="center"/>
          </w:tcPr>
          <w:p w14:paraId="5465BF4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43B9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8399A93">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vAlign w:val="center"/>
          </w:tcPr>
          <w:p w14:paraId="50DB43A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7FF5D73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7428634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097C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4F177F9D">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vAlign w:val="center"/>
          </w:tcPr>
          <w:p w14:paraId="6184541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2927D97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4076E38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00BE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AA33451">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color w:val="000000" w:themeColor="text1"/>
                <w:kern w:val="0"/>
                <w:szCs w:val="21"/>
                <w:highlight w:val="none"/>
                <w14:textFill>
                  <w14:solidFill>
                    <w14:schemeClr w14:val="tx1"/>
                  </w14:solidFill>
                </w14:textFill>
              </w:rPr>
              <w:t>严重违法失信行为记录名单</w:t>
            </w:r>
          </w:p>
        </w:tc>
        <w:tc>
          <w:tcPr>
            <w:tcW w:w="1417" w:type="dxa"/>
            <w:vAlign w:val="center"/>
          </w:tcPr>
          <w:p w14:paraId="28CF059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72037F6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35FB448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79FD9CA9">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73E2A451">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投标人须提供相关材料(复印件)佐证，需原件备查</w:t>
      </w:r>
      <w:r>
        <w:rPr>
          <w:rFonts w:hint="eastAsia" w:ascii="宋体" w:hAnsi="宋体" w:eastAsia="宋体" w:cs="宋体"/>
          <w:color w:val="000000" w:themeColor="text1"/>
          <w:szCs w:val="21"/>
          <w:highlight w:val="none"/>
          <w:lang w:val="zh-CN"/>
          <w14:textFill>
            <w14:solidFill>
              <w14:schemeClr w14:val="tx1"/>
            </w14:solidFill>
          </w14:textFill>
        </w:rPr>
        <w:t>。</w:t>
      </w:r>
    </w:p>
    <w:p w14:paraId="71F05A9C">
      <w:pPr>
        <w:autoSpaceDE w:val="0"/>
        <w:autoSpaceDN w:val="0"/>
        <w:adjustRightInd w:val="0"/>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p>
    <w:p w14:paraId="7546EB24">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p w14:paraId="72541B57">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36EADD6D">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7EB14590">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424707C3">
      <w:pPr>
        <w:spacing w:line="360" w:lineRule="auto"/>
        <w:ind w:right="368" w:rightChars="175" w:firstLine="5460" w:firstLineChars="260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76E61541">
      <w:pPr>
        <w:autoSpaceDE w:val="0"/>
        <w:autoSpaceDN w:val="0"/>
        <w:adjustRightInd w:val="0"/>
        <w:spacing w:line="360" w:lineRule="auto"/>
        <w:ind w:right="781" w:rightChars="372" w:firstLine="2811" w:firstLineChars="1339"/>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53F4F831">
      <w:pPr>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br w:type="page"/>
      </w:r>
      <w:bookmarkStart w:id="565" w:name="_Toc102860079"/>
      <w:bookmarkStart w:id="566" w:name="_Toc102860423"/>
      <w:bookmarkStart w:id="567" w:name="_Toc2031_WPSOffice_Level2"/>
      <w:bookmarkStart w:id="568" w:name="_Toc486167714"/>
      <w:bookmarkStart w:id="569" w:name="_Toc533708126"/>
      <w:bookmarkStart w:id="570" w:name="_Toc104991881"/>
      <w:bookmarkStart w:id="571" w:name="_Toc1977731"/>
      <w:bookmarkStart w:id="572" w:name="_Toc140596934"/>
      <w:bookmarkStart w:id="573" w:name="_Toc94107215"/>
      <w:bookmarkStart w:id="574" w:name="_Toc142508374"/>
      <w:bookmarkStart w:id="575" w:name="_Toc13237"/>
    </w:p>
    <w:p w14:paraId="25786010">
      <w:pPr>
        <w:tabs>
          <w:tab w:val="left" w:pos="567"/>
        </w:tabs>
        <w:autoSpaceDE w:val="0"/>
        <w:autoSpaceDN w:val="0"/>
        <w:adjustRightInd w:val="0"/>
        <w:spacing w:line="360" w:lineRule="auto"/>
        <w:jc w:val="left"/>
        <w:outlineLvl w:val="2"/>
        <w:rPr>
          <w:rFonts w:ascii="宋体" w:hAnsi="宋体" w:eastAsia="宋体" w:cs="Times New Roman"/>
          <w:color w:val="000000" w:themeColor="text1"/>
          <w:kern w:val="0"/>
          <w:szCs w:val="21"/>
          <w:highlight w:val="none"/>
          <w:u w:val="single"/>
          <w14:textFill>
            <w14:solidFill>
              <w14:schemeClr w14:val="tx1"/>
            </w14:solidFill>
          </w14:textFill>
        </w:rPr>
      </w:pPr>
      <w:bookmarkStart w:id="576" w:name="_Toc3811"/>
      <w:bookmarkStart w:id="577" w:name="_Toc11148"/>
      <w:bookmarkStart w:id="578" w:name="_Toc3545"/>
      <w:r>
        <w:rPr>
          <w:rFonts w:hint="eastAsia" w:ascii="宋体" w:hAnsi="宋体" w:eastAsia="宋体" w:cs="宋体"/>
          <w:b/>
          <w:color w:val="000000" w:themeColor="text1"/>
          <w:sz w:val="32"/>
          <w:szCs w:val="32"/>
          <w:highlight w:val="none"/>
          <w:lang w:val="en-US" w:eastAsia="zh-CN"/>
          <w14:textFill>
            <w14:solidFill>
              <w14:schemeClr w14:val="tx1"/>
            </w14:solidFill>
          </w14:textFill>
        </w:rPr>
        <w:t>六</w:t>
      </w:r>
      <w:r>
        <w:rPr>
          <w:rFonts w:hint="eastAsia" w:ascii="宋体" w:hAnsi="宋体" w:eastAsia="宋体" w:cs="宋体"/>
          <w:b/>
          <w:color w:val="000000" w:themeColor="text1"/>
          <w:kern w:val="0"/>
          <w:sz w:val="32"/>
          <w:szCs w:val="32"/>
          <w:highlight w:val="none"/>
          <w14:textFill>
            <w14:solidFill>
              <w14:schemeClr w14:val="tx1"/>
            </w14:solidFill>
          </w14:textFill>
        </w:rPr>
        <w:t>、投标人基本情况一览表</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3DDEEA59">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579" w:name="_Toc2773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投标人基本情况一览表</w:t>
      </w:r>
      <w:bookmarkEnd w:id="579"/>
    </w:p>
    <w:p w14:paraId="5C77B792">
      <w:pPr>
        <w:autoSpaceDE w:val="0"/>
        <w:autoSpaceDN w:val="0"/>
        <w:adjustRightInd w:val="0"/>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1．名称及概况：</w:t>
      </w:r>
    </w:p>
    <w:p w14:paraId="417E4454">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（1）投标人名称：________________________________________</w:t>
      </w:r>
    </w:p>
    <w:p w14:paraId="61136D74">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（2）总部地址：__________________________________________</w:t>
      </w:r>
    </w:p>
    <w:p w14:paraId="2140BA28">
      <w:pPr>
        <w:autoSpaceDE w:val="0"/>
        <w:autoSpaceDN w:val="0"/>
        <w:adjustRightInd w:val="0"/>
        <w:spacing w:line="360" w:lineRule="auto"/>
        <w:ind w:firstLine="66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邮政编码：__________________________________________</w:t>
      </w:r>
    </w:p>
    <w:p w14:paraId="0D41C72E">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电话号码：__________________________________________ </w:t>
      </w:r>
    </w:p>
    <w:p w14:paraId="0AF6203A">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传真号码：__________________________________________ </w:t>
      </w:r>
    </w:p>
    <w:p w14:paraId="3E08B24E">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（3）成立和／或注册日期：________________________________</w:t>
      </w:r>
    </w:p>
    <w:p w14:paraId="59A0891B">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（4）法人代表：_____________________________________ ____</w:t>
      </w:r>
    </w:p>
    <w:p w14:paraId="1CDD9E40">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（5）开户银行：__________________________________________</w:t>
      </w:r>
    </w:p>
    <w:p w14:paraId="1C770BC6">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（6）开户账号：__________________________________________</w:t>
      </w:r>
    </w:p>
    <w:p w14:paraId="3680132C">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（7）注册资金：__________________________________________</w:t>
      </w:r>
    </w:p>
    <w:p w14:paraId="6AB6B2D2">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（8）主要负责人姓名：____________________________________</w:t>
      </w:r>
    </w:p>
    <w:p w14:paraId="4AF869EA">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（9）项目主要联系人（姓名、职务、通讯）：_________________   </w:t>
      </w:r>
    </w:p>
    <w:p w14:paraId="4182DE0F">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（10）在中国的代表的姓名和地址（如有）：__________________</w:t>
      </w:r>
    </w:p>
    <w:p w14:paraId="31663D32">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2．供征询之银行的名称和地址：____________________________</w:t>
      </w:r>
    </w:p>
    <w:p w14:paraId="042D12EC">
      <w:pPr>
        <w:autoSpaceDE w:val="0"/>
        <w:autoSpaceDN w:val="0"/>
        <w:adjustRightInd w:val="0"/>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3．公司所隶属之国际集团名称（如果是）____________________</w:t>
      </w:r>
    </w:p>
    <w:p w14:paraId="2B01954B">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 提交资料（包括但不限于组织架构、公司简介等）：</w:t>
      </w:r>
    </w:p>
    <w:p w14:paraId="35BAE55C">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（1）公司简介；</w:t>
      </w:r>
    </w:p>
    <w:p w14:paraId="462CE154">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__________________________________________________</w:t>
      </w:r>
    </w:p>
    <w:p w14:paraId="03AE71E7">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（2）公司组织架构；</w:t>
      </w:r>
    </w:p>
    <w:p w14:paraId="6A3FAEB4">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__ </w:t>
      </w:r>
    </w:p>
    <w:p w14:paraId="298B3EA7">
      <w:pPr>
        <w:autoSpaceDE w:val="0"/>
        <w:autoSpaceDN w:val="0"/>
        <w:adjustRightInd w:val="0"/>
        <w:spacing w:line="360" w:lineRule="auto"/>
        <w:ind w:left="836" w:leftChars="137" w:hanging="548" w:hangingChars="261"/>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（3）东莞市内设有分支机构情况介绍[应提供该分支机构的多证合一营业执照复印件等证明材料]（若无前述分支机构的无需介绍）。</w:t>
      </w:r>
    </w:p>
    <w:p w14:paraId="25E542B7">
      <w:pPr>
        <w:autoSpaceDE w:val="0"/>
        <w:autoSpaceDN w:val="0"/>
        <w:adjustRightInd w:val="0"/>
        <w:spacing w:line="360" w:lineRule="auto"/>
        <w:ind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兹证明上述说明是真实、正确的，并提供了全部能提供的资料和数据，我们同意遵照贵方要求出示有关证明文件。</w:t>
      </w:r>
    </w:p>
    <w:p w14:paraId="08F0814E">
      <w:pPr>
        <w:autoSpaceDE w:val="0"/>
        <w:autoSpaceDN w:val="0"/>
        <w:adjustRightInd w:val="0"/>
        <w:spacing w:line="360" w:lineRule="auto"/>
        <w:ind w:firstLine="420" w:firstLineChars="200"/>
        <w:rPr>
          <w:rFonts w:ascii="宋体" w:hAnsi="宋体" w:eastAsia="宋体" w:cs="宋体"/>
          <w:color w:val="000000" w:themeColor="text1"/>
          <w:szCs w:val="24"/>
          <w:highlight w:val="none"/>
          <w14:textFill>
            <w14:solidFill>
              <w14:schemeClr w14:val="tx1"/>
            </w14:solidFill>
          </w14:textFill>
        </w:rPr>
      </w:pPr>
    </w:p>
    <w:p w14:paraId="38B196CD">
      <w:pPr>
        <w:autoSpaceDE w:val="0"/>
        <w:autoSpaceDN w:val="0"/>
        <w:adjustRightInd w:val="0"/>
        <w:spacing w:line="360" w:lineRule="auto"/>
        <w:ind w:right="368" w:rightChars="175"/>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3599F9E5">
      <w:pPr>
        <w:autoSpaceDE w:val="0"/>
        <w:autoSpaceDN w:val="0"/>
        <w:adjustRightInd w:val="0"/>
        <w:spacing w:line="360" w:lineRule="auto"/>
        <w:ind w:right="368" w:rightChars="175" w:firstLine="6237"/>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0134EFD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Start w:id="580" w:name="_Toc102860080"/>
      <w:bookmarkStart w:id="581" w:name="_Toc12610"/>
      <w:bookmarkStart w:id="582" w:name="_Toc4495"/>
      <w:bookmarkStart w:id="583" w:name="_Toc104991882"/>
      <w:bookmarkStart w:id="584" w:name="_Toc142508375"/>
      <w:bookmarkStart w:id="585" w:name="_Toc94107216"/>
      <w:bookmarkStart w:id="586" w:name="_Toc102860424"/>
      <w:bookmarkStart w:id="587" w:name="_Toc9342"/>
      <w:bookmarkStart w:id="588" w:name="_Toc3711"/>
      <w:bookmarkStart w:id="589" w:name="_Toc140596935"/>
      <w:bookmarkStart w:id="590" w:name="_Toc9051_WPSOffice_Level2"/>
      <w:bookmarkStart w:id="591" w:name="_Toc1977733"/>
      <w:bookmarkStart w:id="592" w:name="_Toc486167715"/>
      <w:bookmarkStart w:id="593" w:name="_Toc533708128"/>
      <w:r>
        <w:rPr>
          <w:rFonts w:hint="eastAsia" w:ascii="宋体" w:hAnsi="宋体" w:eastAsia="宋体" w:cs="宋体"/>
          <w:b/>
          <w:color w:val="000000" w:themeColor="text1"/>
          <w:sz w:val="32"/>
          <w:szCs w:val="32"/>
          <w:highlight w:val="none"/>
          <w:lang w:val="en-US" w:eastAsia="zh-CN"/>
          <w14:textFill>
            <w14:solidFill>
              <w14:schemeClr w14:val="tx1"/>
            </w14:solidFill>
          </w14:textFill>
        </w:rPr>
        <w:t>七</w:t>
      </w:r>
      <w:r>
        <w:rPr>
          <w:rFonts w:hint="eastAsia" w:ascii="宋体" w:hAnsi="宋体" w:eastAsia="宋体" w:cs="宋体"/>
          <w:b/>
          <w:color w:val="000000" w:themeColor="text1"/>
          <w:sz w:val="32"/>
          <w:szCs w:val="32"/>
          <w:highlight w:val="none"/>
          <w:lang w:val="zh-CN"/>
          <w14:textFill>
            <w14:solidFill>
              <w14:schemeClr w14:val="tx1"/>
            </w14:solidFill>
          </w14:textFill>
        </w:rPr>
        <w:t>、投标人财务状况表格式</w:t>
      </w:r>
      <w:bookmarkEnd w:id="580"/>
      <w:bookmarkEnd w:id="581"/>
      <w:bookmarkEnd w:id="582"/>
      <w:bookmarkEnd w:id="583"/>
      <w:bookmarkEnd w:id="584"/>
      <w:bookmarkEnd w:id="585"/>
      <w:bookmarkEnd w:id="586"/>
      <w:bookmarkEnd w:id="587"/>
      <w:bookmarkEnd w:id="588"/>
      <w:bookmarkEnd w:id="589"/>
    </w:p>
    <w:p w14:paraId="38C079D1">
      <w:pPr>
        <w:autoSpaceDE w:val="0"/>
        <w:autoSpaceDN w:val="0"/>
        <w:adjustRightInd w:val="0"/>
        <w:spacing w:line="360" w:lineRule="auto"/>
        <w:jc w:val="cente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 xml:space="preserve">投标人财务状况表 </w:t>
      </w:r>
    </w:p>
    <w:p w14:paraId="69200B4D">
      <w:pPr>
        <w:autoSpaceDE w:val="0"/>
        <w:autoSpaceDN w:val="0"/>
        <w:adjustRightInd w:val="0"/>
        <w:spacing w:line="360" w:lineRule="auto"/>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[价格单位：（人民币）元]</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B033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3688B5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度</w:t>
            </w:r>
          </w:p>
        </w:tc>
        <w:tc>
          <w:tcPr>
            <w:tcW w:w="1944" w:type="dxa"/>
            <w:vAlign w:val="center"/>
          </w:tcPr>
          <w:p w14:paraId="2DD9B3D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总资产（元）</w:t>
            </w:r>
          </w:p>
        </w:tc>
        <w:tc>
          <w:tcPr>
            <w:tcW w:w="1946" w:type="dxa"/>
            <w:vAlign w:val="center"/>
          </w:tcPr>
          <w:p w14:paraId="4EF3F43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净资产（元）</w:t>
            </w:r>
          </w:p>
        </w:tc>
        <w:tc>
          <w:tcPr>
            <w:tcW w:w="2713" w:type="dxa"/>
            <w:vAlign w:val="center"/>
          </w:tcPr>
          <w:p w14:paraId="28192B4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年营业额（元）</w:t>
            </w:r>
          </w:p>
        </w:tc>
        <w:tc>
          <w:tcPr>
            <w:tcW w:w="2060" w:type="dxa"/>
            <w:vAlign w:val="center"/>
          </w:tcPr>
          <w:p w14:paraId="38A7F1D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年净利润（元）</w:t>
            </w:r>
          </w:p>
        </w:tc>
      </w:tr>
      <w:tr w14:paraId="2E90C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656D336">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2022</w:t>
            </w:r>
          </w:p>
        </w:tc>
        <w:tc>
          <w:tcPr>
            <w:tcW w:w="1944" w:type="dxa"/>
            <w:vAlign w:val="center"/>
          </w:tcPr>
          <w:p w14:paraId="79EF2B1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614953B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vAlign w:val="center"/>
          </w:tcPr>
          <w:p w14:paraId="04560AF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6736AFB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45D9E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B819AA3">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2023</w:t>
            </w:r>
          </w:p>
        </w:tc>
        <w:tc>
          <w:tcPr>
            <w:tcW w:w="1944" w:type="dxa"/>
            <w:vAlign w:val="center"/>
          </w:tcPr>
          <w:p w14:paraId="1587645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08B423D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10D9B4F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3936B21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7433F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BBA2DBB">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2024</w:t>
            </w:r>
          </w:p>
        </w:tc>
        <w:tc>
          <w:tcPr>
            <w:tcW w:w="1944" w:type="dxa"/>
            <w:vAlign w:val="center"/>
          </w:tcPr>
          <w:p w14:paraId="51A96C3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0BF9CDC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0331342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0F2FCB1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082A1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3CFD6B8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总计</w:t>
            </w:r>
          </w:p>
        </w:tc>
        <w:tc>
          <w:tcPr>
            <w:tcW w:w="2713" w:type="dxa"/>
          </w:tcPr>
          <w:p w14:paraId="0CC7D1D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5102E69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05E6B0D8">
      <w:pPr>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2FDBA466">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5499A008">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72D05B65">
      <w:pPr>
        <w:autoSpaceDE w:val="0"/>
        <w:autoSpaceDN w:val="0"/>
        <w:adjustRightInd w:val="0"/>
        <w:spacing w:line="360" w:lineRule="auto"/>
        <w:ind w:firstLine="5409" w:firstLineChars="2576"/>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w:t>
      </w:r>
      <w:r>
        <w:rPr>
          <w:rFonts w:hint="eastAsia" w:ascii="宋体" w:hAnsi="宋体" w:eastAsia="宋体" w:cs="宋体"/>
          <w:color w:val="000000" w:themeColor="text1"/>
          <w:szCs w:val="24"/>
          <w:highlight w:val="none"/>
          <w14:textFill>
            <w14:solidFill>
              <w14:schemeClr w14:val="tx1"/>
            </w14:solidFill>
          </w14:textFill>
        </w:rPr>
        <w:t>法人</w:t>
      </w:r>
      <w:r>
        <w:rPr>
          <w:rFonts w:hint="eastAsia" w:ascii="宋体" w:hAnsi="宋体" w:eastAsia="宋体" w:cs="宋体"/>
          <w:color w:val="000000" w:themeColor="text1"/>
          <w:szCs w:val="24"/>
          <w:highlight w:val="none"/>
          <w:lang w:val="zh-CN"/>
          <w14:textFill>
            <w14:solidFill>
              <w14:schemeClr w14:val="tx1"/>
            </w14:solidFill>
          </w14:textFill>
        </w:rPr>
        <w:t>公章）</w:t>
      </w:r>
    </w:p>
    <w:p w14:paraId="1BD9086D">
      <w:pPr>
        <w:autoSpaceDE w:val="0"/>
        <w:autoSpaceDN w:val="0"/>
        <w:adjustRightInd w:val="0"/>
        <w:spacing w:line="360" w:lineRule="auto"/>
        <w:ind w:firstLine="6249" w:firstLineChars="2976"/>
        <w:rPr>
          <w:rFonts w:ascii="宋体" w:hAnsi="宋体" w:eastAsia="宋体" w:cs="宋体"/>
          <w:b/>
          <w:bCs/>
          <w:color w:val="000000" w:themeColor="text1"/>
          <w:kern w:val="0"/>
          <w:szCs w:val="21"/>
          <w:highlight w:val="none"/>
          <w14:textFill>
            <w14:solidFill>
              <w14:schemeClr w14:val="tx1"/>
            </w14:solidFill>
          </w14:textFill>
        </w:rPr>
        <w:sectPr>
          <w:footerReference r:id="rId11" w:type="default"/>
          <w:pgSz w:w="11907" w:h="16840"/>
          <w:pgMar w:top="1701" w:right="1418" w:bottom="851" w:left="1418" w:header="720" w:footer="720" w:gutter="0"/>
          <w:pgBorders>
            <w:top w:val="none" w:sz="0" w:space="0"/>
            <w:left w:val="none" w:sz="0" w:space="0"/>
            <w:bottom w:val="none" w:sz="0" w:space="0"/>
            <w:right w:val="none" w:sz="0" w:space="0"/>
          </w:pgBorders>
          <w:cols w:space="720" w:num="1"/>
          <w:titlePg/>
          <w:docGrid w:linePitch="326" w:charSpace="0"/>
        </w:sectPr>
      </w:pPr>
      <w:r>
        <w:rPr>
          <w:rFonts w:hint="eastAsia" w:ascii="宋体" w:hAnsi="宋体" w:eastAsia="宋体" w:cs="宋体"/>
          <w:color w:val="000000" w:themeColor="text1"/>
          <w:szCs w:val="24"/>
          <w:highlight w:val="none"/>
          <w:lang w:val="zh-CN"/>
          <w14:textFill>
            <w14:solidFill>
              <w14:schemeClr w14:val="tx1"/>
            </w14:solidFill>
          </w14:textFill>
        </w:rPr>
        <w:t>日期：</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日</w:t>
      </w:r>
    </w:p>
    <w:bookmarkEnd w:id="590"/>
    <w:bookmarkEnd w:id="591"/>
    <w:bookmarkEnd w:id="592"/>
    <w:bookmarkEnd w:id="593"/>
    <w:p w14:paraId="202BD669">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lang w:val="zh-CN"/>
          <w14:textFill>
            <w14:solidFill>
              <w14:schemeClr w14:val="tx1"/>
            </w14:solidFill>
          </w14:textFill>
        </w:rPr>
      </w:pPr>
      <w:bookmarkStart w:id="594" w:name="_Toc5068"/>
      <w:bookmarkStart w:id="595" w:name="_Toc28130"/>
      <w:bookmarkStart w:id="596" w:name="_Toc9026"/>
      <w:bookmarkStart w:id="597" w:name="_Toc21140"/>
      <w:bookmarkStart w:id="598" w:name="_Toc94107217"/>
      <w:bookmarkStart w:id="599" w:name="_Toc20034"/>
      <w:bookmarkStart w:id="600" w:name="_Toc102860081"/>
      <w:bookmarkStart w:id="601" w:name="_Toc739_WPSOffice_Level2"/>
      <w:bookmarkStart w:id="602" w:name="_Toc104991883"/>
      <w:bookmarkStart w:id="603" w:name="_Toc486167716"/>
      <w:bookmarkStart w:id="604" w:name="_Toc102860425"/>
      <w:bookmarkStart w:id="605" w:name="_Toc15551"/>
      <w:bookmarkStart w:id="606" w:name="_Toc1977736"/>
      <w:bookmarkStart w:id="607" w:name="_Toc140596936"/>
      <w:bookmarkStart w:id="608" w:name="_Toc142508376"/>
      <w:bookmarkStart w:id="609" w:name="_Toc533708130"/>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八</w:t>
      </w:r>
      <w:r>
        <w:rPr>
          <w:rFonts w:hint="eastAsia" w:ascii="宋体" w:hAnsi="宋体" w:eastAsia="宋体" w:cs="宋体"/>
          <w:b/>
          <w:color w:val="000000" w:themeColor="text1"/>
          <w:kern w:val="0"/>
          <w:sz w:val="32"/>
          <w:szCs w:val="32"/>
          <w:highlight w:val="none"/>
          <w:lang w:val="zh-CN"/>
          <w14:textFill>
            <w14:solidFill>
              <w14:schemeClr w14:val="tx1"/>
            </w14:solidFill>
          </w14:textFill>
        </w:rPr>
        <w:t>、</w:t>
      </w:r>
      <w:bookmarkEnd w:id="594"/>
      <w:bookmarkEnd w:id="595"/>
      <w:bookmarkEnd w:id="596"/>
      <w:bookmarkStart w:id="610" w:name="_Toc6608"/>
      <w:r>
        <w:rPr>
          <w:rFonts w:hint="eastAsia" w:ascii="宋体" w:hAnsi="宋体" w:eastAsia="宋体" w:cs="宋体"/>
          <w:b/>
          <w:color w:val="000000" w:themeColor="text1"/>
          <w:kern w:val="0"/>
          <w:sz w:val="32"/>
          <w:szCs w:val="32"/>
          <w:highlight w:val="none"/>
          <w:lang w:val="zh-CN"/>
          <w14:textFill>
            <w14:solidFill>
              <w14:schemeClr w14:val="tx1"/>
            </w14:solidFill>
          </w14:textFill>
        </w:rPr>
        <w:t>合同条款偏离表格式</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232584EF">
      <w:pPr>
        <w:autoSpaceDE w:val="0"/>
        <w:autoSpaceDN w:val="0"/>
        <w:adjustRightInd w:val="0"/>
        <w:spacing w:line="360" w:lineRule="auto"/>
        <w:jc w:val="center"/>
        <w:rPr>
          <w:rFonts w:ascii="宋体" w:hAnsi="宋体" w:eastAsia="宋体" w:cs="宋体"/>
          <w:b/>
          <w:bCs/>
          <w:color w:val="000000" w:themeColor="text1"/>
          <w:kern w:val="0"/>
          <w:sz w:val="28"/>
          <w:szCs w:val="30"/>
          <w:highlight w:val="none"/>
          <w:lang w:val="zh-CN"/>
          <w14:textFill>
            <w14:solidFill>
              <w14:schemeClr w14:val="tx1"/>
            </w14:solidFill>
          </w14:textFill>
        </w:rPr>
      </w:pPr>
      <w:bookmarkStart w:id="611" w:name="_Toc26412_WPSOffice_Level3"/>
      <w:r>
        <w:rPr>
          <w:rFonts w:hint="eastAsia" w:ascii="宋体" w:hAnsi="宋体" w:eastAsia="宋体" w:cs="宋体"/>
          <w:b/>
          <w:bCs/>
          <w:color w:val="000000" w:themeColor="text1"/>
          <w:kern w:val="0"/>
          <w:sz w:val="28"/>
          <w:szCs w:val="30"/>
          <w:highlight w:val="none"/>
          <w:lang w:val="zh-CN"/>
          <w14:textFill>
            <w14:solidFill>
              <w14:schemeClr w14:val="tx1"/>
            </w14:solidFill>
          </w14:textFill>
        </w:rPr>
        <w:t>东莞市水务环境投资控股集团净水有限公司2026年五金材料及工器具物资采购项目合同条款偏离表</w:t>
      </w:r>
      <w:bookmarkEnd w:id="611"/>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DBB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57EEAD1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4480" w:type="dxa"/>
            <w:gridSpan w:val="2"/>
            <w:vAlign w:val="center"/>
          </w:tcPr>
          <w:p w14:paraId="3B43CB2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招标文件要求</w:t>
            </w:r>
          </w:p>
        </w:tc>
        <w:tc>
          <w:tcPr>
            <w:tcW w:w="4870" w:type="dxa"/>
            <w:gridSpan w:val="2"/>
            <w:vAlign w:val="center"/>
          </w:tcPr>
          <w:p w14:paraId="10EC9A2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投标文件内容</w:t>
            </w:r>
          </w:p>
        </w:tc>
      </w:tr>
      <w:tr w14:paraId="6193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A9349A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425" w:type="dxa"/>
            <w:vAlign w:val="center"/>
          </w:tcPr>
          <w:p w14:paraId="730BC4B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条款号</w:t>
            </w:r>
          </w:p>
        </w:tc>
        <w:tc>
          <w:tcPr>
            <w:tcW w:w="3055" w:type="dxa"/>
            <w:vAlign w:val="center"/>
          </w:tcPr>
          <w:p w14:paraId="2DBEBB8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简要内容</w:t>
            </w:r>
          </w:p>
        </w:tc>
        <w:tc>
          <w:tcPr>
            <w:tcW w:w="1346" w:type="dxa"/>
            <w:vAlign w:val="center"/>
          </w:tcPr>
          <w:p w14:paraId="574D9AE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偏离情况</w:t>
            </w:r>
          </w:p>
        </w:tc>
        <w:tc>
          <w:tcPr>
            <w:tcW w:w="3524" w:type="dxa"/>
            <w:vAlign w:val="center"/>
          </w:tcPr>
          <w:p w14:paraId="086A88E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具体偏离内容</w:t>
            </w:r>
          </w:p>
        </w:tc>
      </w:tr>
      <w:tr w14:paraId="6272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F3E21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425" w:type="dxa"/>
            <w:shd w:val="clear" w:color="auto" w:fill="auto"/>
            <w:vAlign w:val="center"/>
          </w:tcPr>
          <w:p w14:paraId="15A65F0C">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第一条</w:t>
            </w:r>
          </w:p>
        </w:tc>
        <w:tc>
          <w:tcPr>
            <w:tcW w:w="3055" w:type="dxa"/>
            <w:shd w:val="clear" w:color="auto" w:fill="auto"/>
            <w:vAlign w:val="center"/>
          </w:tcPr>
          <w:p w14:paraId="32D0FABA">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供货资格及范围</w:t>
            </w:r>
          </w:p>
        </w:tc>
        <w:tc>
          <w:tcPr>
            <w:tcW w:w="1346" w:type="dxa"/>
            <w:vAlign w:val="center"/>
          </w:tcPr>
          <w:p w14:paraId="12B8C6F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F67FEE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5D6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46FA8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425" w:type="dxa"/>
            <w:shd w:val="clear" w:color="auto" w:fill="auto"/>
            <w:vAlign w:val="center"/>
          </w:tcPr>
          <w:p w14:paraId="03713299">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第二条</w:t>
            </w:r>
          </w:p>
        </w:tc>
        <w:tc>
          <w:tcPr>
            <w:tcW w:w="3055" w:type="dxa"/>
            <w:shd w:val="clear" w:color="auto" w:fill="auto"/>
            <w:vAlign w:val="center"/>
          </w:tcPr>
          <w:p w14:paraId="70B56B63">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合同</w:t>
            </w:r>
            <w:r>
              <w:rPr>
                <w:rFonts w:hint="eastAsia" w:ascii="宋体" w:hAnsi="宋体" w:eastAsia="宋体" w:cs="Times New Roman"/>
                <w:color w:val="000000" w:themeColor="text1"/>
                <w:szCs w:val="21"/>
                <w:highlight w:val="none"/>
                <w:lang w:val="en-US" w:eastAsia="zh-CN"/>
                <w14:textFill>
                  <w14:solidFill>
                    <w14:schemeClr w14:val="tx1"/>
                  </w14:solidFill>
                </w14:textFill>
              </w:rPr>
              <w:t>供货</w:t>
            </w:r>
            <w:r>
              <w:rPr>
                <w:rFonts w:hint="eastAsia" w:ascii="宋体" w:hAnsi="宋体" w:eastAsia="宋体" w:cs="Times New Roman"/>
                <w:color w:val="000000" w:themeColor="text1"/>
                <w:szCs w:val="21"/>
                <w:highlight w:val="none"/>
                <w14:textFill>
                  <w14:solidFill>
                    <w14:schemeClr w14:val="tx1"/>
                  </w14:solidFill>
                </w14:textFill>
              </w:rPr>
              <w:t>期</w:t>
            </w:r>
          </w:p>
        </w:tc>
        <w:tc>
          <w:tcPr>
            <w:tcW w:w="1346" w:type="dxa"/>
            <w:vAlign w:val="center"/>
          </w:tcPr>
          <w:p w14:paraId="4555146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5BCE85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D66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355448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1425" w:type="dxa"/>
            <w:shd w:val="clear" w:color="auto" w:fill="auto"/>
            <w:vAlign w:val="center"/>
          </w:tcPr>
          <w:p w14:paraId="2E95F577">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第三条</w:t>
            </w:r>
          </w:p>
        </w:tc>
        <w:tc>
          <w:tcPr>
            <w:tcW w:w="3055" w:type="dxa"/>
            <w:shd w:val="clear" w:color="auto" w:fill="auto"/>
            <w:vAlign w:val="center"/>
          </w:tcPr>
          <w:p w14:paraId="29743488">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t>货物相关要求</w:t>
            </w:r>
          </w:p>
        </w:tc>
        <w:tc>
          <w:tcPr>
            <w:tcW w:w="1346" w:type="dxa"/>
            <w:vAlign w:val="center"/>
          </w:tcPr>
          <w:p w14:paraId="7F5B4BA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2F5D6D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A11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D97AD4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1425" w:type="dxa"/>
            <w:shd w:val="clear" w:color="auto" w:fill="auto"/>
            <w:vAlign w:val="center"/>
          </w:tcPr>
          <w:p w14:paraId="7B5F001E">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第四条</w:t>
            </w:r>
          </w:p>
        </w:tc>
        <w:tc>
          <w:tcPr>
            <w:tcW w:w="3055" w:type="dxa"/>
            <w:shd w:val="clear" w:color="auto" w:fill="auto"/>
            <w:vAlign w:val="center"/>
          </w:tcPr>
          <w:p w14:paraId="4635473A">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交货约定</w:t>
            </w:r>
          </w:p>
        </w:tc>
        <w:tc>
          <w:tcPr>
            <w:tcW w:w="1346" w:type="dxa"/>
            <w:vAlign w:val="center"/>
          </w:tcPr>
          <w:p w14:paraId="06C9633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2C2343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FC0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AC9CC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1425" w:type="dxa"/>
            <w:shd w:val="clear" w:color="auto" w:fill="auto"/>
            <w:vAlign w:val="center"/>
          </w:tcPr>
          <w:p w14:paraId="43B3D121">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第五条</w:t>
            </w:r>
          </w:p>
        </w:tc>
        <w:tc>
          <w:tcPr>
            <w:tcW w:w="3055" w:type="dxa"/>
            <w:shd w:val="clear" w:color="auto" w:fill="auto"/>
            <w:vAlign w:val="center"/>
          </w:tcPr>
          <w:p w14:paraId="1B455231">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验收</w:t>
            </w:r>
          </w:p>
        </w:tc>
        <w:tc>
          <w:tcPr>
            <w:tcW w:w="1346" w:type="dxa"/>
            <w:vAlign w:val="center"/>
          </w:tcPr>
          <w:p w14:paraId="43367B3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2F9C0A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93D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BBAA8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1425" w:type="dxa"/>
            <w:shd w:val="clear" w:color="auto" w:fill="auto"/>
            <w:vAlign w:val="center"/>
          </w:tcPr>
          <w:p w14:paraId="00F040B1">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第六条</w:t>
            </w:r>
          </w:p>
        </w:tc>
        <w:tc>
          <w:tcPr>
            <w:tcW w:w="3055" w:type="dxa"/>
            <w:shd w:val="clear" w:color="auto" w:fill="auto"/>
            <w:vAlign w:val="center"/>
          </w:tcPr>
          <w:p w14:paraId="2C60111E">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t>综合单价、暂定合同价及付款方式</w:t>
            </w:r>
          </w:p>
        </w:tc>
        <w:tc>
          <w:tcPr>
            <w:tcW w:w="1346" w:type="dxa"/>
            <w:vAlign w:val="center"/>
          </w:tcPr>
          <w:p w14:paraId="3E27F2C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7DF5DE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69C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BA0C42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1425" w:type="dxa"/>
            <w:shd w:val="clear" w:color="auto" w:fill="auto"/>
            <w:vAlign w:val="center"/>
          </w:tcPr>
          <w:p w14:paraId="127AD27E">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第七条</w:t>
            </w:r>
          </w:p>
        </w:tc>
        <w:tc>
          <w:tcPr>
            <w:tcW w:w="3055" w:type="dxa"/>
            <w:shd w:val="clear" w:color="auto" w:fill="auto"/>
            <w:vAlign w:val="center"/>
          </w:tcPr>
          <w:p w14:paraId="22E04922">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t>质保及售后服务</w:t>
            </w:r>
          </w:p>
        </w:tc>
        <w:tc>
          <w:tcPr>
            <w:tcW w:w="1346" w:type="dxa"/>
            <w:vAlign w:val="center"/>
          </w:tcPr>
          <w:p w14:paraId="2A55D20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E9EAAA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1CC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DD04D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1425" w:type="dxa"/>
            <w:shd w:val="clear" w:color="auto" w:fill="auto"/>
            <w:vAlign w:val="center"/>
          </w:tcPr>
          <w:p w14:paraId="10FFB073">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第八条</w:t>
            </w:r>
          </w:p>
        </w:tc>
        <w:tc>
          <w:tcPr>
            <w:tcW w:w="3055" w:type="dxa"/>
            <w:shd w:val="clear" w:color="auto" w:fill="auto"/>
            <w:vAlign w:val="center"/>
          </w:tcPr>
          <w:p w14:paraId="77572A3D">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履约担保</w:t>
            </w:r>
          </w:p>
        </w:tc>
        <w:tc>
          <w:tcPr>
            <w:tcW w:w="1346" w:type="dxa"/>
            <w:vAlign w:val="center"/>
          </w:tcPr>
          <w:p w14:paraId="0C866EA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9429ED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EE5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B1E7E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1425" w:type="dxa"/>
            <w:shd w:val="clear" w:color="auto" w:fill="auto"/>
            <w:vAlign w:val="center"/>
          </w:tcPr>
          <w:p w14:paraId="582F8904">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第九条</w:t>
            </w:r>
          </w:p>
        </w:tc>
        <w:tc>
          <w:tcPr>
            <w:tcW w:w="3055" w:type="dxa"/>
            <w:shd w:val="clear" w:color="auto" w:fill="auto"/>
            <w:vAlign w:val="center"/>
          </w:tcPr>
          <w:p w14:paraId="79B04E76">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违约责任</w:t>
            </w:r>
          </w:p>
        </w:tc>
        <w:tc>
          <w:tcPr>
            <w:tcW w:w="1346" w:type="dxa"/>
            <w:vAlign w:val="center"/>
          </w:tcPr>
          <w:p w14:paraId="387B452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0CC630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44F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A9220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1425" w:type="dxa"/>
            <w:shd w:val="clear" w:color="auto" w:fill="auto"/>
            <w:vAlign w:val="center"/>
          </w:tcPr>
          <w:p w14:paraId="28626245">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第十条</w:t>
            </w:r>
          </w:p>
        </w:tc>
        <w:tc>
          <w:tcPr>
            <w:tcW w:w="3055" w:type="dxa"/>
            <w:shd w:val="clear" w:color="auto" w:fill="auto"/>
            <w:vAlign w:val="center"/>
          </w:tcPr>
          <w:p w14:paraId="6F653E60">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不可抗力</w:t>
            </w:r>
          </w:p>
        </w:tc>
        <w:tc>
          <w:tcPr>
            <w:tcW w:w="1346" w:type="dxa"/>
            <w:vAlign w:val="center"/>
          </w:tcPr>
          <w:p w14:paraId="4A82D02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5C4F6C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3FA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2F0EE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1425" w:type="dxa"/>
            <w:shd w:val="clear" w:color="auto" w:fill="auto"/>
            <w:vAlign w:val="center"/>
          </w:tcPr>
          <w:p w14:paraId="6EE7E246">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第十一条</w:t>
            </w:r>
          </w:p>
        </w:tc>
        <w:tc>
          <w:tcPr>
            <w:tcW w:w="3055" w:type="dxa"/>
            <w:shd w:val="clear" w:color="auto" w:fill="auto"/>
            <w:vAlign w:val="center"/>
          </w:tcPr>
          <w:p w14:paraId="49C2D4EB">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承诺与保证</w:t>
            </w:r>
          </w:p>
        </w:tc>
        <w:tc>
          <w:tcPr>
            <w:tcW w:w="1346" w:type="dxa"/>
            <w:vAlign w:val="center"/>
          </w:tcPr>
          <w:p w14:paraId="3483F3A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51AD16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730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564BDA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w:t>
            </w:r>
          </w:p>
        </w:tc>
        <w:tc>
          <w:tcPr>
            <w:tcW w:w="1425" w:type="dxa"/>
            <w:shd w:val="clear" w:color="auto" w:fill="auto"/>
            <w:vAlign w:val="center"/>
          </w:tcPr>
          <w:p w14:paraId="4915EA69">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第十二条</w:t>
            </w:r>
          </w:p>
        </w:tc>
        <w:tc>
          <w:tcPr>
            <w:tcW w:w="3055" w:type="dxa"/>
            <w:shd w:val="clear" w:color="auto" w:fill="auto"/>
            <w:vAlign w:val="center"/>
          </w:tcPr>
          <w:p w14:paraId="7DE73F8D">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合同争议的解决办法</w:t>
            </w:r>
          </w:p>
        </w:tc>
        <w:tc>
          <w:tcPr>
            <w:tcW w:w="1346" w:type="dxa"/>
            <w:vAlign w:val="center"/>
          </w:tcPr>
          <w:p w14:paraId="09CA9E7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996805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AB2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2DFE4A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p>
        </w:tc>
        <w:tc>
          <w:tcPr>
            <w:tcW w:w="1425" w:type="dxa"/>
            <w:shd w:val="clear" w:color="auto" w:fill="auto"/>
            <w:vAlign w:val="center"/>
          </w:tcPr>
          <w:p w14:paraId="6C3B7C34">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第十三条</w:t>
            </w:r>
          </w:p>
        </w:tc>
        <w:tc>
          <w:tcPr>
            <w:tcW w:w="3055" w:type="dxa"/>
            <w:shd w:val="clear" w:color="auto" w:fill="auto"/>
            <w:vAlign w:val="center"/>
          </w:tcPr>
          <w:p w14:paraId="495F66A8">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其他</w:t>
            </w:r>
          </w:p>
        </w:tc>
        <w:tc>
          <w:tcPr>
            <w:tcW w:w="1346" w:type="dxa"/>
            <w:vAlign w:val="center"/>
          </w:tcPr>
          <w:p w14:paraId="7C0FE1B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7D783A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CEC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AAB78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w:t>
            </w:r>
          </w:p>
        </w:tc>
        <w:tc>
          <w:tcPr>
            <w:tcW w:w="1425" w:type="dxa"/>
            <w:shd w:val="clear" w:color="auto" w:fill="auto"/>
            <w:vAlign w:val="center"/>
          </w:tcPr>
          <w:p w14:paraId="0458670F">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附件1</w:t>
            </w:r>
          </w:p>
        </w:tc>
        <w:tc>
          <w:tcPr>
            <w:tcW w:w="3055" w:type="dxa"/>
            <w:shd w:val="clear" w:color="auto" w:fill="auto"/>
            <w:vAlign w:val="center"/>
          </w:tcPr>
          <w:p w14:paraId="6541B2BB">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供应商履约评价表</w:t>
            </w:r>
          </w:p>
        </w:tc>
        <w:tc>
          <w:tcPr>
            <w:tcW w:w="1346" w:type="dxa"/>
            <w:vAlign w:val="center"/>
          </w:tcPr>
          <w:p w14:paraId="30D85FF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718F34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55E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10B00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1425" w:type="dxa"/>
            <w:shd w:val="clear" w:color="auto" w:fill="auto"/>
            <w:vAlign w:val="center"/>
          </w:tcPr>
          <w:p w14:paraId="1ADE3FC7">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附件2</w:t>
            </w:r>
          </w:p>
        </w:tc>
        <w:tc>
          <w:tcPr>
            <w:tcW w:w="3055" w:type="dxa"/>
            <w:shd w:val="clear" w:color="auto" w:fill="auto"/>
            <w:vAlign w:val="center"/>
          </w:tcPr>
          <w:p w14:paraId="197A2B71">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廉洁协议书</w:t>
            </w:r>
          </w:p>
        </w:tc>
        <w:tc>
          <w:tcPr>
            <w:tcW w:w="1346" w:type="dxa"/>
            <w:vAlign w:val="center"/>
          </w:tcPr>
          <w:p w14:paraId="0784A78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0BC838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8E4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6B518B">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16</w:t>
            </w:r>
          </w:p>
        </w:tc>
        <w:tc>
          <w:tcPr>
            <w:tcW w:w="1425" w:type="dxa"/>
            <w:shd w:val="clear" w:color="auto" w:fill="auto"/>
            <w:vAlign w:val="center"/>
          </w:tcPr>
          <w:p w14:paraId="7CFFDC94">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一</w:t>
            </w:r>
          </w:p>
        </w:tc>
        <w:tc>
          <w:tcPr>
            <w:tcW w:w="3055" w:type="dxa"/>
            <w:shd w:val="clear" w:color="auto" w:fill="auto"/>
            <w:vAlign w:val="center"/>
          </w:tcPr>
          <w:p w14:paraId="7D7AB522">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不可撤销银行履约保函</w:t>
            </w:r>
          </w:p>
        </w:tc>
        <w:tc>
          <w:tcPr>
            <w:tcW w:w="1346" w:type="dxa"/>
            <w:vAlign w:val="center"/>
          </w:tcPr>
          <w:p w14:paraId="3DF90E3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4A766A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2C1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70F6C9">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17</w:t>
            </w:r>
          </w:p>
        </w:tc>
        <w:tc>
          <w:tcPr>
            <w:tcW w:w="1425" w:type="dxa"/>
            <w:shd w:val="clear" w:color="auto" w:fill="auto"/>
            <w:vAlign w:val="center"/>
          </w:tcPr>
          <w:p w14:paraId="39981866">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二</w:t>
            </w:r>
          </w:p>
        </w:tc>
        <w:tc>
          <w:tcPr>
            <w:tcW w:w="3055" w:type="dxa"/>
            <w:shd w:val="clear" w:color="auto" w:fill="auto"/>
            <w:vAlign w:val="center"/>
          </w:tcPr>
          <w:p w14:paraId="1A986D34">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履约保证保险凭证</w:t>
            </w:r>
          </w:p>
        </w:tc>
        <w:tc>
          <w:tcPr>
            <w:tcW w:w="1346" w:type="dxa"/>
            <w:vAlign w:val="center"/>
          </w:tcPr>
          <w:p w14:paraId="3CCC824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B1F032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CEE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6CD10E4">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18</w:t>
            </w:r>
          </w:p>
        </w:tc>
        <w:tc>
          <w:tcPr>
            <w:tcW w:w="1425" w:type="dxa"/>
            <w:shd w:val="clear" w:color="auto" w:fill="auto"/>
            <w:vAlign w:val="center"/>
          </w:tcPr>
          <w:p w14:paraId="3B3610D2">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三</w:t>
            </w:r>
          </w:p>
        </w:tc>
        <w:tc>
          <w:tcPr>
            <w:tcW w:w="3055" w:type="dxa"/>
            <w:shd w:val="clear" w:color="auto" w:fill="auto"/>
            <w:vAlign w:val="center"/>
          </w:tcPr>
          <w:p w14:paraId="632A4616">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担保公司履约担保书</w:t>
            </w:r>
          </w:p>
        </w:tc>
        <w:tc>
          <w:tcPr>
            <w:tcW w:w="1346" w:type="dxa"/>
            <w:vAlign w:val="center"/>
          </w:tcPr>
          <w:p w14:paraId="39EBB61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2F9FE2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bl>
    <w:p w14:paraId="79818E9D">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7766A602">
      <w:pPr>
        <w:autoSpaceDE w:val="0"/>
        <w:autoSpaceDN w:val="0"/>
        <w:adjustRightInd w:val="0"/>
        <w:snapToGrid w:val="0"/>
        <w:spacing w:line="360" w:lineRule="auto"/>
        <w:ind w:left="166" w:leftChars="-101" w:hanging="378" w:hangingChars="18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0DD80F6D">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6A552E76">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（2）偏离情况（投标文件对招标文件合同条款的响应程度）分为：正偏离、负偏离、无偏离。正偏离是指投标人提供的货物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商务条件优于招标文件的要求；负偏离是指投标人提供的货物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商务条件不满足或不完全满足招标文件的要求；无偏离是指投标人提供的货物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商务条件完全满足招标文件的要求。</w:t>
      </w:r>
    </w:p>
    <w:p w14:paraId="7A2920B2">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3）招标文件“第五篇 相关保函格式”作为重要的商务条款，投标人的响应情况列入本合同条款偏离表。</w:t>
      </w:r>
    </w:p>
    <w:p w14:paraId="5A0442BD">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）如投标人差异内容较多可另附页说明，并在本偏离表“具体偏离内容”项注明其在投标文件中的具体页码。</w:t>
      </w:r>
    </w:p>
    <w:p w14:paraId="2604C05B">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3B1A622F">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4E982E84">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389C36C6">
      <w:pPr>
        <w:spacing w:line="360" w:lineRule="auto"/>
        <w:ind w:right="368" w:rightChars="175" w:firstLine="5355" w:firstLineChars="25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002AC9E7">
      <w:pPr>
        <w:autoSpaceDE w:val="0"/>
        <w:autoSpaceDN w:val="0"/>
        <w:adjustRightInd w:val="0"/>
        <w:spacing w:line="360" w:lineRule="auto"/>
        <w:ind w:firstLine="5355" w:firstLineChars="2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74AC455B">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lang w:val="zh-CN"/>
          <w14:textFill>
            <w14:solidFill>
              <w14:schemeClr w14:val="tx1"/>
            </w14:solidFill>
          </w14:textFill>
        </w:rPr>
        <w:br w:type="page"/>
      </w:r>
      <w:bookmarkStart w:id="612" w:name="_Toc31548"/>
      <w:bookmarkStart w:id="613" w:name="_Toc102860082"/>
      <w:bookmarkStart w:id="614" w:name="_Toc2075"/>
      <w:bookmarkStart w:id="615" w:name="_Toc140596937"/>
      <w:bookmarkStart w:id="616" w:name="_Toc27847"/>
      <w:bookmarkStart w:id="617" w:name="_Toc102860426"/>
      <w:bookmarkStart w:id="618" w:name="_Toc13348"/>
      <w:bookmarkStart w:id="619" w:name="_Toc104991884"/>
      <w:bookmarkStart w:id="620" w:name="_Toc94107218"/>
      <w:bookmarkStart w:id="621" w:name="_Toc142508377"/>
      <w:bookmarkStart w:id="622" w:name="_Toc27980_WPSOffice_Level2"/>
      <w:bookmarkStart w:id="623" w:name="_Toc486167717"/>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九</w:t>
      </w:r>
      <w:r>
        <w:rPr>
          <w:rFonts w:hint="eastAsia" w:ascii="宋体" w:hAnsi="宋体" w:eastAsia="宋体" w:cs="宋体"/>
          <w:b/>
          <w:color w:val="000000" w:themeColor="text1"/>
          <w:kern w:val="0"/>
          <w:sz w:val="32"/>
          <w:szCs w:val="32"/>
          <w:highlight w:val="none"/>
          <w14:textFill>
            <w14:solidFill>
              <w14:schemeClr w14:val="tx1"/>
            </w14:solidFill>
          </w14:textFill>
        </w:rPr>
        <w:t>、业绩表格式</w:t>
      </w:r>
      <w:bookmarkEnd w:id="612"/>
      <w:bookmarkEnd w:id="613"/>
      <w:bookmarkEnd w:id="614"/>
      <w:bookmarkEnd w:id="615"/>
      <w:bookmarkEnd w:id="616"/>
      <w:bookmarkEnd w:id="617"/>
      <w:bookmarkEnd w:id="618"/>
      <w:bookmarkEnd w:id="619"/>
      <w:bookmarkEnd w:id="620"/>
      <w:bookmarkEnd w:id="621"/>
    </w:p>
    <w:p w14:paraId="1BEF41E3">
      <w:pPr>
        <w:autoSpaceDE w:val="0"/>
        <w:autoSpaceDN w:val="0"/>
        <w:adjustRightInd w:val="0"/>
        <w:spacing w:line="360" w:lineRule="auto"/>
        <w:ind w:firstLine="602"/>
        <w:jc w:val="center"/>
        <w:rPr>
          <w:rFonts w:hint="eastAsia"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投标人2023年1月1日以来承接的五金材料或工器具在国内的销售业绩表</w:t>
      </w:r>
    </w:p>
    <w:tbl>
      <w:tblPr>
        <w:tblStyle w:val="39"/>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5"/>
        <w:gridCol w:w="1775"/>
        <w:gridCol w:w="1796"/>
        <w:gridCol w:w="1479"/>
        <w:gridCol w:w="893"/>
        <w:gridCol w:w="818"/>
        <w:gridCol w:w="868"/>
        <w:gridCol w:w="1142"/>
        <w:gridCol w:w="750"/>
      </w:tblGrid>
      <w:tr w14:paraId="66819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71" w:type="pct"/>
            <w:tcBorders>
              <w:top w:val="single" w:color="auto" w:sz="4" w:space="0"/>
              <w:left w:val="single" w:color="auto" w:sz="4" w:space="0"/>
              <w:bottom w:val="single" w:color="auto" w:sz="4" w:space="0"/>
              <w:right w:val="single" w:color="auto" w:sz="4" w:space="0"/>
            </w:tcBorders>
            <w:vAlign w:val="center"/>
          </w:tcPr>
          <w:p w14:paraId="0372E43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779" w:type="pct"/>
            <w:tcBorders>
              <w:top w:val="single" w:color="auto" w:sz="4" w:space="0"/>
              <w:left w:val="single" w:color="auto" w:sz="4" w:space="0"/>
              <w:bottom w:val="single" w:color="auto" w:sz="4" w:space="0"/>
              <w:right w:val="single" w:color="auto" w:sz="4" w:space="0"/>
            </w:tcBorders>
            <w:vAlign w:val="center"/>
          </w:tcPr>
          <w:p w14:paraId="4496433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w:t>
            </w:r>
          </w:p>
          <w:p w14:paraId="4C611E6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名称</w:t>
            </w:r>
          </w:p>
        </w:tc>
        <w:tc>
          <w:tcPr>
            <w:tcW w:w="788" w:type="pct"/>
            <w:tcBorders>
              <w:top w:val="single" w:color="auto" w:sz="4" w:space="0"/>
              <w:left w:val="single" w:color="auto" w:sz="4" w:space="0"/>
              <w:bottom w:val="single" w:color="auto" w:sz="4" w:space="0"/>
              <w:right w:val="single" w:color="auto" w:sz="4" w:space="0"/>
            </w:tcBorders>
            <w:vAlign w:val="center"/>
          </w:tcPr>
          <w:p w14:paraId="2C133D4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649" w:type="pct"/>
            <w:tcBorders>
              <w:top w:val="single" w:color="auto" w:sz="4" w:space="0"/>
              <w:left w:val="single" w:color="auto" w:sz="4" w:space="0"/>
              <w:bottom w:val="single" w:color="auto" w:sz="4" w:space="0"/>
              <w:right w:val="single" w:color="auto" w:sz="4" w:space="0"/>
            </w:tcBorders>
            <w:vAlign w:val="center"/>
          </w:tcPr>
          <w:p w14:paraId="18003CE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单项合同</w:t>
            </w:r>
          </w:p>
          <w:p w14:paraId="5549843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74ECD1D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合同期限</w:t>
            </w:r>
          </w:p>
        </w:tc>
        <w:tc>
          <w:tcPr>
            <w:tcW w:w="359" w:type="pct"/>
            <w:tcBorders>
              <w:top w:val="single" w:color="auto" w:sz="4" w:space="0"/>
              <w:left w:val="single" w:color="auto" w:sz="4" w:space="0"/>
              <w:bottom w:val="single" w:color="auto" w:sz="4" w:space="0"/>
              <w:right w:val="single" w:color="auto" w:sz="4" w:space="0"/>
            </w:tcBorders>
            <w:vAlign w:val="center"/>
          </w:tcPr>
          <w:p w14:paraId="4A6BBC9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合同签订日期</w:t>
            </w:r>
          </w:p>
        </w:tc>
        <w:tc>
          <w:tcPr>
            <w:tcW w:w="381" w:type="pct"/>
            <w:tcBorders>
              <w:top w:val="single" w:color="auto" w:sz="4" w:space="0"/>
              <w:left w:val="single" w:color="auto" w:sz="4" w:space="0"/>
              <w:bottom w:val="single" w:color="auto" w:sz="4" w:space="0"/>
              <w:right w:val="single" w:color="auto" w:sz="4" w:space="0"/>
            </w:tcBorders>
            <w:vAlign w:val="center"/>
          </w:tcPr>
          <w:p w14:paraId="5B85CD1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完成</w:t>
            </w:r>
          </w:p>
          <w:p w14:paraId="78C7944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5C0A181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5D8AE19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14:paraId="466D0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71" w:type="pct"/>
            <w:tcBorders>
              <w:top w:val="single" w:color="auto" w:sz="4" w:space="0"/>
              <w:left w:val="single" w:color="auto" w:sz="4" w:space="0"/>
              <w:bottom w:val="single" w:color="auto" w:sz="4" w:space="0"/>
              <w:right w:val="single" w:color="auto" w:sz="4" w:space="0"/>
            </w:tcBorders>
            <w:vAlign w:val="center"/>
          </w:tcPr>
          <w:p w14:paraId="027B0A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lang w:val="zh-CN"/>
                <w14:textFill>
                  <w14:solidFill>
                    <w14:schemeClr w14:val="tx1"/>
                  </w14:solidFill>
                </w14:textFill>
              </w:rPr>
            </w:pPr>
            <w:r>
              <w:rPr>
                <w:rFonts w:hint="default" w:ascii="宋体" w:hAnsi="宋体" w:eastAsia="宋体" w:cs="Times New Roman"/>
                <w:color w:val="000000" w:themeColor="text1"/>
                <w:kern w:val="0"/>
                <w:szCs w:val="21"/>
                <w:highlight w:val="none"/>
                <w:lang w:val="zh-CN"/>
                <w14:textFill>
                  <w14:solidFill>
                    <w14:schemeClr w14:val="tx1"/>
                  </w14:solidFill>
                </w14:textFill>
              </w:rPr>
              <w:t>1</w:t>
            </w:r>
          </w:p>
        </w:tc>
        <w:tc>
          <w:tcPr>
            <w:tcW w:w="779" w:type="pct"/>
            <w:tcBorders>
              <w:top w:val="single" w:color="auto" w:sz="4" w:space="0"/>
              <w:left w:val="single" w:color="auto" w:sz="4" w:space="0"/>
              <w:bottom w:val="single" w:color="auto" w:sz="4" w:space="0"/>
              <w:right w:val="single" w:color="auto" w:sz="4" w:space="0"/>
            </w:tcBorders>
            <w:vAlign w:val="center"/>
          </w:tcPr>
          <w:p w14:paraId="48792F1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88" w:type="pct"/>
            <w:tcBorders>
              <w:top w:val="single" w:color="auto" w:sz="4" w:space="0"/>
              <w:left w:val="single" w:color="auto" w:sz="4" w:space="0"/>
              <w:bottom w:val="single" w:color="auto" w:sz="4" w:space="0"/>
              <w:right w:val="single" w:color="auto" w:sz="4" w:space="0"/>
            </w:tcBorders>
            <w:vAlign w:val="center"/>
          </w:tcPr>
          <w:p w14:paraId="530975C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43BAC21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663A37A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59" w:type="pct"/>
            <w:tcBorders>
              <w:top w:val="single" w:color="auto" w:sz="4" w:space="0"/>
              <w:left w:val="single" w:color="auto" w:sz="4" w:space="0"/>
              <w:bottom w:val="single" w:color="auto" w:sz="4" w:space="0"/>
              <w:right w:val="single" w:color="auto" w:sz="4" w:space="0"/>
            </w:tcBorders>
            <w:vAlign w:val="center"/>
          </w:tcPr>
          <w:p w14:paraId="26BDE10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09F4077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46BA615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4CDFAD1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r>
      <w:tr w14:paraId="17405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71" w:type="pct"/>
            <w:tcBorders>
              <w:top w:val="single" w:color="auto" w:sz="4" w:space="0"/>
              <w:left w:val="single" w:color="auto" w:sz="4" w:space="0"/>
              <w:bottom w:val="single" w:color="auto" w:sz="4" w:space="0"/>
              <w:right w:val="single" w:color="auto" w:sz="4" w:space="0"/>
            </w:tcBorders>
            <w:vAlign w:val="center"/>
          </w:tcPr>
          <w:p w14:paraId="587C81D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lang w:val="zh-CN"/>
                <w14:textFill>
                  <w14:solidFill>
                    <w14:schemeClr w14:val="tx1"/>
                  </w14:solidFill>
                </w14:textFill>
              </w:rPr>
            </w:pPr>
            <w:r>
              <w:rPr>
                <w:rFonts w:hint="default" w:ascii="宋体" w:hAnsi="宋体" w:eastAsia="宋体" w:cs="Times New Roman"/>
                <w:color w:val="000000" w:themeColor="text1"/>
                <w:kern w:val="0"/>
                <w:szCs w:val="21"/>
                <w:highlight w:val="none"/>
                <w:lang w:val="zh-CN"/>
                <w14:textFill>
                  <w14:solidFill>
                    <w14:schemeClr w14:val="tx1"/>
                  </w14:solidFill>
                </w14:textFill>
              </w:rPr>
              <w:t>2</w:t>
            </w:r>
          </w:p>
        </w:tc>
        <w:tc>
          <w:tcPr>
            <w:tcW w:w="779" w:type="pct"/>
            <w:tcBorders>
              <w:top w:val="single" w:color="auto" w:sz="4" w:space="0"/>
              <w:left w:val="single" w:color="auto" w:sz="4" w:space="0"/>
              <w:bottom w:val="single" w:color="auto" w:sz="4" w:space="0"/>
              <w:right w:val="single" w:color="auto" w:sz="4" w:space="0"/>
            </w:tcBorders>
            <w:vAlign w:val="center"/>
          </w:tcPr>
          <w:p w14:paraId="1D4CE99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88" w:type="pct"/>
            <w:tcBorders>
              <w:top w:val="single" w:color="auto" w:sz="4" w:space="0"/>
              <w:left w:val="single" w:color="auto" w:sz="4" w:space="0"/>
              <w:bottom w:val="single" w:color="auto" w:sz="4" w:space="0"/>
              <w:right w:val="single" w:color="auto" w:sz="4" w:space="0"/>
            </w:tcBorders>
            <w:vAlign w:val="center"/>
          </w:tcPr>
          <w:p w14:paraId="0752F3F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12F6EFA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6610F0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59" w:type="pct"/>
            <w:tcBorders>
              <w:top w:val="single" w:color="auto" w:sz="4" w:space="0"/>
              <w:left w:val="single" w:color="auto" w:sz="4" w:space="0"/>
              <w:bottom w:val="single" w:color="auto" w:sz="4" w:space="0"/>
              <w:right w:val="single" w:color="auto" w:sz="4" w:space="0"/>
            </w:tcBorders>
            <w:vAlign w:val="center"/>
          </w:tcPr>
          <w:p w14:paraId="0F5447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51E689E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5B3A7C3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2181BE7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r>
      <w:tr w14:paraId="04378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71" w:type="pct"/>
            <w:tcBorders>
              <w:top w:val="single" w:color="auto" w:sz="4" w:space="0"/>
              <w:left w:val="single" w:color="auto" w:sz="4" w:space="0"/>
              <w:bottom w:val="single" w:color="auto" w:sz="4" w:space="0"/>
              <w:right w:val="single" w:color="auto" w:sz="4" w:space="0"/>
            </w:tcBorders>
            <w:vAlign w:val="center"/>
          </w:tcPr>
          <w:p w14:paraId="41BEF27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lang w:val="zh-CN"/>
                <w14:textFill>
                  <w14:solidFill>
                    <w14:schemeClr w14:val="tx1"/>
                  </w14:solidFill>
                </w14:textFill>
              </w:rPr>
            </w:pPr>
            <w:r>
              <w:rPr>
                <w:rFonts w:hint="default" w:ascii="宋体" w:hAnsi="宋体" w:eastAsia="宋体" w:cs="Times New Roman"/>
                <w:color w:val="000000" w:themeColor="text1"/>
                <w:kern w:val="0"/>
                <w:szCs w:val="21"/>
                <w:highlight w:val="none"/>
                <w:lang w:val="zh-CN"/>
                <w14:textFill>
                  <w14:solidFill>
                    <w14:schemeClr w14:val="tx1"/>
                  </w14:solidFill>
                </w14:textFill>
              </w:rPr>
              <w:t>3</w:t>
            </w:r>
          </w:p>
        </w:tc>
        <w:tc>
          <w:tcPr>
            <w:tcW w:w="779" w:type="pct"/>
            <w:tcBorders>
              <w:top w:val="single" w:color="auto" w:sz="4" w:space="0"/>
              <w:left w:val="single" w:color="auto" w:sz="4" w:space="0"/>
              <w:bottom w:val="single" w:color="auto" w:sz="4" w:space="0"/>
              <w:right w:val="single" w:color="auto" w:sz="4" w:space="0"/>
            </w:tcBorders>
            <w:vAlign w:val="center"/>
          </w:tcPr>
          <w:p w14:paraId="1A966F2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88" w:type="pct"/>
            <w:tcBorders>
              <w:top w:val="single" w:color="auto" w:sz="4" w:space="0"/>
              <w:left w:val="single" w:color="auto" w:sz="4" w:space="0"/>
              <w:bottom w:val="single" w:color="auto" w:sz="4" w:space="0"/>
              <w:right w:val="single" w:color="auto" w:sz="4" w:space="0"/>
            </w:tcBorders>
            <w:vAlign w:val="center"/>
          </w:tcPr>
          <w:p w14:paraId="799DA18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7D4BF16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2D6F303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59" w:type="pct"/>
            <w:tcBorders>
              <w:top w:val="single" w:color="auto" w:sz="4" w:space="0"/>
              <w:left w:val="single" w:color="auto" w:sz="4" w:space="0"/>
              <w:bottom w:val="single" w:color="auto" w:sz="4" w:space="0"/>
              <w:right w:val="single" w:color="auto" w:sz="4" w:space="0"/>
            </w:tcBorders>
            <w:vAlign w:val="center"/>
          </w:tcPr>
          <w:p w14:paraId="229B835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2F5F2C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5472C1C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35B60A6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r>
      <w:tr w14:paraId="59B45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71" w:type="pct"/>
            <w:tcBorders>
              <w:top w:val="single" w:color="auto" w:sz="4" w:space="0"/>
              <w:left w:val="single" w:color="auto" w:sz="4" w:space="0"/>
              <w:bottom w:val="single" w:color="auto" w:sz="4" w:space="0"/>
              <w:right w:val="single" w:color="auto" w:sz="4" w:space="0"/>
            </w:tcBorders>
            <w:vAlign w:val="center"/>
          </w:tcPr>
          <w:p w14:paraId="513026B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default" w:ascii="宋体" w:hAnsi="宋体" w:eastAsia="宋体" w:cs="Courier New"/>
                <w:color w:val="000000" w:themeColor="text1"/>
                <w:kern w:val="0"/>
                <w:szCs w:val="21"/>
                <w:highlight w:val="none"/>
                <w14:textFill>
                  <w14:solidFill>
                    <w14:schemeClr w14:val="tx1"/>
                  </w14:solidFill>
                </w14:textFill>
              </w:rPr>
              <w:t>…</w:t>
            </w:r>
          </w:p>
        </w:tc>
        <w:tc>
          <w:tcPr>
            <w:tcW w:w="779" w:type="pct"/>
            <w:tcBorders>
              <w:top w:val="single" w:color="auto" w:sz="4" w:space="0"/>
              <w:left w:val="single" w:color="auto" w:sz="4" w:space="0"/>
              <w:bottom w:val="single" w:color="auto" w:sz="4" w:space="0"/>
              <w:right w:val="single" w:color="auto" w:sz="4" w:space="0"/>
            </w:tcBorders>
            <w:vAlign w:val="center"/>
          </w:tcPr>
          <w:p w14:paraId="78BF33E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88" w:type="pct"/>
            <w:tcBorders>
              <w:top w:val="single" w:color="auto" w:sz="4" w:space="0"/>
              <w:left w:val="single" w:color="auto" w:sz="4" w:space="0"/>
              <w:bottom w:val="single" w:color="auto" w:sz="4" w:space="0"/>
              <w:right w:val="single" w:color="auto" w:sz="4" w:space="0"/>
            </w:tcBorders>
            <w:vAlign w:val="center"/>
          </w:tcPr>
          <w:p w14:paraId="06B3234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1EFED32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376EEA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59" w:type="pct"/>
            <w:tcBorders>
              <w:top w:val="single" w:color="auto" w:sz="4" w:space="0"/>
              <w:left w:val="single" w:color="auto" w:sz="4" w:space="0"/>
              <w:bottom w:val="single" w:color="auto" w:sz="4" w:space="0"/>
              <w:right w:val="single" w:color="auto" w:sz="4" w:space="0"/>
            </w:tcBorders>
            <w:vAlign w:val="center"/>
          </w:tcPr>
          <w:p w14:paraId="0513D85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62C03EF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21DECFB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5042BB4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r>
    </w:tbl>
    <w:p w14:paraId="67539B99">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249FA92A">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19FB4DD7">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业绩按单项合同采购金额从高到低的方式排列</w:t>
      </w: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b/>
          <w:bCs/>
          <w:color w:val="000000" w:themeColor="text1"/>
          <w:szCs w:val="24"/>
          <w:highlight w:val="none"/>
          <w:lang w:val="zh-CN"/>
          <w14:textFill>
            <w14:solidFill>
              <w14:schemeClr w14:val="tx1"/>
            </w14:solidFill>
          </w14:textFill>
        </w:rPr>
        <w:t>同一个单项合同的业绩可以同时在资格业绩和评分业绩重复放置</w:t>
      </w:r>
      <w:r>
        <w:rPr>
          <w:rFonts w:hint="eastAsia" w:ascii="宋体" w:hAnsi="宋体" w:eastAsia="宋体" w:cs="Times New Roman"/>
          <w:color w:val="000000" w:themeColor="text1"/>
          <w:szCs w:val="24"/>
          <w:highlight w:val="none"/>
          <w:lang w:val="zh-CN"/>
          <w14:textFill>
            <w14:solidFill>
              <w14:schemeClr w14:val="tx1"/>
            </w14:solidFill>
          </w14:textFill>
        </w:rPr>
        <w:t>；</w:t>
      </w:r>
    </w:p>
    <w:p w14:paraId="14269E7E">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）当一份业绩同时包含五金材料及工器具物资时，只计算一次分数，不重复得分；</w:t>
      </w:r>
    </w:p>
    <w:p w14:paraId="6937EA27">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）业绩须同时提供①五金材料或工器具销售合同复印件（合同卖方为投标人），②已供货产品任意一张发票复印件（发票开具日期须在本项目招标公告发布之日前），否则不得分；</w:t>
      </w:r>
    </w:p>
    <w:p w14:paraId="66E38F50">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4</w:t>
      </w:r>
      <w:r>
        <w:rPr>
          <w:rFonts w:hint="eastAsia" w:ascii="宋体" w:hAnsi="宋体" w:eastAsia="宋体" w:cs="Times New Roman"/>
          <w:color w:val="000000" w:themeColor="text1"/>
          <w:szCs w:val="24"/>
          <w:highlight w:val="none"/>
          <w:lang w:val="zh-CN"/>
          <w14:textFill>
            <w14:solidFill>
              <w14:schemeClr w14:val="tx1"/>
            </w14:solidFill>
          </w14:textFill>
        </w:rPr>
        <w:t>）若合同无法反映评分条件（合同签订日期为2023年1月1日或以后，合同标的必须包含五金材料或工器具、合同金额）的，还需提供产品购买方出具的书面补充说明文件复印件作为辅助证明（补充说明文件复印件能显示购买方法人公章），否则不得分；</w:t>
      </w:r>
    </w:p>
    <w:p w14:paraId="61500AB9">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）若业绩为框架式协议或资格入围无明确金额的合同，必须同时提供合同期限内已供货发票金额统计表和发票复印件；</w:t>
      </w:r>
    </w:p>
    <w:p w14:paraId="0DE0C3ED">
      <w:pPr>
        <w:autoSpaceDE w:val="0"/>
        <w:autoSpaceDN w:val="0"/>
        <w:adjustRightInd w:val="0"/>
        <w:snapToGrid w:val="0"/>
        <w:spacing w:line="360" w:lineRule="auto"/>
        <w:ind w:left="481" w:leftChars="-41"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6</w:t>
      </w:r>
      <w:r>
        <w:rPr>
          <w:rFonts w:hint="eastAsia" w:ascii="宋体" w:hAnsi="宋体" w:eastAsia="宋体" w:cs="Times New Roman"/>
          <w:color w:val="000000" w:themeColor="text1"/>
          <w:szCs w:val="24"/>
          <w:highlight w:val="none"/>
          <w:lang w:val="zh-CN"/>
          <w14:textFill>
            <w14:solidFill>
              <w14:schemeClr w14:val="tx1"/>
            </w14:solidFill>
          </w14:textFill>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000000" w:themeColor="text1"/>
          <w:kern w:val="0"/>
          <w:szCs w:val="21"/>
          <w:highlight w:val="none"/>
          <w14:textFill>
            <w14:solidFill>
              <w14:schemeClr w14:val="tx1"/>
            </w14:solidFill>
          </w14:textFill>
        </w:rPr>
        <w:t>。</w:t>
      </w:r>
    </w:p>
    <w:p w14:paraId="6ED89C70">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p>
    <w:p w14:paraId="6180B37B">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23903C17">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3FA5E4BB">
      <w:pPr>
        <w:autoSpaceDE w:val="0"/>
        <w:autoSpaceDN w:val="0"/>
        <w:adjustRightInd w:val="0"/>
        <w:spacing w:line="360" w:lineRule="auto"/>
        <w:ind w:firstLine="602"/>
        <w:rPr>
          <w:rFonts w:ascii="宋体" w:hAnsi="宋体" w:eastAsia="宋体" w:cs="Times New Roman"/>
          <w:b/>
          <w:bCs/>
          <w:color w:val="000000" w:themeColor="text1"/>
          <w:sz w:val="30"/>
          <w:szCs w:val="30"/>
          <w:highlight w:val="none"/>
          <w:lang w:val="zh-CN"/>
          <w14:textFill>
            <w14:solidFill>
              <w14:schemeClr w14:val="tx1"/>
            </w14:solidFill>
          </w14:textFill>
        </w:rPr>
      </w:pPr>
    </w:p>
    <w:bookmarkEnd w:id="622"/>
    <w:bookmarkEnd w:id="623"/>
    <w:p w14:paraId="4B1A978B">
      <w:pPr>
        <w:pageBreakBefore w:val="0"/>
        <w:widowControl/>
        <w:spacing w:line="240" w:lineRule="auto"/>
        <w:jc w:val="left"/>
        <w:rPr>
          <w:rFonts w:hint="eastAsia" w:ascii="宋体" w:hAnsi="宋体" w:eastAsia="宋体" w:cs="宋体"/>
          <w:b/>
          <w:bCs/>
          <w:color w:val="000000" w:themeColor="text1"/>
          <w:sz w:val="32"/>
          <w:szCs w:val="32"/>
          <w:highlight w:val="none"/>
          <w:lang w:bidi="ar"/>
          <w14:textFill>
            <w14:solidFill>
              <w14:schemeClr w14:val="tx1"/>
            </w14:solidFill>
          </w14:textFill>
        </w:rPr>
      </w:pPr>
      <w:bookmarkStart w:id="624" w:name="_Toc486167719"/>
      <w:bookmarkStart w:id="625" w:name="_Toc102860427"/>
      <w:bookmarkStart w:id="626" w:name="_Toc104991885"/>
      <w:bookmarkStart w:id="627" w:name="_Toc18175_WPSOffice_Level2"/>
      <w:bookmarkStart w:id="628" w:name="_Toc1977737"/>
      <w:bookmarkStart w:id="629" w:name="_Toc533708132"/>
      <w:bookmarkStart w:id="630" w:name="_Toc94107220"/>
      <w:bookmarkStart w:id="631" w:name="_Toc142508378"/>
      <w:bookmarkStart w:id="632" w:name="_Toc140596938"/>
      <w:bookmarkStart w:id="633" w:name="_Toc11745"/>
      <w:bookmarkStart w:id="634" w:name="_Toc13822"/>
      <w:bookmarkStart w:id="635" w:name="_Toc102860083"/>
      <w:r>
        <w:rPr>
          <w:rFonts w:hint="eastAsia" w:ascii="宋体" w:hAnsi="宋体" w:eastAsia="宋体" w:cs="宋体"/>
          <w:b/>
          <w:bCs/>
          <w:color w:val="000000" w:themeColor="text1"/>
          <w:sz w:val="32"/>
          <w:szCs w:val="32"/>
          <w:highlight w:val="none"/>
          <w:lang w:bidi="ar"/>
          <w14:textFill>
            <w14:solidFill>
              <w14:schemeClr w14:val="tx1"/>
            </w14:solidFill>
          </w14:textFill>
        </w:rPr>
        <w:br w:type="page"/>
      </w:r>
    </w:p>
    <w:p w14:paraId="600361D3">
      <w:pPr>
        <w:pageBreakBefore w:val="0"/>
        <w:widowControl/>
        <w:spacing w:line="360" w:lineRule="auto"/>
        <w:jc w:val="both"/>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bidi="ar"/>
          <w14:textFill>
            <w14:solidFill>
              <w14:schemeClr w14:val="tx1"/>
            </w14:solidFill>
          </w14:textFill>
        </w:rPr>
        <w:t>附表：已供货产品发票金额统计表</w:t>
      </w:r>
    </w:p>
    <w:tbl>
      <w:tblPr>
        <w:tblStyle w:val="39"/>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129"/>
        <w:gridCol w:w="1549"/>
        <w:gridCol w:w="1245"/>
        <w:gridCol w:w="1522"/>
        <w:gridCol w:w="1442"/>
      </w:tblGrid>
      <w:tr w14:paraId="06EA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8C6A87">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项目名称</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2FD0382F">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r>
      <w:tr w14:paraId="019F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89F19F">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合同期限</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39ED1DF3">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r>
      <w:tr w14:paraId="295B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D246B2">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发票抬头（合同买方）</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268E452E">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r>
      <w:tr w14:paraId="2D85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230F344">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序号</w:t>
            </w:r>
          </w:p>
        </w:tc>
        <w:tc>
          <w:tcPr>
            <w:tcW w:w="3129" w:type="dxa"/>
            <w:tcBorders>
              <w:top w:val="single" w:color="auto" w:sz="4" w:space="0"/>
              <w:left w:val="nil"/>
              <w:bottom w:val="single" w:color="auto" w:sz="4" w:space="0"/>
              <w:right w:val="single" w:color="auto" w:sz="4" w:space="0"/>
            </w:tcBorders>
            <w:shd w:val="clear" w:color="auto" w:fill="auto"/>
            <w:vAlign w:val="center"/>
          </w:tcPr>
          <w:p w14:paraId="55E47F0E">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发票名目</w:t>
            </w:r>
          </w:p>
        </w:tc>
        <w:tc>
          <w:tcPr>
            <w:tcW w:w="1549" w:type="dxa"/>
            <w:tcBorders>
              <w:top w:val="single" w:color="auto" w:sz="4" w:space="0"/>
              <w:left w:val="nil"/>
              <w:bottom w:val="single" w:color="auto" w:sz="4" w:space="0"/>
              <w:right w:val="single" w:color="auto" w:sz="4" w:space="0"/>
            </w:tcBorders>
            <w:shd w:val="clear" w:color="auto" w:fill="auto"/>
            <w:vAlign w:val="center"/>
          </w:tcPr>
          <w:p w14:paraId="7BEA2E90">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发票金额（单位：万元）</w:t>
            </w:r>
          </w:p>
        </w:tc>
        <w:tc>
          <w:tcPr>
            <w:tcW w:w="1245" w:type="dxa"/>
            <w:tcBorders>
              <w:top w:val="single" w:color="auto" w:sz="4" w:space="0"/>
              <w:left w:val="nil"/>
              <w:bottom w:val="single" w:color="auto" w:sz="4" w:space="0"/>
              <w:right w:val="single" w:color="auto" w:sz="4" w:space="0"/>
            </w:tcBorders>
            <w:shd w:val="clear" w:color="auto" w:fill="auto"/>
            <w:vAlign w:val="center"/>
          </w:tcPr>
          <w:p w14:paraId="6EB4785A">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发票号码</w:t>
            </w:r>
          </w:p>
        </w:tc>
        <w:tc>
          <w:tcPr>
            <w:tcW w:w="1522" w:type="dxa"/>
            <w:tcBorders>
              <w:top w:val="single" w:color="auto" w:sz="4" w:space="0"/>
              <w:left w:val="nil"/>
              <w:bottom w:val="single" w:color="auto" w:sz="4" w:space="0"/>
              <w:right w:val="single" w:color="auto" w:sz="4" w:space="0"/>
            </w:tcBorders>
            <w:shd w:val="clear" w:color="auto" w:fill="auto"/>
            <w:vAlign w:val="center"/>
          </w:tcPr>
          <w:p w14:paraId="72F2924F">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发票所属时期</w:t>
            </w:r>
          </w:p>
        </w:tc>
        <w:tc>
          <w:tcPr>
            <w:tcW w:w="1442" w:type="dxa"/>
            <w:tcBorders>
              <w:top w:val="single" w:color="auto" w:sz="4" w:space="0"/>
              <w:left w:val="nil"/>
              <w:bottom w:val="single" w:color="auto" w:sz="4" w:space="0"/>
              <w:right w:val="single" w:color="auto" w:sz="4" w:space="0"/>
            </w:tcBorders>
            <w:shd w:val="clear" w:color="auto" w:fill="auto"/>
            <w:vAlign w:val="center"/>
          </w:tcPr>
          <w:p w14:paraId="7EFC0321">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备注</w:t>
            </w:r>
          </w:p>
        </w:tc>
      </w:tr>
      <w:tr w14:paraId="51E0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61FEB31">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1</w:t>
            </w:r>
          </w:p>
        </w:tc>
        <w:tc>
          <w:tcPr>
            <w:tcW w:w="3129" w:type="dxa"/>
            <w:tcBorders>
              <w:top w:val="single" w:color="auto" w:sz="4" w:space="0"/>
              <w:left w:val="nil"/>
              <w:bottom w:val="single" w:color="auto" w:sz="4" w:space="0"/>
              <w:right w:val="single" w:color="auto" w:sz="4" w:space="0"/>
            </w:tcBorders>
            <w:shd w:val="clear" w:color="auto" w:fill="auto"/>
            <w:vAlign w:val="center"/>
          </w:tcPr>
          <w:p w14:paraId="4B27BF82">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4FF9B3C4">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088573EF">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7586AA4C">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4EFEE24A">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r>
      <w:tr w14:paraId="3192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345CF593">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2</w:t>
            </w:r>
          </w:p>
        </w:tc>
        <w:tc>
          <w:tcPr>
            <w:tcW w:w="3129" w:type="dxa"/>
            <w:tcBorders>
              <w:top w:val="single" w:color="auto" w:sz="4" w:space="0"/>
              <w:left w:val="nil"/>
              <w:bottom w:val="single" w:color="auto" w:sz="4" w:space="0"/>
              <w:right w:val="single" w:color="auto" w:sz="4" w:space="0"/>
            </w:tcBorders>
            <w:shd w:val="clear" w:color="auto" w:fill="auto"/>
            <w:vAlign w:val="center"/>
          </w:tcPr>
          <w:p w14:paraId="7DCB9D4D">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076AB7FC">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11673B70">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6FF9E233">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710114B0">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r>
      <w:tr w14:paraId="2C21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0F8AF4CA">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3</w:t>
            </w:r>
          </w:p>
        </w:tc>
        <w:tc>
          <w:tcPr>
            <w:tcW w:w="3129" w:type="dxa"/>
            <w:tcBorders>
              <w:top w:val="single" w:color="auto" w:sz="4" w:space="0"/>
              <w:left w:val="nil"/>
              <w:bottom w:val="single" w:color="auto" w:sz="4" w:space="0"/>
              <w:right w:val="single" w:color="auto" w:sz="4" w:space="0"/>
            </w:tcBorders>
            <w:shd w:val="clear" w:color="auto" w:fill="auto"/>
            <w:vAlign w:val="center"/>
          </w:tcPr>
          <w:p w14:paraId="7984860C">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29FC65B5">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23117808">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2F175669">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1BFD1FAA">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r>
      <w:tr w14:paraId="0D46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930E5FD">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w:t>
            </w:r>
          </w:p>
        </w:tc>
        <w:tc>
          <w:tcPr>
            <w:tcW w:w="3129" w:type="dxa"/>
            <w:tcBorders>
              <w:top w:val="single" w:color="auto" w:sz="4" w:space="0"/>
              <w:left w:val="nil"/>
              <w:bottom w:val="single" w:color="auto" w:sz="4" w:space="0"/>
              <w:right w:val="single" w:color="auto" w:sz="4" w:space="0"/>
            </w:tcBorders>
            <w:shd w:val="clear" w:color="auto" w:fill="auto"/>
            <w:vAlign w:val="center"/>
          </w:tcPr>
          <w:p w14:paraId="28A58C4B">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7A094EC4">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04AC44CA">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0F9DDA43">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0F0CB0B6">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r>
      <w:tr w14:paraId="5095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677674">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发票金额合计（单位：万元）</w:t>
            </w:r>
          </w:p>
        </w:tc>
        <w:tc>
          <w:tcPr>
            <w:tcW w:w="1549" w:type="dxa"/>
            <w:tcBorders>
              <w:top w:val="single" w:color="auto" w:sz="4" w:space="0"/>
              <w:left w:val="nil"/>
              <w:bottom w:val="single" w:color="auto" w:sz="4" w:space="0"/>
              <w:right w:val="single" w:color="auto" w:sz="4" w:space="0"/>
            </w:tcBorders>
            <w:shd w:val="clear" w:color="auto" w:fill="auto"/>
            <w:vAlign w:val="center"/>
          </w:tcPr>
          <w:p w14:paraId="355A1F31">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058C030A">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7429950B">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31DCA46C">
            <w:pPr>
              <w:pStyle w:val="36"/>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r>
    </w:tbl>
    <w:p w14:paraId="7FB25355">
      <w:pPr>
        <w:snapToGrid w:val="0"/>
        <w:spacing w:line="360" w:lineRule="auto"/>
        <w:ind w:left="493" w:leftChars="-56" w:hanging="611" w:hangingChars="29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19777CEF">
      <w:pPr>
        <w:snapToGrid w:val="0"/>
        <w:spacing w:line="360" w:lineRule="auto"/>
        <w:ind w:left="493" w:leftChars="-56" w:hanging="611" w:hangingChars="291"/>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备注：</w:t>
      </w:r>
    </w:p>
    <w:p w14:paraId="0C3CD442">
      <w:pPr>
        <w:snapToGrid w:val="0"/>
        <w:spacing w:line="360" w:lineRule="auto"/>
        <w:ind w:left="493" w:leftChars="-56" w:hanging="611" w:hangingChars="291"/>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（1）投标人提供框架式协议或资格入围无明确金额的合同时，须同时提供本统计表及供货发票复印件，本统计表及供货发票复印件应后附于合同复印件；</w:t>
      </w:r>
    </w:p>
    <w:p w14:paraId="40AF49E5">
      <w:pPr>
        <w:snapToGrid w:val="0"/>
        <w:spacing w:line="360" w:lineRule="auto"/>
        <w:ind w:left="493" w:leftChars="-56" w:hanging="611" w:hangingChars="29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发票抬头应为合同买方，收款人应为投标人，且发票名目、所属时期应与合同约定内容一致，否则不计分；</w:t>
      </w:r>
    </w:p>
    <w:p w14:paraId="5D093E4B">
      <w:pPr>
        <w:snapToGrid w:val="0"/>
        <w:spacing w:line="360" w:lineRule="auto"/>
        <w:ind w:left="493" w:leftChars="-56" w:hanging="611" w:hangingChars="291"/>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w:t>
      </w:r>
      <w:r>
        <w:rPr>
          <w:rFonts w:ascii="宋体" w:hAnsi="宋体" w:eastAsia="宋体" w:cs="Times New Roman"/>
          <w:color w:val="000000" w:themeColor="text1"/>
          <w:highlight w:val="none"/>
          <w14:textFill>
            <w14:solidFill>
              <w14:schemeClr w14:val="tx1"/>
            </w14:solidFill>
          </w14:textFill>
        </w:rPr>
        <w:t>3）发票合计金额视为投标人所提供该项供货业绩的供货金额，并按此金额进行评审。</w:t>
      </w:r>
    </w:p>
    <w:p w14:paraId="290B1474">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p>
    <w:p w14:paraId="0AE455C5">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1695495B">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0FFC14A4">
      <w:pPr>
        <w:snapToGrid w:val="0"/>
        <w:spacing w:line="360" w:lineRule="auto"/>
        <w:ind w:left="493" w:leftChars="-56" w:hanging="611" w:hangingChars="291"/>
        <w:rPr>
          <w:rFonts w:ascii="宋体" w:hAnsi="宋体" w:eastAsia="宋体" w:cs="宋体"/>
          <w:color w:val="000000" w:themeColor="text1"/>
          <w:szCs w:val="21"/>
          <w:highlight w:val="none"/>
          <w:lang w:val="zh-CN"/>
          <w14:textFill>
            <w14:solidFill>
              <w14:schemeClr w14:val="tx1"/>
            </w14:solidFill>
          </w14:textFill>
        </w:rPr>
      </w:pPr>
    </w:p>
    <w:p w14:paraId="565F9984">
      <w:pPr>
        <w:pageBreakBefore/>
        <w:spacing w:before="120" w:after="120" w:line="360" w:lineRule="auto"/>
        <w:jc w:val="left"/>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bookmarkStart w:id="636" w:name="_Toc10652"/>
      <w:bookmarkStart w:id="637" w:name="_Toc25196"/>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十、投标保证金汇入情况说明</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2A0C53BE">
      <w:pPr>
        <w:autoSpaceDE w:val="0"/>
        <w:autoSpaceDN w:val="0"/>
        <w:adjustRightInd w:val="0"/>
        <w:spacing w:line="360" w:lineRule="auto"/>
        <w:jc w:val="left"/>
        <w:rPr>
          <w:rFonts w:ascii="宋体" w:hAnsi="宋体" w:eastAsia="宋体" w:cs="宋体"/>
          <w:color w:val="000000" w:themeColor="text1"/>
          <w:szCs w:val="24"/>
          <w:highlight w:val="none"/>
          <w14:textFill>
            <w14:solidFill>
              <w14:schemeClr w14:val="tx1"/>
            </w14:solidFill>
          </w14:textFill>
        </w:rPr>
      </w:pPr>
    </w:p>
    <w:p w14:paraId="35A148B8">
      <w:pPr>
        <w:autoSpaceDE w:val="0"/>
        <w:autoSpaceDN w:val="0"/>
        <w:adjustRightInd w:val="0"/>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bookmarkStart w:id="638" w:name="_Toc31832_WPSOffice_Level3"/>
      <w:r>
        <w:rPr>
          <w:rFonts w:hint="eastAsia" w:ascii="宋体" w:hAnsi="宋体" w:eastAsia="宋体" w:cs="宋体"/>
          <w:b/>
          <w:bCs/>
          <w:color w:val="000000" w:themeColor="text1"/>
          <w:kern w:val="0"/>
          <w:sz w:val="24"/>
          <w:szCs w:val="24"/>
          <w:highlight w:val="none"/>
          <w14:textFill>
            <w14:solidFill>
              <w14:schemeClr w14:val="tx1"/>
            </w14:solidFill>
          </w14:textFill>
        </w:rPr>
        <w:t>投标保证金汇入情况说明</w:t>
      </w:r>
      <w:bookmarkEnd w:id="638"/>
    </w:p>
    <w:p w14:paraId="2ABBBD8E">
      <w:pPr>
        <w:autoSpaceDE w:val="0"/>
        <w:autoSpaceDN w:val="0"/>
        <w:adjustRightInd w:val="0"/>
        <w:spacing w:line="360" w:lineRule="auto"/>
        <w:jc w:val="center"/>
        <w:rPr>
          <w:rFonts w:ascii="宋体" w:hAnsi="宋体" w:eastAsia="宋体" w:cs="宋体"/>
          <w:b/>
          <w:bCs/>
          <w:color w:val="000000" w:themeColor="text1"/>
          <w:kern w:val="0"/>
          <w:szCs w:val="24"/>
          <w:highlight w:val="none"/>
          <w14:textFill>
            <w14:solidFill>
              <w14:schemeClr w14:val="tx1"/>
            </w14:solidFill>
          </w14:textFill>
        </w:rPr>
      </w:pPr>
    </w:p>
    <w:p w14:paraId="5CAA2222">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东莞市水务环境投资控股集团净水有限公司</w:t>
      </w:r>
      <w:r>
        <w:rPr>
          <w:rFonts w:hint="eastAsia" w:ascii="宋体" w:hAnsi="宋体" w:eastAsia="宋体" w:cs="宋体"/>
          <w:color w:val="000000" w:themeColor="text1"/>
          <w:szCs w:val="21"/>
          <w:highlight w:val="none"/>
          <w14:textFill>
            <w14:solidFill>
              <w14:schemeClr w14:val="tx1"/>
            </w14:solidFill>
          </w14:textFill>
        </w:rPr>
        <w:t>：</w:t>
      </w:r>
    </w:p>
    <w:p w14:paraId="198F0135">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本单位已按</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东莞市水务环境投资控股集团净水有限公司2026年五金材料及工器具物资采购项目</w:t>
      </w:r>
      <w:r>
        <w:rPr>
          <w:rFonts w:hint="eastAsia" w:ascii="宋体" w:hAnsi="宋体" w:eastAsia="宋体" w:cs="宋体"/>
          <w:color w:val="000000" w:themeColor="text1"/>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u w:val="single"/>
          <w:lang w:eastAsia="zh-CN"/>
          <w14:textFill>
            <w14:solidFill>
              <w14:schemeClr w14:val="tx1"/>
            </w14:solidFill>
          </w14:textFill>
        </w:rPr>
        <w:t>广建咨询（东招）2025-0122号</w:t>
      </w:r>
      <w:r>
        <w:rPr>
          <w:rFonts w:hint="eastAsia" w:ascii="宋体" w:hAnsi="宋体" w:eastAsia="宋体" w:cs="宋体"/>
          <w:color w:val="000000" w:themeColor="text1"/>
          <w:szCs w:val="21"/>
          <w:highlight w:val="none"/>
          <w14:textFill>
            <w14:solidFill>
              <w14:schemeClr w14:val="tx1"/>
            </w14:solidFill>
          </w14:textFill>
        </w:rPr>
        <w:t>）的招标文件要求，于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日前以</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付款形式）方式汇入指定账户（账户名称：</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200F103D">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本单位投标保证金的汇款情况：（详见附件－投标保证金进</w:t>
      </w:r>
      <w:r>
        <w:rPr>
          <w:rFonts w:hint="eastAsia" w:ascii="宋体" w:hAnsi="宋体" w:eastAsia="宋体" w:cs="宋体"/>
          <w:color w:val="000000" w:themeColor="text1"/>
          <w:szCs w:val="21"/>
          <w:highlight w:val="none"/>
          <w:lang w:val="en-US" w:eastAsia="zh-CN"/>
          <w14:textFill>
            <w14:solidFill>
              <w14:schemeClr w14:val="tx1"/>
            </w14:solidFill>
          </w14:textFill>
        </w:rPr>
        <w:t>账</w:t>
      </w:r>
      <w:r>
        <w:rPr>
          <w:rFonts w:hint="eastAsia" w:ascii="宋体" w:hAnsi="宋体" w:eastAsia="宋体" w:cs="宋体"/>
          <w:color w:val="000000" w:themeColor="text1"/>
          <w:szCs w:val="21"/>
          <w:highlight w:val="none"/>
          <w14:textFill>
            <w14:solidFill>
              <w14:schemeClr w14:val="tx1"/>
            </w14:solidFill>
          </w14:textFill>
        </w:rPr>
        <w:t>单）</w:t>
      </w:r>
    </w:p>
    <w:p w14:paraId="7A1BF38C">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汇出时间：</w:t>
      </w:r>
      <w:r>
        <w:rPr>
          <w:rFonts w:hint="eastAsia" w:ascii="宋体" w:hAnsi="宋体" w:eastAsia="宋体" w:cs="宋体"/>
          <w:color w:val="000000" w:themeColor="text1"/>
          <w:szCs w:val="21"/>
          <w:highlight w:val="none"/>
          <w:u w:val="single"/>
          <w14:textFill>
            <w14:solidFill>
              <w14:schemeClr w14:val="tx1"/>
            </w14:solidFill>
          </w14:textFill>
        </w:rPr>
        <w:t xml:space="preserve">    年   月    日</w:t>
      </w:r>
    </w:p>
    <w:p w14:paraId="1DF7AC8C">
      <w:pPr>
        <w:spacing w:line="360" w:lineRule="auto"/>
        <w:ind w:firstLine="424" w:firstLineChars="202"/>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汇款金额：</w:t>
      </w:r>
      <w:r>
        <w:rPr>
          <w:rFonts w:hint="eastAsia" w:ascii="宋体" w:hAnsi="宋体" w:eastAsia="宋体" w:cs="宋体"/>
          <w:color w:val="000000" w:themeColor="text1"/>
          <w:szCs w:val="21"/>
          <w:highlight w:val="none"/>
          <w:u w:val="single"/>
          <w:lang w:eastAsia="zh-CN"/>
          <w14:textFill>
            <w14:solidFill>
              <w14:schemeClr w14:val="tx1"/>
            </w14:solidFill>
          </w14:textFill>
        </w:rPr>
        <w:t>（大写）人民币      元（小写：¥      元）</w:t>
      </w:r>
    </w:p>
    <w:p w14:paraId="7EB03CD3">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汇款账户名称：</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（必须是投标时使用的账户名）</w:t>
      </w:r>
    </w:p>
    <w:p w14:paraId="0A14D276">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（必须是投标时使用的账号）</w:t>
      </w:r>
    </w:p>
    <w:p w14:paraId="2C8D62F4">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省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市         </w:t>
      </w:r>
    </w:p>
    <w:p w14:paraId="0EB05C75">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14:paraId="6F16F1EA">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保证金退回时，请按上述资料退回。</w:t>
      </w:r>
    </w:p>
    <w:p w14:paraId="10DB1464">
      <w:pPr>
        <w:spacing w:line="360" w:lineRule="auto"/>
        <w:ind w:right="844" w:rightChars="402" w:firstLine="424" w:firstLineChars="202"/>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bCs/>
          <w:color w:val="000000" w:themeColor="text1"/>
          <w:szCs w:val="24"/>
          <w:highlight w:val="none"/>
          <w14:textFill>
            <w14:solidFill>
              <w14:schemeClr w14:val="tx1"/>
            </w14:solidFill>
          </w14:textFill>
        </w:rPr>
        <w:t>投标人法人公章</w:t>
      </w:r>
      <w:r>
        <w:rPr>
          <w:rFonts w:hint="eastAsia" w:ascii="宋体" w:hAnsi="宋体" w:eastAsia="宋体" w:cs="宋体"/>
          <w:color w:val="000000" w:themeColor="text1"/>
          <w:szCs w:val="24"/>
          <w:highlight w:val="none"/>
          <w14:textFill>
            <w14:solidFill>
              <w14:schemeClr w14:val="tx1"/>
            </w14:solidFill>
          </w14:textFill>
        </w:rPr>
        <w:t>）</w:t>
      </w:r>
    </w:p>
    <w:p w14:paraId="202A7C36">
      <w:pPr>
        <w:spacing w:line="360" w:lineRule="auto"/>
        <w:ind w:right="628" w:rightChars="299" w:firstLine="7774" w:firstLineChars="3702"/>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年   月   日</w:t>
      </w:r>
    </w:p>
    <w:p w14:paraId="21DDE3D2">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单位名称：</w:t>
      </w:r>
    </w:p>
    <w:p w14:paraId="62F3D406">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单位地址：</w:t>
      </w:r>
    </w:p>
    <w:p w14:paraId="128ABFC0">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p>
    <w:p w14:paraId="3D049F02">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单位电话：                    </w:t>
      </w:r>
    </w:p>
    <w:p w14:paraId="39A37FC4">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联系人手机：</w:t>
      </w:r>
    </w:p>
    <w:p w14:paraId="67CA6FF1">
      <w:pPr>
        <w:spacing w:line="360" w:lineRule="auto"/>
        <w:ind w:left="340" w:leftChars="162" w:firstLine="425"/>
        <w:rPr>
          <w:rFonts w:ascii="宋体" w:hAnsi="宋体" w:eastAsia="宋体" w:cs="宋体"/>
          <w:b/>
          <w:bCs/>
          <w:color w:val="000000" w:themeColor="text1"/>
          <w:szCs w:val="21"/>
          <w:highlight w:val="none"/>
          <w14:textFill>
            <w14:solidFill>
              <w14:schemeClr w14:val="tx1"/>
            </w14:solidFill>
          </w14:textFill>
        </w:rPr>
      </w:pPr>
      <w:bookmarkStart w:id="639" w:name="_Toc26208_WPSOffice_Level3"/>
      <w:r>
        <w:rPr>
          <w:rFonts w:hint="eastAsia" w:ascii="宋体" w:hAnsi="宋体" w:eastAsia="宋体" w:cs="宋体"/>
          <w:b/>
          <w:bCs/>
          <w:color w:val="000000" w:themeColor="text1"/>
          <w:szCs w:val="21"/>
          <w:highlight w:val="none"/>
          <w14:textFill>
            <w14:solidFill>
              <w14:schemeClr w14:val="tx1"/>
            </w14:solidFill>
          </w14:textFill>
        </w:rPr>
        <w:t>附：1、我方投标保证金汇款凭证（复印件）</w:t>
      </w:r>
      <w:bookmarkEnd w:id="639"/>
    </w:p>
    <w:p w14:paraId="620A2462">
      <w:pPr>
        <w:spacing w:line="360" w:lineRule="auto"/>
        <w:ind w:left="340" w:leftChars="162" w:firstLine="839" w:firstLineChars="398"/>
        <w:rPr>
          <w:rFonts w:ascii="宋体" w:hAnsi="宋体" w:eastAsia="宋体" w:cs="宋体"/>
          <w:b/>
          <w:bCs/>
          <w:color w:val="000000" w:themeColor="text1"/>
          <w:szCs w:val="21"/>
          <w:highlight w:val="none"/>
          <w14:textFill>
            <w14:solidFill>
              <w14:schemeClr w14:val="tx1"/>
            </w14:solidFill>
          </w14:textFill>
        </w:rPr>
      </w:pPr>
      <w:bookmarkStart w:id="640" w:name="_Toc12992_WPSOffice_Level3"/>
      <w:r>
        <w:rPr>
          <w:rFonts w:hint="eastAsia" w:ascii="宋体" w:hAnsi="宋体" w:eastAsia="宋体" w:cs="宋体"/>
          <w:b/>
          <w:bCs/>
          <w:color w:val="000000" w:themeColor="text1"/>
          <w:szCs w:val="21"/>
          <w:highlight w:val="none"/>
          <w14:textFill>
            <w14:solidFill>
              <w14:schemeClr w14:val="tx1"/>
            </w14:solidFill>
          </w14:textFill>
        </w:rPr>
        <w:t>2、我方基本账户开户许可证（复印件）</w:t>
      </w:r>
      <w:bookmarkEnd w:id="640"/>
    </w:p>
    <w:p w14:paraId="56D58F41">
      <w:pPr>
        <w:spacing w:line="360" w:lineRule="auto"/>
        <w:ind w:left="340" w:leftChars="162" w:firstLine="736" w:firstLineChars="34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注：本情况说明手写无效。</w:t>
      </w:r>
    </w:p>
    <w:p w14:paraId="7DD35287">
      <w:pPr>
        <w:autoSpaceDE w:val="0"/>
        <w:autoSpaceDN w:val="0"/>
        <w:adjustRightInd w:val="0"/>
        <w:spacing w:line="360" w:lineRule="auto"/>
        <w:ind w:firstLine="5145" w:firstLineChars="2450"/>
        <w:rPr>
          <w:rFonts w:ascii="宋体" w:hAnsi="宋体" w:eastAsia="宋体" w:cs="宋体"/>
          <w:color w:val="000000" w:themeColor="text1"/>
          <w:szCs w:val="24"/>
          <w:highlight w:val="none"/>
          <w:lang w:val="zh-CN"/>
          <w14:textFill>
            <w14:solidFill>
              <w14:schemeClr w14:val="tx1"/>
            </w14:solidFill>
          </w14:textFill>
        </w:rPr>
      </w:pPr>
    </w:p>
    <w:p w14:paraId="2E25289F">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bookmarkStart w:id="641" w:name="_Toc486167721"/>
    </w:p>
    <w:p w14:paraId="3F0CEBC1">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bookmarkStart w:id="642" w:name="_Toc533708134"/>
    </w:p>
    <w:p w14:paraId="023E9B95">
      <w:pPr>
        <w:widowControl/>
        <w:jc w:val="left"/>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Cs w:val="21"/>
          <w:highlight w:val="none"/>
          <w14:textFill>
            <w14:solidFill>
              <w14:schemeClr w14:val="tx1"/>
            </w14:solidFill>
          </w14:textFill>
        </w:rPr>
        <w:br w:type="page"/>
      </w:r>
    </w:p>
    <w:p w14:paraId="1901B0C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sectPr>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bookmarkStart w:id="643" w:name="_Toc16292"/>
      <w:bookmarkStart w:id="644" w:name="_Toc11618"/>
      <w:bookmarkStart w:id="645" w:name="_Toc142508379"/>
      <w:bookmarkStart w:id="646" w:name="_Toc102860084"/>
      <w:bookmarkStart w:id="647" w:name="_Toc104991886"/>
      <w:bookmarkStart w:id="648" w:name="_Toc16016"/>
      <w:bookmarkStart w:id="649" w:name="_Toc94107221"/>
      <w:bookmarkStart w:id="650" w:name="_Toc1977738"/>
      <w:bookmarkStart w:id="651" w:name="_Toc140596939"/>
      <w:bookmarkStart w:id="652" w:name="_Toc102860428"/>
      <w:bookmarkStart w:id="653" w:name="_Toc18032"/>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十一</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及有关</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服务能力的有关其它商务文件（不做强制要求）</w:t>
      </w:r>
      <w:bookmarkEnd w:id="643"/>
      <w:bookmarkEnd w:id="644"/>
      <w:bookmarkEnd w:id="645"/>
      <w:bookmarkEnd w:id="646"/>
      <w:bookmarkEnd w:id="647"/>
      <w:bookmarkEnd w:id="648"/>
      <w:bookmarkEnd w:id="649"/>
      <w:bookmarkEnd w:id="650"/>
      <w:bookmarkEnd w:id="651"/>
      <w:bookmarkEnd w:id="652"/>
      <w:bookmarkEnd w:id="653"/>
    </w:p>
    <w:p w14:paraId="6E47CB6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654" w:name="_Toc94107222"/>
      <w:bookmarkStart w:id="655" w:name="_Toc104991887"/>
      <w:bookmarkStart w:id="656" w:name="_Toc102860429"/>
      <w:bookmarkStart w:id="657" w:name="_Toc142508380"/>
      <w:bookmarkStart w:id="658" w:name="_Toc1977739"/>
      <w:bookmarkStart w:id="659" w:name="_Toc15051"/>
      <w:bookmarkStart w:id="660" w:name="_Toc14341"/>
      <w:bookmarkStart w:id="661" w:name="_Toc13262"/>
      <w:bookmarkStart w:id="662" w:name="_Toc6369"/>
      <w:bookmarkStart w:id="663" w:name="_Toc102860085"/>
      <w:bookmarkStart w:id="664" w:name="_Toc140596940"/>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十二</w:t>
      </w:r>
      <w:r>
        <w:rPr>
          <w:rFonts w:hint="eastAsia" w:ascii="宋体" w:hAnsi="宋体" w:eastAsia="宋体" w:cs="宋体"/>
          <w:b/>
          <w:color w:val="000000" w:themeColor="text1"/>
          <w:kern w:val="0"/>
          <w:sz w:val="32"/>
          <w:szCs w:val="32"/>
          <w:highlight w:val="none"/>
          <w14:textFill>
            <w14:solidFill>
              <w14:schemeClr w14:val="tx1"/>
            </w14:solidFill>
          </w14:textFill>
        </w:rPr>
        <w:t>、技术响应文件格式</w:t>
      </w:r>
      <w:bookmarkEnd w:id="642"/>
      <w:bookmarkEnd w:id="654"/>
      <w:bookmarkEnd w:id="655"/>
      <w:bookmarkEnd w:id="656"/>
      <w:bookmarkEnd w:id="657"/>
      <w:bookmarkEnd w:id="658"/>
      <w:bookmarkEnd w:id="659"/>
      <w:bookmarkEnd w:id="660"/>
      <w:bookmarkEnd w:id="661"/>
      <w:bookmarkEnd w:id="662"/>
      <w:bookmarkEnd w:id="663"/>
      <w:bookmarkEnd w:id="664"/>
    </w:p>
    <w:p w14:paraId="48D1580C">
      <w:pPr>
        <w:tabs>
          <w:tab w:val="left" w:pos="8640"/>
        </w:tabs>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投标人应按照招标文件投标人须知关于投标文件组成部分的要求编制技术文件，主要包括但不限于以下内容：</w:t>
      </w:r>
    </w:p>
    <w:p w14:paraId="2DBE8CA3">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1、用户需求响应程度（即用户需求偏离表）；</w:t>
      </w:r>
    </w:p>
    <w:p w14:paraId="3D0B2F43">
      <w:pPr>
        <w:spacing w:line="360" w:lineRule="auto"/>
        <w:ind w:left="443" w:leftChars="77" w:hanging="281" w:hangingChars="134"/>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投标品牌表</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1CB6AE27">
      <w:pPr>
        <w:spacing w:line="360" w:lineRule="auto"/>
        <w:ind w:left="443" w:leftChars="77" w:hanging="281" w:hangingChars="134"/>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整体供货服务流程；</w:t>
      </w:r>
    </w:p>
    <w:p w14:paraId="6A71B369">
      <w:pPr>
        <w:spacing w:line="360" w:lineRule="auto"/>
        <w:ind w:left="443" w:leftChars="77" w:hanging="281" w:hangingChars="134"/>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供货计划及进度保证措施方案；</w:t>
      </w:r>
    </w:p>
    <w:p w14:paraId="6D0967E2">
      <w:pPr>
        <w:spacing w:line="360" w:lineRule="auto"/>
        <w:ind w:left="443" w:leftChars="77" w:hanging="281" w:hangingChars="134"/>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售后服务质量保证和承诺；</w:t>
      </w:r>
    </w:p>
    <w:p w14:paraId="58AB66F9">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1E64F2DA">
      <w:pPr>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p>
    <w:p w14:paraId="44D3735E">
      <w:pPr>
        <w:pStyle w:val="21"/>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30230395">
      <w:pPr>
        <w:pStyle w:val="21"/>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1DBFB7BA">
      <w:pPr>
        <w:pStyle w:val="21"/>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2C91749F">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1260BA0A">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59BFF81D">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12DC8D48">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78787B8B">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3D04D22C">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549EC74C">
      <w:pPr>
        <w:pStyle w:val="21"/>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7058A8F1">
      <w:pPr>
        <w:pStyle w:val="21"/>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6B11822F">
      <w:pPr>
        <w:pStyle w:val="21"/>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w:t>
      </w:r>
      <w:r>
        <w:rPr>
          <w:rFonts w:hint="eastAsia" w:ascii="宋体" w:hAnsi="宋体" w:cs="宋体"/>
          <w:color w:val="000000" w:themeColor="text1"/>
          <w:sz w:val="30"/>
          <w:highlight w:val="none"/>
          <w:u w:val="single"/>
          <w:lang w:val="en-US" w:eastAsia="zh-CN"/>
          <w14:textFill>
            <w14:solidFill>
              <w14:schemeClr w14:val="tx1"/>
            </w14:solidFill>
          </w14:textFill>
        </w:rPr>
        <w:t>技术</w:t>
      </w:r>
      <w:r>
        <w:rPr>
          <w:rFonts w:hint="eastAsia" w:ascii="宋体" w:hAnsi="宋体" w:eastAsia="宋体" w:cs="宋体"/>
          <w:color w:val="000000" w:themeColor="text1"/>
          <w:sz w:val="30"/>
          <w:highlight w:val="none"/>
          <w:u w:val="single"/>
          <w14:textFill>
            <w14:solidFill>
              <w14:schemeClr w14:val="tx1"/>
            </w14:solidFill>
          </w14:textFill>
        </w:rPr>
        <w:t xml:space="preserve">部分 </w:t>
      </w:r>
    </w:p>
    <w:p w14:paraId="1B597B5C">
      <w:pPr>
        <w:pStyle w:val="21"/>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5683616E">
      <w:pPr>
        <w:pStyle w:val="21"/>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1C7FC03C">
      <w:pPr>
        <w:pStyle w:val="21"/>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5328B0FA">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66ECB4EF">
      <w:pPr>
        <w:pStyle w:val="21"/>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FF1C093">
      <w:pPr>
        <w:pStyle w:val="21"/>
        <w:spacing w:line="360" w:lineRule="auto"/>
        <w:rPr>
          <w:rFonts w:hint="eastAsia" w:ascii="宋体" w:hAnsi="宋体" w:eastAsia="宋体" w:cs="宋体"/>
          <w:color w:val="000000" w:themeColor="text1"/>
          <w:highlight w:val="none"/>
          <w14:textFill>
            <w14:solidFill>
              <w14:schemeClr w14:val="tx1"/>
            </w14:solidFill>
          </w14:textFill>
        </w:rPr>
      </w:pPr>
    </w:p>
    <w:p w14:paraId="418CB1BA">
      <w:pPr>
        <w:pBdr>
          <w:bottom w:val="single" w:color="auto" w:sz="6" w:space="0"/>
        </w:pBdr>
        <w:spacing w:line="480" w:lineRule="auto"/>
        <w:ind w:firstLine="472" w:firstLineChars="224"/>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w:t>
      </w:r>
      <w:r>
        <w:rPr>
          <w:rFonts w:hint="eastAsia" w:ascii="宋体" w:hAnsi="宋体" w:eastAsia="宋体" w:cs="宋体"/>
          <w:b/>
          <w:bCs/>
          <w:color w:val="000000" w:themeColor="text1"/>
          <w:szCs w:val="21"/>
          <w:highlight w:val="none"/>
          <w:lang w:val="en-US" w:eastAsia="zh-CN"/>
          <w14:textFill>
            <w14:solidFill>
              <w14:schemeClr w14:val="tx1"/>
            </w14:solidFill>
          </w14:textFill>
        </w:rPr>
        <w:t>技术</w:t>
      </w:r>
      <w:r>
        <w:rPr>
          <w:rFonts w:hint="eastAsia" w:ascii="宋体" w:hAnsi="宋体" w:eastAsia="宋体" w:cs="宋体"/>
          <w:b/>
          <w:bCs/>
          <w:color w:val="000000" w:themeColor="text1"/>
          <w:szCs w:val="21"/>
          <w:highlight w:val="none"/>
          <w14:textFill>
            <w14:solidFill>
              <w14:schemeClr w14:val="tx1"/>
            </w14:solidFill>
          </w14:textFill>
        </w:rPr>
        <w:t>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75D48A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31AC623">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248C60E0">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861" w:type="pct"/>
            <w:vAlign w:val="center"/>
          </w:tcPr>
          <w:p w14:paraId="21012CAA">
            <w:pPr>
              <w:adjustRightInd w:val="0"/>
              <w:snapToGrid w:val="0"/>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2136" w:type="pct"/>
            <w:tcBorders>
              <w:left w:val="single" w:color="auto" w:sz="4" w:space="0"/>
            </w:tcBorders>
            <w:vAlign w:val="center"/>
          </w:tcPr>
          <w:p w14:paraId="1D486C8C">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5B2AE6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DC47900">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646E5B1">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423A5FCF">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6630661B">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79F944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4BBFD020">
            <w:pP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DE86564">
            <w:pP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2E40C1A4">
            <w:pP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6B5121EF">
            <w:pPr>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14:paraId="0D0AA6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FEB6672">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4E03B86B">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7E8A0CEA">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2D3E29B0">
            <w:pPr>
              <w:spacing w:line="360" w:lineRule="auto"/>
              <w:ind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14:paraId="3B6631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FA6E109">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2527243E">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tcBorders>
              <w:top w:val="single" w:color="auto" w:sz="6" w:space="0"/>
              <w:left w:val="single" w:color="auto" w:sz="6" w:space="0"/>
              <w:bottom w:val="outset" w:color="808080" w:sz="6" w:space="0"/>
              <w:right w:val="single" w:color="auto" w:sz="6" w:space="0"/>
            </w:tcBorders>
            <w:vAlign w:val="center"/>
          </w:tcPr>
          <w:p w14:paraId="638585A8">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top w:val="single" w:color="auto" w:sz="6" w:space="0"/>
              <w:left w:val="single" w:color="auto" w:sz="4" w:space="0"/>
              <w:bottom w:val="outset" w:color="808080" w:sz="6" w:space="0"/>
              <w:right w:val="single" w:color="auto" w:sz="6" w:space="0"/>
            </w:tcBorders>
            <w:vAlign w:val="center"/>
          </w:tcPr>
          <w:p w14:paraId="780443B7">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547071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AF81DA1">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861" w:type="pct"/>
            <w:tcBorders>
              <w:bottom w:val="single" w:color="auto" w:sz="4" w:space="0"/>
            </w:tcBorders>
            <w:vAlign w:val="center"/>
          </w:tcPr>
          <w:p w14:paraId="502B1384">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bottom w:val="single" w:color="auto" w:sz="4" w:space="0"/>
            </w:tcBorders>
            <w:vAlign w:val="center"/>
          </w:tcPr>
          <w:p w14:paraId="598EDD13">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14:paraId="43789D57">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bookmarkEnd w:id="641"/>
      <w:bookmarkStart w:id="665" w:name="_Toc102860086"/>
      <w:bookmarkStart w:id="666" w:name="_Toc140596941"/>
      <w:bookmarkStart w:id="667" w:name="_Toc104991888"/>
      <w:bookmarkStart w:id="668" w:name="_Toc20630"/>
      <w:bookmarkStart w:id="669" w:name="_Toc94107223"/>
      <w:bookmarkStart w:id="670" w:name="_Toc3043"/>
      <w:bookmarkStart w:id="671" w:name="_Toc102860430"/>
      <w:bookmarkStart w:id="672" w:name="_Toc533708135"/>
      <w:bookmarkStart w:id="673" w:name="_Toc142508381"/>
      <w:bookmarkStart w:id="674" w:name="_Toc10061"/>
      <w:bookmarkStart w:id="675" w:name="_Toc1977740"/>
      <w:bookmarkStart w:id="676" w:name="_Toc1558"/>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12</w:t>
      </w:r>
      <w:r>
        <w:rPr>
          <w:rFonts w:hint="eastAsia" w:ascii="宋体" w:hAnsi="宋体" w:eastAsia="宋体" w:cs="宋体"/>
          <w:b/>
          <w:color w:val="000000" w:themeColor="text1"/>
          <w:kern w:val="0"/>
          <w:sz w:val="30"/>
          <w:szCs w:val="30"/>
          <w:highlight w:val="none"/>
          <w14:textFill>
            <w14:solidFill>
              <w14:schemeClr w14:val="tx1"/>
            </w14:solidFill>
          </w14:textFill>
        </w:rPr>
        <w:t>.1 用户需求偏离表格式</w:t>
      </w:r>
      <w:bookmarkEnd w:id="665"/>
      <w:bookmarkEnd w:id="666"/>
      <w:bookmarkEnd w:id="667"/>
      <w:bookmarkEnd w:id="668"/>
      <w:bookmarkEnd w:id="669"/>
      <w:bookmarkEnd w:id="670"/>
      <w:bookmarkEnd w:id="671"/>
      <w:bookmarkEnd w:id="672"/>
      <w:bookmarkEnd w:id="673"/>
      <w:bookmarkEnd w:id="674"/>
      <w:bookmarkEnd w:id="675"/>
      <w:bookmarkEnd w:id="676"/>
    </w:p>
    <w:p w14:paraId="5B9DE867">
      <w:pPr>
        <w:spacing w:before="120" w:after="120" w:line="360" w:lineRule="auto"/>
        <w:jc w:val="center"/>
        <w:rPr>
          <w:rFonts w:ascii="宋体" w:hAnsi="宋体" w:eastAsia="宋体" w:cs="Times New Roman"/>
          <w:color w:val="000000" w:themeColor="text1"/>
          <w:kern w:val="0"/>
          <w:szCs w:val="21"/>
          <w:highlight w:val="none"/>
          <w14:textFill>
            <w14:solidFill>
              <w14:schemeClr w14:val="tx1"/>
            </w14:solidFill>
          </w14:textFill>
        </w:rPr>
      </w:pPr>
      <w:bookmarkStart w:id="677" w:name="_Toc17449_WPSOffice_Level3"/>
      <w:r>
        <w:rPr>
          <w:rFonts w:hint="eastAsia" w:ascii="宋体" w:hAnsi="宋体" w:eastAsia="宋体" w:cs="宋体"/>
          <w:b/>
          <w:color w:val="000000" w:themeColor="text1"/>
          <w:kern w:val="0"/>
          <w:sz w:val="30"/>
          <w:szCs w:val="30"/>
          <w:highlight w:val="none"/>
          <w:lang w:val="zh-CN"/>
          <w14:textFill>
            <w14:solidFill>
              <w14:schemeClr w14:val="tx1"/>
            </w14:solidFill>
          </w14:textFill>
        </w:rPr>
        <w:t>用户需求偏离表</w:t>
      </w:r>
      <w:bookmarkEnd w:id="677"/>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52"/>
        <w:gridCol w:w="6414"/>
        <w:gridCol w:w="722"/>
        <w:gridCol w:w="867"/>
        <w:gridCol w:w="815"/>
      </w:tblGrid>
      <w:tr w14:paraId="7B99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434B2E9F">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序号</w:t>
            </w:r>
          </w:p>
        </w:tc>
        <w:tc>
          <w:tcPr>
            <w:tcW w:w="3551" w:type="pct"/>
            <w:gridSpan w:val="2"/>
            <w:vAlign w:val="center"/>
          </w:tcPr>
          <w:p w14:paraId="3DD55FDD">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招标文件要求</w:t>
            </w:r>
          </w:p>
        </w:tc>
        <w:tc>
          <w:tcPr>
            <w:tcW w:w="1159" w:type="pct"/>
            <w:gridSpan w:val="3"/>
            <w:vAlign w:val="center"/>
          </w:tcPr>
          <w:p w14:paraId="3318EB5E">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投标文件内容</w:t>
            </w:r>
          </w:p>
        </w:tc>
      </w:tr>
      <w:tr w14:paraId="2B97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70A155CB">
            <w:pPr>
              <w:keepNext/>
              <w:keepLines/>
              <w:spacing w:line="400" w:lineRule="exact"/>
              <w:jc w:val="center"/>
              <w:outlineLvl w:val="0"/>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4BFB8792">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条款号</w:t>
            </w:r>
          </w:p>
        </w:tc>
        <w:tc>
          <w:tcPr>
            <w:tcW w:w="3092" w:type="pct"/>
            <w:vAlign w:val="center"/>
          </w:tcPr>
          <w:p w14:paraId="54597485">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简要内容</w:t>
            </w:r>
          </w:p>
        </w:tc>
        <w:tc>
          <w:tcPr>
            <w:tcW w:w="348" w:type="pct"/>
            <w:vAlign w:val="center"/>
          </w:tcPr>
          <w:p w14:paraId="28ACF99A">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偏离情况</w:t>
            </w:r>
          </w:p>
        </w:tc>
        <w:tc>
          <w:tcPr>
            <w:tcW w:w="418" w:type="pct"/>
            <w:vAlign w:val="center"/>
          </w:tcPr>
          <w:p w14:paraId="02F3EDA3">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实质性响应的具体内容</w:t>
            </w:r>
          </w:p>
        </w:tc>
        <w:tc>
          <w:tcPr>
            <w:tcW w:w="392" w:type="pct"/>
            <w:vAlign w:val="center"/>
          </w:tcPr>
          <w:p w14:paraId="6681D7D5">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对应证明材料页码</w:t>
            </w:r>
          </w:p>
        </w:tc>
      </w:tr>
      <w:tr w14:paraId="2BF1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78335B30">
            <w:pPr>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宋体"/>
                <w:color w:val="000000" w:themeColor="text1"/>
                <w:kern w:val="0"/>
                <w:sz w:val="18"/>
                <w:szCs w:val="18"/>
                <w:highlight w:val="none"/>
                <w14:textFill>
                  <w14:solidFill>
                    <w14:schemeClr w14:val="tx1"/>
                  </w14:solidFill>
                </w14:textFill>
              </w:rPr>
            </w:pPr>
            <w:r>
              <w:rPr>
                <w:rFonts w:ascii="宋体" w:hAnsi="宋体" w:eastAsia="宋体" w:cs="宋体"/>
                <w:color w:val="000000" w:themeColor="text1"/>
                <w:kern w:val="0"/>
                <w:sz w:val="18"/>
                <w:szCs w:val="18"/>
                <w:highlight w:val="none"/>
                <w14:textFill>
                  <w14:solidFill>
                    <w14:schemeClr w14:val="tx1"/>
                  </w14:solidFill>
                </w14:textFill>
              </w:rPr>
              <w:t>1</w:t>
            </w:r>
          </w:p>
        </w:tc>
        <w:tc>
          <w:tcPr>
            <w:tcW w:w="459" w:type="pct"/>
            <w:vAlign w:val="center"/>
          </w:tcPr>
          <w:p w14:paraId="237608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Times New Roman"/>
                <w:b/>
                <w:color w:val="000000" w:themeColor="text1"/>
                <w:kern w:val="0"/>
                <w:sz w:val="18"/>
                <w:szCs w:val="18"/>
                <w:highlight w:val="none"/>
                <w:lang w:eastAsia="zh-CN"/>
                <w14:textFill>
                  <w14:solidFill>
                    <w14:schemeClr w14:val="tx1"/>
                  </w14:solidFill>
                </w14:textFill>
              </w:rPr>
            </w:pPr>
            <w:r>
              <w:rPr>
                <w:rFonts w:hint="eastAsia" w:ascii="宋体" w:hAnsi="宋体" w:eastAsia="宋体" w:cs="Times New Roman"/>
                <w:bCs/>
                <w:color w:val="000000" w:themeColor="text1"/>
                <w:kern w:val="0"/>
                <w:szCs w:val="21"/>
                <w:highlight w:val="none"/>
                <w:lang w:val="en-US" w:eastAsia="zh-CN"/>
                <w14:textFill>
                  <w14:solidFill>
                    <w14:schemeClr w14:val="tx1"/>
                  </w14:solidFill>
                </w14:textFill>
              </w:rPr>
              <w:t>1</w:t>
            </w:r>
          </w:p>
        </w:tc>
        <w:tc>
          <w:tcPr>
            <w:tcW w:w="3092" w:type="pct"/>
            <w:vAlign w:val="center"/>
          </w:tcPr>
          <w:p w14:paraId="35EA45E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ascii="宋体" w:hAnsi="宋体" w:eastAsia="宋体" w:cs="Times New Roman"/>
                <w:color w:val="000000" w:themeColor="text1"/>
                <w:kern w:val="0"/>
                <w:sz w:val="18"/>
                <w:szCs w:val="18"/>
                <w:highlight w:val="none"/>
                <w14:textFill>
                  <w14:solidFill>
                    <w14:schemeClr w14:val="tx1"/>
                  </w14:solidFill>
                </w14:textFill>
              </w:rPr>
            </w:pPr>
            <w:r>
              <w:rPr>
                <w:rFonts w:hint="eastAsia" w:ascii="宋体" w:hAnsi="宋体" w:eastAsia="宋体" w:cs="Times New Roman"/>
                <w:color w:val="000000" w:themeColor="text1"/>
                <w:kern w:val="0"/>
                <w:sz w:val="18"/>
                <w:szCs w:val="18"/>
                <w:highlight w:val="none"/>
                <w14:textFill>
                  <w14:solidFill>
                    <w14:schemeClr w14:val="tx1"/>
                  </w14:solidFill>
                </w14:textFill>
              </w:rPr>
              <w:t>项目信息</w:t>
            </w:r>
          </w:p>
        </w:tc>
        <w:tc>
          <w:tcPr>
            <w:tcW w:w="348" w:type="pct"/>
            <w:vAlign w:val="center"/>
          </w:tcPr>
          <w:p w14:paraId="398993D8">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35C10981">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2687E19B">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4514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620928EC">
            <w:pPr>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w:t>
            </w:r>
          </w:p>
        </w:tc>
        <w:tc>
          <w:tcPr>
            <w:tcW w:w="459" w:type="pct"/>
            <w:vAlign w:val="center"/>
          </w:tcPr>
          <w:p w14:paraId="4FF5C16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Times New Roman"/>
                <w:color w:val="000000" w:themeColor="text1"/>
                <w:kern w:val="0"/>
                <w:sz w:val="18"/>
                <w:szCs w:val="18"/>
                <w:highlight w:val="none"/>
                <w:lang w:val="zh-CN" w:eastAsia="zh-CN"/>
                <w14:textFill>
                  <w14:solidFill>
                    <w14:schemeClr w14:val="tx1"/>
                  </w14:solidFill>
                </w14:textFill>
              </w:rPr>
            </w:pPr>
            <w:r>
              <w:rPr>
                <w:rFonts w:hint="eastAsia" w:ascii="宋体" w:hAnsi="宋体" w:eastAsia="宋体" w:cs="Times New Roman"/>
                <w:bCs/>
                <w:color w:val="000000" w:themeColor="text1"/>
                <w:szCs w:val="21"/>
                <w:highlight w:val="none"/>
                <w:lang w:val="en-US" w:eastAsia="zh-CN"/>
                <w14:textFill>
                  <w14:solidFill>
                    <w14:schemeClr w14:val="tx1"/>
                  </w14:solidFill>
                </w14:textFill>
              </w:rPr>
              <w:t>2</w:t>
            </w:r>
          </w:p>
        </w:tc>
        <w:tc>
          <w:tcPr>
            <w:tcW w:w="3092" w:type="pct"/>
            <w:vAlign w:val="center"/>
          </w:tcPr>
          <w:p w14:paraId="66CBA8C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ascii="宋体" w:hAnsi="宋体" w:eastAsia="宋体" w:cs="Times New Roman"/>
                <w:color w:val="000000" w:themeColor="text1"/>
                <w:sz w:val="18"/>
                <w:szCs w:val="18"/>
                <w:highlight w:val="none"/>
                <w14:textFill>
                  <w14:solidFill>
                    <w14:schemeClr w14:val="tx1"/>
                  </w14:solidFill>
                </w14:textFill>
              </w:rPr>
            </w:pPr>
            <w:r>
              <w:rPr>
                <w:rFonts w:hint="eastAsia" w:ascii="宋体" w:hAnsi="宋体" w:eastAsia="宋体" w:cs="Times New Roman"/>
                <w:color w:val="000000" w:themeColor="text1"/>
                <w:sz w:val="18"/>
                <w:szCs w:val="18"/>
                <w:highlight w:val="none"/>
                <w14:textFill>
                  <w14:solidFill>
                    <w14:schemeClr w14:val="tx1"/>
                  </w14:solidFill>
                </w14:textFill>
              </w:rPr>
              <w:t>货物采购需求</w:t>
            </w:r>
          </w:p>
        </w:tc>
        <w:tc>
          <w:tcPr>
            <w:tcW w:w="348" w:type="pct"/>
            <w:vAlign w:val="center"/>
          </w:tcPr>
          <w:p w14:paraId="7ABEE0CB">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48A51FBB">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42002027">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3C9E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01BD26C9">
            <w:pPr>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w:t>
            </w:r>
          </w:p>
        </w:tc>
        <w:tc>
          <w:tcPr>
            <w:tcW w:w="459" w:type="pct"/>
            <w:vAlign w:val="center"/>
          </w:tcPr>
          <w:p w14:paraId="4217281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b/>
                <w:color w:val="000000" w:themeColor="text1"/>
                <w:sz w:val="18"/>
                <w:szCs w:val="18"/>
                <w:highlight w:val="none"/>
                <w:lang w:val="zh-CN" w:eastAsia="zh-CN"/>
                <w14:textFill>
                  <w14:solidFill>
                    <w14:schemeClr w14:val="tx1"/>
                  </w14:solidFill>
                </w14:textFill>
              </w:rPr>
            </w:pPr>
            <w:r>
              <w:rPr>
                <w:rFonts w:hint="eastAsia" w:ascii="宋体" w:hAnsi="宋体" w:eastAsia="宋体" w:cs="Times New Roman"/>
                <w:bCs/>
                <w:color w:val="000000" w:themeColor="text1"/>
                <w:szCs w:val="21"/>
                <w:highlight w:val="none"/>
                <w:lang w:val="en-US" w:eastAsia="zh-CN"/>
                <w14:textFill>
                  <w14:solidFill>
                    <w14:schemeClr w14:val="tx1"/>
                  </w14:solidFill>
                </w14:textFill>
              </w:rPr>
              <w:t>3</w:t>
            </w:r>
          </w:p>
        </w:tc>
        <w:tc>
          <w:tcPr>
            <w:tcW w:w="3092" w:type="pct"/>
            <w:vAlign w:val="center"/>
          </w:tcPr>
          <w:p w14:paraId="682A79A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验收要求</w:t>
            </w:r>
          </w:p>
        </w:tc>
        <w:tc>
          <w:tcPr>
            <w:tcW w:w="348" w:type="pct"/>
            <w:vAlign w:val="center"/>
          </w:tcPr>
          <w:p w14:paraId="0B4A10CA">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42B6F9D2">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38D6CA71">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78A2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0FFB3DD5">
            <w:pPr>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4</w:t>
            </w:r>
          </w:p>
        </w:tc>
        <w:tc>
          <w:tcPr>
            <w:tcW w:w="459" w:type="pct"/>
            <w:vAlign w:val="center"/>
          </w:tcPr>
          <w:p w14:paraId="7B58365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b/>
                <w:color w:val="000000" w:themeColor="text1"/>
                <w:sz w:val="18"/>
                <w:szCs w:val="18"/>
                <w:highlight w:val="none"/>
                <w:lang w:val="zh-CN" w:eastAsia="zh-CN"/>
                <w14:textFill>
                  <w14:solidFill>
                    <w14:schemeClr w14:val="tx1"/>
                  </w14:solidFill>
                </w14:textFill>
              </w:rPr>
            </w:pPr>
            <w:r>
              <w:rPr>
                <w:rFonts w:hint="eastAsia" w:ascii="宋体" w:hAnsi="宋体" w:eastAsia="宋体" w:cs="Times New Roman"/>
                <w:bCs/>
                <w:color w:val="000000" w:themeColor="text1"/>
                <w:szCs w:val="21"/>
                <w:highlight w:val="none"/>
                <w:lang w:val="en-US" w:eastAsia="zh-CN"/>
                <w14:textFill>
                  <w14:solidFill>
                    <w14:schemeClr w14:val="tx1"/>
                  </w14:solidFill>
                </w14:textFill>
              </w:rPr>
              <w:t>4</w:t>
            </w:r>
          </w:p>
        </w:tc>
        <w:tc>
          <w:tcPr>
            <w:tcW w:w="3092" w:type="pct"/>
            <w:vAlign w:val="center"/>
          </w:tcPr>
          <w:p w14:paraId="4E1EFA8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质保及售后要求</w:t>
            </w:r>
          </w:p>
        </w:tc>
        <w:tc>
          <w:tcPr>
            <w:tcW w:w="348" w:type="pct"/>
            <w:vAlign w:val="center"/>
          </w:tcPr>
          <w:p w14:paraId="32E39347">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1CD797A3">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72CCF173">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43FF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3C5A7741">
            <w:pPr>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w:t>
            </w:r>
          </w:p>
        </w:tc>
        <w:tc>
          <w:tcPr>
            <w:tcW w:w="459" w:type="pct"/>
            <w:vAlign w:val="center"/>
          </w:tcPr>
          <w:p w14:paraId="6AC01A7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Times New Roman"/>
                <w:color w:val="000000" w:themeColor="text1"/>
                <w:kern w:val="0"/>
                <w:sz w:val="18"/>
                <w:szCs w:val="18"/>
                <w:highlight w:val="none"/>
                <w:lang w:eastAsia="zh-CN"/>
                <w14:textFill>
                  <w14:solidFill>
                    <w14:schemeClr w14:val="tx1"/>
                  </w14:solidFill>
                </w14:textFill>
              </w:rPr>
            </w:pPr>
            <w:r>
              <w:rPr>
                <w:rFonts w:hint="eastAsia" w:ascii="宋体" w:hAnsi="宋体" w:eastAsia="宋体" w:cs="Times New Roman"/>
                <w:bCs/>
                <w:color w:val="000000" w:themeColor="text1"/>
                <w:szCs w:val="21"/>
                <w:highlight w:val="none"/>
                <w:lang w:val="en-US" w:eastAsia="zh-CN"/>
                <w14:textFill>
                  <w14:solidFill>
                    <w14:schemeClr w14:val="tx1"/>
                  </w14:solidFill>
                </w14:textFill>
              </w:rPr>
              <w:t>5</w:t>
            </w:r>
          </w:p>
        </w:tc>
        <w:tc>
          <w:tcPr>
            <w:tcW w:w="3092" w:type="pct"/>
            <w:vAlign w:val="center"/>
          </w:tcPr>
          <w:p w14:paraId="13412E2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违约责任</w:t>
            </w:r>
          </w:p>
        </w:tc>
        <w:tc>
          <w:tcPr>
            <w:tcW w:w="348" w:type="pct"/>
            <w:vAlign w:val="center"/>
          </w:tcPr>
          <w:p w14:paraId="4462866B">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7F26C784">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6B18743E">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0A4A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0536920A">
            <w:pPr>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6</w:t>
            </w:r>
          </w:p>
        </w:tc>
        <w:tc>
          <w:tcPr>
            <w:tcW w:w="459" w:type="pct"/>
            <w:vAlign w:val="center"/>
          </w:tcPr>
          <w:p w14:paraId="1448045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Times New Roman"/>
                <w:color w:val="000000" w:themeColor="text1"/>
                <w:kern w:val="0"/>
                <w:sz w:val="18"/>
                <w:szCs w:val="18"/>
                <w:highlight w:val="none"/>
                <w:lang w:eastAsia="zh-CN"/>
                <w14:textFill>
                  <w14:solidFill>
                    <w14:schemeClr w14:val="tx1"/>
                  </w14:solidFill>
                </w14:textFill>
              </w:rPr>
            </w:pPr>
            <w:r>
              <w:rPr>
                <w:rFonts w:hint="eastAsia" w:ascii="宋体" w:hAnsi="宋体" w:eastAsia="宋体" w:cs="Times New Roman"/>
                <w:bCs/>
                <w:color w:val="000000" w:themeColor="text1"/>
                <w:szCs w:val="21"/>
                <w:highlight w:val="none"/>
                <w:lang w:val="en-US" w:eastAsia="zh-CN"/>
                <w14:textFill>
                  <w14:solidFill>
                    <w14:schemeClr w14:val="tx1"/>
                  </w14:solidFill>
                </w14:textFill>
              </w:rPr>
              <w:t>6</w:t>
            </w:r>
          </w:p>
        </w:tc>
        <w:tc>
          <w:tcPr>
            <w:tcW w:w="3092" w:type="pct"/>
            <w:vAlign w:val="center"/>
          </w:tcPr>
          <w:p w14:paraId="6FB95B1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履约要求</w:t>
            </w:r>
          </w:p>
        </w:tc>
        <w:tc>
          <w:tcPr>
            <w:tcW w:w="348" w:type="pct"/>
            <w:vAlign w:val="center"/>
          </w:tcPr>
          <w:p w14:paraId="27ADA2FE">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0E1BD8D7">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595C8D16">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4BCA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6D7ADF11">
            <w:pPr>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7</w:t>
            </w:r>
          </w:p>
        </w:tc>
        <w:tc>
          <w:tcPr>
            <w:tcW w:w="459" w:type="pct"/>
            <w:vAlign w:val="center"/>
          </w:tcPr>
          <w:p w14:paraId="75FE002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Times New Roman"/>
                <w:color w:val="000000" w:themeColor="text1"/>
                <w:kern w:val="0"/>
                <w:sz w:val="18"/>
                <w:szCs w:val="18"/>
                <w:highlight w:val="none"/>
                <w:lang w:eastAsia="zh-CN"/>
                <w14:textFill>
                  <w14:solidFill>
                    <w14:schemeClr w14:val="tx1"/>
                  </w14:solidFill>
                </w14:textFill>
              </w:rPr>
            </w:pPr>
            <w:r>
              <w:rPr>
                <w:rFonts w:hint="eastAsia" w:ascii="宋体" w:hAnsi="宋体" w:eastAsia="宋体" w:cs="Times New Roman"/>
                <w:bCs/>
                <w:color w:val="000000" w:themeColor="text1"/>
                <w:szCs w:val="21"/>
                <w:highlight w:val="none"/>
                <w:lang w:val="en-US" w:eastAsia="zh-CN"/>
                <w14:textFill>
                  <w14:solidFill>
                    <w14:schemeClr w14:val="tx1"/>
                  </w14:solidFill>
                </w14:textFill>
              </w:rPr>
              <w:t>7</w:t>
            </w:r>
          </w:p>
        </w:tc>
        <w:tc>
          <w:tcPr>
            <w:tcW w:w="3092" w:type="pct"/>
            <w:vAlign w:val="center"/>
          </w:tcPr>
          <w:p w14:paraId="238AC3E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价款要求</w:t>
            </w:r>
          </w:p>
        </w:tc>
        <w:tc>
          <w:tcPr>
            <w:tcW w:w="348" w:type="pct"/>
            <w:vAlign w:val="center"/>
          </w:tcPr>
          <w:p w14:paraId="231290A3">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7E7B808B">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68C93BAA">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3BAA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27C2E9C7">
            <w:pPr>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p>
        </w:tc>
        <w:tc>
          <w:tcPr>
            <w:tcW w:w="459" w:type="pct"/>
            <w:vAlign w:val="center"/>
          </w:tcPr>
          <w:p w14:paraId="2376990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宋体" w:hAnsi="宋体" w:eastAsia="宋体" w:cs="Times New Roman"/>
                <w:color w:val="000000" w:themeColor="text1"/>
                <w:kern w:val="0"/>
                <w:sz w:val="18"/>
                <w:szCs w:val="18"/>
                <w:highlight w:val="none"/>
                <w14:textFill>
                  <w14:solidFill>
                    <w14:schemeClr w14:val="tx1"/>
                  </w14:solidFill>
                </w14:textFill>
              </w:rPr>
            </w:pPr>
            <w:r>
              <w:rPr>
                <w:rFonts w:hint="eastAsia" w:ascii="宋体" w:hAnsi="宋体" w:eastAsia="宋体" w:cs="Times New Roman"/>
                <w:color w:val="000000" w:themeColor="text1"/>
                <w:kern w:val="0"/>
                <w:sz w:val="18"/>
                <w:szCs w:val="18"/>
                <w:highlight w:val="none"/>
                <w14:textFill>
                  <w14:solidFill>
                    <w14:schemeClr w14:val="tx1"/>
                  </w14:solidFill>
                </w14:textFill>
              </w:rPr>
              <w:t>附件1</w:t>
            </w:r>
          </w:p>
        </w:tc>
        <w:tc>
          <w:tcPr>
            <w:tcW w:w="3092" w:type="pct"/>
            <w:vAlign w:val="center"/>
          </w:tcPr>
          <w:p w14:paraId="5D5EC35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供应商履约评价表</w:t>
            </w:r>
          </w:p>
        </w:tc>
        <w:tc>
          <w:tcPr>
            <w:tcW w:w="348" w:type="pct"/>
            <w:vAlign w:val="center"/>
          </w:tcPr>
          <w:p w14:paraId="310B8BF3">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697FADFC">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7D9B5A97">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3568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4840CE81">
            <w:pPr>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default" w:ascii="宋体" w:hAnsi="宋体" w:eastAsia="宋体" w:cs="宋体"/>
                <w:color w:val="000000" w:themeColor="text1"/>
                <w:kern w:val="0"/>
                <w:sz w:val="18"/>
                <w:szCs w:val="18"/>
                <w:highlight w:val="none"/>
                <w:lang w:val="en-US" w:eastAsia="zh-CN"/>
                <w14:textFill>
                  <w14:solidFill>
                    <w14:schemeClr w14:val="tx1"/>
                  </w14:solidFill>
                </w14:textFill>
              </w:rPr>
              <w:t>9</w:t>
            </w:r>
          </w:p>
        </w:tc>
        <w:tc>
          <w:tcPr>
            <w:tcW w:w="459" w:type="pct"/>
            <w:vAlign w:val="center"/>
          </w:tcPr>
          <w:p w14:paraId="3CDAA50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Times New Roman"/>
                <w:color w:val="000000" w:themeColor="text1"/>
                <w:kern w:val="0"/>
                <w:sz w:val="18"/>
                <w:szCs w:val="18"/>
                <w:highlight w:val="none"/>
                <w:lang w:eastAsia="zh-CN"/>
                <w14:textFill>
                  <w14:solidFill>
                    <w14:schemeClr w14:val="tx1"/>
                  </w14:solidFill>
                </w14:textFill>
              </w:rPr>
            </w:pPr>
            <w:r>
              <w:rPr>
                <w:rFonts w:hint="eastAsia" w:ascii="宋体" w:hAnsi="宋体" w:eastAsia="宋体" w:cs="Times New Roman"/>
                <w:color w:val="000000" w:themeColor="text1"/>
                <w:kern w:val="0"/>
                <w:sz w:val="18"/>
                <w:szCs w:val="18"/>
                <w:highlight w:val="none"/>
                <w14:textFill>
                  <w14:solidFill>
                    <w14:schemeClr w14:val="tx1"/>
                  </w14:solidFill>
                </w14:textFill>
              </w:rPr>
              <w:t>附件</w:t>
            </w:r>
            <w:r>
              <w:rPr>
                <w:rFonts w:hint="default" w:ascii="宋体" w:hAnsi="宋体" w:eastAsia="宋体" w:cs="Times New Roman"/>
                <w:color w:val="000000" w:themeColor="text1"/>
                <w:kern w:val="0"/>
                <w:sz w:val="18"/>
                <w:szCs w:val="18"/>
                <w:highlight w:val="none"/>
                <w:lang w:val="en-US" w:eastAsia="zh-CN"/>
                <w14:textFill>
                  <w14:solidFill>
                    <w14:schemeClr w14:val="tx1"/>
                  </w14:solidFill>
                </w14:textFill>
              </w:rPr>
              <w:t>2</w:t>
            </w:r>
          </w:p>
        </w:tc>
        <w:tc>
          <w:tcPr>
            <w:tcW w:w="3092" w:type="pct"/>
            <w:vAlign w:val="center"/>
          </w:tcPr>
          <w:p w14:paraId="7738AF0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送货地址汇总表</w:t>
            </w:r>
          </w:p>
        </w:tc>
        <w:tc>
          <w:tcPr>
            <w:tcW w:w="348" w:type="pct"/>
            <w:vAlign w:val="center"/>
          </w:tcPr>
          <w:p w14:paraId="4BC5F8BE">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133E370F">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5C14F0A5">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r>
    </w:tbl>
    <w:p w14:paraId="269CBFD7">
      <w:pPr>
        <w:spacing w:line="360" w:lineRule="auto"/>
        <w:rPr>
          <w:rFonts w:ascii="宋体" w:hAnsi="宋体" w:eastAsia="宋体" w:cs="宋体"/>
          <w:color w:val="000000" w:themeColor="text1"/>
          <w:szCs w:val="21"/>
          <w:highlight w:val="none"/>
          <w14:textFill>
            <w14:solidFill>
              <w14:schemeClr w14:val="tx1"/>
            </w14:solidFill>
          </w14:textFill>
        </w:rPr>
      </w:pPr>
    </w:p>
    <w:p w14:paraId="351C9CCD">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2DA02027">
      <w:pPr>
        <w:spacing w:line="360" w:lineRule="auto"/>
        <w:ind w:left="605" w:leftChars="18" w:hanging="567" w:hangingChars="27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u w:val="single"/>
          <w14:textFill>
            <w14:solidFill>
              <w14:schemeClr w14:val="tx1"/>
            </w14:solidFill>
          </w14:textFill>
        </w:rPr>
        <w:t>投标人应对照招标文件用户需求书的响应，逐条逐项、如实地填写“偏离情况”，</w:t>
      </w:r>
      <w:r>
        <w:rPr>
          <w:rFonts w:hint="eastAsia" w:ascii="宋体" w:hAnsi="宋体" w:eastAsia="宋体" w:cs="Times New Roman"/>
          <w:b/>
          <w:color w:val="000000" w:themeColor="text1"/>
          <w:kern w:val="0"/>
          <w:szCs w:val="21"/>
          <w:highlight w:val="none"/>
          <w:u w:val="single"/>
          <w14:textFill>
            <w14:solidFill>
              <w14:schemeClr w14:val="tx1"/>
            </w14:solidFill>
          </w14:textFill>
        </w:rPr>
        <w:t>若发现未填写本表，或虚假填写本表，或伪造、变造证明材料的，按无效投标文件处理</w:t>
      </w:r>
      <w:r>
        <w:rPr>
          <w:rFonts w:hint="eastAsia" w:ascii="宋体" w:hAnsi="宋体" w:eastAsia="宋体" w:cs="宋体"/>
          <w:b/>
          <w:color w:val="000000" w:themeColor="text1"/>
          <w:szCs w:val="21"/>
          <w:highlight w:val="none"/>
          <w:u w:val="single"/>
          <w14:textFill>
            <w14:solidFill>
              <w14:schemeClr w14:val="tx1"/>
            </w14:solidFill>
          </w14:textFill>
        </w:rPr>
        <w:t>。若招标文件用户需求书中有“★”条款须逐条逐项、如实地填写“偏离情况”，未填写“★”条款以外的条款的，视为完全满足招标文件要求。</w:t>
      </w:r>
    </w:p>
    <w:p w14:paraId="0AC9DA45">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88E9CA4">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Times New Roman"/>
          <w:b/>
          <w:color w:val="000000" w:themeColor="text1"/>
          <w:kern w:val="0"/>
          <w:szCs w:val="21"/>
          <w:highlight w:val="none"/>
          <w:u w:val="single"/>
          <w14:textFill>
            <w14:solidFill>
              <w14:schemeClr w14:val="tx1"/>
            </w14:solidFill>
          </w14:textFill>
        </w:rPr>
        <w:t>应逐条</w:t>
      </w:r>
      <w:r>
        <w:rPr>
          <w:rFonts w:hint="eastAsia" w:ascii="宋体" w:hAnsi="宋体" w:eastAsia="宋体" w:cs="宋体"/>
          <w:b/>
          <w:color w:val="000000" w:themeColor="text1"/>
          <w:szCs w:val="21"/>
          <w:highlight w:val="none"/>
          <w:u w:val="single"/>
          <w14:textFill>
            <w14:solidFill>
              <w14:schemeClr w14:val="tx1"/>
            </w14:solidFill>
          </w14:textFill>
        </w:rPr>
        <w:t>逐项</w:t>
      </w:r>
      <w:r>
        <w:rPr>
          <w:rFonts w:hint="eastAsia" w:ascii="宋体" w:hAnsi="宋体" w:eastAsia="宋体" w:cs="Times New Roman"/>
          <w:b/>
          <w:color w:val="000000" w:themeColor="text1"/>
          <w:kern w:val="0"/>
          <w:szCs w:val="21"/>
          <w:highlight w:val="none"/>
          <w:u w:val="single"/>
          <w14:textFill>
            <w14:solidFill>
              <w14:schemeClr w14:val="tx1"/>
            </w14:solidFill>
          </w14:textFill>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0B8D051B">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r>
        <w:rPr>
          <w:rFonts w:ascii="宋体" w:hAnsi="宋体" w:eastAsia="宋体" w:cs="Times New Roman"/>
          <w:b/>
          <w:color w:val="000000" w:themeColor="text1"/>
          <w:kern w:val="0"/>
          <w:szCs w:val="21"/>
          <w:highlight w:val="none"/>
          <w:u w:val="single"/>
          <w14:textFill>
            <w14:solidFill>
              <w14:schemeClr w14:val="tx1"/>
            </w14:solidFill>
          </w14:textFill>
        </w:rPr>
        <w:t>凡标有“</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kern w:val="0"/>
          <w:szCs w:val="21"/>
          <w:highlight w:val="none"/>
          <w:u w:val="single"/>
          <w14:textFill>
            <w14:solidFill>
              <w14:schemeClr w14:val="tx1"/>
            </w14:solidFill>
          </w14:textFill>
        </w:rPr>
        <w:t>人</w:t>
      </w:r>
      <w:r>
        <w:rPr>
          <w:rFonts w:ascii="宋体" w:hAnsi="宋体" w:eastAsia="宋体" w:cs="Times New Roman"/>
          <w:b/>
          <w:color w:val="000000" w:themeColor="text1"/>
          <w:kern w:val="0"/>
          <w:szCs w:val="21"/>
          <w:highlight w:val="none"/>
          <w:u w:val="single"/>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否则若有一项带“</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”的指标未响应或不满足，将按</w:t>
      </w:r>
      <w:r>
        <w:rPr>
          <w:rFonts w:hint="eastAsia" w:ascii="宋体" w:hAnsi="宋体" w:eastAsia="宋体" w:cs="Times New Roman"/>
          <w:b/>
          <w:color w:val="000000" w:themeColor="text1"/>
          <w:kern w:val="0"/>
          <w:szCs w:val="21"/>
          <w:highlight w:val="none"/>
          <w:u w:val="single"/>
          <w14:textFill>
            <w14:solidFill>
              <w14:schemeClr w14:val="tx1"/>
            </w14:solidFill>
          </w14:textFill>
        </w:rPr>
        <w:t>无效投标</w:t>
      </w:r>
      <w:r>
        <w:rPr>
          <w:rFonts w:ascii="宋体" w:hAnsi="宋体" w:eastAsia="宋体" w:cs="Times New Roman"/>
          <w:b/>
          <w:color w:val="000000" w:themeColor="text1"/>
          <w:kern w:val="0"/>
          <w:szCs w:val="21"/>
          <w:highlight w:val="none"/>
          <w:u w:val="single"/>
          <w14:textFill>
            <w14:solidFill>
              <w14:schemeClr w14:val="tx1"/>
            </w14:solidFill>
          </w14:textFill>
        </w:rPr>
        <w:t>处理</w:t>
      </w:r>
      <w:r>
        <w:rPr>
          <w:rFonts w:ascii="宋体" w:hAnsi="宋体" w:eastAsia="宋体" w:cs="Times New Roman"/>
          <w:b/>
          <w:color w:val="000000" w:themeColor="text1"/>
          <w:kern w:val="0"/>
          <w:sz w:val="24"/>
          <w:szCs w:val="21"/>
          <w:highlight w:val="none"/>
          <w:u w:val="single"/>
          <w:lang w:val="zh-CN"/>
          <w14:textFill>
            <w14:solidFill>
              <w14:schemeClr w14:val="tx1"/>
            </w14:solidFill>
          </w14:textFill>
        </w:rPr>
        <w:t>。</w:t>
      </w:r>
    </w:p>
    <w:p w14:paraId="52093A16">
      <w:pPr>
        <w:spacing w:line="360" w:lineRule="auto"/>
        <w:rPr>
          <w:rFonts w:ascii="宋体" w:hAnsi="宋体" w:eastAsia="宋体" w:cs="宋体"/>
          <w:color w:val="000000" w:themeColor="text1"/>
          <w:szCs w:val="21"/>
          <w:highlight w:val="none"/>
          <w14:textFill>
            <w14:solidFill>
              <w14:schemeClr w14:val="tx1"/>
            </w14:solidFill>
          </w14:textFill>
        </w:rPr>
      </w:pPr>
    </w:p>
    <w:p w14:paraId="7A9B933B">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投标人：（</w:t>
      </w:r>
      <w:r>
        <w:rPr>
          <w:rFonts w:hint="eastAsia" w:ascii="宋体" w:hAnsi="宋体" w:eastAsia="宋体" w:cs="宋体"/>
          <w:color w:val="000000" w:themeColor="text1"/>
          <w:szCs w:val="21"/>
          <w:highlight w:val="none"/>
          <w:lang w:val="zh-CN"/>
          <w14:textFill>
            <w14:solidFill>
              <w14:schemeClr w14:val="tx1"/>
            </w14:solidFill>
          </w14:textFill>
        </w:rPr>
        <w:t>加盖投标人法人公章</w:t>
      </w:r>
      <w:r>
        <w:rPr>
          <w:rFonts w:hint="eastAsia" w:ascii="宋体" w:hAnsi="宋体" w:eastAsia="宋体" w:cs="宋体"/>
          <w:color w:val="000000" w:themeColor="text1"/>
          <w:kern w:val="0"/>
          <w:szCs w:val="21"/>
          <w:highlight w:val="none"/>
          <w14:textFill>
            <w14:solidFill>
              <w14:schemeClr w14:val="tx1"/>
            </w14:solidFill>
          </w14:textFill>
        </w:rPr>
        <w:t>）</w:t>
      </w:r>
    </w:p>
    <w:p w14:paraId="62F23D7A">
      <w:pPr>
        <w:autoSpaceDE w:val="0"/>
        <w:autoSpaceDN w:val="0"/>
        <w:adjustRightInd w:val="0"/>
        <w:ind w:left="15" w:leftChars="-50" w:hanging="12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日  期：   年  月  日</w:t>
      </w:r>
    </w:p>
    <w:p w14:paraId="24E080B9">
      <w:pPr>
        <w:tabs>
          <w:tab w:val="left" w:pos="567"/>
        </w:tabs>
        <w:autoSpaceDE w:val="0"/>
        <w:autoSpaceDN w:val="0"/>
        <w:adjustRightInd w:val="0"/>
        <w:spacing w:line="360" w:lineRule="auto"/>
        <w:jc w:val="left"/>
        <w:outlineLvl w:val="2"/>
        <w:rPr>
          <w:rFonts w:hint="eastAsia" w:ascii="宋体" w:hAnsi="宋体" w:eastAsia="宋体" w:cs="Times New Roman"/>
          <w:b/>
          <w:color w:val="000000" w:themeColor="text1"/>
          <w:kern w:val="0"/>
          <w:sz w:val="30"/>
          <w:szCs w:val="30"/>
          <w:highlight w:val="none"/>
          <w:lang w:eastAsia="zh-CN"/>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bookmarkStart w:id="678" w:name="_Toc104991889"/>
      <w:bookmarkStart w:id="679" w:name="_Toc94107224"/>
      <w:bookmarkStart w:id="680" w:name="_Toc1147"/>
      <w:bookmarkStart w:id="681" w:name="_Toc102860431"/>
      <w:bookmarkStart w:id="682" w:name="_Toc142508382"/>
      <w:bookmarkStart w:id="683" w:name="_Toc102860087"/>
      <w:bookmarkStart w:id="684" w:name="_Toc20665"/>
      <w:bookmarkStart w:id="685" w:name="_Toc28623"/>
      <w:bookmarkStart w:id="686" w:name="_Toc140596942"/>
      <w:bookmarkStart w:id="687" w:name="_Toc617"/>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12</w:t>
      </w:r>
      <w:r>
        <w:rPr>
          <w:rFonts w:hint="eastAsia" w:ascii="宋体" w:hAnsi="宋体" w:eastAsia="宋体" w:cs="宋体"/>
          <w:b/>
          <w:color w:val="000000" w:themeColor="text1"/>
          <w:kern w:val="0"/>
          <w:sz w:val="30"/>
          <w:szCs w:val="30"/>
          <w:highlight w:val="none"/>
          <w14:textFill>
            <w14:solidFill>
              <w14:schemeClr w14:val="tx1"/>
            </w14:solidFill>
          </w14:textFill>
        </w:rPr>
        <w:t>.2</w:t>
      </w:r>
      <w:r>
        <w:rPr>
          <w:rFonts w:ascii="宋体" w:hAnsi="宋体" w:eastAsia="宋体" w:cs="宋体"/>
          <w:b/>
          <w:color w:val="000000" w:themeColor="text1"/>
          <w:kern w:val="0"/>
          <w:sz w:val="30"/>
          <w:szCs w:val="30"/>
          <w:highlight w:val="none"/>
          <w14:textFill>
            <w14:solidFill>
              <w14:schemeClr w14:val="tx1"/>
            </w14:solidFill>
          </w14:textFill>
        </w:rPr>
        <w:t xml:space="preserve"> </w:t>
      </w:r>
      <w:bookmarkEnd w:id="678"/>
      <w:bookmarkEnd w:id="679"/>
      <w:bookmarkEnd w:id="680"/>
      <w:bookmarkEnd w:id="681"/>
      <w:bookmarkEnd w:id="682"/>
      <w:bookmarkEnd w:id="683"/>
      <w:bookmarkEnd w:id="684"/>
      <w:bookmarkEnd w:id="685"/>
      <w:bookmarkEnd w:id="686"/>
      <w: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t>投标品牌</w:t>
      </w:r>
      <w:bookmarkEnd w:id="687"/>
    </w:p>
    <w:p w14:paraId="7FE0F15F">
      <w:pPr>
        <w:spacing w:line="360" w:lineRule="auto"/>
        <w:jc w:val="center"/>
        <w:outlineLvl w:val="3"/>
        <w:rPr>
          <w:rFonts w:hint="eastAsia" w:ascii="宋体" w:hAnsi="宋体" w:eastAsia="宋体" w:cs="宋体"/>
          <w:b/>
          <w:bCs/>
          <w:color w:val="000000" w:themeColor="text1"/>
          <w:kern w:val="2"/>
          <w:sz w:val="21"/>
          <w:szCs w:val="21"/>
          <w:highlight w:val="none"/>
          <w:lang w:val="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12.2.1</w:t>
      </w:r>
      <w:r>
        <w:rPr>
          <w:rFonts w:hint="eastAsia" w:ascii="宋体" w:hAnsi="宋体" w:eastAsia="宋体" w:cs="宋体"/>
          <w:b/>
          <w:bCs/>
          <w:color w:val="000000" w:themeColor="text1"/>
          <w:kern w:val="2"/>
          <w:sz w:val="21"/>
          <w:szCs w:val="21"/>
          <w:highlight w:val="none"/>
          <w:lang w:val="zh-CN"/>
          <w14:textFill>
            <w14:solidFill>
              <w14:schemeClr w14:val="tx1"/>
            </w14:solidFill>
          </w14:textFill>
        </w:rPr>
        <w:t xml:space="preserve"> 投标品牌不匹配情况汇总表</w:t>
      </w:r>
    </w:p>
    <w:tbl>
      <w:tblPr>
        <w:tblStyle w:val="3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2072"/>
        <w:gridCol w:w="1481"/>
        <w:gridCol w:w="1481"/>
        <w:gridCol w:w="1481"/>
        <w:gridCol w:w="1481"/>
        <w:gridCol w:w="1481"/>
      </w:tblGrid>
      <w:tr w14:paraId="6418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428" w:type="pct"/>
            <w:noWrap w:val="0"/>
            <w:vAlign w:val="center"/>
          </w:tcPr>
          <w:p w14:paraId="0646C3D7">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999" w:type="pct"/>
            <w:noWrap w:val="0"/>
            <w:vAlign w:val="center"/>
          </w:tcPr>
          <w:p w14:paraId="1BC8061B">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物资重要程度</w:t>
            </w:r>
          </w:p>
        </w:tc>
        <w:tc>
          <w:tcPr>
            <w:tcW w:w="714" w:type="pct"/>
            <w:noWrap w:val="0"/>
            <w:vAlign w:val="center"/>
          </w:tcPr>
          <w:p w14:paraId="3AF3163D">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物资类别</w:t>
            </w:r>
          </w:p>
        </w:tc>
        <w:tc>
          <w:tcPr>
            <w:tcW w:w="714" w:type="pct"/>
            <w:noWrap w:val="0"/>
            <w:vAlign w:val="center"/>
          </w:tcPr>
          <w:p w14:paraId="614D5BED">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物资名称</w:t>
            </w:r>
          </w:p>
        </w:tc>
        <w:tc>
          <w:tcPr>
            <w:tcW w:w="714" w:type="pct"/>
            <w:noWrap w:val="0"/>
            <w:vAlign w:val="center"/>
          </w:tcPr>
          <w:p w14:paraId="44A5A9AA">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推荐品牌</w:t>
            </w:r>
          </w:p>
        </w:tc>
        <w:tc>
          <w:tcPr>
            <w:tcW w:w="714" w:type="pct"/>
            <w:noWrap w:val="0"/>
            <w:vAlign w:val="center"/>
          </w:tcPr>
          <w:p w14:paraId="6046AC47">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规格型号</w:t>
            </w:r>
          </w:p>
        </w:tc>
        <w:tc>
          <w:tcPr>
            <w:tcW w:w="714" w:type="pct"/>
            <w:noWrap w:val="0"/>
            <w:vAlign w:val="center"/>
          </w:tcPr>
          <w:p w14:paraId="200D2C2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投标品牌</w:t>
            </w:r>
          </w:p>
        </w:tc>
      </w:tr>
      <w:tr w14:paraId="3D96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noWrap w:val="0"/>
            <w:vAlign w:val="center"/>
          </w:tcPr>
          <w:p w14:paraId="1D27B6C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99" w:type="pct"/>
            <w:noWrap w:val="0"/>
            <w:vAlign w:val="center"/>
          </w:tcPr>
          <w:p w14:paraId="751780F3">
            <w:pPr>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14" w:type="pct"/>
            <w:noWrap w:val="0"/>
            <w:vAlign w:val="center"/>
          </w:tcPr>
          <w:p w14:paraId="0FE4FF8D">
            <w:pPr>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14" w:type="pct"/>
            <w:noWrap w:val="0"/>
            <w:vAlign w:val="center"/>
          </w:tcPr>
          <w:p w14:paraId="39C2CEF8">
            <w:pPr>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14" w:type="pct"/>
            <w:noWrap w:val="0"/>
            <w:vAlign w:val="center"/>
          </w:tcPr>
          <w:p w14:paraId="254D092E">
            <w:pPr>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14" w:type="pct"/>
            <w:noWrap w:val="0"/>
            <w:vAlign w:val="center"/>
          </w:tcPr>
          <w:p w14:paraId="50494A06">
            <w:pPr>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14" w:type="pct"/>
            <w:noWrap w:val="0"/>
            <w:vAlign w:val="center"/>
          </w:tcPr>
          <w:p w14:paraId="1ED7DD2D">
            <w:pPr>
              <w:jc w:val="center"/>
              <w:rPr>
                <w:rFonts w:hint="eastAsia" w:ascii="宋体" w:hAnsi="宋体" w:eastAsia="宋体" w:cs="宋体"/>
                <w:b/>
                <w:color w:val="000000" w:themeColor="text1"/>
                <w:sz w:val="21"/>
                <w:szCs w:val="21"/>
                <w:highlight w:val="none"/>
                <w14:textFill>
                  <w14:solidFill>
                    <w14:schemeClr w14:val="tx1"/>
                  </w14:solidFill>
                </w14:textFill>
              </w:rPr>
            </w:pPr>
          </w:p>
        </w:tc>
      </w:tr>
      <w:tr w14:paraId="6318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noWrap w:val="0"/>
            <w:vAlign w:val="center"/>
          </w:tcPr>
          <w:p w14:paraId="498AD4C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999" w:type="pct"/>
            <w:noWrap w:val="0"/>
            <w:vAlign w:val="center"/>
          </w:tcPr>
          <w:p w14:paraId="2AE961BC">
            <w:pPr>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14" w:type="pct"/>
            <w:noWrap w:val="0"/>
            <w:vAlign w:val="center"/>
          </w:tcPr>
          <w:p w14:paraId="74CDA01D">
            <w:pPr>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14" w:type="pct"/>
            <w:noWrap w:val="0"/>
            <w:vAlign w:val="center"/>
          </w:tcPr>
          <w:p w14:paraId="2C2D40F0">
            <w:pPr>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14" w:type="pct"/>
            <w:noWrap w:val="0"/>
            <w:vAlign w:val="center"/>
          </w:tcPr>
          <w:p w14:paraId="5ACE4F9C">
            <w:pPr>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14" w:type="pct"/>
            <w:noWrap w:val="0"/>
            <w:vAlign w:val="center"/>
          </w:tcPr>
          <w:p w14:paraId="658028A9">
            <w:pPr>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14" w:type="pct"/>
            <w:noWrap w:val="0"/>
            <w:vAlign w:val="center"/>
          </w:tcPr>
          <w:p w14:paraId="258BC335">
            <w:pPr>
              <w:jc w:val="center"/>
              <w:rPr>
                <w:rFonts w:hint="eastAsia" w:ascii="宋体" w:hAnsi="宋体" w:eastAsia="宋体" w:cs="宋体"/>
                <w:b/>
                <w:color w:val="000000" w:themeColor="text1"/>
                <w:sz w:val="21"/>
                <w:szCs w:val="21"/>
                <w:highlight w:val="none"/>
                <w14:textFill>
                  <w14:solidFill>
                    <w14:schemeClr w14:val="tx1"/>
                  </w14:solidFill>
                </w14:textFill>
              </w:rPr>
            </w:pPr>
          </w:p>
        </w:tc>
      </w:tr>
      <w:tr w14:paraId="54E7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noWrap w:val="0"/>
            <w:vAlign w:val="center"/>
          </w:tcPr>
          <w:p w14:paraId="6FB2FB4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999" w:type="pct"/>
            <w:noWrap w:val="0"/>
            <w:vAlign w:val="center"/>
          </w:tcPr>
          <w:p w14:paraId="260673AC">
            <w:pPr>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14" w:type="pct"/>
            <w:noWrap w:val="0"/>
            <w:vAlign w:val="center"/>
          </w:tcPr>
          <w:p w14:paraId="1DCBEB2E">
            <w:pPr>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14" w:type="pct"/>
            <w:noWrap w:val="0"/>
            <w:vAlign w:val="center"/>
          </w:tcPr>
          <w:p w14:paraId="4FB9EECC">
            <w:pPr>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14" w:type="pct"/>
            <w:noWrap w:val="0"/>
            <w:vAlign w:val="center"/>
          </w:tcPr>
          <w:p w14:paraId="2BE6089D">
            <w:pPr>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14" w:type="pct"/>
            <w:noWrap w:val="0"/>
            <w:vAlign w:val="center"/>
          </w:tcPr>
          <w:p w14:paraId="0F601323">
            <w:pPr>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14" w:type="pct"/>
            <w:noWrap w:val="0"/>
            <w:vAlign w:val="center"/>
          </w:tcPr>
          <w:p w14:paraId="143677CF">
            <w:pPr>
              <w:jc w:val="center"/>
              <w:rPr>
                <w:rFonts w:hint="eastAsia" w:ascii="宋体" w:hAnsi="宋体" w:eastAsia="宋体" w:cs="宋体"/>
                <w:b/>
                <w:color w:val="000000" w:themeColor="text1"/>
                <w:sz w:val="21"/>
                <w:szCs w:val="21"/>
                <w:highlight w:val="none"/>
                <w14:textFill>
                  <w14:solidFill>
                    <w14:schemeClr w14:val="tx1"/>
                  </w14:solidFill>
                </w14:textFill>
              </w:rPr>
            </w:pPr>
          </w:p>
        </w:tc>
      </w:tr>
      <w:tr w14:paraId="19B0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noWrap w:val="0"/>
            <w:vAlign w:val="center"/>
          </w:tcPr>
          <w:p w14:paraId="6D25328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999" w:type="pct"/>
            <w:noWrap w:val="0"/>
            <w:vAlign w:val="center"/>
          </w:tcPr>
          <w:p w14:paraId="64727808">
            <w:pPr>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14" w:type="pct"/>
            <w:noWrap w:val="0"/>
            <w:vAlign w:val="center"/>
          </w:tcPr>
          <w:p w14:paraId="0582C1CD">
            <w:pPr>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14" w:type="pct"/>
            <w:noWrap w:val="0"/>
            <w:vAlign w:val="center"/>
          </w:tcPr>
          <w:p w14:paraId="7C8D96DE">
            <w:pPr>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14" w:type="pct"/>
            <w:noWrap w:val="0"/>
            <w:vAlign w:val="center"/>
          </w:tcPr>
          <w:p w14:paraId="32AF437F">
            <w:pPr>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14" w:type="pct"/>
            <w:noWrap w:val="0"/>
            <w:vAlign w:val="center"/>
          </w:tcPr>
          <w:p w14:paraId="39AF3FB6">
            <w:pPr>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714" w:type="pct"/>
            <w:noWrap w:val="0"/>
            <w:vAlign w:val="center"/>
          </w:tcPr>
          <w:p w14:paraId="5768DE3C">
            <w:pPr>
              <w:jc w:val="center"/>
              <w:rPr>
                <w:rFonts w:hint="eastAsia" w:ascii="宋体" w:hAnsi="宋体" w:eastAsia="宋体" w:cs="宋体"/>
                <w:b/>
                <w:color w:val="000000" w:themeColor="text1"/>
                <w:sz w:val="21"/>
                <w:szCs w:val="21"/>
                <w:highlight w:val="none"/>
                <w14:textFill>
                  <w14:solidFill>
                    <w14:schemeClr w14:val="tx1"/>
                  </w14:solidFill>
                </w14:textFill>
              </w:rPr>
            </w:pPr>
          </w:p>
        </w:tc>
      </w:tr>
    </w:tbl>
    <w:p w14:paraId="4C75530C">
      <w:pPr>
        <w:snapToGrid w:val="0"/>
        <w:spacing w:line="360" w:lineRule="auto"/>
        <w:ind w:left="396" w:leftChars="-58" w:hanging="518" w:hangingChars="247"/>
        <w:rPr>
          <w:rFonts w:hint="eastAsia" w:ascii="宋体" w:hAnsi="宋体" w:eastAsia="宋体" w:cs="宋体"/>
          <w:color w:val="000000" w:themeColor="text1"/>
          <w:kern w:val="3"/>
          <w:sz w:val="21"/>
          <w:szCs w:val="21"/>
          <w:highlight w:val="none"/>
          <w14:textFill>
            <w14:solidFill>
              <w14:schemeClr w14:val="tx1"/>
            </w14:solidFill>
          </w14:textFill>
        </w:rPr>
      </w:pPr>
      <w:r>
        <w:rPr>
          <w:rFonts w:hint="eastAsia" w:ascii="宋体" w:hAnsi="宋体" w:eastAsia="宋体" w:cs="宋体"/>
          <w:color w:val="000000" w:themeColor="text1"/>
          <w:kern w:val="3"/>
          <w:sz w:val="21"/>
          <w:szCs w:val="21"/>
          <w:highlight w:val="none"/>
          <w14:textFill>
            <w14:solidFill>
              <w14:schemeClr w14:val="tx1"/>
            </w14:solidFill>
          </w14:textFill>
        </w:rPr>
        <w:t>备注：</w:t>
      </w:r>
    </w:p>
    <w:p w14:paraId="070BAA99">
      <w:pPr>
        <w:snapToGrid w:val="0"/>
        <w:spacing w:line="360" w:lineRule="auto"/>
        <w:ind w:left="399" w:leftChars="-58" w:hanging="521" w:hangingChars="247"/>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（1）投标人所投五金材料及工器具的投标品牌与推荐品牌没有1个是一致的即为不匹配。</w:t>
      </w:r>
    </w:p>
    <w:p w14:paraId="5808B799">
      <w:pPr>
        <w:snapToGrid w:val="0"/>
        <w:spacing w:line="360" w:lineRule="auto"/>
        <w:ind w:left="399" w:leftChars="-58" w:hanging="521" w:hangingChars="247"/>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（2）投标人所投五金材料及工器具的投标品牌中至少有1个品牌与推荐品牌一致的即为匹配；若五金材料及工器具的推荐品牌为任意品牌的，投标人所报品牌视为匹配。</w:t>
      </w:r>
    </w:p>
    <w:p w14:paraId="63998E72">
      <w:pPr>
        <w:snapToGrid w:val="0"/>
        <w:spacing w:line="360" w:lineRule="auto"/>
        <w:ind w:left="399" w:leftChars="-58" w:hanging="521" w:hangingChars="247"/>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（3）投标人应对照表【</w:t>
      </w:r>
      <w:r>
        <w:rPr>
          <w:rFonts w:hint="eastAsia" w:ascii="宋体" w:hAnsi="宋体" w:eastAsia="宋体" w:cs="宋体"/>
          <w:b/>
          <w:color w:val="000000" w:themeColor="text1"/>
          <w:sz w:val="21"/>
          <w:szCs w:val="21"/>
          <w:highlight w:val="none"/>
          <w:lang w:val="en-US" w:eastAsia="zh-CN"/>
          <w14:textFill>
            <w14:solidFill>
              <w14:schemeClr w14:val="tx1"/>
            </w14:solidFill>
          </w14:textFill>
        </w:rPr>
        <w:t>12.2.2</w:t>
      </w:r>
      <w:r>
        <w:rPr>
          <w:rFonts w:hint="eastAsia" w:ascii="宋体" w:hAnsi="宋体" w:eastAsia="宋体" w:cs="宋体"/>
          <w:b/>
          <w:color w:val="000000" w:themeColor="text1"/>
          <w:sz w:val="21"/>
          <w:szCs w:val="21"/>
          <w:highlight w:val="none"/>
          <w14:textFill>
            <w14:solidFill>
              <w14:schemeClr w14:val="tx1"/>
            </w14:solidFill>
          </w14:textFill>
        </w:rPr>
        <w:t xml:space="preserve"> 投标品牌表】的投标品牌，在本表【</w:t>
      </w:r>
      <w:r>
        <w:rPr>
          <w:rFonts w:hint="eastAsia" w:ascii="宋体" w:hAnsi="宋体" w:eastAsia="宋体" w:cs="宋体"/>
          <w:b/>
          <w:color w:val="000000" w:themeColor="text1"/>
          <w:sz w:val="21"/>
          <w:szCs w:val="21"/>
          <w:highlight w:val="none"/>
          <w:lang w:val="en-US" w:eastAsia="zh-CN"/>
          <w14:textFill>
            <w14:solidFill>
              <w14:schemeClr w14:val="tx1"/>
            </w14:solidFill>
          </w14:textFill>
        </w:rPr>
        <w:t>12.2.1</w:t>
      </w:r>
      <w:r>
        <w:rPr>
          <w:rFonts w:hint="eastAsia" w:ascii="宋体" w:hAnsi="宋体" w:eastAsia="宋体" w:cs="宋体"/>
          <w:b/>
          <w:color w:val="000000" w:themeColor="text1"/>
          <w:sz w:val="21"/>
          <w:szCs w:val="21"/>
          <w:highlight w:val="none"/>
          <w14:textFill>
            <w14:solidFill>
              <w14:schemeClr w14:val="tx1"/>
            </w14:solidFill>
          </w14:textFill>
        </w:rPr>
        <w:t xml:space="preserve"> 投标品牌不匹配情况汇总表】如实地填写投标品牌不匹配的五金材料及工器具。若发现此表未填写视为投标人所投所有五金材料及工器具的品牌与采购清单的推荐品牌匹配。</w:t>
      </w:r>
    </w:p>
    <w:p w14:paraId="1E171538">
      <w:pPr>
        <w:snapToGrid w:val="0"/>
        <w:spacing w:line="360" w:lineRule="auto"/>
        <w:ind w:left="399" w:leftChars="-58" w:hanging="521" w:hangingChars="247"/>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（4）如在表【</w:t>
      </w:r>
      <w:r>
        <w:rPr>
          <w:rFonts w:hint="eastAsia" w:ascii="宋体" w:hAnsi="宋体" w:eastAsia="宋体" w:cs="宋体"/>
          <w:b/>
          <w:color w:val="000000" w:themeColor="text1"/>
          <w:sz w:val="21"/>
          <w:szCs w:val="21"/>
          <w:highlight w:val="none"/>
          <w:lang w:val="en-US" w:eastAsia="zh-CN"/>
          <w14:textFill>
            <w14:solidFill>
              <w14:schemeClr w14:val="tx1"/>
            </w14:solidFill>
          </w14:textFill>
        </w:rPr>
        <w:t>12.2.2</w:t>
      </w:r>
      <w:r>
        <w:rPr>
          <w:rFonts w:hint="eastAsia" w:ascii="宋体" w:hAnsi="宋体" w:eastAsia="宋体" w:cs="宋体"/>
          <w:b/>
          <w:color w:val="000000" w:themeColor="text1"/>
          <w:sz w:val="21"/>
          <w:szCs w:val="21"/>
          <w:highlight w:val="none"/>
          <w14:textFill>
            <w14:solidFill>
              <w14:schemeClr w14:val="tx1"/>
            </w14:solidFill>
          </w14:textFill>
        </w:rPr>
        <w:t xml:space="preserve"> 投标品牌表】中出现投标人所投五金材料及工器具的投标品牌不匹配情况，但未在本表中如实填写投标品牌不匹配的情况，以本表为准进行评审，视为该项五金材料及工器具的品牌与采购清单的推荐品牌匹配。若该投标人中标，该投标人须无条件同意按照该项五金材料及工器具的推荐品牌且经招标人确认后进行供货，不得拒绝。</w:t>
      </w:r>
    </w:p>
    <w:p w14:paraId="141C8FB5">
      <w:pPr>
        <w:snapToGrid w:val="0"/>
        <w:spacing w:line="360" w:lineRule="auto"/>
        <w:ind w:left="399" w:leftChars="-58" w:hanging="521" w:hangingChars="247"/>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（5）在本表【</w:t>
      </w:r>
      <w:r>
        <w:rPr>
          <w:rFonts w:hint="eastAsia" w:ascii="宋体" w:hAnsi="宋体" w:eastAsia="宋体" w:cs="宋体"/>
          <w:b/>
          <w:color w:val="000000" w:themeColor="text1"/>
          <w:sz w:val="21"/>
          <w:szCs w:val="21"/>
          <w:highlight w:val="none"/>
          <w:lang w:val="en-US" w:eastAsia="zh-CN"/>
          <w14:textFill>
            <w14:solidFill>
              <w14:schemeClr w14:val="tx1"/>
            </w14:solidFill>
          </w14:textFill>
        </w:rPr>
        <w:t>12.2.1</w:t>
      </w:r>
      <w:r>
        <w:rPr>
          <w:rFonts w:hint="eastAsia" w:ascii="宋体" w:hAnsi="宋体" w:eastAsia="宋体" w:cs="宋体"/>
          <w:b/>
          <w:color w:val="000000" w:themeColor="text1"/>
          <w:sz w:val="21"/>
          <w:szCs w:val="21"/>
          <w:highlight w:val="none"/>
          <w14:textFill>
            <w14:solidFill>
              <w14:schemeClr w14:val="tx1"/>
            </w14:solidFill>
          </w14:textFill>
        </w:rPr>
        <w:t xml:space="preserve"> 投标品牌不匹配情况汇总表】中投标人填写的五金材料及工器具投标品牌，与表【</w:t>
      </w:r>
      <w:r>
        <w:rPr>
          <w:rFonts w:hint="eastAsia" w:ascii="宋体" w:hAnsi="宋体" w:eastAsia="宋体" w:cs="宋体"/>
          <w:b/>
          <w:color w:val="000000" w:themeColor="text1"/>
          <w:sz w:val="21"/>
          <w:szCs w:val="21"/>
          <w:highlight w:val="none"/>
          <w:lang w:val="en-US" w:eastAsia="zh-CN"/>
          <w14:textFill>
            <w14:solidFill>
              <w14:schemeClr w14:val="tx1"/>
            </w14:solidFill>
          </w14:textFill>
        </w:rPr>
        <w:t>12.2.2</w:t>
      </w:r>
      <w:r>
        <w:rPr>
          <w:rFonts w:hint="eastAsia" w:ascii="宋体" w:hAnsi="宋体" w:eastAsia="宋体" w:cs="宋体"/>
          <w:b/>
          <w:color w:val="000000" w:themeColor="text1"/>
          <w:sz w:val="21"/>
          <w:szCs w:val="21"/>
          <w:highlight w:val="none"/>
          <w14:textFill>
            <w14:solidFill>
              <w14:schemeClr w14:val="tx1"/>
            </w14:solidFill>
          </w14:textFill>
        </w:rPr>
        <w:t xml:space="preserve"> 投标品牌表】中对应的五金材料及工器具的投标品牌中不一致的，以本表为准进行评审。若该投标人中标，该投标人须按照本表中填写的投标品牌进行供货。</w:t>
      </w:r>
    </w:p>
    <w:p w14:paraId="75953CC1">
      <w:pPr>
        <w:pStyle w:val="23"/>
        <w:spacing w:line="360" w:lineRule="auto"/>
        <w:ind w:firstLine="4200" w:firstLineChars="2000"/>
        <w:rPr>
          <w:rFonts w:hint="eastAsia" w:ascii="宋体" w:hAnsi="宋体" w:eastAsia="宋体" w:cs="宋体"/>
          <w:color w:val="000000" w:themeColor="text1"/>
          <w:kern w:val="3"/>
          <w:sz w:val="21"/>
          <w:szCs w:val="21"/>
          <w:highlight w:val="none"/>
          <w:u w:val="single"/>
          <w14:textFill>
            <w14:solidFill>
              <w14:schemeClr w14:val="tx1"/>
            </w14:solidFill>
          </w14:textFill>
        </w:rPr>
      </w:pPr>
      <w:r>
        <w:rPr>
          <w:rFonts w:hint="eastAsia" w:ascii="宋体" w:hAnsi="宋体" w:eastAsia="宋体" w:cs="宋体"/>
          <w:color w:val="000000" w:themeColor="text1"/>
          <w:kern w:val="3"/>
          <w:sz w:val="21"/>
          <w:szCs w:val="21"/>
          <w:highlight w:val="none"/>
          <w14:textFill>
            <w14:solidFill>
              <w14:schemeClr w14:val="tx1"/>
            </w14:solidFill>
          </w14:textFill>
        </w:rPr>
        <w:t>投 标 人（加盖投标人法人公章）：</w:t>
      </w:r>
      <w:r>
        <w:rPr>
          <w:rFonts w:hint="eastAsia" w:ascii="宋体" w:hAnsi="宋体" w:eastAsia="宋体" w:cs="宋体"/>
          <w:color w:val="000000" w:themeColor="text1"/>
          <w:kern w:val="3"/>
          <w:sz w:val="21"/>
          <w:szCs w:val="21"/>
          <w:highlight w:val="none"/>
          <w:u w:val="single"/>
          <w14:textFill>
            <w14:solidFill>
              <w14:schemeClr w14:val="tx1"/>
            </w14:solidFill>
          </w14:textFill>
        </w:rPr>
        <w:t xml:space="preserve">       </w:t>
      </w:r>
    </w:p>
    <w:p w14:paraId="5BFE2CC6">
      <w:pPr>
        <w:pStyle w:val="23"/>
        <w:spacing w:line="360" w:lineRule="auto"/>
        <w:ind w:firstLine="4200" w:firstLineChars="20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  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6FEF731A">
      <w:pPr>
        <w:rPr>
          <w:rFonts w:hint="eastAsia" w:ascii="宋体" w:hAnsi="宋体" w:eastAsia="宋体" w:cs="宋体"/>
          <w:b/>
          <w:bCs/>
          <w:color w:val="000000" w:themeColor="text1"/>
          <w:kern w:val="2"/>
          <w:sz w:val="21"/>
          <w:szCs w:val="21"/>
          <w:highlight w:val="none"/>
          <w:lang w:val="zh-CN"/>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14:textFill>
            <w14:solidFill>
              <w14:schemeClr w14:val="tx1"/>
            </w14:solidFill>
          </w14:textFill>
        </w:rPr>
        <w:br w:type="page"/>
      </w:r>
    </w:p>
    <w:p w14:paraId="68B587D9">
      <w:pPr>
        <w:spacing w:line="360" w:lineRule="auto"/>
        <w:jc w:val="center"/>
        <w:outlineLvl w:val="3"/>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12.2.2 投标品牌表</w:t>
      </w:r>
    </w:p>
    <w:p w14:paraId="1E03AFC6">
      <w:pPr>
        <w:pStyle w:val="23"/>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项目名称：</w:t>
      </w:r>
      <w:r>
        <w:rPr>
          <w:rFonts w:hint="eastAsia" w:ascii="宋体" w:hAnsi="宋体" w:eastAsia="宋体" w:cs="宋体"/>
          <w:color w:val="000000" w:themeColor="text1"/>
          <w:sz w:val="21"/>
          <w:szCs w:val="21"/>
          <w:highlight w:val="none"/>
          <w:u w:val="single"/>
          <w14:textFill>
            <w14:solidFill>
              <w14:schemeClr w14:val="tx1"/>
            </w14:solidFill>
          </w14:textFill>
        </w:rPr>
        <w:t>东莞市水务环境投资控股集团净水有限公司2026年五金材料及工器具物资采购项目</w:t>
      </w:r>
    </w:p>
    <w:p w14:paraId="5F59113A">
      <w:pPr>
        <w:pStyle w:val="23"/>
        <w:spacing w:line="360" w:lineRule="auto"/>
        <w:rPr>
          <w:rFonts w:hint="eastAsia" w:ascii="宋体" w:hAnsi="宋体" w:eastAsia="宋体" w:cs="宋体"/>
          <w:b/>
          <w:color w:val="000000" w:themeColor="text1"/>
          <w:sz w:val="21"/>
          <w:szCs w:val="21"/>
          <w:highlight w:val="none"/>
          <w:u w:val="singl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招标编号：</w:t>
      </w:r>
      <w:r>
        <w:rPr>
          <w:rFonts w:hint="eastAsia" w:ascii="宋体" w:hAnsi="宋体" w:eastAsia="宋体" w:cs="宋体"/>
          <w:b w:val="0"/>
          <w:bCs/>
          <w:color w:val="000000" w:themeColor="text1"/>
          <w:sz w:val="21"/>
          <w:szCs w:val="21"/>
          <w:highlight w:val="none"/>
          <w:u w:val="single"/>
          <w14:textFill>
            <w14:solidFill>
              <w14:schemeClr w14:val="tx1"/>
            </w14:solidFill>
          </w14:textFill>
        </w:rPr>
        <w:t>广建咨询（东招）2025-0122号</w:t>
      </w:r>
    </w:p>
    <w:p w14:paraId="53EA99BA">
      <w:pPr>
        <w:pStyle w:val="23"/>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投标品牌填写说明：</w:t>
      </w:r>
    </w:p>
    <w:p w14:paraId="09316FCA">
      <w:pPr>
        <w:pStyle w:val="23"/>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投标人应根据表格要求在不含税中标综合单价不变的前提下，每项货物填写1至3个投标人中标后能提供的品牌；中标后，招标人将根据实际需求，在每次下单时明确当批次需求的品牌。</w:t>
      </w:r>
    </w:p>
    <w:p w14:paraId="4ACDF39E">
      <w:pPr>
        <w:autoSpaceDE w:val="0"/>
        <w:autoSpaceDN w:val="0"/>
        <w:adjustRightInd w:val="0"/>
        <w:snapToGrid w:val="0"/>
        <w:spacing w:line="360" w:lineRule="auto"/>
        <w:ind w:firstLine="210" w:firstLineChars="100"/>
        <w:jc w:val="left"/>
        <w:rPr>
          <w:rFonts w:ascii="宋体" w:hAnsi="宋体" w:eastAsia="宋体" w:cs="Times New Roman"/>
          <w:color w:val="000000" w:themeColor="text1"/>
          <w:kern w:val="0"/>
          <w:szCs w:val="21"/>
          <w:highlight w:val="none"/>
          <w14:textFill>
            <w14:solidFill>
              <w14:schemeClr w14:val="tx1"/>
            </w14:solidFill>
          </w14:textFill>
        </w:rPr>
      </w:pPr>
    </w:p>
    <w:p w14:paraId="41C8E143">
      <w:pPr>
        <w:autoSpaceDE w:val="0"/>
        <w:autoSpaceDN w:val="0"/>
        <w:adjustRightInd w:val="0"/>
        <w:spacing w:line="360" w:lineRule="auto"/>
        <w:ind w:firstLine="4200" w:firstLineChars="2000"/>
        <w:jc w:val="left"/>
        <w:rPr>
          <w:rFonts w:ascii="宋体" w:hAnsi="宋体" w:eastAsia="宋体" w:cs="Times New Roman"/>
          <w:color w:val="000000" w:themeColor="text1"/>
          <w:kern w:val="3"/>
          <w:szCs w:val="21"/>
          <w:highlight w:val="none"/>
          <w14:textFill>
            <w14:solidFill>
              <w14:schemeClr w14:val="tx1"/>
            </w14:solidFill>
          </w14:textFill>
        </w:rPr>
      </w:pPr>
    </w:p>
    <w:p w14:paraId="35349ECD">
      <w:pPr>
        <w:autoSpaceDE w:val="0"/>
        <w:autoSpaceDN w:val="0"/>
        <w:adjustRightInd w:val="0"/>
        <w:spacing w:line="360" w:lineRule="auto"/>
        <w:ind w:firstLine="4200" w:firstLineChars="20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3"/>
          <w:szCs w:val="21"/>
          <w:highlight w:val="none"/>
          <w14:textFill>
            <w14:solidFill>
              <w14:schemeClr w14:val="tx1"/>
            </w14:solidFill>
          </w14:textFill>
        </w:rPr>
        <w:t xml:space="preserve">投 标 人（加盖投标人法人公章）：              </w:t>
      </w:r>
    </w:p>
    <w:p w14:paraId="26953322">
      <w:pPr>
        <w:spacing w:line="360" w:lineRule="auto"/>
        <w:ind w:firstLine="4200" w:firstLineChars="2000"/>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日  期：        年     月     日</w:t>
      </w:r>
    </w:p>
    <w:p w14:paraId="4A3ED67B">
      <w:pPr>
        <w:autoSpaceDE w:val="0"/>
        <w:autoSpaceDN w:val="0"/>
        <w:adjustRightInd w:val="0"/>
        <w:snapToGri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10DBDBA4">
      <w:pPr>
        <w:autoSpaceDE w:val="0"/>
        <w:autoSpaceDN w:val="0"/>
        <w:adjustRightInd w:val="0"/>
        <w:ind w:right="-23" w:rightChars="-11"/>
        <w:jc w:val="center"/>
        <w:rPr>
          <w:rFonts w:hint="eastAsia" w:ascii="宋体" w:hAnsi="宋体" w:eastAsia="宋体" w:cs="宋体"/>
          <w:b/>
          <w:color w:val="000000" w:themeColor="text1"/>
          <w:sz w:val="30"/>
          <w:szCs w:val="30"/>
          <w:highlight w:val="none"/>
          <w:lang w:val="zh-CN"/>
          <w14:textFill>
            <w14:solidFill>
              <w14:schemeClr w14:val="tx1"/>
            </w14:solidFill>
          </w14:textFill>
        </w:rPr>
      </w:pPr>
    </w:p>
    <w:p w14:paraId="0EEDE0D2">
      <w:pPr>
        <w:rPr>
          <w:rFonts w:hint="eastAsia" w:ascii="宋体" w:hAnsi="宋体" w:eastAsia="宋体" w:cs="宋体"/>
          <w:b/>
          <w:color w:val="000000" w:themeColor="text1"/>
          <w:sz w:val="30"/>
          <w:szCs w:val="30"/>
          <w:highlight w:val="none"/>
          <w:lang w:val="zh-CN"/>
          <w14:textFill>
            <w14:solidFill>
              <w14:schemeClr w14:val="tx1"/>
            </w14:solidFill>
          </w14:textFill>
        </w:rPr>
      </w:pPr>
      <w:r>
        <w:rPr>
          <w:rFonts w:hint="eastAsia" w:ascii="宋体" w:hAnsi="宋体" w:eastAsia="宋体" w:cs="宋体"/>
          <w:b/>
          <w:color w:val="000000" w:themeColor="text1"/>
          <w:sz w:val="30"/>
          <w:szCs w:val="30"/>
          <w:highlight w:val="none"/>
          <w:lang w:val="zh-CN"/>
          <w14:textFill>
            <w14:solidFill>
              <w14:schemeClr w14:val="tx1"/>
            </w14:solidFill>
          </w14:textFill>
        </w:rPr>
        <w:br w:type="page"/>
      </w:r>
    </w:p>
    <w:p w14:paraId="125D2207">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bookmarkStart w:id="688" w:name="_Toc140596949"/>
      <w:bookmarkStart w:id="689" w:name="_Toc102860094"/>
      <w:bookmarkStart w:id="690" w:name="_Toc104991896"/>
      <w:bookmarkStart w:id="691" w:name="_Toc142508389"/>
      <w:bookmarkStart w:id="692" w:name="_Toc102860438"/>
      <w:bookmarkStart w:id="693" w:name="_Toc533708139"/>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12.3 整体供货服务流程</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202D7B90">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12.4 供货计划及进度保证措施方案</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62F7069A">
      <w:pPr>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694" w:name="_Toc7104"/>
      <w:bookmarkStart w:id="695" w:name="_Toc8740"/>
      <w:bookmarkStart w:id="696" w:name="_Toc28644"/>
      <w:bookmarkStart w:id="697" w:name="_Toc1222"/>
      <w:bookmarkStart w:id="698" w:name="_Toc770"/>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12</w:t>
      </w:r>
      <w:r>
        <w:rPr>
          <w:rFonts w:hint="eastAsia" w:ascii="宋体" w:hAnsi="宋体" w:eastAsia="宋体" w:cs="宋体"/>
          <w:b/>
          <w:color w:val="000000" w:themeColor="text1"/>
          <w:kern w:val="0"/>
          <w:sz w:val="30"/>
          <w:szCs w:val="30"/>
          <w:highlight w:val="none"/>
          <w14:textFill>
            <w14:solidFill>
              <w14:schemeClr w14:val="tx1"/>
            </w14:solidFill>
          </w14:textFill>
        </w:rPr>
        <w:t>.</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ascii="宋体" w:hAnsi="宋体" w:eastAsia="宋体" w:cs="宋体"/>
          <w:b/>
          <w:color w:val="000000" w:themeColor="text1"/>
          <w:kern w:val="0"/>
          <w:sz w:val="30"/>
          <w:szCs w:val="30"/>
          <w:highlight w:val="none"/>
          <w14:textFill>
            <w14:solidFill>
              <w14:schemeClr w14:val="tx1"/>
            </w14:solidFill>
          </w14:textFill>
        </w:rPr>
        <w:t xml:space="preserve"> </w:t>
      </w:r>
      <w:bookmarkEnd w:id="694"/>
      <w:bookmarkEnd w:id="695"/>
      <w:r>
        <w:rPr>
          <w:rFonts w:hint="eastAsia" w:ascii="宋体" w:hAnsi="宋体" w:eastAsia="宋体" w:cs="宋体"/>
          <w:b/>
          <w:color w:val="000000" w:themeColor="text1"/>
          <w:kern w:val="0"/>
          <w:sz w:val="30"/>
          <w:szCs w:val="30"/>
          <w:highlight w:val="none"/>
          <w14:textFill>
            <w14:solidFill>
              <w14:schemeClr w14:val="tx1"/>
            </w14:solidFill>
          </w14:textFill>
        </w:rPr>
        <w:t>售后服务质量保证和承诺</w:t>
      </w:r>
      <w:bookmarkEnd w:id="696"/>
    </w:p>
    <w:p w14:paraId="5DF9D2E1">
      <w:pPr>
        <w:autoSpaceDE w:val="0"/>
        <w:autoSpaceDN w:val="0"/>
        <w:adjustRightInd w:val="0"/>
        <w:spacing w:line="360" w:lineRule="auto"/>
        <w:jc w:val="left"/>
        <w:rPr>
          <w:rFonts w:ascii="宋体" w:hAnsi="宋体" w:eastAsia="宋体" w:cs="宋体"/>
          <w:b/>
          <w:color w:val="000000" w:themeColor="text1"/>
          <w:kern w:val="0"/>
          <w:sz w:val="30"/>
          <w:szCs w:val="30"/>
          <w:highlight w:val="none"/>
          <w14:textFill>
            <w14:solidFill>
              <w14:schemeClr w14:val="tx1"/>
            </w14:solidFill>
          </w14:textFill>
        </w:rPr>
      </w:pPr>
    </w:p>
    <w:p w14:paraId="2F724E4E">
      <w:pPr>
        <w:rPr>
          <w:rFonts w:ascii="宋体" w:hAnsi="宋体" w:eastAsia="宋体" w:cs="宋体"/>
          <w:b/>
          <w:color w:val="000000" w:themeColor="text1"/>
          <w:kern w:val="0"/>
          <w:sz w:val="30"/>
          <w:szCs w:val="30"/>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p>
    <w:p w14:paraId="4A7218FA">
      <w:pPr>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699" w:name="_Toc13632"/>
      <w:bookmarkStart w:id="700" w:name="_Toc22188"/>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12.6 </w:t>
      </w:r>
      <w:r>
        <w:rPr>
          <w:rFonts w:hint="eastAsia" w:ascii="宋体" w:hAnsi="宋体" w:eastAsia="宋体" w:cs="宋体"/>
          <w:b/>
          <w:color w:val="000000" w:themeColor="text1"/>
          <w:kern w:val="0"/>
          <w:sz w:val="30"/>
          <w:szCs w:val="30"/>
          <w:highlight w:val="none"/>
          <w14:textFill>
            <w14:solidFill>
              <w14:schemeClr w14:val="tx1"/>
            </w14:solidFill>
          </w14:textFill>
        </w:rPr>
        <w:t>投标人认为有必要提供的其它材料（不做强制要求）</w:t>
      </w:r>
      <w:bookmarkEnd w:id="688"/>
      <w:bookmarkEnd w:id="689"/>
      <w:bookmarkEnd w:id="690"/>
      <w:bookmarkEnd w:id="691"/>
      <w:bookmarkEnd w:id="692"/>
      <w:bookmarkEnd w:id="697"/>
      <w:bookmarkEnd w:id="698"/>
      <w:bookmarkEnd w:id="699"/>
      <w:bookmarkEnd w:id="700"/>
    </w:p>
    <w:p w14:paraId="0824A393">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022FE3AC">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4AB99D35">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59C142DB">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782B2A67">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40529A1E">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37817DB1">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14:paraId="0D9A8CB1">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0D1B7689">
      <w:pPr>
        <w:tabs>
          <w:tab w:val="left" w:pos="1080"/>
        </w:tabs>
        <w:autoSpaceDE w:val="0"/>
        <w:autoSpaceDN w:val="0"/>
        <w:adjustRightInd w:val="0"/>
        <w:spacing w:line="360" w:lineRule="auto"/>
        <w:jc w:val="left"/>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701" w:name="_Toc142508390"/>
      <w:bookmarkStart w:id="702" w:name="_Toc25469"/>
      <w:bookmarkStart w:id="703" w:name="_Toc28845"/>
      <w:bookmarkStart w:id="704" w:name="_Toc30963"/>
      <w:bookmarkStart w:id="705" w:name="_Toc522047402"/>
      <w:bookmarkStart w:id="706" w:name="_Toc22601_WPSOffice_Level1"/>
      <w:bookmarkStart w:id="707" w:name="_Toc521918141"/>
      <w:r>
        <w:rPr>
          <w:rFonts w:hint="eastAsia" w:ascii="宋体" w:hAnsi="宋体" w:eastAsia="宋体" w:cs="宋体"/>
          <w:b/>
          <w:bCs/>
          <w:color w:val="000000" w:themeColor="text1"/>
          <w:kern w:val="44"/>
          <w:sz w:val="32"/>
          <w:szCs w:val="32"/>
          <w:highlight w:val="none"/>
          <w:lang w:val="zh-CN"/>
          <w14:textFill>
            <w14:solidFill>
              <w14:schemeClr w14:val="tx1"/>
            </w14:solidFill>
          </w14:textFill>
        </w:rPr>
        <w:t>附件一：评标工作大纲</w:t>
      </w:r>
      <w:bookmarkEnd w:id="701"/>
      <w:bookmarkEnd w:id="702"/>
      <w:bookmarkEnd w:id="703"/>
      <w:bookmarkEnd w:id="704"/>
    </w:p>
    <w:p w14:paraId="54BAE322">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35657FF2">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0894E6F2">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6D36BFEF">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7CDAF4FF">
      <w:pPr>
        <w:autoSpaceDE w:val="0"/>
        <w:autoSpaceDN w:val="0"/>
        <w:adjustRightInd w:val="0"/>
        <w:spacing w:line="360" w:lineRule="auto"/>
        <w:jc w:val="center"/>
        <w:rPr>
          <w:rFonts w:hint="eastAsia" w:ascii="宋体" w:hAnsi="宋体" w:eastAsia="宋体" w:cs="宋体"/>
          <w:b/>
          <w:bCs/>
          <w:color w:val="000000" w:themeColor="text1"/>
          <w:sz w:val="36"/>
          <w:szCs w:val="44"/>
          <w:highlight w:val="none"/>
          <w:lang w:eastAsia="zh-CN"/>
          <w14:textFill>
            <w14:solidFill>
              <w14:schemeClr w14:val="tx1"/>
            </w14:solidFill>
          </w14:textFill>
        </w:rPr>
      </w:pPr>
      <w:r>
        <w:rPr>
          <w:rFonts w:hint="eastAsia" w:ascii="宋体" w:hAnsi="宋体" w:eastAsia="宋体" w:cs="宋体"/>
          <w:b/>
          <w:bCs/>
          <w:color w:val="000000" w:themeColor="text1"/>
          <w:sz w:val="40"/>
          <w:szCs w:val="36"/>
          <w:highlight w:val="none"/>
          <w:lang w:eastAsia="zh-CN"/>
          <w14:textFill>
            <w14:solidFill>
              <w14:schemeClr w14:val="tx1"/>
            </w14:solidFill>
          </w14:textFill>
        </w:rPr>
        <w:t>东莞市水务环境投资控股集团净水有限公司2026年五金材料及工器具物资采购项目</w:t>
      </w:r>
    </w:p>
    <w:p w14:paraId="265A5EBC">
      <w:pPr>
        <w:autoSpaceDE w:val="0"/>
        <w:autoSpaceDN w:val="0"/>
        <w:adjustRightInd w:val="0"/>
        <w:spacing w:line="360" w:lineRule="auto"/>
        <w:jc w:val="center"/>
        <w:rPr>
          <w:rFonts w:ascii="宋体" w:hAnsi="宋体" w:eastAsia="宋体" w:cs="宋体"/>
          <w:b/>
          <w:bCs/>
          <w:color w:val="000000" w:themeColor="text1"/>
          <w:sz w:val="36"/>
          <w:szCs w:val="36"/>
          <w:highlight w:val="none"/>
          <w14:textFill>
            <w14:solidFill>
              <w14:schemeClr w14:val="tx1"/>
            </w14:solidFill>
          </w14:textFill>
        </w:rPr>
      </w:pPr>
      <w:bookmarkStart w:id="708" w:name="_Toc14752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（招标编号：广建咨询（东招）2025-0122号）</w:t>
      </w:r>
      <w:bookmarkEnd w:id="708"/>
    </w:p>
    <w:p w14:paraId="74E96054">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47F152D6">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58C7641">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4D42C5A2">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44A075FE">
      <w:pPr>
        <w:autoSpaceDE w:val="0"/>
        <w:autoSpaceDN w:val="0"/>
        <w:adjustRightInd w:val="0"/>
        <w:spacing w:line="400" w:lineRule="atLeast"/>
        <w:jc w:val="center"/>
        <w:rPr>
          <w:rFonts w:ascii="宋体" w:hAnsi="宋体" w:eastAsia="宋体" w:cs="宋体"/>
          <w:b/>
          <w:bCs/>
          <w:color w:val="000000" w:themeColor="text1"/>
          <w:sz w:val="72"/>
          <w:szCs w:val="72"/>
          <w:highlight w:val="none"/>
          <w:lang w:val="zh-CN"/>
          <w14:textFill>
            <w14:solidFill>
              <w14:schemeClr w14:val="tx1"/>
            </w14:solidFill>
          </w14:textFill>
        </w:rPr>
      </w:pPr>
      <w:bookmarkStart w:id="709" w:name="_Toc18947_WPSOffice_Level2"/>
      <w:r>
        <w:rPr>
          <w:rFonts w:hint="eastAsia" w:ascii="宋体" w:hAnsi="宋体" w:eastAsia="宋体" w:cs="宋体"/>
          <w:b/>
          <w:bCs/>
          <w:color w:val="000000" w:themeColor="text1"/>
          <w:sz w:val="72"/>
          <w:szCs w:val="72"/>
          <w:highlight w:val="none"/>
          <w:lang w:val="zh-CN"/>
          <w14:textFill>
            <w14:solidFill>
              <w14:schemeClr w14:val="tx1"/>
            </w14:solidFill>
          </w14:textFill>
        </w:rPr>
        <w:t>评标工作大纲</w:t>
      </w:r>
      <w:bookmarkEnd w:id="709"/>
    </w:p>
    <w:p w14:paraId="25231F0C">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2DEC5A3F">
      <w:pPr>
        <w:autoSpaceDE w:val="0"/>
        <w:autoSpaceDN w:val="0"/>
        <w:adjustRightInd w:val="0"/>
        <w:spacing w:line="400" w:lineRule="atLeast"/>
        <w:rPr>
          <w:rFonts w:ascii="宋体" w:hAnsi="宋体" w:eastAsia="宋体" w:cs="宋体"/>
          <w:b/>
          <w:bCs/>
          <w:color w:val="000000" w:themeColor="text1"/>
          <w:sz w:val="36"/>
          <w:szCs w:val="36"/>
          <w:highlight w:val="none"/>
          <w14:textFill>
            <w14:solidFill>
              <w14:schemeClr w14:val="tx1"/>
            </w14:solidFill>
          </w14:textFill>
        </w:rPr>
      </w:pPr>
    </w:p>
    <w:p w14:paraId="709C0AEE">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D702245">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5F2BDB58">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7A4C8BC8">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建成工程咨询股份有限公司</w:t>
      </w:r>
    </w:p>
    <w:p w14:paraId="7A9D520F">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7C17DB13">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br w:type="page"/>
      </w:r>
      <w:bookmarkStart w:id="710" w:name="_Toc32395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目录</w:t>
      </w:r>
      <w:bookmarkEnd w:id="710"/>
    </w:p>
    <w:p w14:paraId="0A086F58">
      <w:pPr>
        <w:autoSpaceDE w:val="0"/>
        <w:autoSpaceDN w:val="0"/>
        <w:adjustRightInd w:val="0"/>
        <w:spacing w:line="400" w:lineRule="atLeast"/>
        <w:jc w:val="center"/>
        <w:rPr>
          <w:rFonts w:ascii="宋体" w:hAnsi="宋体" w:eastAsia="宋体" w:cs="宋体"/>
          <w:color w:val="000000" w:themeColor="text1"/>
          <w:sz w:val="44"/>
          <w:szCs w:val="44"/>
          <w:highlight w:val="none"/>
          <w14:textFill>
            <w14:solidFill>
              <w14:schemeClr w14:val="tx1"/>
            </w14:solidFill>
          </w14:textFill>
        </w:rPr>
      </w:pPr>
    </w:p>
    <w:p w14:paraId="041AB06C">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11" w:name="_Toc21604_WPSOffice_Level1"/>
      <w:r>
        <w:rPr>
          <w:rFonts w:hint="eastAsia" w:ascii="宋体" w:hAnsi="宋体" w:eastAsia="宋体" w:cs="宋体"/>
          <w:color w:val="000000" w:themeColor="text1"/>
          <w:szCs w:val="30"/>
          <w:highlight w:val="none"/>
          <w:lang w:val="zh-CN"/>
          <w14:textFill>
            <w14:solidFill>
              <w14:schemeClr w14:val="tx1"/>
            </w14:solidFill>
          </w14:textFill>
        </w:rPr>
        <w:t>一、</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总则</w:t>
      </w:r>
      <w:bookmarkEnd w:id="711"/>
    </w:p>
    <w:p w14:paraId="3D62D8D7">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12" w:name="_Toc1387_WPSOffice_Level1"/>
      <w:r>
        <w:rPr>
          <w:rFonts w:hint="eastAsia" w:ascii="宋体" w:hAnsi="宋体" w:eastAsia="宋体" w:cs="宋体"/>
          <w:color w:val="000000" w:themeColor="text1"/>
          <w:szCs w:val="30"/>
          <w:highlight w:val="none"/>
          <w:lang w:val="zh-CN"/>
          <w14:textFill>
            <w14:solidFill>
              <w14:schemeClr w14:val="tx1"/>
            </w14:solidFill>
          </w14:textFill>
        </w:rPr>
        <w:t>二、</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投标文件的初审</w:t>
      </w:r>
      <w:bookmarkEnd w:id="712"/>
    </w:p>
    <w:p w14:paraId="28F59633">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13" w:name="_Toc30284_WPSOffice_Level1"/>
      <w:r>
        <w:rPr>
          <w:rFonts w:hint="eastAsia" w:ascii="宋体" w:hAnsi="宋体" w:eastAsia="宋体" w:cs="宋体"/>
          <w:color w:val="000000" w:themeColor="text1"/>
          <w:szCs w:val="30"/>
          <w:highlight w:val="none"/>
          <w:lang w:val="zh-CN"/>
          <w14:textFill>
            <w14:solidFill>
              <w14:schemeClr w14:val="tx1"/>
            </w14:solidFill>
          </w14:textFill>
        </w:rPr>
        <w:t>三、</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澄清有关问题</w:t>
      </w:r>
      <w:bookmarkEnd w:id="713"/>
    </w:p>
    <w:p w14:paraId="378B66FE">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14" w:name="_Toc1206_WPSOffice_Level1"/>
      <w:r>
        <w:rPr>
          <w:rFonts w:hint="eastAsia" w:ascii="宋体" w:hAnsi="宋体" w:eastAsia="宋体" w:cs="宋体"/>
          <w:color w:val="000000" w:themeColor="text1"/>
          <w:szCs w:val="30"/>
          <w:highlight w:val="none"/>
          <w14:textFill>
            <w14:solidFill>
              <w14:schemeClr w14:val="tx1"/>
            </w14:solidFill>
          </w14:textFill>
        </w:rPr>
        <w:t>四、 比较和评价</w:t>
      </w:r>
      <w:bookmarkEnd w:id="714"/>
    </w:p>
    <w:p w14:paraId="273E5F4D">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15" w:name="_Toc12163_WPSOffice_Level1"/>
      <w:r>
        <w:rPr>
          <w:rFonts w:hint="eastAsia" w:ascii="宋体" w:hAnsi="宋体" w:eastAsia="宋体" w:cs="宋体"/>
          <w:color w:val="000000" w:themeColor="text1"/>
          <w:szCs w:val="30"/>
          <w:highlight w:val="none"/>
          <w:lang w:val="zh-CN"/>
          <w14:textFill>
            <w14:solidFill>
              <w14:schemeClr w14:val="tx1"/>
            </w14:solidFill>
          </w14:textFill>
        </w:rPr>
        <w:t>五、</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推荐中标候选人名单</w:t>
      </w:r>
      <w:bookmarkEnd w:id="715"/>
    </w:p>
    <w:p w14:paraId="2E1FA079">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16" w:name="_Toc366_WPSOffice_Level1"/>
      <w:r>
        <w:rPr>
          <w:rFonts w:hint="eastAsia" w:ascii="宋体" w:hAnsi="宋体" w:eastAsia="宋体" w:cs="宋体"/>
          <w:color w:val="000000" w:themeColor="text1"/>
          <w:szCs w:val="30"/>
          <w:highlight w:val="none"/>
          <w:lang w:val="zh-CN"/>
          <w14:textFill>
            <w14:solidFill>
              <w14:schemeClr w14:val="tx1"/>
            </w14:solidFill>
          </w14:textFill>
        </w:rPr>
        <w:t>六、</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编写评标报告</w:t>
      </w:r>
      <w:bookmarkEnd w:id="716"/>
    </w:p>
    <w:p w14:paraId="11F454BB">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17" w:name="_Toc22378_WPSOffice_Level1"/>
      <w:r>
        <w:rPr>
          <w:rFonts w:hint="eastAsia" w:ascii="宋体" w:hAnsi="宋体" w:eastAsia="宋体" w:cs="宋体"/>
          <w:color w:val="000000" w:themeColor="text1"/>
          <w:szCs w:val="30"/>
          <w:highlight w:val="none"/>
          <w:lang w:val="zh-CN"/>
          <w14:textFill>
            <w14:solidFill>
              <w14:schemeClr w14:val="tx1"/>
            </w14:solidFill>
          </w14:textFill>
        </w:rPr>
        <w:t>七、</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注意事项</w:t>
      </w:r>
      <w:bookmarkEnd w:id="717"/>
    </w:p>
    <w:p w14:paraId="1E9125DB">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50A3E089">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2973784A">
      <w:pPr>
        <w:tabs>
          <w:tab w:val="left" w:pos="1080"/>
          <w:tab w:val="right" w:pos="7320"/>
        </w:tabs>
        <w:autoSpaceDE w:val="0"/>
        <w:autoSpaceDN w:val="0"/>
        <w:adjustRightInd w:val="0"/>
        <w:spacing w:line="400" w:lineRule="atLeast"/>
        <w:ind w:left="720" w:hanging="720"/>
        <w:rPr>
          <w:rFonts w:ascii="宋体" w:hAnsi="宋体" w:eastAsia="宋体" w:cs="宋体"/>
          <w:color w:val="000000" w:themeColor="text1"/>
          <w:szCs w:val="30"/>
          <w:highlight w:val="none"/>
          <w14:textFill>
            <w14:solidFill>
              <w14:schemeClr w14:val="tx1"/>
            </w14:solidFill>
          </w14:textFill>
        </w:rPr>
      </w:pPr>
    </w:p>
    <w:p w14:paraId="7921B59C">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bookmarkStart w:id="718" w:name="_Toc27181_WPSOffice_Level1"/>
      <w:r>
        <w:rPr>
          <w:rFonts w:hint="eastAsia" w:ascii="宋体" w:hAnsi="宋体" w:eastAsia="宋体" w:cs="宋体"/>
          <w:color w:val="000000" w:themeColor="text1"/>
          <w:sz w:val="28"/>
          <w:szCs w:val="28"/>
          <w:highlight w:val="none"/>
          <w:lang w:val="zh-CN"/>
          <w14:textFill>
            <w14:solidFill>
              <w14:schemeClr w14:val="tx1"/>
            </w14:solidFill>
          </w14:textFill>
        </w:rPr>
        <w:t>一、</w:t>
      </w:r>
      <w:r>
        <w:rPr>
          <w:rFonts w:hint="eastAsia" w:ascii="宋体" w:hAnsi="宋体" w:eastAsia="宋体" w:cs="宋体"/>
          <w:b/>
          <w:bCs/>
          <w:color w:val="000000" w:themeColor="text1"/>
          <w:sz w:val="28"/>
          <w:szCs w:val="28"/>
          <w:highlight w:val="none"/>
          <w:lang w:val="zh-CN"/>
          <w14:textFill>
            <w14:solidFill>
              <w14:schemeClr w14:val="tx1"/>
            </w14:solidFill>
          </w14:textFill>
        </w:rPr>
        <w:t>总则</w:t>
      </w:r>
      <w:bookmarkEnd w:id="718"/>
    </w:p>
    <w:p w14:paraId="09B6F70D">
      <w:pPr>
        <w:tabs>
          <w:tab w:val="left" w:pos="567"/>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1、一般规定</w:t>
      </w:r>
    </w:p>
    <w:p w14:paraId="0952E8C1">
      <w:pPr>
        <w:autoSpaceDE w:val="0"/>
        <w:autoSpaceDN w:val="0"/>
        <w:adjustRightInd w:val="0"/>
        <w:spacing w:line="360" w:lineRule="auto"/>
        <w:ind w:left="567" w:hanging="567"/>
        <w:rPr>
          <w:rFonts w:ascii="宋体" w:hAnsi="宋体" w:eastAsia="宋体" w:cs="宋体"/>
          <w:color w:val="000000" w:themeColor="text1"/>
          <w:kern w:val="0"/>
          <w:szCs w:val="32"/>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eastAsia="zh-CN"/>
          <w14:textFill>
            <w14:solidFill>
              <w14:schemeClr w14:val="tx1"/>
            </w14:solidFill>
          </w14:textFill>
        </w:rPr>
        <w:t>东莞市水务环境投资控股集团净水有限公司2026年五金材料及工器具物资采购项目</w:t>
      </w:r>
      <w:r>
        <w:rPr>
          <w:rFonts w:hint="eastAsia" w:ascii="宋体" w:hAnsi="宋体" w:eastAsia="宋体" w:cs="宋体"/>
          <w:color w:val="000000" w:themeColor="text1"/>
          <w:szCs w:val="21"/>
          <w:highlight w:val="none"/>
          <w:lang w:val="zh-CN"/>
          <w14:textFill>
            <w14:solidFill>
              <w14:schemeClr w14:val="tx1"/>
            </w14:solidFill>
          </w14:textFill>
        </w:rPr>
        <w:t>(招标编号：广建咨询（东招）2025-0122号</w:t>
      </w:r>
      <w:r>
        <w:rPr>
          <w:rFonts w:hint="eastAsia" w:ascii="宋体" w:hAnsi="宋体" w:eastAsia="宋体" w:cs="宋体"/>
          <w:color w:val="000000" w:themeColor="text1"/>
          <w:kern w:val="0"/>
          <w:szCs w:val="32"/>
          <w:highlight w:val="none"/>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招标</w:t>
      </w:r>
      <w:r>
        <w:rPr>
          <w:rFonts w:hint="eastAsia" w:ascii="宋体" w:hAnsi="宋体" w:eastAsia="宋体" w:cs="宋体"/>
          <w:color w:val="000000" w:themeColor="text1"/>
          <w:kern w:val="0"/>
          <w:szCs w:val="32"/>
          <w:highlight w:val="none"/>
          <w14:textFill>
            <w14:solidFill>
              <w14:schemeClr w14:val="tx1"/>
            </w14:solidFill>
          </w14:textFill>
        </w:rPr>
        <w:t>按照《中华人民共和国招标投标法》等有关规定进行。</w:t>
      </w:r>
    </w:p>
    <w:p w14:paraId="32DB141B">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评标必须遵循公平、公正、诚实信用的原则。</w:t>
      </w:r>
    </w:p>
    <w:p w14:paraId="7752AB95">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招标代理机构</w:t>
      </w:r>
      <w:r>
        <w:rPr>
          <w:rFonts w:hint="eastAsia" w:ascii="宋体" w:hAnsi="宋体" w:eastAsia="宋体" w:cs="宋体"/>
          <w:color w:val="000000" w:themeColor="text1"/>
          <w:kern w:val="0"/>
          <w:szCs w:val="32"/>
          <w:highlight w:val="none"/>
          <w14:textFill>
            <w14:solidFill>
              <w14:schemeClr w14:val="tx1"/>
            </w14:solidFill>
          </w14:textFill>
        </w:rPr>
        <w:t>(</w:t>
      </w:r>
      <w:r>
        <w:rPr>
          <w:rFonts w:hint="eastAsia" w:ascii="宋体" w:hAnsi="宋体" w:eastAsia="宋体" w:cs="宋体"/>
          <w:color w:val="000000" w:themeColor="text1"/>
          <w:kern w:val="0"/>
          <w:szCs w:val="32"/>
          <w:highlight w:val="none"/>
          <w:lang w:eastAsia="zh-CN"/>
          <w14:textFill>
            <w14:solidFill>
              <w14:schemeClr w14:val="tx1"/>
            </w14:solidFill>
          </w14:textFill>
        </w:rPr>
        <w:t>建成工程咨询股份有限公司</w:t>
      </w:r>
      <w:r>
        <w:rPr>
          <w:rFonts w:hint="eastAsia" w:ascii="宋体" w:hAnsi="宋体" w:eastAsia="宋体" w:cs="宋体"/>
          <w:color w:val="000000" w:themeColor="text1"/>
          <w:kern w:val="0"/>
          <w:szCs w:val="32"/>
          <w:highlight w:val="none"/>
          <w14:textFill>
            <w14:solidFill>
              <w14:schemeClr w14:val="tx1"/>
            </w14:solidFill>
          </w14:textFill>
        </w:rPr>
        <w:t>）组</w:t>
      </w:r>
      <w:r>
        <w:rPr>
          <w:rFonts w:hint="eastAsia" w:ascii="宋体" w:hAnsi="宋体" w:eastAsia="宋体" w:cs="宋体"/>
          <w:color w:val="000000" w:themeColor="text1"/>
          <w:szCs w:val="24"/>
          <w:highlight w:val="none"/>
          <w:lang w:val="zh-CN"/>
          <w14:textFill>
            <w14:solidFill>
              <w14:schemeClr w14:val="tx1"/>
            </w14:solidFill>
          </w14:textFill>
        </w:rPr>
        <w:t>织评标工作，全过程接受招标人及相关部门的监督、管理和指导。</w:t>
      </w:r>
    </w:p>
    <w:p w14:paraId="15A12E8C">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评标按照招标文件规定的内容进行，采取综合评分</w:t>
      </w:r>
      <w:r>
        <w:rPr>
          <w:rFonts w:hint="eastAsia" w:ascii="宋体" w:hAnsi="宋体" w:eastAsia="宋体" w:cs="宋体"/>
          <w:color w:val="000000" w:themeColor="text1"/>
          <w:szCs w:val="21"/>
          <w:highlight w:val="none"/>
          <w14:textFill>
            <w14:solidFill>
              <w14:schemeClr w14:val="tx1"/>
            </w14:solidFill>
          </w14:textFill>
        </w:rPr>
        <w:t>法进行评审</w:t>
      </w:r>
      <w:r>
        <w:rPr>
          <w:rFonts w:hint="eastAsia" w:ascii="宋体" w:hAnsi="宋体" w:eastAsia="宋体" w:cs="宋体"/>
          <w:color w:val="000000" w:themeColor="text1"/>
          <w:szCs w:val="24"/>
          <w:highlight w:val="none"/>
          <w:lang w:val="zh-CN"/>
          <w14:textFill>
            <w14:solidFill>
              <w14:schemeClr w14:val="tx1"/>
            </w14:solidFill>
          </w14:textFill>
        </w:rPr>
        <w:t>。</w:t>
      </w:r>
    </w:p>
    <w:p w14:paraId="33AF3626">
      <w:pPr>
        <w:numPr>
          <w:ilvl w:val="1"/>
          <w:numId w:val="3"/>
        </w:numPr>
        <w:autoSpaceDE w:val="0"/>
        <w:autoSpaceDN w:val="0"/>
        <w:adjustRightInd w:val="0"/>
        <w:spacing w:line="360" w:lineRule="auto"/>
        <w:ind w:left="565" w:hanging="564" w:hangingChars="269"/>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本办法的评审对象是指投标人按照招标文件要求提供的有效投标文件，包括投标人应评标委员会要求对原投标文件作出的正式书面澄清文件。</w:t>
      </w:r>
    </w:p>
    <w:p w14:paraId="2ED71F63">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29FBC068">
      <w:pPr>
        <w:tabs>
          <w:tab w:val="left" w:pos="360"/>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2、</w:t>
      </w:r>
      <w:r>
        <w:rPr>
          <w:rFonts w:hint="eastAsia" w:ascii="宋体" w:hAnsi="宋体" w:eastAsia="宋体" w:cs="宋体"/>
          <w:b/>
          <w:bCs/>
          <w:color w:val="000000" w:themeColor="text1"/>
          <w:szCs w:val="24"/>
          <w:highlight w:val="none"/>
          <w:lang w:val="zh-CN"/>
          <w14:textFill>
            <w14:solidFill>
              <w14:schemeClr w14:val="tx1"/>
            </w14:solidFill>
          </w14:textFill>
        </w:rPr>
        <w:tab/>
      </w:r>
      <w:r>
        <w:rPr>
          <w:rFonts w:hint="eastAsia" w:ascii="宋体" w:hAnsi="宋体" w:eastAsia="宋体" w:cs="宋体"/>
          <w:b/>
          <w:bCs/>
          <w:color w:val="000000" w:themeColor="text1"/>
          <w:szCs w:val="24"/>
          <w:highlight w:val="none"/>
          <w:lang w:val="zh-CN"/>
          <w14:textFill>
            <w14:solidFill>
              <w14:schemeClr w14:val="tx1"/>
            </w14:solidFill>
          </w14:textFill>
        </w:rPr>
        <w:t>评标组织机构的组成</w:t>
      </w:r>
    </w:p>
    <w:p w14:paraId="1600B227">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2.1</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4"/>
          <w:highlight w:val="none"/>
          <w14:textFill>
            <w14:solidFill>
              <w14:schemeClr w14:val="tx1"/>
            </w14:solidFill>
          </w14:textFill>
        </w:rPr>
        <w:t>由招标人和技术、经济等方面的专家组成，成员为</w:t>
      </w:r>
      <w:r>
        <w:rPr>
          <w:rFonts w:ascii="宋体" w:hAnsi="宋体" w:eastAsia="宋体" w:cs="宋体"/>
          <w:b/>
          <w:bCs/>
          <w:color w:val="000000" w:themeColor="text1"/>
          <w:kern w:val="0"/>
          <w:szCs w:val="24"/>
          <w:highlight w:val="none"/>
          <w14:textFill>
            <w14:solidFill>
              <w14:schemeClr w14:val="tx1"/>
            </w14:solidFill>
          </w14:textFill>
        </w:rPr>
        <w:t>5人以上（含5人）单数</w:t>
      </w:r>
      <w:r>
        <w:rPr>
          <w:rFonts w:hint="eastAsia" w:ascii="宋体" w:hAnsi="宋体" w:eastAsia="宋体" w:cs="宋体"/>
          <w:color w:val="000000" w:themeColor="text1"/>
          <w:kern w:val="0"/>
          <w:szCs w:val="24"/>
          <w:highlight w:val="none"/>
          <w14:textFill>
            <w14:solidFill>
              <w14:schemeClr w14:val="tx1"/>
            </w14:solidFill>
          </w14:textFill>
        </w:rPr>
        <w:t>，其中技术、经济等方面的专家不少于成员总数的三分之二。</w:t>
      </w:r>
      <w:r>
        <w:rPr>
          <w:rFonts w:hint="eastAsia" w:ascii="宋体" w:hAnsi="宋体" w:eastAsia="宋体" w:cs="宋体"/>
          <w:color w:val="000000" w:themeColor="text1"/>
          <w:szCs w:val="24"/>
          <w:highlight w:val="none"/>
          <w:lang w:val="zh-CN"/>
          <w14:textFill>
            <w14:solidFill>
              <w14:schemeClr w14:val="tx1"/>
            </w14:solidFill>
          </w14:textFill>
        </w:rPr>
        <w:t>专家依法从</w:t>
      </w:r>
      <w:r>
        <w:rPr>
          <w:rFonts w:hint="eastAsia" w:ascii="宋体" w:hAnsi="宋体" w:eastAsia="宋体" w:cs="宋体"/>
          <w:color w:val="000000" w:themeColor="text1"/>
          <w:kern w:val="0"/>
          <w:szCs w:val="24"/>
          <w:highlight w:val="none"/>
          <w14:textFill>
            <w14:solidFill>
              <w14:schemeClr w14:val="tx1"/>
            </w14:solidFill>
          </w14:textFill>
        </w:rPr>
        <w:t>专家库中随机抽取产生。</w:t>
      </w:r>
    </w:p>
    <w:p w14:paraId="451D7830">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评标工作组由招标人、招标代理机构及有关专家组成，由评标委员会确认，并接受其领导。</w:t>
      </w:r>
    </w:p>
    <w:p w14:paraId="685B30DE">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评标工作组分成评标委员会、秘书组。</w:t>
      </w:r>
    </w:p>
    <w:p w14:paraId="2988C4FD">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评标委员会应相对独立工作，负责评审、撰写评标报告。招标代理机构秘书组负责评标过程中资料的保管、发放及回收，协调技术和评标委员会评标工作的进展和整理、汇总评标资料及复核。</w:t>
      </w:r>
    </w:p>
    <w:p w14:paraId="6C419910">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7466490F">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评标</w:t>
      </w:r>
      <w:r>
        <w:rPr>
          <w:rFonts w:hint="eastAsia" w:ascii="宋体" w:hAnsi="宋体" w:eastAsia="宋体" w:cs="宋体"/>
          <w:b/>
          <w:bCs/>
          <w:color w:val="000000" w:themeColor="text1"/>
          <w:szCs w:val="24"/>
          <w:highlight w:val="none"/>
          <w:lang w:val="zh-CN"/>
          <w14:textFill>
            <w14:solidFill>
              <w14:schemeClr w14:val="tx1"/>
            </w14:solidFill>
          </w14:textFill>
        </w:rPr>
        <w:t>委员会职责</w:t>
      </w:r>
    </w:p>
    <w:p w14:paraId="541CBD7F">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3.1  审查投标文件是否符合招标文件要求，并作出评价；</w:t>
      </w:r>
    </w:p>
    <w:p w14:paraId="05D65489">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3.2  要求投标人对投标文件有关事项作出解释或者澄清；</w:t>
      </w:r>
    </w:p>
    <w:p w14:paraId="6377D498">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3.3</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推荐中标候选人名单及排序；</w:t>
      </w:r>
    </w:p>
    <w:p w14:paraId="0D2D421B">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3.4</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向招标人、招标代理机构或者有关部门报告非法干预评标工作的行为。</w:t>
      </w:r>
    </w:p>
    <w:p w14:paraId="4CB23A09">
      <w:pPr>
        <w:autoSpaceDE w:val="0"/>
        <w:autoSpaceDN w:val="0"/>
        <w:adjustRightInd w:val="0"/>
        <w:spacing w:line="360" w:lineRule="auto"/>
        <w:jc w:val="left"/>
        <w:rPr>
          <w:rFonts w:ascii="宋体" w:hAnsi="宋体" w:eastAsia="宋体" w:cs="宋体"/>
          <w:color w:val="000000" w:themeColor="text1"/>
          <w:kern w:val="0"/>
          <w:sz w:val="24"/>
          <w:szCs w:val="24"/>
          <w:highlight w:val="none"/>
          <w:lang w:val="zh-CN"/>
          <w14:textFill>
            <w14:solidFill>
              <w14:schemeClr w14:val="tx1"/>
            </w14:solidFill>
          </w14:textFill>
        </w:rPr>
      </w:pPr>
    </w:p>
    <w:p w14:paraId="299441D8">
      <w:pPr>
        <w:tabs>
          <w:tab w:val="left" w:pos="720"/>
        </w:tabs>
        <w:autoSpaceDE w:val="0"/>
        <w:autoSpaceDN w:val="0"/>
        <w:adjustRightInd w:val="0"/>
        <w:spacing w:line="360" w:lineRule="auto"/>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4、评标委员会义务</w:t>
      </w:r>
    </w:p>
    <w:p w14:paraId="1AD267B9">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4.1  遵纪守法，客观、公正、廉洁地履行职责；</w:t>
      </w:r>
    </w:p>
    <w:p w14:paraId="3E47E24D">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4.2  按照招标文件规定的评标方法和评标标准进行评审，对评审意见承担个人责任；</w:t>
      </w:r>
    </w:p>
    <w:p w14:paraId="786CA975">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4.3  对评标过程和结果，以及投标人的商业秘密保密；</w:t>
      </w:r>
    </w:p>
    <w:p w14:paraId="0DCED8BD">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4.4  参与评标报告的起草；</w:t>
      </w:r>
    </w:p>
    <w:p w14:paraId="6339BC2C">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4.5  配合有关部门的投诉处理工作；</w:t>
      </w:r>
    </w:p>
    <w:p w14:paraId="165CB756">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4.6  配合招标人、招标代理机构答复投标人提出的质疑、异议。</w:t>
      </w:r>
    </w:p>
    <w:p w14:paraId="1EF8D912">
      <w:pPr>
        <w:tabs>
          <w:tab w:val="left" w:pos="720"/>
        </w:tabs>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6BA28FFB">
      <w:pPr>
        <w:tabs>
          <w:tab w:val="left" w:pos="1547"/>
        </w:tabs>
        <w:autoSpaceDE w:val="0"/>
        <w:autoSpaceDN w:val="0"/>
        <w:adjustRightInd w:val="0"/>
        <w:spacing w:line="360" w:lineRule="auto"/>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5、评审程序</w:t>
      </w:r>
    </w:p>
    <w:p w14:paraId="1607C3EB">
      <w:pPr>
        <w:autoSpaceDE w:val="0"/>
        <w:autoSpaceDN w:val="0"/>
        <w:adjustRightInd w:val="0"/>
        <w:spacing w:line="360" w:lineRule="auto"/>
        <w:ind w:left="567" w:hanging="567"/>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Times New Roman"/>
          <w:b/>
          <w:color w:val="000000" w:themeColor="text1"/>
          <w:szCs w:val="24"/>
          <w:highlight w:val="none"/>
          <w:lang w:val="zh-CN"/>
          <w14:textFill>
            <w14:solidFill>
              <w14:schemeClr w14:val="tx1"/>
            </w14:solidFill>
          </w14:textFill>
        </w:rPr>
        <w:t>公开招标：</w:t>
      </w:r>
    </w:p>
    <w:p w14:paraId="46BF2A4B">
      <w:pPr>
        <w:autoSpaceDE w:val="0"/>
        <w:autoSpaceDN w:val="0"/>
        <w:adjustRightInd w:val="0"/>
        <w:spacing w:line="360" w:lineRule="auto"/>
        <w:ind w:left="567" w:hanging="567"/>
        <w:rPr>
          <w:rFonts w:ascii="宋体" w:hAnsi="宋体" w:eastAsia="宋体" w:cs="Times New Roman"/>
          <w:bCs/>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评审首先由评标委员会对投标人的</w:t>
      </w:r>
      <w:r>
        <w:rPr>
          <w:rFonts w:hint="eastAsia" w:ascii="宋体" w:hAnsi="宋体" w:eastAsia="宋体" w:cs="Times New Roman"/>
          <w:color w:val="000000" w:themeColor="text1"/>
          <w:szCs w:val="24"/>
          <w:highlight w:val="none"/>
          <w:lang w:val="zh-CN"/>
          <w14:textFill>
            <w14:solidFill>
              <w14:schemeClr w14:val="tx1"/>
            </w14:solidFill>
          </w14:textFill>
        </w:rPr>
        <w:t>投标</w:t>
      </w:r>
      <w:r>
        <w:rPr>
          <w:rFonts w:hint="eastAsia" w:ascii="宋体" w:hAnsi="宋体" w:eastAsia="宋体" w:cs="Times New Roman"/>
          <w:bCs/>
          <w:color w:val="000000" w:themeColor="text1"/>
          <w:szCs w:val="24"/>
          <w:highlight w:val="none"/>
          <w:lang w:val="zh-CN"/>
          <w14:textFill>
            <w14:solidFill>
              <w14:schemeClr w14:val="tx1"/>
            </w14:solidFill>
          </w14:textFill>
        </w:rPr>
        <w:t>文件做初审，对未能通过初审的投标文件不再进入下一阶段评审。</w:t>
      </w:r>
    </w:p>
    <w:p w14:paraId="4AFD05E2">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2</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评标</w:t>
      </w:r>
      <w:r>
        <w:rPr>
          <w:rFonts w:hint="eastAsia" w:ascii="宋体" w:hAnsi="宋体" w:eastAsia="宋体" w:cs="Arial"/>
          <w:color w:val="000000" w:themeColor="text1"/>
          <w:szCs w:val="24"/>
          <w:highlight w:val="none"/>
          <w:lang w:val="zh-CN"/>
          <w14:textFill>
            <w14:solidFill>
              <w14:schemeClr w14:val="tx1"/>
            </w14:solidFill>
          </w14:textFill>
        </w:rPr>
        <w:t>委员会</w:t>
      </w:r>
      <w:r>
        <w:rPr>
          <w:rFonts w:hint="eastAsia" w:ascii="宋体" w:hAnsi="宋体" w:eastAsia="宋体" w:cs="Times New Roman"/>
          <w:color w:val="000000" w:themeColor="text1"/>
          <w:szCs w:val="24"/>
          <w:highlight w:val="none"/>
          <w:lang w:val="zh-CN"/>
          <w14:textFill>
            <w14:solidFill>
              <w14:schemeClr w14:val="tx1"/>
            </w14:solidFill>
          </w14:textFill>
        </w:rPr>
        <w:t>对</w:t>
      </w:r>
      <w:r>
        <w:rPr>
          <w:rFonts w:hint="eastAsia" w:ascii="宋体" w:hAnsi="宋体" w:eastAsia="宋体" w:cs="Arial"/>
          <w:color w:val="000000" w:themeColor="text1"/>
          <w:szCs w:val="24"/>
          <w:highlight w:val="none"/>
          <w:lang w:val="zh-CN"/>
          <w14:textFill>
            <w14:solidFill>
              <w14:schemeClr w14:val="tx1"/>
            </w14:solidFill>
          </w14:textFill>
        </w:rPr>
        <w:t>通过初审的</w:t>
      </w:r>
      <w:r>
        <w:rPr>
          <w:rFonts w:hint="eastAsia" w:ascii="宋体" w:hAnsi="宋体" w:eastAsia="宋体" w:cs="Times New Roman"/>
          <w:color w:val="000000" w:themeColor="text1"/>
          <w:szCs w:val="24"/>
          <w:highlight w:val="none"/>
          <w:lang w:val="zh-CN"/>
          <w14:textFill>
            <w14:solidFill>
              <w14:schemeClr w14:val="tx1"/>
            </w14:solidFill>
          </w14:textFill>
        </w:rPr>
        <w:t>投标人的投标文件进行详细的比较和评价。如需要，进行必要的澄清工作。</w:t>
      </w:r>
    </w:p>
    <w:p w14:paraId="799C86E6">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3  依据评分标准以及各项权重，各位评标委员会成员单独就每个投标人的商务状况、技术状况进行比较和评价，分别评出其商务得分和技术得分。</w:t>
      </w:r>
    </w:p>
    <w:p w14:paraId="721A46C5">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5.4</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对有效投标人的投标报价进行审查和价格评分。</w:t>
      </w:r>
    </w:p>
    <w:p w14:paraId="07EF5156">
      <w:pPr>
        <w:autoSpaceDE w:val="0"/>
        <w:autoSpaceDN w:val="0"/>
        <w:adjustRightInd w:val="0"/>
        <w:spacing w:line="360" w:lineRule="auto"/>
        <w:ind w:left="567" w:hanging="567"/>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5.5  将各</w:t>
      </w:r>
      <w:r>
        <w:rPr>
          <w:rFonts w:hint="eastAsia" w:ascii="宋体" w:hAnsi="宋体" w:eastAsia="宋体" w:cs="Times New Roman"/>
          <w:color w:val="000000" w:themeColor="text1"/>
          <w:szCs w:val="24"/>
          <w:highlight w:val="none"/>
          <w:lang w:val="zh-CN"/>
          <w14:textFill>
            <w14:solidFill>
              <w14:schemeClr w14:val="tx1"/>
            </w14:solidFill>
          </w14:textFill>
        </w:rPr>
        <w:t>评委对</w:t>
      </w:r>
      <w:r>
        <w:rPr>
          <w:rFonts w:hint="eastAsia" w:ascii="宋体" w:hAnsi="宋体" w:eastAsia="宋体" w:cs="Times New Roman"/>
          <w:color w:val="000000" w:themeColor="text1"/>
          <w:kern w:val="0"/>
          <w:szCs w:val="24"/>
          <w:highlight w:val="none"/>
          <w:lang w:val="zh-CN"/>
          <w14:textFill>
            <w14:solidFill>
              <w14:schemeClr w14:val="tx1"/>
            </w14:solidFill>
          </w14:textFill>
        </w:rPr>
        <w:t>投标人的技术打分的最终综合得分、商务打分的算术平均值和价格得分相加得出投标人的总分。</w:t>
      </w:r>
    </w:p>
    <w:p w14:paraId="626546BB">
      <w:pPr>
        <w:autoSpaceDE w:val="0"/>
        <w:autoSpaceDN w:val="0"/>
        <w:adjustRightInd w:val="0"/>
        <w:spacing w:line="360" w:lineRule="auto"/>
        <w:ind w:left="567" w:hanging="567"/>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4"/>
          <w:highlight w:val="none"/>
          <w14:textFill>
            <w14:solidFill>
              <w14:schemeClr w14:val="tx1"/>
            </w14:solidFill>
          </w14:textFill>
        </w:rPr>
        <w:t xml:space="preserve">5.6  </w:t>
      </w:r>
      <w:r>
        <w:rPr>
          <w:rFonts w:hint="eastAsia" w:ascii="宋体" w:hAnsi="宋体" w:eastAsia="宋体" w:cs="Times New Roman"/>
          <w:color w:val="000000" w:themeColor="text1"/>
          <w:kern w:val="0"/>
          <w:szCs w:val="21"/>
          <w:highlight w:val="none"/>
          <w14:textFill>
            <w14:solidFill>
              <w14:schemeClr w14:val="tx1"/>
            </w14:solidFill>
          </w14:textFill>
        </w:rPr>
        <w:t>评标委员会将向招标人推荐评标最后综合得分最高的前二名投标人为中标候选人，并标明排列顺序。</w:t>
      </w:r>
    </w:p>
    <w:p w14:paraId="4057EF69">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7</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评标委员会</w:t>
      </w:r>
      <w:r>
        <w:rPr>
          <w:rFonts w:hint="eastAsia" w:ascii="宋体" w:hAnsi="宋体" w:eastAsia="宋体" w:cs="Times New Roman"/>
          <w:color w:val="000000" w:themeColor="text1"/>
          <w:szCs w:val="24"/>
          <w:highlight w:val="none"/>
          <w:lang w:val="zh-CN"/>
          <w14:textFill>
            <w14:solidFill>
              <w14:schemeClr w14:val="tx1"/>
            </w14:solidFill>
          </w14:textFill>
        </w:rPr>
        <w:t>根据评审结果编写评标报告。</w:t>
      </w:r>
    </w:p>
    <w:p w14:paraId="3D0198BD">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p>
    <w:p w14:paraId="05F87DEC">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719" w:name="_Toc19435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二、投标文件的初审</w:t>
      </w:r>
      <w:bookmarkEnd w:id="719"/>
    </w:p>
    <w:p w14:paraId="3158BB97">
      <w:pPr>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6、投标文件的初审分为资格性检查和符合性检查。</w:t>
      </w:r>
    </w:p>
    <w:p w14:paraId="3BE3E3C3">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08300EB6">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6.2  符合性检查是指评标委员会依据招标文件规定，从投标文件的有效性、完整性和对招标文件的响应程度进行审查，以确定是否对招标文件的实质性要求作出响应。</w:t>
      </w:r>
    </w:p>
    <w:p w14:paraId="5C260C88">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000000" w:themeColor="text1"/>
          <w:szCs w:val="24"/>
          <w:highlight w:val="none"/>
          <w:lang w:val="en-US" w:eastAsia="zh-CN"/>
          <w14:textFill>
            <w14:solidFill>
              <w14:schemeClr w14:val="tx1"/>
            </w14:solidFill>
          </w14:textFill>
        </w:rPr>
        <w:t>供货及</w:t>
      </w:r>
      <w:r>
        <w:rPr>
          <w:rFonts w:hint="eastAsia" w:ascii="宋体" w:hAnsi="宋体" w:eastAsia="宋体" w:cs="宋体"/>
          <w:color w:val="000000" w:themeColor="text1"/>
          <w:szCs w:val="24"/>
          <w:highlight w:val="none"/>
          <w:lang w:val="zh-CN"/>
          <w14:textFill>
            <w14:solidFill>
              <w14:schemeClr w14:val="tx1"/>
            </w14:solidFill>
          </w14:textFill>
        </w:rPr>
        <w:t>服务范围、质量</w:t>
      </w:r>
      <w:r>
        <w:rPr>
          <w:rFonts w:hint="eastAsia" w:ascii="宋体" w:hAnsi="宋体" w:eastAsia="宋体" w:cs="宋体"/>
          <w:color w:val="000000" w:themeColor="text1"/>
          <w:szCs w:val="24"/>
          <w:highlight w:val="none"/>
          <w:lang w:val="en-US" w:eastAsia="zh-CN"/>
          <w14:textFill>
            <w14:solidFill>
              <w14:schemeClr w14:val="tx1"/>
            </w14:solidFill>
          </w14:textFill>
        </w:rPr>
        <w:t>和性能</w:t>
      </w:r>
      <w:r>
        <w:rPr>
          <w:rFonts w:hint="eastAsia" w:ascii="宋体" w:hAnsi="宋体" w:eastAsia="宋体" w:cs="宋体"/>
          <w:color w:val="000000" w:themeColor="text1"/>
          <w:szCs w:val="24"/>
          <w:highlight w:val="none"/>
          <w:lang w:val="zh-CN"/>
          <w14:textFill>
            <w14:solidFill>
              <w14:schemeClr w14:val="tx1"/>
            </w14:solidFill>
          </w14:textFill>
        </w:rPr>
        <w:t>，或指与招标文件有实质不一致，限制了合同项下委托人的权利和承包人的义务, 或对该重大偏离的修改对提交实质性响应投标的其他投标人将不公平。</w:t>
      </w:r>
    </w:p>
    <w:p w14:paraId="1083D383">
      <w:pPr>
        <w:autoSpaceDE w:val="0"/>
        <w:autoSpaceDN w:val="0"/>
        <w:adjustRightInd w:val="0"/>
        <w:spacing w:line="360" w:lineRule="auto"/>
        <w:ind w:firstLine="840" w:firstLineChars="4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评标委员会决定投标文件的响应性是基于投标文件的内容本身而不靠外部的证据。</w:t>
      </w:r>
    </w:p>
    <w:p w14:paraId="40AAE679">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对是否符合实质性响应招标文件有争议的投标文件,评标委员会成员将以记名方式表决,根据少数服</w:t>
      </w:r>
      <w:r>
        <w:rPr>
          <w:rFonts w:hint="eastAsia" w:ascii="宋体" w:hAnsi="宋体" w:eastAsia="宋体" w:cs="宋体"/>
          <w:b/>
          <w:color w:val="000000" w:themeColor="text1"/>
          <w:szCs w:val="24"/>
          <w:highlight w:val="none"/>
          <w:lang w:val="en-US" w:eastAsia="zh-CN"/>
          <w14:textFill>
            <w14:solidFill>
              <w14:schemeClr w14:val="tx1"/>
            </w14:solidFill>
          </w14:textFill>
        </w:rPr>
        <w:t>从</w:t>
      </w:r>
      <w:r>
        <w:rPr>
          <w:rFonts w:hint="eastAsia" w:ascii="宋体" w:hAnsi="宋体" w:eastAsia="宋体" w:cs="宋体"/>
          <w:b/>
          <w:color w:val="000000" w:themeColor="text1"/>
          <w:szCs w:val="24"/>
          <w:highlight w:val="none"/>
          <w:lang w:val="zh-CN"/>
          <w14:textFill>
            <w14:solidFill>
              <w14:schemeClr w14:val="tx1"/>
            </w14:solidFill>
          </w14:textFill>
        </w:rPr>
        <w:t>多数的原则，获多数表决通过的投标人才有资格进入下一阶段的评审,否则将被认定为无效投标文件。</w:t>
      </w:r>
    </w:p>
    <w:p w14:paraId="3608810D">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7、投标文件出现下列情况之一的，被认定为无效投标：</w:t>
      </w:r>
    </w:p>
    <w:p w14:paraId="030E5C9B">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w:t>
      </w:r>
      <w:r>
        <w:rPr>
          <w:rFonts w:ascii="宋体" w:hAnsi="宋体" w:eastAsia="宋体" w:cs="宋体"/>
          <w:b/>
          <w:color w:val="000000" w:themeColor="text1"/>
          <w:szCs w:val="21"/>
          <w:highlight w:val="none"/>
          <w:lang w:val="zh-CN"/>
          <w14:textFill>
            <w14:solidFill>
              <w14:schemeClr w14:val="tx1"/>
            </w14:solidFill>
          </w14:textFill>
        </w:rPr>
        <w:t xml:space="preserve">.1  </w:t>
      </w:r>
      <w:r>
        <w:rPr>
          <w:rFonts w:hint="eastAsia" w:ascii="宋体" w:hAnsi="宋体" w:eastAsia="宋体" w:cs="宋体"/>
          <w:b/>
          <w:bCs/>
          <w:color w:val="000000" w:themeColor="text1"/>
          <w:kern w:val="0"/>
          <w:szCs w:val="21"/>
          <w:highlight w:val="none"/>
          <w14:textFill>
            <w14:solidFill>
              <w14:schemeClr w14:val="tx1"/>
            </w14:solidFill>
          </w14:textFill>
        </w:rPr>
        <w:t>投标人未按招标文件要求交纳投标保证金的；</w:t>
      </w:r>
    </w:p>
    <w:p w14:paraId="0BC6D0FF">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7.2  投标文件中的投标报价未按照招标文件要求进行折扣系数报价的；</w:t>
      </w:r>
    </w:p>
    <w:p w14:paraId="39FD3B1A">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7.3  投标人以低于企业成本价报价，且投标人不能合理说明或不能提供相关证明材料；</w:t>
      </w:r>
    </w:p>
    <w:p w14:paraId="1E1BEA77">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7.4  投标人递交两份或多份内容不同的投标文件，或在一份投标文件中报有两个或多个报价，且未书面声明哪一个有效；</w:t>
      </w:r>
    </w:p>
    <w:p w14:paraId="2A6CC629">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7.5  </w:t>
      </w:r>
      <w:r>
        <w:rPr>
          <w:rFonts w:hint="eastAsia" w:ascii="宋体" w:hAnsi="宋体" w:eastAsia="宋体" w:cs="宋体"/>
          <w:b/>
          <w:color w:val="000000" w:themeColor="text1"/>
          <w:kern w:val="0"/>
          <w:szCs w:val="21"/>
          <w:highlight w:val="none"/>
          <w14:textFill>
            <w14:solidFill>
              <w14:schemeClr w14:val="tx1"/>
            </w14:solidFill>
          </w14:textFill>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b/>
          <w:color w:val="000000" w:themeColor="text1"/>
          <w:kern w:val="0"/>
          <w:szCs w:val="21"/>
          <w:highlight w:val="none"/>
          <w14:textFill>
            <w14:solidFill>
              <w14:schemeClr w14:val="tx1"/>
            </w14:solidFill>
          </w14:textFill>
        </w:rPr>
        <w:t>严重违法失信行为记录名单（处罚期限届满的除外）]；</w:t>
      </w:r>
    </w:p>
    <w:p w14:paraId="372D7688">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7.6  投标文件未按照招标文件规定要求密封；投标文件无法定代表人或其授权代表签字（或盖私章），或签字人无法定代表人有效授权的；签字盖章不符合招标文件要求的； </w:t>
      </w:r>
    </w:p>
    <w:p w14:paraId="09EBC2CA">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14:textFill>
            <w14:solidFill>
              <w14:schemeClr w14:val="tx1"/>
            </w14:solidFill>
          </w14:textFill>
        </w:rPr>
        <w:t>7</w:t>
      </w:r>
      <w:r>
        <w:rPr>
          <w:rFonts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14:textFill>
            <w14:solidFill>
              <w14:schemeClr w14:val="tx1"/>
            </w14:solidFill>
          </w14:textFill>
        </w:rPr>
        <w:t>投标有效期限不符合要求；</w:t>
      </w:r>
    </w:p>
    <w:p w14:paraId="11F2706E">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7.8  投标文件未对招标范围内的全部内容进行投标报价</w:t>
      </w:r>
      <w:r>
        <w:rPr>
          <w:rFonts w:hint="eastAsia" w:ascii="宋体" w:hAnsi="宋体" w:eastAsia="宋体" w:cs="Times New Roman"/>
          <w:b/>
          <w:color w:val="000000" w:themeColor="text1"/>
          <w:kern w:val="0"/>
          <w:szCs w:val="21"/>
          <w:highlight w:val="none"/>
          <w14:textFill>
            <w14:solidFill>
              <w14:schemeClr w14:val="tx1"/>
            </w14:solidFill>
          </w14:textFill>
        </w:rPr>
        <w:t>或投标方案不是唯一</w:t>
      </w:r>
      <w:r>
        <w:rPr>
          <w:rFonts w:hint="eastAsia" w:ascii="宋体" w:hAnsi="宋体" w:eastAsia="宋体" w:cs="宋体"/>
          <w:b/>
          <w:bCs/>
          <w:color w:val="000000" w:themeColor="text1"/>
          <w:kern w:val="0"/>
          <w:szCs w:val="21"/>
          <w:highlight w:val="none"/>
          <w14:textFill>
            <w14:solidFill>
              <w14:schemeClr w14:val="tx1"/>
            </w14:solidFill>
          </w14:textFill>
        </w:rPr>
        <w:t>；</w:t>
      </w:r>
    </w:p>
    <w:p w14:paraId="7CD1D1AE">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9</w:t>
      </w:r>
      <w:r>
        <w:rPr>
          <w:rFonts w:ascii="宋体" w:hAnsi="宋体" w:eastAsia="宋体" w:cs="Times New Roman"/>
          <w:b/>
          <w:color w:val="000000" w:themeColor="text1"/>
          <w:kern w:val="0"/>
          <w:szCs w:val="21"/>
          <w:highlight w:val="none"/>
          <w14:textFill>
            <w14:solidFill>
              <w14:schemeClr w14:val="tx1"/>
            </w14:solidFill>
          </w14:textFill>
        </w:rPr>
        <w:t xml:space="preserve">  未提供或虚假填写《合同条款偏离表》，或对《合同条款偏离表》有负偏离的；</w:t>
      </w:r>
    </w:p>
    <w:p w14:paraId="25300188">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10</w:t>
      </w:r>
      <w:r>
        <w:rPr>
          <w:rFonts w:ascii="宋体" w:hAnsi="宋体" w:eastAsia="宋体" w:cs="Times New Roman"/>
          <w:b/>
          <w:color w:val="000000" w:themeColor="text1"/>
          <w:kern w:val="0"/>
          <w:szCs w:val="21"/>
          <w:highlight w:val="none"/>
          <w14:textFill>
            <w14:solidFill>
              <w14:schemeClr w14:val="tx1"/>
            </w14:solidFill>
          </w14:textFill>
        </w:rPr>
        <w:t xml:space="preserve">  未填写或虚假填写《用户需求偏离表》的；</w:t>
      </w:r>
    </w:p>
    <w:p w14:paraId="28F150AD">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11</w:t>
      </w:r>
      <w:r>
        <w:rPr>
          <w:rFonts w:ascii="宋体" w:hAnsi="宋体" w:eastAsia="宋体" w:cs="Times New Roman"/>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 xml:space="preserve"> </w:t>
      </w:r>
      <w:r>
        <w:rPr>
          <w:rFonts w:ascii="宋体" w:hAnsi="宋体" w:eastAsia="宋体" w:cs="Times New Roman"/>
          <w:b/>
          <w:color w:val="000000" w:themeColor="text1"/>
          <w:kern w:val="0"/>
          <w:szCs w:val="21"/>
          <w:highlight w:val="none"/>
          <w14:textFill>
            <w14:solidFill>
              <w14:schemeClr w14:val="tx1"/>
            </w14:solidFill>
          </w14:textFill>
        </w:rPr>
        <w:t>未</w:t>
      </w:r>
      <w:r>
        <w:rPr>
          <w:rFonts w:hint="eastAsia" w:ascii="宋体" w:hAnsi="宋体" w:eastAsia="宋体" w:cs="Times New Roman"/>
          <w:b/>
          <w:color w:val="000000" w:themeColor="text1"/>
          <w:kern w:val="0"/>
          <w:szCs w:val="21"/>
          <w:highlight w:val="none"/>
          <w14:textFill>
            <w14:solidFill>
              <w14:schemeClr w14:val="tx1"/>
            </w14:solidFill>
          </w14:textFill>
        </w:rPr>
        <w:t>响应</w:t>
      </w:r>
      <w:r>
        <w:rPr>
          <w:rFonts w:ascii="宋体" w:hAnsi="宋体" w:eastAsia="宋体" w:cs="Times New Roman"/>
          <w:b/>
          <w:color w:val="000000" w:themeColor="text1"/>
          <w:kern w:val="0"/>
          <w:szCs w:val="21"/>
          <w:highlight w:val="none"/>
          <w14:textFill>
            <w14:solidFill>
              <w14:schemeClr w14:val="tx1"/>
            </w14:solidFill>
          </w14:textFill>
        </w:rPr>
        <w:t>招标文件提出的实质性要求和条件（标注★的条款）</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6A5C123A">
      <w:pPr>
        <w:autoSpaceDE w:val="0"/>
        <w:autoSpaceDN w:val="0"/>
        <w:adjustRightInd w:val="0"/>
        <w:spacing w:line="360" w:lineRule="auto"/>
        <w:ind w:left="315" w:hanging="315" w:hangingChars="150"/>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bCs/>
          <w:color w:val="000000" w:themeColor="text1"/>
          <w:kern w:val="0"/>
          <w:szCs w:val="24"/>
          <w:highlight w:val="none"/>
          <w:lang w:val="zh-CN"/>
          <w14:textFill>
            <w14:solidFill>
              <w14:schemeClr w14:val="tx1"/>
            </w14:solidFill>
          </w14:textFill>
        </w:rPr>
        <w:t>8、</w:t>
      </w:r>
      <w:r>
        <w:rPr>
          <w:rFonts w:hint="eastAsia" w:ascii="宋体" w:hAnsi="宋体" w:eastAsia="宋体" w:cs="宋体"/>
          <w:color w:val="000000" w:themeColor="text1"/>
          <w:kern w:val="0"/>
          <w:szCs w:val="24"/>
          <w:highlight w:val="none"/>
          <w:lang w:val="zh-CN"/>
          <w14:textFill>
            <w14:solidFill>
              <w14:schemeClr w14:val="tx1"/>
            </w14:solidFill>
          </w14:textFill>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188EBE2D">
      <w:pPr>
        <w:spacing w:line="360" w:lineRule="auto"/>
        <w:ind w:left="480"/>
        <w:rPr>
          <w:rFonts w:ascii="宋体" w:hAnsi="宋体" w:eastAsia="宋体" w:cs="宋体"/>
          <w:b/>
          <w:color w:val="000000" w:themeColor="text1"/>
          <w:kern w:val="0"/>
          <w:szCs w:val="21"/>
          <w:highlight w:val="none"/>
          <w14:textFill>
            <w14:solidFill>
              <w14:schemeClr w14:val="tx1"/>
            </w14:solidFill>
          </w14:textFill>
        </w:rPr>
      </w:pPr>
    </w:p>
    <w:p w14:paraId="380D7ACE">
      <w:pPr>
        <w:tabs>
          <w:tab w:val="left" w:pos="1140"/>
        </w:tabs>
        <w:autoSpaceDE w:val="0"/>
        <w:autoSpaceDN w:val="0"/>
        <w:adjustRightInd w:val="0"/>
        <w:spacing w:line="360" w:lineRule="auto"/>
        <w:ind w:firstLine="3528" w:firstLineChars="1255"/>
        <w:jc w:val="left"/>
        <w:rPr>
          <w:rFonts w:ascii="宋体" w:hAnsi="宋体" w:eastAsia="宋体" w:cs="宋体"/>
          <w:b/>
          <w:bCs/>
          <w:color w:val="000000" w:themeColor="text1"/>
          <w:sz w:val="28"/>
          <w:szCs w:val="28"/>
          <w:highlight w:val="none"/>
          <w14:textFill>
            <w14:solidFill>
              <w14:schemeClr w14:val="tx1"/>
            </w14:solidFill>
          </w14:textFill>
        </w:rPr>
      </w:pPr>
      <w:bookmarkStart w:id="720" w:name="_Toc4109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三、澄清有关问题</w:t>
      </w:r>
      <w:bookmarkEnd w:id="720"/>
    </w:p>
    <w:p w14:paraId="0638E33A">
      <w:pPr>
        <w:autoSpaceDE w:val="0"/>
        <w:autoSpaceDN w:val="0"/>
        <w:adjustRightInd w:val="0"/>
        <w:spacing w:line="360" w:lineRule="auto"/>
        <w:ind w:left="315" w:hanging="315" w:hangingChars="1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在</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的商务、技术资格性检查及符合性检查过程中，</w:t>
      </w:r>
      <w:r>
        <w:rPr>
          <w:rFonts w:hint="eastAsia" w:ascii="宋体" w:hAnsi="宋体" w:eastAsia="宋体" w:cs="宋体"/>
          <w:color w:val="000000" w:themeColor="text1"/>
          <w:kern w:val="0"/>
          <w:szCs w:val="24"/>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可应评标委员会要求对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中有关问题进行书面澄清。该书面澄清作为其</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的一部分。</w:t>
      </w:r>
    </w:p>
    <w:p w14:paraId="5B123157">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9.1  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中含义不明确、同类问题表述不一致或者有明显文字和计算错误的内容，评标委员会可以书面形式（由评标委员会专家签字）要求投标人作出必要的澄清、说明或者纠正。</w:t>
      </w:r>
    </w:p>
    <w:p w14:paraId="1D322F6B">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3410ADD">
      <w:pPr>
        <w:autoSpaceDE w:val="0"/>
        <w:autoSpaceDN w:val="0"/>
        <w:adjustRightInd w:val="0"/>
        <w:spacing w:line="360" w:lineRule="auto"/>
        <w:ind w:left="529" w:right="18"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9.3  经过澄清后仍不符合要求，则该项目在下一步评审进行评分调整；若重大（实质性）偏差仍存在，且不可接受，投标人则被认为是“不响应招标文件要求的投标人”，不再进入下一步评审。</w:t>
      </w:r>
    </w:p>
    <w:p w14:paraId="0198A96D">
      <w:pPr>
        <w:spacing w:line="360" w:lineRule="auto"/>
        <w:ind w:left="424" w:hanging="424" w:hangingChars="202"/>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9.4  投标文件报价计算错误的修正</w:t>
      </w:r>
    </w:p>
    <w:p w14:paraId="4522DBC3">
      <w:pPr>
        <w:autoSpaceDE/>
        <w:autoSpaceDN/>
        <w:adjustRightInd/>
        <w:spacing w:line="360" w:lineRule="auto"/>
        <w:ind w:left="567"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（1）评标委员会将对确定为实质上响应招标文件要求的投标文件进行校核，看其是否有计算或表达上的错误，修正错误的原则为：</w:t>
      </w:r>
    </w:p>
    <w:p w14:paraId="73166B50">
      <w:pPr>
        <w:autoSpaceDE/>
        <w:autoSpaceDN/>
        <w:adjustRightInd/>
        <w:spacing w:line="360" w:lineRule="auto"/>
        <w:ind w:left="0" w:firstLine="420" w:firstLineChars="20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当以数字表示的报价系数与以文字表示的报价系数不一致时，以文字表示的报价系数为准。经双方确认后，作为合同文件的组成部分。</w:t>
      </w:r>
    </w:p>
    <w:p w14:paraId="420BA0E0">
      <w:pPr>
        <w:spacing w:line="360" w:lineRule="auto"/>
        <w:ind w:left="567" w:hanging="567" w:hangingChars="27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按上述修正</w:t>
      </w:r>
      <w:r>
        <w:rPr>
          <w:rFonts w:hint="eastAsia" w:ascii="宋体" w:hAnsi="宋体" w:eastAsia="宋体" w:cs="宋体"/>
          <w:b/>
          <w:color w:val="000000" w:themeColor="text1"/>
          <w:kern w:val="0"/>
          <w:szCs w:val="21"/>
          <w:highlight w:val="none"/>
          <w:u w:val="single"/>
          <w14:textFill>
            <w14:solidFill>
              <w14:schemeClr w14:val="tx1"/>
            </w14:solidFill>
          </w14:textFill>
        </w:rPr>
        <w:t>错误</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3F40534E">
      <w:pPr>
        <w:spacing w:line="360" w:lineRule="auto"/>
        <w:ind w:left="567" w:hanging="567" w:hangingChars="27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9.5  若投标人出现超低报价，有可能影响服务质量和不能诚信履约的，</w:t>
      </w:r>
      <w:r>
        <w:rPr>
          <w:rFonts w:hint="eastAsia" w:ascii="宋体" w:hAnsi="宋体" w:eastAsia="宋体" w:cs="宋体"/>
          <w:b w:val="0"/>
          <w:bCs/>
          <w:color w:val="000000" w:themeColor="text1"/>
          <w:szCs w:val="21"/>
          <w:highlight w:val="none"/>
          <w:lang w:val="zh-CN"/>
          <w14:textFill>
            <w14:solidFill>
              <w14:schemeClr w14:val="tx1"/>
            </w14:solidFill>
          </w14:textFill>
        </w:rPr>
        <w:t>评标委员会将要求该投标人作出书面说明并提供相关证明材料，以确定投标人是否以低于企业成本价报价。</w:t>
      </w:r>
      <w:r>
        <w:rPr>
          <w:rFonts w:hint="eastAsia" w:ascii="宋体" w:hAnsi="宋体" w:eastAsia="宋体" w:cs="宋体"/>
          <w:b/>
          <w:color w:val="000000" w:themeColor="text1"/>
          <w:szCs w:val="21"/>
          <w:highlight w:val="none"/>
          <w:lang w:val="zh-CN"/>
          <w14:textFill>
            <w14:solidFill>
              <w14:schemeClr w14:val="tx1"/>
            </w14:solidFill>
          </w14:textFill>
        </w:rPr>
        <w:t>若投标人不能合理说明或不能提供相关证明材料的，评标委员会将认定其投标报价低于成本，同时否决其投标。</w:t>
      </w:r>
    </w:p>
    <w:p w14:paraId="2E7057AD">
      <w:pPr>
        <w:tabs>
          <w:tab w:val="left" w:pos="567"/>
        </w:tabs>
        <w:autoSpaceDE w:val="0"/>
        <w:autoSpaceDN w:val="0"/>
        <w:adjustRightInd w:val="0"/>
        <w:spacing w:line="360" w:lineRule="auto"/>
        <w:ind w:firstLine="567"/>
        <w:rPr>
          <w:rFonts w:hint="eastAsia" w:ascii="宋体" w:hAnsi="宋体" w:eastAsia="宋体" w:cs="宋体"/>
          <w:b/>
          <w:color w:val="000000" w:themeColor="text1"/>
          <w:szCs w:val="21"/>
          <w:highlight w:val="none"/>
          <w:lang w:val="zh-CN"/>
          <w14:textFill>
            <w14:solidFill>
              <w14:schemeClr w14:val="tx1"/>
            </w14:solidFill>
          </w14:textFill>
        </w:rPr>
      </w:pPr>
      <w:bookmarkStart w:id="721" w:name="_Toc8518_WPSOffice_Level1"/>
      <w:r>
        <w:rPr>
          <w:rFonts w:hint="eastAsia" w:ascii="宋体" w:hAnsi="宋体" w:eastAsia="宋体" w:cs="宋体"/>
          <w:b/>
          <w:color w:val="000000" w:themeColor="text1"/>
          <w:szCs w:val="21"/>
          <w:highlight w:val="none"/>
          <w:lang w:val="zh-CN"/>
          <w14:textFill>
            <w14:solidFill>
              <w14:schemeClr w14:val="tx1"/>
            </w14:solidFill>
          </w14:textFill>
        </w:rPr>
        <w:t>若出现下列情形之一的，评审委员会应启动异常低价投标审查程序：</w:t>
      </w:r>
    </w:p>
    <w:p w14:paraId="6AA763C3">
      <w:pPr>
        <w:tabs>
          <w:tab w:val="left" w:pos="567"/>
        </w:tabs>
        <w:autoSpaceDE w:val="0"/>
        <w:autoSpaceDN w:val="0"/>
        <w:adjustRightInd w:val="0"/>
        <w:spacing w:line="360" w:lineRule="auto"/>
        <w:ind w:firstLine="567"/>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（1）投标报价低于合格投标人报价平均值50%的；</w:t>
      </w:r>
    </w:p>
    <w:p w14:paraId="0E927BE8">
      <w:pPr>
        <w:tabs>
          <w:tab w:val="left" w:pos="567"/>
        </w:tabs>
        <w:autoSpaceDE w:val="0"/>
        <w:autoSpaceDN w:val="0"/>
        <w:adjustRightInd w:val="0"/>
        <w:spacing w:line="360" w:lineRule="auto"/>
        <w:ind w:firstLine="567"/>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（2）投标报价低于合格且报价次低投标人报价50%的；</w:t>
      </w:r>
    </w:p>
    <w:p w14:paraId="6D5966E0">
      <w:pPr>
        <w:tabs>
          <w:tab w:val="left" w:pos="567"/>
        </w:tabs>
        <w:autoSpaceDE w:val="0"/>
        <w:autoSpaceDN w:val="0"/>
        <w:adjustRightInd w:val="0"/>
        <w:spacing w:line="360" w:lineRule="auto"/>
        <w:ind w:firstLine="567"/>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（3）投标报价低于采购项目采购限价45%的；</w:t>
      </w:r>
    </w:p>
    <w:p w14:paraId="0C382240">
      <w:pPr>
        <w:tabs>
          <w:tab w:val="left" w:pos="567"/>
        </w:tabs>
        <w:autoSpaceDE w:val="0"/>
        <w:autoSpaceDN w:val="0"/>
        <w:adjustRightInd w:val="0"/>
        <w:spacing w:line="360" w:lineRule="auto"/>
        <w:ind w:firstLine="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（4）评审委员会认为投标人报价过低，有可能影响产品质量或者不能诚信履约的。</w:t>
      </w:r>
    </w:p>
    <w:p w14:paraId="233242EE">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p>
    <w:p w14:paraId="7C34EE7A">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四、比较和评价</w:t>
      </w:r>
      <w:bookmarkEnd w:id="721"/>
    </w:p>
    <w:p w14:paraId="5689621B">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10、</w:t>
      </w:r>
      <w:r>
        <w:rPr>
          <w:rFonts w:hint="eastAsia" w:ascii="宋体" w:hAnsi="宋体" w:eastAsia="宋体" w:cs="宋体"/>
          <w:color w:val="000000" w:themeColor="text1"/>
          <w:szCs w:val="24"/>
          <w:highlight w:val="none"/>
          <w:lang w:val="zh-CN"/>
          <w14:textFill>
            <w14:solidFill>
              <w14:schemeClr w14:val="tx1"/>
            </w14:solidFill>
          </w14:textFill>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5DBDBD66">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p>
    <w:p w14:paraId="629EF47E">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11、评委打分办法</w:t>
      </w:r>
    </w:p>
    <w:p w14:paraId="5F49E058">
      <w:pPr>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.1 参加评分的评委应尽力体现客观、实事求是，避免学派偏见和个人偏好。</w:t>
      </w:r>
    </w:p>
    <w:p w14:paraId="0BD3C3AC">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.2 衡量、对比的依据，应以招标文件、投标文件、提供的正式试验数据、开标澄清中的文字为准，口头回答和收集的资料只作为参考。</w:t>
      </w:r>
    </w:p>
    <w:p w14:paraId="277B1B23">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.3 评分主要是为比较各投标人的商务、技术</w:t>
      </w:r>
      <w:r>
        <w:rPr>
          <w:rFonts w:hint="eastAsia" w:ascii="宋体" w:hAnsi="宋体" w:eastAsia="宋体" w:cs="Times New Roman"/>
          <w:color w:val="000000" w:themeColor="text1"/>
          <w:szCs w:val="24"/>
          <w:highlight w:val="none"/>
          <w:lang w:val="en-US" w:eastAsia="zh-CN"/>
          <w14:textFill>
            <w14:solidFill>
              <w14:schemeClr w14:val="tx1"/>
            </w14:solidFill>
          </w14:textFill>
        </w:rPr>
        <w:t>和</w:t>
      </w:r>
      <w:r>
        <w:rPr>
          <w:rFonts w:hint="eastAsia" w:ascii="宋体" w:hAnsi="宋体" w:eastAsia="宋体" w:cs="Times New Roman"/>
          <w:color w:val="000000" w:themeColor="text1"/>
          <w:szCs w:val="24"/>
          <w:highlight w:val="none"/>
          <w:lang w:val="zh-CN"/>
          <w14:textFill>
            <w14:solidFill>
              <w14:schemeClr w14:val="tx1"/>
            </w14:solidFill>
          </w14:textFill>
        </w:rPr>
        <w:t>价格综合排序。</w:t>
      </w:r>
      <w:r>
        <w:rPr>
          <w:rFonts w:hint="eastAsia" w:ascii="宋体" w:hAnsi="宋体" w:eastAsia="宋体" w:cs="宋体"/>
          <w:color w:val="000000" w:themeColor="text1"/>
          <w:kern w:val="0"/>
          <w:szCs w:val="21"/>
          <w:highlight w:val="none"/>
          <w14:textFill>
            <w14:solidFill>
              <w14:schemeClr w14:val="tx1"/>
            </w14:solidFill>
          </w14:textFill>
        </w:rPr>
        <w:t>评标委员会专家组的每一位评委根据招标文件评分标准对投标文件分别评审，对有效投标人投标文件的商务、技术、报价分别评分。</w:t>
      </w:r>
    </w:p>
    <w:p w14:paraId="0B94C7F6">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评标委员会首先对商务标进行评审，按评标标准打分后，取所有评委评分的平均值得出该投标人的商务评分；</w:t>
      </w:r>
    </w:p>
    <w:p w14:paraId="462ECB3B">
      <w:pPr>
        <w:autoSpaceDE w:val="0"/>
        <w:autoSpaceDN w:val="0"/>
        <w:adjustRightInd w:val="0"/>
        <w:spacing w:line="360" w:lineRule="auto"/>
        <w:ind w:left="565" w:leftChars="-1" w:hanging="567" w:hangingChars="27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然后评标委员会对技术标进行评审，按评标标准打分后</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最终综合得分</w:t>
      </w:r>
      <w:r>
        <w:rPr>
          <w:rFonts w:hint="eastAsia" w:ascii="宋体" w:hAnsi="宋体" w:eastAsia="宋体" w:cs="宋体"/>
          <w:color w:val="000000" w:themeColor="text1"/>
          <w:sz w:val="21"/>
          <w:szCs w:val="21"/>
          <w:highlight w:val="none"/>
          <w14:textFill>
            <w14:solidFill>
              <w14:schemeClr w14:val="tx1"/>
            </w14:solidFill>
          </w14:textFill>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评分因素的评分低于权重分值60%的，应在评标报告中作出说明。</w:t>
      </w:r>
    </w:p>
    <w:p w14:paraId="1EB3A979">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最后评标委员会对报价进行评审，按评标标准计算得出该投标人的报价评分。</w:t>
      </w:r>
    </w:p>
    <w:p w14:paraId="2F795829">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.4 评标委员会打分采取记名形式。</w:t>
      </w:r>
    </w:p>
    <w:p w14:paraId="04991419">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.5 各评委根据秘书组提供的打分表严格按照评标大纲内的评分标准独立自主打分，任何人不得要求评委统一打分或统一确定等次顺序。</w:t>
      </w:r>
    </w:p>
    <w:p w14:paraId="435675CC">
      <w:pPr>
        <w:autoSpaceDE w:val="0"/>
        <w:autoSpaceDN w:val="0"/>
        <w:adjustRightInd w:val="0"/>
        <w:spacing w:line="360" w:lineRule="auto"/>
        <w:ind w:left="426" w:hanging="426"/>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.6 对打分表中的每项条款，各评委应根据投标文件、澄清材料、招标文件要求，按满足的程度给投标人打分。</w:t>
      </w:r>
    </w:p>
    <w:p w14:paraId="0694FABB">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.7 评分程序</w:t>
      </w:r>
    </w:p>
    <w:p w14:paraId="6DCB2E51">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color w:val="000000" w:themeColor="text1"/>
          <w:szCs w:val="24"/>
          <w:highlight w:val="none"/>
          <w:lang w:val="zh-CN"/>
          <w14:textFill>
            <w14:solidFill>
              <w14:schemeClr w14:val="tx1"/>
            </w14:solidFill>
          </w14:textFill>
        </w:rPr>
        <w:t>）就投标人的投标文件对照整理出商务、技术评标因素对比表、偏差表，并在经过校核的基础上逐项打分。</w:t>
      </w:r>
    </w:p>
    <w:p w14:paraId="72980671">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）各评委独立完成打分后，将统计好的评分表交给招标代理机构秘书组复核。</w:t>
      </w:r>
    </w:p>
    <w:p w14:paraId="25201E98">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）评分统计表中各投标人技术得分应为最终综合得分，商务和价格得分应为评委打分的算术平均值。</w:t>
      </w:r>
    </w:p>
    <w:p w14:paraId="39DCD613">
      <w:pPr>
        <w:autoSpaceDE w:val="0"/>
        <w:autoSpaceDN w:val="0"/>
        <w:adjustRightInd w:val="0"/>
        <w:spacing w:line="360" w:lineRule="auto"/>
        <w:rPr>
          <w:rFonts w:ascii="宋体" w:hAnsi="宋体" w:eastAsia="宋体" w:cs="宋体"/>
          <w:color w:val="000000" w:themeColor="text1"/>
          <w:szCs w:val="24"/>
          <w:highlight w:val="none"/>
          <w:lang w:val="zh-CN"/>
          <w14:textFill>
            <w14:solidFill>
              <w14:schemeClr w14:val="tx1"/>
            </w14:solidFill>
          </w14:textFill>
        </w:rPr>
      </w:pPr>
    </w:p>
    <w:p w14:paraId="69632EA6">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12、评分因素及分值</w:t>
      </w:r>
    </w:p>
    <w:tbl>
      <w:tblPr>
        <w:tblStyle w:val="3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8448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859C7F1">
            <w:pPr>
              <w:spacing w:line="400" w:lineRule="exact"/>
              <w:jc w:val="center"/>
              <w:rPr>
                <w:rFonts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35DB7FE">
            <w:pPr>
              <w:spacing w:line="400" w:lineRule="exact"/>
              <w:jc w:val="center"/>
              <w:rPr>
                <w:rFonts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分值</w:t>
            </w:r>
          </w:p>
        </w:tc>
      </w:tr>
      <w:tr w14:paraId="36240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5C82FA8">
            <w:pPr>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56B53188">
            <w:pPr>
              <w:autoSpaceDE w:val="0"/>
              <w:autoSpaceDN w:val="0"/>
              <w:adjustRightInd w:val="0"/>
              <w:spacing w:line="400" w:lineRule="exact"/>
              <w:jc w:val="center"/>
              <w:rPr>
                <w:rFonts w:ascii="宋体" w:hAnsi="宋体" w:eastAsia="宋体" w:cs="宋体"/>
                <w:b w:val="0"/>
                <w:bCs/>
                <w:color w:val="000000" w:themeColor="text1"/>
                <w:kern w:val="0"/>
                <w:sz w:val="21"/>
                <w:szCs w:val="21"/>
                <w:highlight w:val="none"/>
                <w:lang w:val="zh-CN"/>
                <w14:textFill>
                  <w14:solidFill>
                    <w14:schemeClr w14:val="tx1"/>
                  </w14:solidFill>
                </w14:textFill>
              </w:rPr>
            </w:pPr>
            <w:r>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color w:val="000000" w:themeColor="text1"/>
                <w:sz w:val="21"/>
                <w:szCs w:val="21"/>
                <w:highlight w:val="none"/>
                <w:lang w:val="zh-CN"/>
                <w14:textFill>
                  <w14:solidFill>
                    <w14:schemeClr w14:val="tx1"/>
                  </w14:solidFill>
                </w14:textFill>
              </w:rPr>
              <w:t>分</w:t>
            </w:r>
          </w:p>
        </w:tc>
      </w:tr>
      <w:tr w14:paraId="406D3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B7979AB">
            <w:pPr>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61F8BB08">
            <w:pPr>
              <w:autoSpaceDE w:val="0"/>
              <w:autoSpaceDN w:val="0"/>
              <w:adjustRightInd w:val="0"/>
              <w:spacing w:line="400" w:lineRule="exact"/>
              <w:jc w:val="center"/>
              <w:rPr>
                <w:rFonts w:ascii="宋体" w:hAnsi="宋体" w:eastAsia="宋体" w:cs="宋体"/>
                <w:b w:val="0"/>
                <w:bCs/>
                <w:color w:val="000000" w:themeColor="text1"/>
                <w:kern w:val="0"/>
                <w:sz w:val="21"/>
                <w:szCs w:val="21"/>
                <w:highlight w:val="none"/>
                <w:lang w:val="zh-CN"/>
                <w14:textFill>
                  <w14:solidFill>
                    <w14:schemeClr w14:val="tx1"/>
                  </w14:solidFill>
                </w14:textFill>
              </w:rPr>
            </w:pPr>
            <w:r>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bCs/>
                <w:color w:val="000000" w:themeColor="text1"/>
                <w:sz w:val="21"/>
                <w:szCs w:val="21"/>
                <w:highlight w:val="none"/>
                <w:lang w:val="zh-CN"/>
                <w14:textFill>
                  <w14:solidFill>
                    <w14:schemeClr w14:val="tx1"/>
                  </w14:solidFill>
                </w14:textFill>
              </w:rPr>
              <w:t>分</w:t>
            </w:r>
          </w:p>
        </w:tc>
      </w:tr>
      <w:tr w14:paraId="45D83D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F86AADE">
            <w:pPr>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13391F76">
            <w:pPr>
              <w:autoSpaceDE w:val="0"/>
              <w:autoSpaceDN w:val="0"/>
              <w:adjustRightInd w:val="0"/>
              <w:spacing w:line="400" w:lineRule="exact"/>
              <w:jc w:val="center"/>
              <w:rPr>
                <w:rFonts w:ascii="宋体" w:hAnsi="宋体" w:eastAsia="宋体" w:cs="宋体"/>
                <w:b w:val="0"/>
                <w:bCs/>
                <w:color w:val="000000" w:themeColor="text1"/>
                <w:kern w:val="0"/>
                <w:sz w:val="21"/>
                <w:szCs w:val="21"/>
                <w:highlight w:val="none"/>
                <w:lang w:val="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b w:val="0"/>
                <w:bCs/>
                <w:color w:val="000000" w:themeColor="text1"/>
                <w:sz w:val="21"/>
                <w:szCs w:val="21"/>
                <w:highlight w:val="none"/>
                <w:lang w:val="zh-CN"/>
                <w14:textFill>
                  <w14:solidFill>
                    <w14:schemeClr w14:val="tx1"/>
                  </w14:solidFill>
                </w14:textFill>
              </w:rPr>
              <w:t>分</w:t>
            </w:r>
          </w:p>
        </w:tc>
      </w:tr>
    </w:tbl>
    <w:p w14:paraId="4DBFC5C9">
      <w:pPr>
        <w:tabs>
          <w:tab w:val="left" w:pos="585"/>
        </w:tabs>
        <w:autoSpaceDE w:val="0"/>
        <w:autoSpaceDN w:val="0"/>
        <w:adjustRightInd w:val="0"/>
        <w:spacing w:line="360" w:lineRule="auto"/>
        <w:rPr>
          <w:rFonts w:ascii="宋体" w:hAnsi="宋体" w:eastAsia="宋体" w:cs="宋体"/>
          <w:b/>
          <w:color w:val="000000" w:themeColor="text1"/>
          <w:szCs w:val="21"/>
          <w:highlight w:val="none"/>
          <w14:textFill>
            <w14:solidFill>
              <w14:schemeClr w14:val="tx1"/>
            </w14:solidFill>
          </w14:textFill>
        </w:rPr>
      </w:pPr>
      <w:bookmarkStart w:id="722" w:name="_Toc18349_WPSOffice_Level2"/>
    </w:p>
    <w:p w14:paraId="52677C8D">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商务：总分</w:t>
      </w:r>
      <w:r>
        <w:rPr>
          <w:rFonts w:hint="default" w:ascii="宋体" w:hAnsi="宋体" w:eastAsia="宋体" w:cs="宋体"/>
          <w:b/>
          <w:color w:val="000000" w:themeColor="text1"/>
          <w:szCs w:val="21"/>
          <w:highlight w:val="none"/>
          <w:lang w:val="en-US" w:eastAsia="zh-CN"/>
          <w14:textFill>
            <w14:solidFill>
              <w14:schemeClr w14:val="tx1"/>
            </w14:solidFill>
          </w14:textFill>
        </w:rPr>
        <w:t>20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722"/>
    </w:p>
    <w:tbl>
      <w:tblPr>
        <w:tblStyle w:val="39"/>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170"/>
        <w:gridCol w:w="7403"/>
        <w:gridCol w:w="1098"/>
      </w:tblGrid>
      <w:tr w14:paraId="29F8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99" w:type="dxa"/>
            <w:tcBorders>
              <w:top w:val="single" w:color="auto" w:sz="4" w:space="0"/>
              <w:left w:val="single" w:color="auto" w:sz="4" w:space="0"/>
              <w:bottom w:val="single" w:color="auto" w:sz="4" w:space="0"/>
              <w:right w:val="single" w:color="auto" w:sz="4" w:space="0"/>
            </w:tcBorders>
            <w:vAlign w:val="bottom"/>
          </w:tcPr>
          <w:p w14:paraId="4CB259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000000" w:themeColor="text1"/>
                <w:kern w:val="0"/>
                <w:szCs w:val="21"/>
                <w:highlight w:val="none"/>
                <w14:textFill>
                  <w14:solidFill>
                    <w14:schemeClr w14:val="tx1"/>
                  </w14:solidFill>
                </w14:textFill>
              </w:rPr>
            </w:pPr>
            <w:bookmarkStart w:id="723" w:name="_Toc11639_WPSOffice_Level2"/>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1170" w:type="dxa"/>
            <w:tcBorders>
              <w:top w:val="single" w:color="auto" w:sz="4" w:space="0"/>
              <w:left w:val="single" w:color="auto" w:sz="4" w:space="0"/>
              <w:bottom w:val="single" w:color="auto" w:sz="4" w:space="0"/>
              <w:right w:val="single" w:color="auto" w:sz="4" w:space="0"/>
            </w:tcBorders>
            <w:vAlign w:val="bottom"/>
          </w:tcPr>
          <w:p w14:paraId="2898B3F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7403" w:type="dxa"/>
            <w:tcBorders>
              <w:top w:val="single" w:color="auto" w:sz="4" w:space="0"/>
              <w:left w:val="single" w:color="auto" w:sz="4" w:space="0"/>
              <w:bottom w:val="single" w:color="auto" w:sz="4" w:space="0"/>
              <w:right w:val="single" w:color="auto" w:sz="4" w:space="0"/>
            </w:tcBorders>
            <w:vAlign w:val="bottom"/>
          </w:tcPr>
          <w:p w14:paraId="668D0CE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1098" w:type="dxa"/>
            <w:tcBorders>
              <w:top w:val="single" w:color="auto" w:sz="4" w:space="0"/>
              <w:left w:val="single" w:color="auto" w:sz="4" w:space="0"/>
              <w:bottom w:val="single" w:color="auto" w:sz="4" w:space="0"/>
              <w:right w:val="single" w:color="auto" w:sz="4" w:space="0"/>
            </w:tcBorders>
            <w:vAlign w:val="bottom"/>
          </w:tcPr>
          <w:p w14:paraId="3DF5A80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0C77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044120B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170" w:type="dxa"/>
            <w:tcBorders>
              <w:top w:val="single" w:color="auto" w:sz="4" w:space="0"/>
              <w:left w:val="single" w:color="auto" w:sz="4" w:space="0"/>
              <w:bottom w:val="single" w:color="auto" w:sz="4" w:space="0"/>
              <w:right w:val="single" w:color="auto" w:sz="4" w:space="0"/>
            </w:tcBorders>
            <w:vAlign w:val="center"/>
          </w:tcPr>
          <w:p w14:paraId="02738BF2">
            <w:pPr>
              <w:keepNext w:val="0"/>
              <w:keepLines w:val="0"/>
              <w:suppressLineNumbers w:val="0"/>
              <w:autoSpaceDE w:val="0"/>
              <w:autoSpaceDN w:val="0"/>
              <w:spacing w:before="0" w:beforeAutospacing="0" w:after="0" w:afterAutospacing="0" w:line="400" w:lineRule="exact"/>
              <w:ind w:left="0" w:right="0"/>
              <w:jc w:val="center"/>
              <w:rPr>
                <w:rFonts w:hint="default" w:ascii="宋体" w:hAnsi="宋体" w:eastAsia="宋体" w:cs="Times New Roman"/>
                <w:bCs/>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财务状况</w:t>
            </w:r>
          </w:p>
        </w:tc>
        <w:tc>
          <w:tcPr>
            <w:tcW w:w="7403" w:type="dxa"/>
            <w:tcBorders>
              <w:top w:val="single" w:color="auto" w:sz="4" w:space="0"/>
              <w:left w:val="single" w:color="auto" w:sz="4" w:space="0"/>
              <w:bottom w:val="single" w:color="auto" w:sz="4" w:space="0"/>
              <w:right w:val="single" w:color="auto" w:sz="4" w:space="0"/>
            </w:tcBorders>
            <w:vAlign w:val="center"/>
          </w:tcPr>
          <w:p w14:paraId="0191CD48">
            <w:pPr>
              <w:keepNext w:val="0"/>
              <w:keepLines w:val="0"/>
              <w:suppressLineNumbers w:val="0"/>
              <w:spacing w:before="0" w:beforeAutospacing="0" w:after="0" w:afterAutospacing="0" w:line="400" w:lineRule="exact"/>
              <w:ind w:left="0" w:right="0"/>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w:t>
            </w:r>
            <w:r>
              <w:rPr>
                <w:rFonts w:hint="default" w:ascii="宋体" w:hAnsi="宋体" w:eastAsia="宋体" w:cs="宋体"/>
                <w:color w:val="000000" w:themeColor="text1"/>
                <w:szCs w:val="21"/>
                <w:highlight w:val="none"/>
                <w14:textFill>
                  <w14:solidFill>
                    <w14:schemeClr w14:val="tx1"/>
                  </w14:solidFill>
                </w14:textFill>
              </w:rPr>
              <w:t>202</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年-</w:t>
            </w:r>
            <w:r>
              <w:rPr>
                <w:rFonts w:hint="default" w:ascii="宋体" w:hAnsi="宋体" w:eastAsia="宋体" w:cs="宋体"/>
                <w:color w:val="000000" w:themeColor="text1"/>
                <w:szCs w:val="21"/>
                <w:highlight w:val="none"/>
                <w14:textFill>
                  <w14:solidFill>
                    <w14:schemeClr w14:val="tx1"/>
                  </w14:solidFill>
                </w14:textFill>
              </w:rPr>
              <w:t>202</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年三个年度，每具有1个年度盈利的得1分，满分3分。</w:t>
            </w:r>
          </w:p>
          <w:p w14:paraId="178B57F2">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备注：盈利指净利润为正数（非零、非负数），投标人应提供</w:t>
            </w:r>
            <w:r>
              <w:rPr>
                <w:rFonts w:hint="default" w:ascii="宋体" w:hAnsi="宋体" w:eastAsia="宋体" w:cs="宋体"/>
                <w:b/>
                <w:bCs/>
                <w:color w:val="000000" w:themeColor="text1"/>
                <w:szCs w:val="21"/>
                <w:highlight w:val="none"/>
                <w14:textFill>
                  <w14:solidFill>
                    <w14:schemeClr w14:val="tx1"/>
                  </w14:solidFill>
                </w14:textFill>
              </w:rPr>
              <w:t>202</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年、</w:t>
            </w:r>
            <w:r>
              <w:rPr>
                <w:rFonts w:hint="default" w:ascii="宋体" w:hAnsi="宋体" w:eastAsia="宋体" w:cs="宋体"/>
                <w:b/>
                <w:bCs/>
                <w:color w:val="000000" w:themeColor="text1"/>
                <w:szCs w:val="21"/>
                <w:highlight w:val="none"/>
                <w14:textFill>
                  <w14:solidFill>
                    <w14:schemeClr w14:val="tx1"/>
                  </w14:solidFill>
                </w14:textFill>
              </w:rPr>
              <w:t>202</w:t>
            </w:r>
            <w:r>
              <w:rPr>
                <w:rFonts w:hint="eastAsia" w:ascii="宋体" w:hAnsi="宋体" w:eastAsia="宋体" w:cs="宋体"/>
                <w:b/>
                <w:bCs/>
                <w:color w:val="000000" w:themeColor="text1"/>
                <w:szCs w:val="21"/>
                <w:highlight w:val="none"/>
                <w:lang w:val="en-US" w:eastAsia="zh-CN"/>
                <w14:textFill>
                  <w14:solidFill>
                    <w14:schemeClr w14:val="tx1"/>
                  </w14:solidFill>
                </w14:textFill>
              </w:rPr>
              <w:t>3</w:t>
            </w:r>
            <w:r>
              <w:rPr>
                <w:rFonts w:hint="eastAsia" w:ascii="宋体" w:hAnsi="宋体" w:eastAsia="宋体" w:cs="宋体"/>
                <w:b/>
                <w:bCs/>
                <w:color w:val="000000" w:themeColor="text1"/>
                <w:szCs w:val="21"/>
                <w:highlight w:val="none"/>
                <w14:textFill>
                  <w14:solidFill>
                    <w14:schemeClr w14:val="tx1"/>
                  </w14:solidFill>
                </w14:textFill>
              </w:rPr>
              <w:t>年、</w:t>
            </w:r>
            <w:r>
              <w:rPr>
                <w:rFonts w:hint="default" w:ascii="宋体" w:hAnsi="宋体" w:eastAsia="宋体" w:cs="宋体"/>
                <w:b/>
                <w:bCs/>
                <w:color w:val="000000" w:themeColor="text1"/>
                <w:szCs w:val="21"/>
                <w:highlight w:val="none"/>
                <w14:textFill>
                  <w14:solidFill>
                    <w14:schemeClr w14:val="tx1"/>
                  </w14:solidFill>
                </w14:textFill>
              </w:rPr>
              <w:t>202</w:t>
            </w:r>
            <w:r>
              <w:rPr>
                <w:rFonts w:hint="eastAsia" w:ascii="宋体" w:hAnsi="宋体" w:eastAsia="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szCs w:val="21"/>
                <w:highlight w:val="none"/>
                <w14:textFill>
                  <w14:solidFill>
                    <w14:schemeClr w14:val="tx1"/>
                  </w14:solidFill>
                </w14:textFill>
              </w:rPr>
              <w:t>年三个年度的财务报表，净利润以对应年度经审计的财务报表为准，应提供经独立会计师事务所审计过的有效的财务报表复印件；未提供前述财务报表或财务报表未能反映净利润的，不得分。</w:t>
            </w:r>
          </w:p>
        </w:tc>
        <w:tc>
          <w:tcPr>
            <w:tcW w:w="1098" w:type="dxa"/>
            <w:tcBorders>
              <w:top w:val="single" w:color="auto" w:sz="4" w:space="0"/>
              <w:left w:val="single" w:color="auto" w:sz="4" w:space="0"/>
              <w:bottom w:val="single" w:color="auto" w:sz="4" w:space="0"/>
              <w:right w:val="single" w:color="auto" w:sz="4" w:space="0"/>
            </w:tcBorders>
            <w:vAlign w:val="center"/>
          </w:tcPr>
          <w:p w14:paraId="05B23CB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3分</w:t>
            </w:r>
          </w:p>
        </w:tc>
      </w:tr>
      <w:tr w14:paraId="25DF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71EBA68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000000" w:themeColor="text1"/>
                <w:kern w:val="0"/>
                <w:szCs w:val="21"/>
                <w:highlight w:val="none"/>
                <w:lang w:eastAsia="zh-CN"/>
                <w14:textFill>
                  <w14:solidFill>
                    <w14:schemeClr w14:val="tx1"/>
                  </w14:solidFill>
                </w14:textFill>
              </w:rPr>
            </w:pPr>
            <w:bookmarkStart w:id="724" w:name="_Hlk104987354"/>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p>
        </w:tc>
        <w:tc>
          <w:tcPr>
            <w:tcW w:w="1170" w:type="dxa"/>
            <w:tcBorders>
              <w:top w:val="single" w:color="auto" w:sz="4" w:space="0"/>
              <w:left w:val="single" w:color="auto" w:sz="4" w:space="0"/>
              <w:bottom w:val="single" w:color="auto" w:sz="4" w:space="0"/>
              <w:right w:val="single" w:color="auto" w:sz="4" w:space="0"/>
            </w:tcBorders>
            <w:vAlign w:val="center"/>
          </w:tcPr>
          <w:p w14:paraId="50F8AD45">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业绩</w:t>
            </w:r>
          </w:p>
        </w:tc>
        <w:tc>
          <w:tcPr>
            <w:tcW w:w="7403" w:type="dxa"/>
            <w:tcBorders>
              <w:top w:val="single" w:color="auto" w:sz="4" w:space="0"/>
              <w:left w:val="single" w:color="auto" w:sz="4" w:space="0"/>
              <w:bottom w:val="single" w:color="auto" w:sz="4" w:space="0"/>
              <w:right w:val="single" w:color="auto" w:sz="4" w:space="0"/>
            </w:tcBorders>
            <w:vAlign w:val="center"/>
          </w:tcPr>
          <w:p w14:paraId="10F1974A">
            <w:pPr>
              <w:adjustRightInd/>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2023</w:t>
            </w:r>
            <w:r>
              <w:rPr>
                <w:rFonts w:hint="eastAsia" w:ascii="宋体" w:hAnsi="宋体" w:eastAsia="宋体" w:cs="宋体"/>
                <w:color w:val="000000" w:themeColor="text1"/>
                <w:sz w:val="21"/>
                <w:szCs w:val="21"/>
                <w:highlight w:val="none"/>
                <w14:textFill>
                  <w14:solidFill>
                    <w14:schemeClr w14:val="tx1"/>
                  </w14:solidFill>
                </w14:textFill>
              </w:rPr>
              <w:t>年1月1日以来（业绩的时间以合同签订的日期为准）承接的五金材料或工器具在国内的销售业绩，按下列情况评分，</w:t>
            </w:r>
            <w:r>
              <w:rPr>
                <w:rFonts w:hint="eastAsia" w:ascii="宋体" w:hAnsi="宋体" w:eastAsia="宋体" w:cs="宋体"/>
                <w:b/>
                <w:color w:val="000000" w:themeColor="text1"/>
                <w:sz w:val="21"/>
                <w:szCs w:val="21"/>
                <w:highlight w:val="none"/>
                <w14:textFill>
                  <w14:solidFill>
                    <w14:schemeClr w14:val="tx1"/>
                  </w14:solidFill>
                </w14:textFill>
              </w:rPr>
              <w:t>本项业绩评审满分</w:t>
            </w:r>
            <w:r>
              <w:rPr>
                <w:rFonts w:hint="default" w:ascii="宋体" w:hAnsi="宋体" w:eastAsia="宋体" w:cs="宋体"/>
                <w:b/>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b/>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p w14:paraId="00BA6391">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300</w:t>
            </w:r>
            <w:r>
              <w:rPr>
                <w:rFonts w:hint="eastAsia" w:ascii="宋体" w:hAnsi="宋体" w:eastAsia="宋体" w:cs="宋体"/>
                <w:color w:val="000000" w:themeColor="text1"/>
                <w:sz w:val="21"/>
                <w:szCs w:val="21"/>
                <w:highlight w:val="none"/>
                <w14:textFill>
                  <w14:solidFill>
                    <w14:schemeClr w14:val="tx1"/>
                  </w14:solidFill>
                </w14:textFill>
              </w:rPr>
              <w:t>万元的前述业绩，每项得4分。</w:t>
            </w:r>
          </w:p>
          <w:p w14:paraId="39501CED">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200</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300</w:t>
            </w:r>
            <w:r>
              <w:rPr>
                <w:rFonts w:hint="eastAsia" w:ascii="宋体" w:hAnsi="宋体" w:eastAsia="宋体" w:cs="宋体"/>
                <w:color w:val="000000" w:themeColor="text1"/>
                <w:sz w:val="21"/>
                <w:szCs w:val="21"/>
                <w:highlight w:val="none"/>
                <w14:textFill>
                  <w14:solidFill>
                    <w14:schemeClr w14:val="tx1"/>
                  </w14:solidFill>
                </w14:textFill>
              </w:rPr>
              <w:t>万元的前述业绩，每项得3分。</w:t>
            </w:r>
          </w:p>
          <w:p w14:paraId="5B03BC13">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200</w:t>
            </w:r>
            <w:r>
              <w:rPr>
                <w:rFonts w:hint="eastAsia" w:ascii="宋体" w:hAnsi="宋体" w:eastAsia="宋体" w:cs="宋体"/>
                <w:color w:val="000000" w:themeColor="text1"/>
                <w:sz w:val="21"/>
                <w:szCs w:val="21"/>
                <w:highlight w:val="none"/>
                <w14:textFill>
                  <w14:solidFill>
                    <w14:schemeClr w14:val="tx1"/>
                  </w14:solidFill>
                </w14:textFill>
              </w:rPr>
              <w:t>万元的前述业绩，每项得2分。</w:t>
            </w:r>
          </w:p>
          <w:p w14:paraId="18390C47">
            <w:pPr>
              <w:spacing w:line="360"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）20万元≤单项合同金额＜100万元的前述业绩，每项得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分，</w:t>
            </w:r>
            <w:r>
              <w:rPr>
                <w:rFonts w:hint="eastAsia" w:ascii="宋体" w:hAnsi="宋体" w:eastAsia="宋体" w:cs="宋体"/>
                <w:b/>
                <w:bCs/>
                <w:color w:val="000000" w:themeColor="text1"/>
                <w:sz w:val="21"/>
                <w:szCs w:val="21"/>
                <w:highlight w:val="none"/>
                <w:lang w:eastAsia="zh-CN"/>
                <w14:textFill>
                  <w14:solidFill>
                    <w14:schemeClr w14:val="tx1"/>
                  </w14:solidFill>
                </w14:textFill>
              </w:rPr>
              <w:t>本子项满分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lang w:eastAsia="zh-CN"/>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06352F4">
            <w:pPr>
              <w:adjustRightInd/>
              <w:spacing w:line="360" w:lineRule="auto"/>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p w14:paraId="1050E8C0">
            <w:pPr>
              <w:adjustRightInd/>
              <w:spacing w:line="360" w:lineRule="auto"/>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（1）当一份业绩同时包含五金材料及工器具物资时，只计算一次分数，不重复得分；</w:t>
            </w:r>
          </w:p>
          <w:p w14:paraId="69935CA5">
            <w:pPr>
              <w:adjustRightInd/>
              <w:spacing w:line="360" w:lineRule="auto"/>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）业绩须同时提供①五金材料或工器具销售合同复印件（合同卖方为投标人），②已供货产品任意一张发票复印件（发票开具日期须在本项目招标公告发布之日前），否则不得分；</w:t>
            </w:r>
          </w:p>
          <w:p w14:paraId="20408AD9">
            <w:pPr>
              <w:adjustRightInd/>
              <w:spacing w:line="360" w:lineRule="auto"/>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color w:val="000000" w:themeColor="text1"/>
                <w:sz w:val="21"/>
                <w:szCs w:val="21"/>
                <w:highlight w:val="none"/>
                <w14:textFill>
                  <w14:solidFill>
                    <w14:schemeClr w14:val="tx1"/>
                  </w14:solidFill>
                </w14:textFill>
              </w:rPr>
              <w:t>）若合同无法反映评分条件（合同签订日期为</w:t>
            </w:r>
            <w:r>
              <w:rPr>
                <w:rFonts w:hint="eastAsia" w:ascii="宋体" w:hAnsi="宋体" w:eastAsia="宋体" w:cs="宋体"/>
                <w:b/>
                <w:color w:val="000000" w:themeColor="text1"/>
                <w:sz w:val="21"/>
                <w:szCs w:val="21"/>
                <w:highlight w:val="none"/>
                <w:lang w:val="en-US" w:eastAsia="zh-CN"/>
                <w14:textFill>
                  <w14:solidFill>
                    <w14:schemeClr w14:val="tx1"/>
                  </w14:solidFill>
                </w14:textFill>
              </w:rPr>
              <w:t>2023</w:t>
            </w:r>
            <w:r>
              <w:rPr>
                <w:rFonts w:hint="eastAsia" w:ascii="宋体" w:hAnsi="宋体" w:eastAsia="宋体" w:cs="宋体"/>
                <w:b/>
                <w:color w:val="000000" w:themeColor="text1"/>
                <w:sz w:val="21"/>
                <w:szCs w:val="21"/>
                <w:highlight w:val="none"/>
                <w14:textFill>
                  <w14:solidFill>
                    <w14:schemeClr w14:val="tx1"/>
                  </w14:solidFill>
                </w14:textFill>
              </w:rPr>
              <w:t>年1月1日或以后，合同标的必须包含五金材料或工器具、合同金额）的，还需提供产品购买方出具的书面补充说明文件复印件作为辅助证明（补充说明文件复印件</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能显示购</w:t>
            </w:r>
            <w:r>
              <w:rPr>
                <w:rFonts w:hint="eastAsia" w:ascii="宋体" w:hAnsi="宋体" w:eastAsia="宋体" w:cs="宋体"/>
                <w:b/>
                <w:color w:val="000000" w:themeColor="text1"/>
                <w:sz w:val="21"/>
                <w:szCs w:val="21"/>
                <w:highlight w:val="none"/>
                <w14:textFill>
                  <w14:solidFill>
                    <w14:schemeClr w14:val="tx1"/>
                  </w14:solidFill>
                </w14:textFill>
              </w:rPr>
              <w:t>买方法人公章），否则不得分；</w:t>
            </w:r>
          </w:p>
          <w:p w14:paraId="2AF09338">
            <w:pPr>
              <w:tabs>
                <w:tab w:val="left" w:pos="134"/>
              </w:tabs>
              <w:spacing w:line="360" w:lineRule="auto"/>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color w:val="000000" w:themeColor="text1"/>
                <w:sz w:val="21"/>
                <w:szCs w:val="21"/>
                <w:highlight w:val="none"/>
                <w14:textFill>
                  <w14:solidFill>
                    <w14:schemeClr w14:val="tx1"/>
                  </w14:solidFill>
                </w14:textFill>
              </w:rPr>
              <w:t>）若业绩为框架式协议或资格入围无明确金额的合同，必须同时提供合同期限内已供货发票金额统计表和发票复印件；</w:t>
            </w:r>
          </w:p>
          <w:p w14:paraId="1C5C02E9">
            <w:pPr>
              <w:pStyle w:val="36"/>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eastAsia="宋体" w:cs="宋体"/>
                <w:b/>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color w:val="000000" w:themeColor="text1"/>
                <w:sz w:val="21"/>
                <w:szCs w:val="21"/>
                <w:highlight w:val="none"/>
                <w14:textFill>
                  <w14:solidFill>
                    <w14:schemeClr w14:val="tx1"/>
                  </w14:solidFill>
                </w14:textFill>
              </w:rPr>
              <w:t>）未按上述要求提供证明材料的业绩，或所附材料无法证明填报项目符合本项评分要求的业绩，在评标时将不予考虑。</w:t>
            </w:r>
          </w:p>
        </w:tc>
        <w:tc>
          <w:tcPr>
            <w:tcW w:w="1098" w:type="dxa"/>
            <w:tcBorders>
              <w:top w:val="single" w:color="auto" w:sz="4" w:space="0"/>
              <w:left w:val="single" w:color="auto" w:sz="4" w:space="0"/>
              <w:bottom w:val="single" w:color="auto" w:sz="4" w:space="0"/>
              <w:right w:val="single" w:color="auto" w:sz="4" w:space="0"/>
            </w:tcBorders>
            <w:vAlign w:val="center"/>
          </w:tcPr>
          <w:p w14:paraId="6381300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000000" w:themeColor="text1"/>
                <w:szCs w:val="24"/>
                <w:highlight w:val="none"/>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分</w:t>
            </w:r>
          </w:p>
        </w:tc>
      </w:tr>
      <w:bookmarkEnd w:id="724"/>
    </w:tbl>
    <w:p w14:paraId="5DFFC8AF">
      <w:pPr>
        <w:autoSpaceDE w:val="0"/>
        <w:autoSpaceDN w:val="0"/>
        <w:adjustRightInd w:val="0"/>
        <w:ind w:right="-26" w:firstLine="480"/>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7C52F299">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4"/>
          <w:highlight w:val="none"/>
          <w14:textFill>
            <w14:solidFill>
              <w14:schemeClr w14:val="tx1"/>
            </w14:solidFill>
          </w14:textFill>
        </w:rPr>
        <w:t>2）</w:t>
      </w:r>
      <w:r>
        <w:rPr>
          <w:rFonts w:hint="eastAsia" w:ascii="宋体" w:hAnsi="宋体" w:eastAsia="宋体" w:cs="宋体"/>
          <w:b/>
          <w:color w:val="000000" w:themeColor="text1"/>
          <w:szCs w:val="24"/>
          <w:highlight w:val="none"/>
          <w:lang w:val="zh-CN"/>
          <w14:textFill>
            <w14:solidFill>
              <w14:schemeClr w14:val="tx1"/>
            </w14:solidFill>
          </w14:textFill>
        </w:rPr>
        <w:t>技术：</w:t>
      </w:r>
      <w:r>
        <w:rPr>
          <w:rFonts w:hint="eastAsia" w:ascii="宋体" w:hAnsi="宋体" w:eastAsia="宋体" w:cs="宋体"/>
          <w:b/>
          <w:color w:val="000000" w:themeColor="text1"/>
          <w:szCs w:val="21"/>
          <w:highlight w:val="none"/>
          <w:lang w:val="zh-CN"/>
          <w14:textFill>
            <w14:solidFill>
              <w14:schemeClr w14:val="tx1"/>
            </w14:solidFill>
          </w14:textFill>
        </w:rPr>
        <w:t>总分</w:t>
      </w:r>
      <w:r>
        <w:rPr>
          <w:rFonts w:hint="default"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723"/>
    </w:p>
    <w:tbl>
      <w:tblPr>
        <w:tblStyle w:val="3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620"/>
        <w:gridCol w:w="6877"/>
        <w:gridCol w:w="1021"/>
      </w:tblGrid>
      <w:tr w14:paraId="3D3A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0" w:type="pct"/>
            <w:tcBorders>
              <w:top w:val="single" w:color="auto" w:sz="4" w:space="0"/>
              <w:left w:val="single" w:color="auto" w:sz="4" w:space="0"/>
              <w:bottom w:val="single" w:color="auto" w:sz="4" w:space="0"/>
              <w:right w:val="single" w:color="auto" w:sz="4" w:space="0"/>
            </w:tcBorders>
            <w:noWrap w:val="0"/>
            <w:vAlign w:val="center"/>
          </w:tcPr>
          <w:p w14:paraId="59611F85">
            <w:pPr>
              <w:spacing w:line="36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781" w:type="pct"/>
            <w:tcBorders>
              <w:top w:val="single" w:color="auto" w:sz="4" w:space="0"/>
              <w:left w:val="single" w:color="auto" w:sz="4" w:space="0"/>
              <w:bottom w:val="single" w:color="auto" w:sz="4" w:space="0"/>
              <w:right w:val="single" w:color="auto" w:sz="4" w:space="0"/>
            </w:tcBorders>
            <w:noWrap w:val="0"/>
            <w:vAlign w:val="center"/>
          </w:tcPr>
          <w:p w14:paraId="109F8E12">
            <w:pPr>
              <w:spacing w:line="36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评审内容</w:t>
            </w:r>
          </w:p>
        </w:tc>
        <w:tc>
          <w:tcPr>
            <w:tcW w:w="3315" w:type="pct"/>
            <w:tcBorders>
              <w:top w:val="single" w:color="auto" w:sz="4" w:space="0"/>
              <w:left w:val="single" w:color="auto" w:sz="4" w:space="0"/>
              <w:bottom w:val="single" w:color="auto" w:sz="4" w:space="0"/>
              <w:right w:val="single" w:color="auto" w:sz="4" w:space="0"/>
            </w:tcBorders>
            <w:noWrap w:val="0"/>
            <w:vAlign w:val="center"/>
          </w:tcPr>
          <w:p w14:paraId="26B889BA">
            <w:pPr>
              <w:spacing w:line="36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评审细则</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04700535">
            <w:pPr>
              <w:spacing w:line="36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满分值</w:t>
            </w:r>
          </w:p>
        </w:tc>
      </w:tr>
      <w:tr w14:paraId="1C1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0" w:type="pct"/>
            <w:tcBorders>
              <w:top w:val="single" w:color="auto" w:sz="4" w:space="0"/>
              <w:left w:val="single" w:color="auto" w:sz="4" w:space="0"/>
              <w:bottom w:val="single" w:color="auto" w:sz="4" w:space="0"/>
              <w:right w:val="single" w:color="auto" w:sz="4" w:space="0"/>
            </w:tcBorders>
            <w:noWrap w:val="0"/>
            <w:vAlign w:val="center"/>
          </w:tcPr>
          <w:p w14:paraId="2E390820">
            <w:pP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781" w:type="pct"/>
            <w:tcBorders>
              <w:top w:val="single" w:color="auto" w:sz="4" w:space="0"/>
              <w:left w:val="single" w:color="auto" w:sz="4" w:space="0"/>
              <w:bottom w:val="single" w:color="auto" w:sz="4" w:space="0"/>
              <w:right w:val="single" w:color="auto" w:sz="4" w:space="0"/>
            </w:tcBorders>
            <w:noWrap w:val="0"/>
            <w:vAlign w:val="center"/>
          </w:tcPr>
          <w:p w14:paraId="4AA18E8D">
            <w:pPr>
              <w:spacing w:line="360" w:lineRule="exact"/>
              <w:jc w:val="center"/>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用户需求响应程度</w:t>
            </w:r>
          </w:p>
        </w:tc>
        <w:tc>
          <w:tcPr>
            <w:tcW w:w="3315" w:type="pct"/>
            <w:tcBorders>
              <w:top w:val="single" w:color="auto" w:sz="4" w:space="0"/>
              <w:left w:val="single" w:color="auto" w:sz="4" w:space="0"/>
              <w:bottom w:val="single" w:color="auto" w:sz="4" w:space="0"/>
              <w:right w:val="single" w:color="auto" w:sz="4" w:space="0"/>
            </w:tcBorders>
            <w:noWrap w:val="0"/>
            <w:vAlign w:val="center"/>
          </w:tcPr>
          <w:p w14:paraId="01F7787A">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根据用户需求偏离表的偏离情况进行评审计分，完全满足用户需求的要求得满分，每一处负偏离，扣2分；同时参照其投标文件中技术资料的内容进行对比，每发现一处投标人填写为无偏离或正偏离，但评标委员会评审认定其为负偏离的，每处扣</w:t>
            </w:r>
            <w:r>
              <w:rPr>
                <w:rFonts w:hint="default" w:ascii="宋体" w:hAnsi="宋体" w:eastAsia="宋体" w:cs="宋体"/>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sz w:val="21"/>
                <w:szCs w:val="21"/>
                <w:highlight w:val="none"/>
                <w:lang w:val="zh-CN"/>
                <w14:textFill>
                  <w14:solidFill>
                    <w14:schemeClr w14:val="tx1"/>
                  </w14:solidFill>
                </w14:textFill>
              </w:rPr>
              <w:t>分；本项最低分为0分。</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7CABB4C2">
            <w:pPr>
              <w:spacing w:line="36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36F0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0" w:type="pct"/>
            <w:vMerge w:val="restart"/>
            <w:tcBorders>
              <w:top w:val="single" w:color="auto" w:sz="4" w:space="0"/>
              <w:left w:val="single" w:color="auto" w:sz="4" w:space="0"/>
              <w:right w:val="single" w:color="auto" w:sz="4" w:space="0"/>
            </w:tcBorders>
            <w:noWrap w:val="0"/>
            <w:vAlign w:val="center"/>
          </w:tcPr>
          <w:p w14:paraId="79B9048F">
            <w:pP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781" w:type="pct"/>
            <w:vMerge w:val="restart"/>
            <w:tcBorders>
              <w:top w:val="single" w:color="auto" w:sz="4" w:space="0"/>
              <w:left w:val="single" w:color="auto" w:sz="4" w:space="0"/>
              <w:right w:val="single" w:color="auto" w:sz="4" w:space="0"/>
            </w:tcBorders>
            <w:noWrap w:val="0"/>
            <w:vAlign w:val="center"/>
          </w:tcPr>
          <w:p w14:paraId="14625247">
            <w:pP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所投五金材料及工器具品牌</w:t>
            </w:r>
          </w:p>
        </w:tc>
        <w:tc>
          <w:tcPr>
            <w:tcW w:w="3315" w:type="pct"/>
            <w:tcBorders>
              <w:top w:val="single" w:color="auto" w:sz="4" w:space="0"/>
              <w:left w:val="single" w:color="auto" w:sz="4" w:space="0"/>
              <w:bottom w:val="single" w:color="auto" w:sz="4" w:space="0"/>
              <w:right w:val="single" w:color="auto" w:sz="4" w:space="0"/>
            </w:tcBorders>
            <w:noWrap w:val="0"/>
            <w:vAlign w:val="center"/>
          </w:tcPr>
          <w:p w14:paraId="0634091C">
            <w:pPr>
              <w:spacing w:line="400" w:lineRule="exac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对各投标人所投属于重要货物的五金材料及工器具（即采购清单中标▲的五金材料及工器具）的品牌与采购清单的匹配度</w:t>
            </w:r>
            <w:r>
              <w:rPr>
                <w:rFonts w:hint="eastAsia" w:ascii="宋体" w:hAnsi="宋体" w:eastAsia="宋体" w:cs="宋体"/>
                <w:color w:val="000000" w:themeColor="text1"/>
                <w:sz w:val="21"/>
                <w:szCs w:val="21"/>
                <w:highlight w:val="none"/>
                <w:lang w:val="en-US" w:eastAsia="zh-CN"/>
                <w14:textFill>
                  <w14:solidFill>
                    <w14:schemeClr w14:val="tx1"/>
                  </w14:solidFill>
                </w14:textFill>
              </w:rPr>
              <w:t>情况</w:t>
            </w:r>
            <w:r>
              <w:rPr>
                <w:rFonts w:hint="eastAsia" w:ascii="宋体" w:hAnsi="宋体" w:eastAsia="宋体" w:cs="宋体"/>
                <w:color w:val="000000" w:themeColor="text1"/>
                <w:sz w:val="21"/>
                <w:szCs w:val="21"/>
                <w:highlight w:val="none"/>
                <w14:textFill>
                  <w14:solidFill>
                    <w14:schemeClr w14:val="tx1"/>
                  </w14:solidFill>
                </w14:textFill>
              </w:rPr>
              <w:t>（投标品牌中至少有</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个品牌与推荐品牌一致即为匹配）进行</w:t>
            </w:r>
            <w:r>
              <w:rPr>
                <w:rFonts w:hint="eastAsia" w:ascii="宋体" w:hAnsi="宋体" w:eastAsia="宋体" w:cs="宋体"/>
                <w:color w:val="000000" w:themeColor="text1"/>
                <w:sz w:val="21"/>
                <w:szCs w:val="21"/>
                <w:highlight w:val="none"/>
                <w:lang w:eastAsia="zh-CN"/>
                <w14:textFill>
                  <w14:solidFill>
                    <w14:schemeClr w14:val="tx1"/>
                  </w14:solidFill>
                </w14:textFill>
              </w:rPr>
              <w:t>评审（满分</w:t>
            </w:r>
            <w:r>
              <w:rPr>
                <w:rFonts w:hint="default"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14:paraId="7BEC96C2">
            <w:pPr>
              <w:spacing w:line="36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投标人投标品牌所有标▲的</w:t>
            </w:r>
            <w:r>
              <w:rPr>
                <w:rFonts w:hint="eastAsia" w:ascii="宋体" w:hAnsi="宋体" w:eastAsia="宋体" w:cs="宋体"/>
                <w:color w:val="000000" w:themeColor="text1"/>
                <w:sz w:val="21"/>
                <w:szCs w:val="21"/>
                <w:highlight w:val="none"/>
                <w14:textFill>
                  <w14:solidFill>
                    <w14:schemeClr w14:val="tx1"/>
                  </w14:solidFill>
                </w14:textFill>
              </w:rPr>
              <w:t>五金材料及工器具</w:t>
            </w:r>
            <w:r>
              <w:rPr>
                <w:rFonts w:hint="eastAsia" w:ascii="宋体" w:hAnsi="宋体" w:eastAsia="宋体" w:cs="宋体"/>
                <w:b w:val="0"/>
                <w:bCs/>
                <w:color w:val="000000" w:themeColor="text1"/>
                <w:sz w:val="21"/>
                <w:szCs w:val="21"/>
                <w:highlight w:val="none"/>
                <w14:textFill>
                  <w14:solidFill>
                    <w14:schemeClr w14:val="tx1"/>
                  </w14:solidFill>
                </w14:textFill>
              </w:rPr>
              <w:t>都匹配的得满分。每有1项标▲的</w:t>
            </w:r>
            <w:r>
              <w:rPr>
                <w:rFonts w:hint="eastAsia" w:ascii="宋体" w:hAnsi="宋体" w:eastAsia="宋体" w:cs="宋体"/>
                <w:color w:val="000000" w:themeColor="text1"/>
                <w:sz w:val="21"/>
                <w:szCs w:val="21"/>
                <w:highlight w:val="none"/>
                <w14:textFill>
                  <w14:solidFill>
                    <w14:schemeClr w14:val="tx1"/>
                  </w14:solidFill>
                </w14:textFill>
              </w:rPr>
              <w:t>五金材料及工器具</w:t>
            </w:r>
            <w:r>
              <w:rPr>
                <w:rFonts w:hint="eastAsia" w:ascii="宋体" w:hAnsi="宋体" w:eastAsia="宋体" w:cs="宋体"/>
                <w:b w:val="0"/>
                <w:bCs/>
                <w:color w:val="000000" w:themeColor="text1"/>
                <w:sz w:val="21"/>
                <w:szCs w:val="21"/>
                <w:highlight w:val="none"/>
                <w14:textFill>
                  <w14:solidFill>
                    <w14:schemeClr w14:val="tx1"/>
                  </w14:solidFill>
                </w14:textFill>
              </w:rPr>
              <w:t>投标品牌与采购清单中推荐品牌不匹配的，扣</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 w:val="21"/>
                <w:szCs w:val="21"/>
                <w:highlight w:val="none"/>
                <w14:textFill>
                  <w14:solidFill>
                    <w14:schemeClr w14:val="tx1"/>
                  </w14:solidFill>
                </w14:textFill>
              </w:rPr>
              <w:t>分，扣完为止。</w:t>
            </w:r>
          </w:p>
          <w:p w14:paraId="0994AFAE">
            <w:pPr>
              <w:spacing w:line="360" w:lineRule="exact"/>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备注：投标人应提供【投标品牌不匹配情况汇总表】、【投标品牌表】，否则不得分。本项以【投标品牌不匹配情况汇总表】为准进行评审。</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5C02640E">
            <w:pP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026E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0" w:type="pct"/>
            <w:vMerge w:val="continue"/>
            <w:tcBorders>
              <w:left w:val="single" w:color="auto" w:sz="4" w:space="0"/>
              <w:bottom w:val="single" w:color="auto" w:sz="4" w:space="0"/>
              <w:right w:val="single" w:color="auto" w:sz="4" w:space="0"/>
            </w:tcBorders>
            <w:noWrap w:val="0"/>
            <w:vAlign w:val="center"/>
          </w:tcPr>
          <w:p w14:paraId="6E589E0E">
            <w:pP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1" w:type="pct"/>
            <w:vMerge w:val="continue"/>
            <w:tcBorders>
              <w:left w:val="single" w:color="auto" w:sz="4" w:space="0"/>
              <w:bottom w:val="single" w:color="auto" w:sz="4" w:space="0"/>
              <w:right w:val="single" w:color="auto" w:sz="4" w:space="0"/>
            </w:tcBorders>
            <w:noWrap w:val="0"/>
            <w:vAlign w:val="center"/>
          </w:tcPr>
          <w:p w14:paraId="17AA5A23">
            <w:pP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315" w:type="pct"/>
            <w:tcBorders>
              <w:top w:val="single" w:color="auto" w:sz="4" w:space="0"/>
              <w:left w:val="single" w:color="auto" w:sz="4" w:space="0"/>
              <w:bottom w:val="single" w:color="auto" w:sz="4" w:space="0"/>
              <w:right w:val="single" w:color="auto" w:sz="4" w:space="0"/>
            </w:tcBorders>
            <w:noWrap w:val="0"/>
            <w:vAlign w:val="center"/>
          </w:tcPr>
          <w:p w14:paraId="53BBA205">
            <w:pPr>
              <w:numPr>
                <w:ilvl w:val="0"/>
                <w:numId w:val="0"/>
              </w:numPr>
              <w:spacing w:line="400" w:lineRule="exac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对各投标人所投五金材料及工器具（即采购清单中未标▲的五金材料及工器具）的品牌与采购清单的匹配度</w:t>
            </w:r>
            <w:r>
              <w:rPr>
                <w:rFonts w:hint="eastAsia" w:ascii="宋体" w:hAnsi="宋体" w:eastAsia="宋体" w:cs="宋体"/>
                <w:color w:val="000000" w:themeColor="text1"/>
                <w:sz w:val="21"/>
                <w:szCs w:val="21"/>
                <w:highlight w:val="none"/>
                <w:lang w:val="en-US" w:eastAsia="zh-CN"/>
                <w14:textFill>
                  <w14:solidFill>
                    <w14:schemeClr w14:val="tx1"/>
                  </w14:solidFill>
                </w14:textFill>
              </w:rPr>
              <w:t>情况</w:t>
            </w:r>
            <w:r>
              <w:rPr>
                <w:rFonts w:hint="eastAsia" w:ascii="宋体" w:hAnsi="宋体" w:eastAsia="宋体" w:cs="宋体"/>
                <w:color w:val="000000" w:themeColor="text1"/>
                <w:sz w:val="21"/>
                <w:szCs w:val="21"/>
                <w:highlight w:val="none"/>
                <w14:textFill>
                  <w14:solidFill>
                    <w14:schemeClr w14:val="tx1"/>
                  </w14:solidFill>
                </w14:textFill>
              </w:rPr>
              <w:t>（投标品牌中至少有</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个品牌与推荐品牌一致即为匹配）进行</w:t>
            </w:r>
            <w:r>
              <w:rPr>
                <w:rFonts w:hint="eastAsia" w:ascii="宋体" w:hAnsi="宋体" w:eastAsia="宋体" w:cs="宋体"/>
                <w:color w:val="000000" w:themeColor="text1"/>
                <w:sz w:val="21"/>
                <w:szCs w:val="21"/>
                <w:highlight w:val="none"/>
                <w:lang w:eastAsia="zh-CN"/>
                <w14:textFill>
                  <w14:solidFill>
                    <w14:schemeClr w14:val="tx1"/>
                  </w14:solidFill>
                </w14:textFill>
              </w:rPr>
              <w:t>评审（满分</w:t>
            </w:r>
            <w:r>
              <w:rPr>
                <w:rFonts w:hint="default"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14:paraId="5BAE662E">
            <w:pPr>
              <w:numPr>
                <w:ilvl w:val="0"/>
                <w:numId w:val="0"/>
              </w:num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投标人投标品牌所有</w:t>
            </w:r>
            <w:r>
              <w:rPr>
                <w:rFonts w:hint="eastAsia" w:ascii="宋体" w:hAnsi="宋体" w:eastAsia="宋体" w:cs="宋体"/>
                <w:color w:val="000000" w:themeColor="text1"/>
                <w:sz w:val="21"/>
                <w:szCs w:val="21"/>
                <w:highlight w:val="none"/>
                <w:lang w:val="en-US" w:eastAsia="zh-CN"/>
                <w14:textFill>
                  <w14:solidFill>
                    <w14:schemeClr w14:val="tx1"/>
                  </w14:solidFill>
                </w14:textFill>
              </w:rPr>
              <w:t>未</w:t>
            </w:r>
            <w:r>
              <w:rPr>
                <w:rFonts w:hint="eastAsia" w:ascii="宋体" w:hAnsi="宋体" w:eastAsia="宋体" w:cs="宋体"/>
                <w:color w:val="000000" w:themeColor="text1"/>
                <w:sz w:val="21"/>
                <w:szCs w:val="21"/>
                <w:highlight w:val="none"/>
                <w14:textFill>
                  <w14:solidFill>
                    <w14:schemeClr w14:val="tx1"/>
                  </w14:solidFill>
                </w14:textFill>
              </w:rPr>
              <w:t>标▲的五金材料及工器具都匹配的得满分。每有1项</w:t>
            </w:r>
            <w:r>
              <w:rPr>
                <w:rFonts w:hint="eastAsia" w:ascii="宋体" w:hAnsi="宋体" w:eastAsia="宋体" w:cs="宋体"/>
                <w:color w:val="000000" w:themeColor="text1"/>
                <w:sz w:val="21"/>
                <w:szCs w:val="21"/>
                <w:highlight w:val="none"/>
                <w:lang w:val="en-US" w:eastAsia="zh-CN"/>
                <w14:textFill>
                  <w14:solidFill>
                    <w14:schemeClr w14:val="tx1"/>
                  </w14:solidFill>
                </w14:textFill>
              </w:rPr>
              <w:t>未</w:t>
            </w:r>
            <w:r>
              <w:rPr>
                <w:rFonts w:hint="eastAsia" w:ascii="宋体" w:hAnsi="宋体" w:eastAsia="宋体" w:cs="宋体"/>
                <w:color w:val="000000" w:themeColor="text1"/>
                <w:sz w:val="21"/>
                <w:szCs w:val="21"/>
                <w:highlight w:val="none"/>
                <w14:textFill>
                  <w14:solidFill>
                    <w14:schemeClr w14:val="tx1"/>
                  </w14:solidFill>
                </w14:textFill>
              </w:rPr>
              <w:t>标▲的五金材料及工器具投标品牌与采购清单中推荐品牌不匹配的，扣</w:t>
            </w:r>
            <w:r>
              <w:rPr>
                <w:rFonts w:hint="eastAsia" w:ascii="宋体" w:hAnsi="宋体" w:eastAsia="宋体" w:cs="宋体"/>
                <w:color w:val="000000" w:themeColor="text1"/>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sz w:val="21"/>
                <w:szCs w:val="21"/>
                <w:highlight w:val="none"/>
                <w14:textFill>
                  <w14:solidFill>
                    <w14:schemeClr w14:val="tx1"/>
                  </w14:solidFill>
                </w14:textFill>
              </w:rPr>
              <w:t>分，扣完为止。</w:t>
            </w:r>
          </w:p>
          <w:p w14:paraId="5E1C1358">
            <w:p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备注：投标人应提供【投标品牌不匹配情况汇总表】、【投标品牌表】，否则不得分。本项以【投标品牌不匹配情况汇总表】为准进行评审。</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2EEFAB00">
            <w:pP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126B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0" w:type="pct"/>
            <w:tcBorders>
              <w:top w:val="single" w:color="auto" w:sz="4" w:space="0"/>
              <w:left w:val="single" w:color="auto" w:sz="4" w:space="0"/>
              <w:bottom w:val="single" w:color="auto" w:sz="4" w:space="0"/>
              <w:right w:val="single" w:color="auto" w:sz="4" w:space="0"/>
            </w:tcBorders>
            <w:noWrap w:val="0"/>
            <w:vAlign w:val="center"/>
          </w:tcPr>
          <w:p w14:paraId="3E2CEEB8">
            <w:pP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781" w:type="pct"/>
            <w:tcBorders>
              <w:top w:val="single" w:color="auto" w:sz="4" w:space="0"/>
              <w:left w:val="single" w:color="auto" w:sz="4" w:space="0"/>
              <w:bottom w:val="single" w:color="auto" w:sz="4" w:space="0"/>
              <w:right w:val="single" w:color="auto" w:sz="4" w:space="0"/>
            </w:tcBorders>
            <w:noWrap w:val="0"/>
            <w:vAlign w:val="center"/>
          </w:tcPr>
          <w:p w14:paraId="3E55DDEC">
            <w:pP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整体供货服务流程</w:t>
            </w:r>
          </w:p>
        </w:tc>
        <w:tc>
          <w:tcPr>
            <w:tcW w:w="3315" w:type="pct"/>
            <w:tcBorders>
              <w:top w:val="single" w:color="auto" w:sz="4" w:space="0"/>
              <w:left w:val="single" w:color="auto" w:sz="4" w:space="0"/>
              <w:bottom w:val="single" w:color="auto" w:sz="4" w:space="0"/>
              <w:right w:val="single" w:color="auto" w:sz="4" w:space="0"/>
            </w:tcBorders>
            <w:noWrap w:val="0"/>
            <w:vAlign w:val="center"/>
          </w:tcPr>
          <w:p w14:paraId="2F225B4E">
            <w:p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根据投标人提供的整体供货服务流程、</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服务计划</w:t>
            </w:r>
            <w:r>
              <w:rPr>
                <w:rFonts w:hint="eastAsia" w:ascii="宋体" w:hAnsi="宋体" w:eastAsia="宋体" w:cs="宋体"/>
                <w:color w:val="000000" w:themeColor="text1"/>
                <w:sz w:val="21"/>
                <w:szCs w:val="21"/>
                <w:highlight w:val="none"/>
                <w14:textFill>
                  <w14:solidFill>
                    <w14:schemeClr w14:val="tx1"/>
                  </w14:solidFill>
                </w14:textFill>
              </w:rPr>
              <w:t>、验收方案等的科学性、合理性、可靠性进行综合评价：</w:t>
            </w:r>
          </w:p>
          <w:p w14:paraId="404B3E5C">
            <w:p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优：服务流程内容非常全面，思路清晰明确，具有很强的逻辑性，</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服务计划</w:t>
            </w:r>
            <w:r>
              <w:rPr>
                <w:rFonts w:hint="eastAsia" w:ascii="宋体" w:hAnsi="宋体" w:eastAsia="宋体" w:cs="宋体"/>
                <w:color w:val="000000" w:themeColor="text1"/>
                <w:sz w:val="21"/>
                <w:szCs w:val="21"/>
                <w:highlight w:val="none"/>
                <w14:textFill>
                  <w14:solidFill>
                    <w14:schemeClr w14:val="tx1"/>
                  </w14:solidFill>
                </w14:textFill>
              </w:rPr>
              <w:t>具有高度的科学性，可操作性极强，能切实有效地解决实际问题，验收方案完善、且进行了合理且高效的统筹安排的，得[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14:paraId="6FDF2874">
            <w:p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中：服务流程内容基本完整，思路基本清晰，</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服务计划</w:t>
            </w:r>
            <w:r>
              <w:rPr>
                <w:rFonts w:hint="eastAsia" w:ascii="宋体" w:hAnsi="宋体" w:eastAsia="宋体" w:cs="宋体"/>
                <w:color w:val="000000" w:themeColor="text1"/>
                <w:sz w:val="21"/>
                <w:szCs w:val="21"/>
                <w:highlight w:val="none"/>
                <w14:textFill>
                  <w14:solidFill>
                    <w14:schemeClr w14:val="tx1"/>
                  </w14:solidFill>
                </w14:textFill>
              </w:rPr>
              <w:t>具有一定的可行性，验收方案基本合理，但在效率或安排上可能存在一些不足，得[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14:paraId="6166FDB5">
            <w:p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差：服务流程内容存在明显的不全面之处，有较多遗漏或错误，</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服务计划</w:t>
            </w:r>
            <w:r>
              <w:rPr>
                <w:rFonts w:hint="eastAsia" w:ascii="宋体" w:hAnsi="宋体" w:eastAsia="宋体" w:cs="宋体"/>
                <w:color w:val="000000" w:themeColor="text1"/>
                <w:sz w:val="21"/>
                <w:szCs w:val="21"/>
                <w:highlight w:val="none"/>
                <w14:textFill>
                  <w14:solidFill>
                    <w14:schemeClr w14:val="tx1"/>
                  </w14:solidFill>
                </w14:textFill>
              </w:rPr>
              <w:t>存在较大偏差，导致应对措施也缺乏针对性和有效性。验收方案缺乏合理性和统筹性，无法保障整个供货流程的顺利进行，得[0,</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68856497">
            <w:pPr>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71CF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0" w:type="pct"/>
            <w:tcBorders>
              <w:top w:val="single" w:color="auto" w:sz="4" w:space="0"/>
              <w:left w:val="single" w:color="auto" w:sz="4" w:space="0"/>
              <w:bottom w:val="single" w:color="auto" w:sz="4" w:space="0"/>
              <w:right w:val="single" w:color="auto" w:sz="4" w:space="0"/>
            </w:tcBorders>
            <w:noWrap w:val="0"/>
            <w:vAlign w:val="center"/>
          </w:tcPr>
          <w:p w14:paraId="7E980D62">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781" w:type="pct"/>
            <w:tcBorders>
              <w:top w:val="single" w:color="auto" w:sz="4" w:space="0"/>
              <w:left w:val="single" w:color="auto" w:sz="4" w:space="0"/>
              <w:bottom w:val="single" w:color="auto" w:sz="4" w:space="0"/>
              <w:right w:val="single" w:color="auto" w:sz="4" w:space="0"/>
            </w:tcBorders>
            <w:noWrap w:val="0"/>
            <w:vAlign w:val="center"/>
          </w:tcPr>
          <w:p w14:paraId="0AA68E8F">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供货计划及进度保证措施方案</w:t>
            </w:r>
          </w:p>
        </w:tc>
        <w:tc>
          <w:tcPr>
            <w:tcW w:w="3315" w:type="pct"/>
            <w:tcBorders>
              <w:top w:val="single" w:color="auto" w:sz="4" w:space="0"/>
              <w:left w:val="single" w:color="auto" w:sz="4" w:space="0"/>
              <w:bottom w:val="single" w:color="auto" w:sz="4" w:space="0"/>
              <w:right w:val="single" w:color="auto" w:sz="4" w:space="0"/>
            </w:tcBorders>
            <w:noWrap w:val="0"/>
            <w:vAlign w:val="center"/>
          </w:tcPr>
          <w:p w14:paraId="3A4E33A0">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Times New Roman"/>
                <w:color w:val="000000" w:themeColor="text1"/>
                <w:kern w:val="0"/>
                <w:sz w:val="21"/>
                <w:szCs w:val="21"/>
                <w:highlight w:val="none"/>
                <w:lang w:val="zh-CN"/>
                <w14:textFill>
                  <w14:solidFill>
                    <w14:schemeClr w14:val="tx1"/>
                  </w14:solidFill>
                </w14:textFill>
              </w:rPr>
            </w:pPr>
            <w:r>
              <w:rPr>
                <w:rFonts w:hint="eastAsia" w:ascii="宋体" w:hAnsi="宋体" w:eastAsia="宋体" w:cs="Times New Roman"/>
                <w:color w:val="000000" w:themeColor="text1"/>
                <w:kern w:val="0"/>
                <w:sz w:val="21"/>
                <w:szCs w:val="21"/>
                <w:highlight w:val="none"/>
                <w:lang w:val="zh-CN"/>
                <w14:textFill>
                  <w14:solidFill>
                    <w14:schemeClr w14:val="tx1"/>
                  </w14:solidFill>
                </w14:textFill>
              </w:rPr>
              <w:t>根据投标人提供的</w:t>
            </w:r>
            <w:bookmarkStart w:id="725" w:name="_Hlk32919787"/>
            <w:r>
              <w:rPr>
                <w:rFonts w:hint="eastAsia" w:ascii="宋体" w:hAnsi="宋体" w:eastAsia="宋体" w:cs="Times New Roman"/>
                <w:color w:val="000000" w:themeColor="text1"/>
                <w:kern w:val="0"/>
                <w:sz w:val="21"/>
                <w:szCs w:val="21"/>
                <w:highlight w:val="none"/>
                <w:lang w:val="zh-CN"/>
                <w14:textFill>
                  <w14:solidFill>
                    <w14:schemeClr w14:val="tx1"/>
                  </w14:solidFill>
                </w14:textFill>
              </w:rPr>
              <w:t>供货计划、运输方案及交货时间保证措施、应急供货方案等</w:t>
            </w:r>
            <w:bookmarkEnd w:id="725"/>
            <w:r>
              <w:rPr>
                <w:rFonts w:hint="eastAsia" w:ascii="宋体" w:hAnsi="宋体" w:eastAsia="宋体" w:cs="Times New Roman"/>
                <w:color w:val="000000" w:themeColor="text1"/>
                <w:kern w:val="0"/>
                <w:sz w:val="21"/>
                <w:szCs w:val="21"/>
                <w:highlight w:val="none"/>
                <w:lang w:val="zh-CN"/>
                <w14:textFill>
                  <w14:solidFill>
                    <w14:schemeClr w14:val="tx1"/>
                  </w14:solidFill>
                </w14:textFill>
              </w:rPr>
              <w:t>，对投标人针对本项目特征的供货组织方案的可靠性、可行性、安全性等，</w:t>
            </w:r>
            <w:r>
              <w:rPr>
                <w:rFonts w:hint="default" w:ascii="宋体" w:hAnsi="宋体" w:eastAsia="宋体" w:cs="Times New Roman"/>
                <w:color w:val="000000" w:themeColor="text1"/>
                <w:kern w:val="0"/>
                <w:sz w:val="21"/>
                <w:szCs w:val="21"/>
                <w:highlight w:val="none"/>
                <w:lang w:val="zh-CN"/>
                <w14:textFill>
                  <w14:solidFill>
                    <w14:schemeClr w14:val="tx1"/>
                  </w14:solidFill>
                </w14:textFill>
              </w:rPr>
              <w:t>进行</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综合评审：</w:t>
            </w:r>
          </w:p>
          <w:p w14:paraId="0565AD7A">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Times New Roman"/>
                <w:color w:val="000000" w:themeColor="text1"/>
                <w:kern w:val="0"/>
                <w:sz w:val="21"/>
                <w:szCs w:val="21"/>
                <w:highlight w:val="none"/>
                <w:lang w:val="zh-CN"/>
                <w14:textFill>
                  <w14:solidFill>
                    <w14:schemeClr w14:val="tx1"/>
                  </w14:solidFill>
                </w14:textFill>
              </w:rPr>
            </w:pPr>
            <w:r>
              <w:rPr>
                <w:rFonts w:hint="eastAsia" w:ascii="宋体" w:hAnsi="宋体" w:eastAsia="宋体" w:cs="Times New Roman"/>
                <w:color w:val="000000" w:themeColor="text1"/>
                <w:kern w:val="0"/>
                <w:sz w:val="21"/>
                <w:szCs w:val="21"/>
                <w:highlight w:val="none"/>
                <w:lang w:val="zh-CN"/>
                <w14:textFill>
                  <w14:solidFill>
                    <w14:schemeClr w14:val="tx1"/>
                  </w14:solidFill>
                </w14:textFill>
              </w:rPr>
              <w:t>优：供货计划详细，运输方案合理，具备风险应对措施，交货时间安排紧凑且高效；可行性、安全性高；提供清晰的时间节点计划，涵盖采购、运输和交货全过程</w:t>
            </w:r>
            <w:r>
              <w:rPr>
                <w:rFonts w:hint="eastAsia" w:ascii="宋体" w:hAnsi="宋体" w:eastAsia="宋体" w:cs="Times New Roman"/>
                <w:color w:val="000000" w:themeColor="text1"/>
                <w:kern w:val="0"/>
                <w:sz w:val="21"/>
                <w:szCs w:val="21"/>
                <w:highlight w:val="none"/>
                <w:lang w:val="zh-CN" w:eastAsia="zh-CN"/>
                <w14:textFill>
                  <w14:solidFill>
                    <w14:schemeClr w14:val="tx1"/>
                  </w14:solidFill>
                </w14:textFill>
              </w:rPr>
              <w:t>，</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得</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[2,3]</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分；</w:t>
            </w:r>
          </w:p>
          <w:p w14:paraId="3C21D3FC">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Times New Roman"/>
                <w:color w:val="000000" w:themeColor="text1"/>
                <w:kern w:val="0"/>
                <w:sz w:val="21"/>
                <w:szCs w:val="21"/>
                <w:highlight w:val="none"/>
                <w:lang w:val="zh-CN"/>
                <w14:textFill>
                  <w14:solidFill>
                    <w14:schemeClr w14:val="tx1"/>
                  </w14:solidFill>
                </w14:textFill>
              </w:rPr>
            </w:pPr>
            <w:r>
              <w:rPr>
                <w:rFonts w:hint="default" w:ascii="宋体" w:hAnsi="宋体" w:eastAsia="宋体" w:cs="Times New Roman"/>
                <w:color w:val="000000" w:themeColor="text1"/>
                <w:kern w:val="0"/>
                <w:sz w:val="21"/>
                <w:szCs w:val="21"/>
                <w:highlight w:val="none"/>
                <w:lang w:val="en-US"/>
                <w14:textFill>
                  <w14:solidFill>
                    <w14:schemeClr w14:val="tx1"/>
                  </w14:solidFill>
                </w14:textFill>
              </w:rPr>
              <w:t>中</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：供货计划完整，运输方案基本合理，交货时间能满足需求；可行性和安全性一般；对可能出现的问题有初步的应对措施，但缺乏详细方案</w:t>
            </w:r>
            <w:r>
              <w:rPr>
                <w:rFonts w:hint="eastAsia" w:ascii="宋体" w:hAnsi="宋体" w:eastAsia="宋体" w:cs="Times New Roman"/>
                <w:color w:val="000000" w:themeColor="text1"/>
                <w:kern w:val="0"/>
                <w:sz w:val="21"/>
                <w:szCs w:val="21"/>
                <w:highlight w:val="none"/>
                <w:lang w:val="zh-CN" w:eastAsia="zh-CN"/>
                <w14:textFill>
                  <w14:solidFill>
                    <w14:schemeClr w14:val="tx1"/>
                  </w14:solidFill>
                </w14:textFill>
              </w:rPr>
              <w:t>，</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得</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[1,2)</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分；</w:t>
            </w:r>
          </w:p>
          <w:p w14:paraId="6006BC4B">
            <w:pPr>
              <w:spacing w:line="400" w:lineRule="exact"/>
              <w:ind w:right="0"/>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差：供货计划或运输方案内容缺失，交货时间安排存在较大风险；可行性、安全性较差；风险应对措施不足或完全没有，得</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[0,1)</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分。</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03D36722">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67F7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0" w:type="pct"/>
            <w:tcBorders>
              <w:top w:val="single" w:color="auto" w:sz="4" w:space="0"/>
              <w:left w:val="single" w:color="auto" w:sz="4" w:space="0"/>
              <w:bottom w:val="single" w:color="auto" w:sz="4" w:space="0"/>
              <w:right w:val="single" w:color="auto" w:sz="4" w:space="0"/>
            </w:tcBorders>
            <w:noWrap w:val="0"/>
            <w:vAlign w:val="center"/>
          </w:tcPr>
          <w:p w14:paraId="7371CB8D">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781" w:type="pct"/>
            <w:tcBorders>
              <w:top w:val="single" w:color="auto" w:sz="4" w:space="0"/>
              <w:left w:val="single" w:color="auto" w:sz="4" w:space="0"/>
              <w:bottom w:val="single" w:color="auto" w:sz="4" w:space="0"/>
              <w:right w:val="single" w:color="auto" w:sz="4" w:space="0"/>
            </w:tcBorders>
            <w:noWrap w:val="0"/>
            <w:vAlign w:val="center"/>
          </w:tcPr>
          <w:p w14:paraId="481A4003">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售后服务质量保证和承诺</w:t>
            </w:r>
          </w:p>
        </w:tc>
        <w:tc>
          <w:tcPr>
            <w:tcW w:w="3315" w:type="pct"/>
            <w:tcBorders>
              <w:top w:val="single" w:color="auto" w:sz="4" w:space="0"/>
              <w:left w:val="single" w:color="auto" w:sz="4" w:space="0"/>
              <w:bottom w:val="single" w:color="auto" w:sz="4" w:space="0"/>
              <w:right w:val="single" w:color="auto" w:sz="4" w:space="0"/>
            </w:tcBorders>
            <w:noWrap w:val="0"/>
            <w:vAlign w:val="center"/>
          </w:tcPr>
          <w:p w14:paraId="2CCA5F47">
            <w:pPr>
              <w:autoSpaceDE w:val="0"/>
              <w:autoSpaceDN w:val="0"/>
              <w:adjustRightInd w:val="0"/>
              <w:spacing w:line="400" w:lineRule="exact"/>
              <w:rPr>
                <w:rFonts w:hint="eastAsia" w:ascii="宋体" w:hAnsi="宋体" w:eastAsia="宋体" w:cs="Times New Roman"/>
                <w:color w:val="000000" w:themeColor="text1"/>
                <w:kern w:val="0"/>
                <w:sz w:val="21"/>
                <w:szCs w:val="21"/>
                <w:highlight w:val="none"/>
                <w:lang w:val="zh-CN" w:eastAsia="zh-CN"/>
                <w14:textFill>
                  <w14:solidFill>
                    <w14:schemeClr w14:val="tx1"/>
                  </w14:solidFill>
                </w14:textFill>
              </w:rPr>
            </w:pP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根据投标人提供</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的售后服务质量保证和承诺方案内容的完整性、可行性，售后服务机构的便利性、技术服务人员数量及水平，以及服务响应时间等方面进行</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综合评审</w:t>
            </w:r>
            <w:r>
              <w:rPr>
                <w:rFonts w:hint="eastAsia" w:ascii="宋体" w:hAnsi="宋体" w:eastAsia="宋体" w:cs="Times New Roman"/>
                <w:color w:val="000000" w:themeColor="text1"/>
                <w:kern w:val="0"/>
                <w:sz w:val="21"/>
                <w:szCs w:val="21"/>
                <w:highlight w:val="none"/>
                <w:lang w:val="zh-CN" w:eastAsia="zh-CN"/>
                <w14:textFill>
                  <w14:solidFill>
                    <w14:schemeClr w14:val="tx1"/>
                  </w14:solidFill>
                </w14:textFill>
              </w:rPr>
              <w:t>：</w:t>
            </w:r>
          </w:p>
          <w:p w14:paraId="3E9C0BEE">
            <w:pPr>
              <w:autoSpaceDE w:val="0"/>
              <w:autoSpaceDN w:val="0"/>
              <w:adjustRightInd w:val="0"/>
              <w:spacing w:line="400" w:lineRule="exact"/>
              <w:rPr>
                <w:rFonts w:hint="eastAsia" w:ascii="宋体" w:hAnsi="宋体" w:eastAsia="宋体" w:cs="Times New Roman"/>
                <w:color w:val="000000" w:themeColor="text1"/>
                <w:kern w:val="0"/>
                <w:sz w:val="21"/>
                <w:szCs w:val="21"/>
                <w:highlight w:val="none"/>
                <w:lang w:val="zh-CN"/>
                <w14:textFill>
                  <w14:solidFill>
                    <w14:schemeClr w14:val="tx1"/>
                  </w14:solidFill>
                </w14:textFill>
              </w:rPr>
            </w:pPr>
            <w:r>
              <w:rPr>
                <w:rFonts w:hint="eastAsia" w:ascii="宋体" w:hAnsi="宋体" w:eastAsia="宋体" w:cs="Times New Roman"/>
                <w:color w:val="000000" w:themeColor="text1"/>
                <w:kern w:val="0"/>
                <w:sz w:val="21"/>
                <w:szCs w:val="21"/>
                <w:highlight w:val="none"/>
                <w:lang w:val="zh-CN"/>
                <w14:textFill>
                  <w14:solidFill>
                    <w14:schemeClr w14:val="tx1"/>
                  </w14:solidFill>
                </w14:textFill>
              </w:rPr>
              <w:t>优：售后服务内容详尽，覆盖所有潜在问题并制定明确的解决措施；服务人员数量及水平能满足需求；具备明确的响应时间和处理时限，能及时解决紧急问题，得[</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]分；</w:t>
            </w:r>
          </w:p>
          <w:p w14:paraId="25D4C0C5">
            <w:pPr>
              <w:autoSpaceDE w:val="0"/>
              <w:autoSpaceDN w:val="0"/>
              <w:adjustRightInd w:val="0"/>
              <w:spacing w:line="400" w:lineRule="exact"/>
              <w:rPr>
                <w:rFonts w:hint="eastAsia" w:ascii="宋体" w:hAnsi="宋体" w:eastAsia="宋体" w:cs="Times New Roman"/>
                <w:color w:val="000000" w:themeColor="text1"/>
                <w:kern w:val="0"/>
                <w:sz w:val="21"/>
                <w:szCs w:val="21"/>
                <w:highlight w:val="none"/>
                <w:lang w:val="zh-CN"/>
                <w14:textFill>
                  <w14:solidFill>
                    <w14:schemeClr w14:val="tx1"/>
                  </w14:solidFill>
                </w14:textFill>
              </w:rPr>
            </w:pPr>
            <w:r>
              <w:rPr>
                <w:rFonts w:hint="eastAsia" w:ascii="宋体" w:hAnsi="宋体" w:eastAsia="宋体" w:cs="Times New Roman"/>
                <w:color w:val="000000" w:themeColor="text1"/>
                <w:kern w:val="0"/>
                <w:sz w:val="21"/>
                <w:szCs w:val="21"/>
                <w:highlight w:val="none"/>
                <w:lang w:val="zh-CN"/>
                <w14:textFill>
                  <w14:solidFill>
                    <w14:schemeClr w14:val="tx1"/>
                  </w14:solidFill>
                </w14:textFill>
              </w:rPr>
              <w:t>中：售后服务内容较完整，但某些特殊问题的应对措施不够详细；人员数量和水平能基本满足需求；响应时间和处理时限合理，但存在改善空间，得[</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)分；</w:t>
            </w:r>
          </w:p>
          <w:p w14:paraId="75320D96">
            <w:pPr>
              <w:autoSpaceDE w:val="0"/>
              <w:autoSpaceDN w:val="0"/>
              <w:adjustRightInd w:val="0"/>
              <w:spacing w:line="400" w:lineRule="exact"/>
              <w:ind w:left="0"/>
              <w:rPr>
                <w:rFonts w:hint="eastAsia" w:ascii="宋体" w:hAnsi="宋体" w:eastAsia="宋体" w:cs="Times New Roman"/>
                <w:color w:val="000000" w:themeColor="text1"/>
                <w:kern w:val="0"/>
                <w:sz w:val="21"/>
                <w:szCs w:val="21"/>
                <w:highlight w:val="none"/>
                <w:lang w:val="en-US"/>
                <w14:textFill>
                  <w14:solidFill>
                    <w14:schemeClr w14:val="tx1"/>
                  </w14:solidFill>
                </w14:textFill>
              </w:rPr>
            </w:pP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差：售后服务内容不完整，未能覆盖可能出现的主要问题；人员数量不足或专业能力较低；缺乏明确的响应时间和处理时限，客户问题难以及时解决，得[0,</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)分。</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5B194B56">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tc>
      </w:tr>
    </w:tbl>
    <w:p w14:paraId="7DB52F73">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备注：</w:t>
      </w:r>
    </w:p>
    <w:p w14:paraId="0A4BB887">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①表中“</w:t>
      </w:r>
      <w:r>
        <w:rPr>
          <w:rFonts w:ascii="宋体" w:hAnsi="宋体" w:eastAsia="宋体" w:cs="宋体"/>
          <w:color w:val="000000" w:themeColor="text1"/>
          <w:szCs w:val="24"/>
          <w:highlight w:val="none"/>
          <w:lang w:val="zh-CN"/>
          <w14:textFill>
            <w14:solidFill>
              <w14:schemeClr w14:val="tx1"/>
            </w14:solidFill>
          </w14:textFill>
        </w:rPr>
        <w:t>[”代表闭区间，“]”代表闭区间，如[0，1]代表该分数段范围为大于等</w:t>
      </w:r>
      <w:r>
        <w:rPr>
          <w:rFonts w:hint="eastAsia" w:ascii="宋体" w:hAnsi="宋体" w:eastAsia="宋体" w:cs="宋体"/>
          <w:color w:val="000000" w:themeColor="text1"/>
          <w:szCs w:val="24"/>
          <w:highlight w:val="none"/>
          <w:lang w:val="zh-CN"/>
          <w14:textFill>
            <w14:solidFill>
              <w14:schemeClr w14:val="tx1"/>
            </w14:solidFill>
          </w14:textFill>
        </w:rPr>
        <w:t>于</w:t>
      </w:r>
      <w:r>
        <w:rPr>
          <w:rFonts w:ascii="宋体" w:hAnsi="宋体" w:eastAsia="宋体" w:cs="宋体"/>
          <w:color w:val="000000" w:themeColor="text1"/>
          <w:szCs w:val="24"/>
          <w:highlight w:val="none"/>
          <w:lang w:val="zh-CN"/>
          <w14:textFill>
            <w14:solidFill>
              <w14:schemeClr w14:val="tx1"/>
            </w14:solidFill>
          </w14:textFill>
        </w:rPr>
        <w:t>0且小于等于1。表中“（”代表开区间，“]”代表闭区间，如（1，2]代表该分数段范</w:t>
      </w:r>
      <w:r>
        <w:rPr>
          <w:rFonts w:hint="eastAsia" w:ascii="宋体" w:hAnsi="宋体" w:eastAsia="宋体" w:cs="宋体"/>
          <w:color w:val="000000" w:themeColor="text1"/>
          <w:szCs w:val="24"/>
          <w:highlight w:val="none"/>
          <w:lang w:val="zh-CN"/>
          <w14:textFill>
            <w14:solidFill>
              <w14:schemeClr w14:val="tx1"/>
            </w14:solidFill>
          </w14:textFill>
        </w:rPr>
        <w:t>围为大于</w:t>
      </w:r>
      <w:r>
        <w:rPr>
          <w:rFonts w:ascii="宋体" w:hAnsi="宋体" w:eastAsia="宋体" w:cs="宋体"/>
          <w:color w:val="000000" w:themeColor="text1"/>
          <w:szCs w:val="24"/>
          <w:highlight w:val="none"/>
          <w:lang w:val="zh-CN"/>
          <w14:textFill>
            <w14:solidFill>
              <w14:schemeClr w14:val="tx1"/>
            </w14:solidFill>
          </w14:textFill>
        </w:rPr>
        <w:t>1且小于等于2。</w:t>
      </w:r>
    </w:p>
    <w:p w14:paraId="54F9D9CE">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default" w:ascii="宋体" w:hAnsi="宋体" w:eastAsia="宋体" w:cs="宋体"/>
          <w:color w:val="000000" w:themeColor="text1"/>
          <w:szCs w:val="24"/>
          <w:highlight w:val="none"/>
          <w:lang w:val="en-US"/>
          <w14:textFill>
            <w14:solidFill>
              <w14:schemeClr w14:val="tx1"/>
            </w14:solidFill>
          </w14:textFill>
        </w:rPr>
        <w:t>②</w:t>
      </w:r>
      <w:r>
        <w:rPr>
          <w:rFonts w:ascii="宋体" w:hAnsi="宋体" w:eastAsia="宋体" w:cs="宋体"/>
          <w:color w:val="000000" w:themeColor="text1"/>
          <w:szCs w:val="24"/>
          <w:highlight w:val="none"/>
          <w:lang w:val="zh-CN"/>
          <w14:textFill>
            <w14:solidFill>
              <w14:schemeClr w14:val="tx1"/>
            </w14:solidFill>
          </w14:textFill>
        </w:rPr>
        <w:t>分数出现小数点，保留小数点后2位，从小数点后第3位四</w:t>
      </w:r>
      <w:r>
        <w:rPr>
          <w:rFonts w:hint="eastAsia" w:ascii="宋体" w:hAnsi="宋体" w:eastAsia="宋体" w:cs="宋体"/>
          <w:color w:val="000000" w:themeColor="text1"/>
          <w:szCs w:val="24"/>
          <w:highlight w:val="none"/>
          <w:lang w:val="zh-CN"/>
          <w14:textFill>
            <w14:solidFill>
              <w14:schemeClr w14:val="tx1"/>
            </w14:solidFill>
          </w14:textFill>
        </w:rPr>
        <w:t>舍五入。</w:t>
      </w:r>
    </w:p>
    <w:p w14:paraId="1A66EE13">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default" w:ascii="宋体" w:hAnsi="宋体" w:eastAsia="宋体" w:cs="宋体"/>
          <w:b/>
          <w:color w:val="000000" w:themeColor="text1"/>
          <w:szCs w:val="24"/>
          <w:highlight w:val="none"/>
          <w:lang w:val="en-US"/>
          <w14:textFill>
            <w14:solidFill>
              <w14:schemeClr w14:val="tx1"/>
            </w14:solidFill>
          </w14:textFill>
        </w:rPr>
        <w:t>③</w:t>
      </w:r>
      <w:r>
        <w:rPr>
          <w:rFonts w:hint="eastAsia" w:ascii="宋体" w:hAnsi="宋体" w:eastAsia="宋体" w:cs="宋体"/>
          <w:b/>
          <w:color w:val="000000" w:themeColor="text1"/>
          <w:szCs w:val="24"/>
          <w:highlight w:val="none"/>
          <w:lang w:val="zh-CN"/>
          <w14:textFill>
            <w14:solidFill>
              <w14:schemeClr w14:val="tx1"/>
            </w14:solidFill>
          </w14:textFill>
        </w:rPr>
        <w:t>上述“评分项目”中按“优、中、差”区间评审的，若低于该项满分分值</w:t>
      </w:r>
      <w:r>
        <w:rPr>
          <w:rFonts w:ascii="宋体" w:hAnsi="宋体" w:eastAsia="宋体" w:cs="宋体"/>
          <w:b/>
          <w:color w:val="000000" w:themeColor="text1"/>
          <w:szCs w:val="24"/>
          <w:highlight w:val="none"/>
          <w:lang w:val="zh-CN"/>
          <w14:textFill>
            <w14:solidFill>
              <w14:schemeClr w14:val="tx1"/>
            </w14:solidFill>
          </w14:textFill>
        </w:rPr>
        <w:t>60%时，评标专家需详细填写该项低分的充分理由，例如：该项目内容存在违反国家有关标</w:t>
      </w:r>
      <w:r>
        <w:rPr>
          <w:rFonts w:hint="eastAsia" w:ascii="宋体" w:hAnsi="宋体" w:eastAsia="宋体" w:cs="宋体"/>
          <w:b/>
          <w:color w:val="000000" w:themeColor="text1"/>
          <w:szCs w:val="24"/>
          <w:highlight w:val="none"/>
          <w:lang w:val="zh-CN"/>
          <w14:textFill>
            <w14:solidFill>
              <w14:schemeClr w14:val="tx1"/>
            </w14:solidFill>
          </w14:textFill>
        </w:rPr>
        <w:t>准和规范或与项目实际不符等原则性问题。</w:t>
      </w:r>
    </w:p>
    <w:p w14:paraId="4D5FB0FA">
      <w:pPr>
        <w:autoSpaceDE w:val="0"/>
        <w:autoSpaceDN w:val="0"/>
        <w:adjustRightInd w:val="0"/>
        <w:spacing w:line="360" w:lineRule="auto"/>
        <w:ind w:left="420" w:leftChars="200" w:firstLine="422" w:firstLineChars="200"/>
        <w:rPr>
          <w:rFonts w:hint="eastAsia" w:ascii="宋体" w:hAnsi="宋体" w:eastAsia="宋体" w:cs="宋体"/>
          <w:b/>
          <w:color w:val="000000" w:themeColor="text1"/>
          <w:szCs w:val="24"/>
          <w:highlight w:val="none"/>
          <w:lang w:val="en-US" w:eastAsia="zh-CN"/>
          <w14:textFill>
            <w14:solidFill>
              <w14:schemeClr w14:val="tx1"/>
            </w14:solidFill>
          </w14:textFill>
        </w:rPr>
      </w:pPr>
      <w:r>
        <w:rPr>
          <w:rFonts w:hint="default" w:ascii="宋体" w:hAnsi="宋体" w:eastAsia="宋体" w:cs="宋体"/>
          <w:b/>
          <w:color w:val="000000" w:themeColor="text1"/>
          <w:szCs w:val="24"/>
          <w:highlight w:val="none"/>
          <w:lang w:val="en-US" w:eastAsia="zh-CN"/>
          <w14:textFill>
            <w14:solidFill>
              <w14:schemeClr w14:val="tx1"/>
            </w14:solidFill>
          </w14:textFill>
        </w:rPr>
        <w:t>④</w:t>
      </w:r>
      <w:r>
        <w:rPr>
          <w:rFonts w:hint="eastAsia" w:ascii="宋体" w:hAnsi="宋体" w:eastAsia="宋体" w:cs="宋体"/>
          <w:b/>
          <w:color w:val="000000" w:themeColor="text1"/>
          <w:kern w:val="0"/>
          <w:szCs w:val="21"/>
          <w:highlight w:val="none"/>
          <w:lang w:val="zh-CN"/>
          <w14:textFill>
            <w14:solidFill>
              <w14:schemeClr w14:val="tx1"/>
            </w14:solidFill>
          </w14:textFill>
        </w:rPr>
        <w:t>对</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于各</w:t>
      </w:r>
      <w:r>
        <w:rPr>
          <w:rFonts w:hint="eastAsia" w:ascii="宋体" w:hAnsi="宋体" w:eastAsia="宋体" w:cs="宋体"/>
          <w:b/>
          <w:color w:val="000000" w:themeColor="text1"/>
          <w:kern w:val="0"/>
          <w:szCs w:val="21"/>
          <w:highlight w:val="none"/>
          <w:lang w:val="zh-CN"/>
          <w14:textFill>
            <w14:solidFill>
              <w14:schemeClr w14:val="tx1"/>
            </w14:solidFill>
          </w14:textFill>
        </w:rPr>
        <w:t>评标委员会成员</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存在客观分打分不一致时</w:t>
      </w:r>
      <w:r>
        <w:rPr>
          <w:rFonts w:hint="eastAsia" w:ascii="宋体" w:hAnsi="宋体" w:eastAsia="宋体" w:cs="宋体"/>
          <w:b/>
          <w:color w:val="000000" w:themeColor="text1"/>
          <w:kern w:val="0"/>
          <w:szCs w:val="21"/>
          <w:highlight w:val="none"/>
          <w:lang w:val="zh-CN"/>
          <w14:textFill>
            <w14:solidFill>
              <w14:schemeClr w14:val="tx1"/>
            </w14:solidFill>
          </w14:textFill>
        </w:rPr>
        <w:t>,根据少数服</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多数的原则，以记名方式表决</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确定该项的评分。</w:t>
      </w:r>
    </w:p>
    <w:p w14:paraId="0743C161">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（3）价格评分方法</w:t>
      </w:r>
    </w:p>
    <w:p w14:paraId="36043D10">
      <w:pPr>
        <w:spacing w:line="360" w:lineRule="auto"/>
        <w:ind w:left="480" w:firstLine="211" w:firstLineChars="100"/>
        <w:rPr>
          <w:rFonts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kern w:val="0"/>
          <w:szCs w:val="28"/>
          <w:highlight w:val="none"/>
          <w:lang w:val="zh-CN"/>
          <w14:textFill>
            <w14:solidFill>
              <w14:schemeClr w14:val="tx1"/>
            </w14:solidFill>
          </w14:textFill>
        </w:rPr>
        <w:t xml:space="preserve">1）经济文件的符合性审查 </w:t>
      </w:r>
    </w:p>
    <w:p w14:paraId="117DA1E4">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59FC6DFD">
      <w:pPr>
        <w:autoSpaceDE w:val="0"/>
        <w:autoSpaceDN w:val="0"/>
        <w:adjustRightInd w:val="0"/>
        <w:spacing w:line="360" w:lineRule="auto"/>
        <w:ind w:left="420" w:leftChars="200" w:firstLine="420" w:firstLineChars="200"/>
        <w:rPr>
          <w:rFonts w:hint="eastAsia" w:ascii="宋体" w:hAnsi="宋体" w:eastAsia="宋体" w:cs="宋体"/>
          <w:b/>
          <w:color w:val="000000" w:themeColor="text1"/>
          <w:szCs w:val="24"/>
          <w:highlight w:val="none"/>
          <w:u w:val="singl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若投标人出现超低报价，</w:t>
      </w:r>
      <w:r>
        <w:rPr>
          <w:rFonts w:hint="eastAsia" w:ascii="宋体" w:hAnsi="宋体" w:eastAsia="宋体" w:cs="宋体"/>
          <w:color w:val="000000" w:themeColor="text1"/>
          <w:kern w:val="0"/>
          <w:szCs w:val="21"/>
          <w:highlight w:val="none"/>
          <w14:textFill>
            <w14:solidFill>
              <w14:schemeClr w14:val="tx1"/>
            </w14:solidFill>
          </w14:textFill>
        </w:rPr>
        <w:t>有可能影响服务质量和不能诚信履约的，</w:t>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1"/>
          <w:highlight w:val="none"/>
          <w:lang w:val="zh-CN"/>
          <w14:textFill>
            <w14:solidFill>
              <w14:schemeClr w14:val="tx1"/>
            </w14:solidFill>
          </w14:textFill>
        </w:rPr>
        <w:t>将要求该投标人作出书面说明并提供相关证明材料，</w:t>
      </w:r>
      <w:r>
        <w:rPr>
          <w:rFonts w:hint="eastAsia" w:ascii="宋体" w:hAnsi="宋体" w:eastAsia="宋体" w:cs="宋体"/>
          <w:color w:val="000000" w:themeColor="text1"/>
          <w:szCs w:val="24"/>
          <w:highlight w:val="none"/>
          <w:lang w:val="zh-CN"/>
          <w14:textFill>
            <w14:solidFill>
              <w14:schemeClr w14:val="tx1"/>
            </w14:solidFill>
          </w14:textFill>
        </w:rPr>
        <w:t>以确定投标人是否以低于企业成本价报价。</w:t>
      </w:r>
      <w:r>
        <w:rPr>
          <w:rFonts w:hint="eastAsia" w:ascii="宋体" w:hAnsi="宋体" w:eastAsia="宋体" w:cs="宋体"/>
          <w:b/>
          <w:color w:val="000000" w:themeColor="text1"/>
          <w:szCs w:val="24"/>
          <w:highlight w:val="none"/>
          <w:u w:val="single"/>
          <w:lang w:val="zh-CN"/>
          <w14:textFill>
            <w14:solidFill>
              <w14:schemeClr w14:val="tx1"/>
            </w14:solidFill>
          </w14:textFill>
        </w:rPr>
        <w:t>若投标人不能合理说明或不能提供相关证明材料的，评标委员会将认定其投标报价低于成本，同时否决其投标。</w:t>
      </w:r>
    </w:p>
    <w:p w14:paraId="1A87AC71">
      <w:pPr>
        <w:spacing w:line="360" w:lineRule="auto"/>
        <w:ind w:left="420" w:leftChars="200" w:firstLine="422" w:firstLineChars="20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对是否低于企业成本价报价的事宜有争议的投标文件,评标委员会成员将以记名方式表决,根据少数服</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多数的原则，获多数表决通过的投标人才有资格进入下一阶段的评审,否则将按无效投标处理。</w:t>
      </w:r>
    </w:p>
    <w:p w14:paraId="5D5657CC">
      <w:pPr>
        <w:spacing w:line="360" w:lineRule="auto"/>
        <w:ind w:left="480" w:firstLine="211" w:firstLineChars="10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lang w:val="zh-CN"/>
          <w14:textFill>
            <w14:solidFill>
              <w14:schemeClr w14:val="tx1"/>
            </w14:solidFill>
          </w14:textFill>
        </w:rPr>
        <w:t>2</w:t>
      </w:r>
      <w:r>
        <w:rPr>
          <w:rFonts w:hint="eastAsia" w:ascii="宋体" w:hAnsi="宋体" w:eastAsia="宋体" w:cs="宋体"/>
          <w:b/>
          <w:bCs/>
          <w:color w:val="000000" w:themeColor="text1"/>
          <w:kern w:val="0"/>
          <w:szCs w:val="21"/>
          <w:highlight w:val="none"/>
          <w:lang w:val="zh-CN"/>
          <w14:textFill>
            <w14:solidFill>
              <w14:schemeClr w14:val="tx1"/>
            </w14:solidFill>
          </w14:textFill>
        </w:rPr>
        <w:t>）</w:t>
      </w:r>
      <w:r>
        <w:rPr>
          <w:rFonts w:hint="eastAsia" w:ascii="宋体" w:hAnsi="宋体" w:eastAsia="宋体" w:cs="宋体"/>
          <w:b/>
          <w:bCs/>
          <w:color w:val="000000" w:themeColor="text1"/>
          <w:kern w:val="0"/>
          <w:szCs w:val="28"/>
          <w:highlight w:val="none"/>
          <w:lang w:val="zh-CN"/>
          <w14:textFill>
            <w14:solidFill>
              <w14:schemeClr w14:val="tx1"/>
            </w14:solidFill>
          </w14:textFill>
        </w:rPr>
        <w:t>价格评分</w:t>
      </w:r>
      <w:r>
        <w:rPr>
          <w:rFonts w:hint="eastAsia" w:ascii="宋体" w:hAnsi="宋体" w:eastAsia="宋体" w:cs="宋体"/>
          <w:b/>
          <w:bCs/>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val="zh-CN"/>
          <w14:textFill>
            <w14:solidFill>
              <w14:schemeClr w14:val="tx1"/>
            </w14:solidFill>
          </w14:textFill>
        </w:rPr>
        <w:t>总分</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50</w:t>
      </w:r>
      <w:r>
        <w:rPr>
          <w:rFonts w:hint="eastAsia" w:ascii="宋体" w:hAnsi="宋体" w:eastAsia="宋体" w:cs="宋体"/>
          <w:b/>
          <w:bCs/>
          <w:color w:val="000000" w:themeColor="text1"/>
          <w:kern w:val="0"/>
          <w:szCs w:val="21"/>
          <w:highlight w:val="none"/>
          <w:lang w:val="zh-CN"/>
          <w14:textFill>
            <w14:solidFill>
              <w14:schemeClr w14:val="tx1"/>
            </w14:solidFill>
          </w14:textFill>
        </w:rPr>
        <w:t>分</w:t>
      </w:r>
    </w:p>
    <w:p w14:paraId="0256E5B6">
      <w:pPr>
        <w:autoSpaceDN w:val="0"/>
        <w:adjustRightInd w:val="0"/>
        <w:snapToGrid w:val="0"/>
        <w:spacing w:line="360" w:lineRule="auto"/>
        <w:ind w:left="420" w:leftChars="10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A、根据有效投标人的投标“折扣系数”，最低投标“折扣系数”作为基准系数（Y）。投标人投标“折扣系数”（X）等于基准系数的得满分</w:t>
      </w:r>
      <w:r>
        <w:rPr>
          <w:rFonts w:hint="eastAsia" w:ascii="宋体" w:hAnsi="宋体" w:eastAsia="宋体" w:cs="宋体"/>
          <w:color w:val="000000" w:themeColor="text1"/>
          <w:kern w:val="0"/>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Cs w:val="21"/>
          <w:highlight w:val="none"/>
          <w14:textFill>
            <w14:solidFill>
              <w14:schemeClr w14:val="tx1"/>
            </w14:solidFill>
          </w14:textFill>
        </w:rPr>
        <w:t>分，其他投标人的价格得分统一按照下列公式计算：</w:t>
      </w:r>
    </w:p>
    <w:p w14:paraId="1A236F83">
      <w:pPr>
        <w:autoSpaceDN w:val="0"/>
        <w:adjustRightInd w:val="0"/>
        <w:snapToGrid w:val="0"/>
        <w:spacing w:line="360" w:lineRule="auto"/>
        <w:ind w:left="420" w:leftChars="100" w:hanging="210" w:hangingChars="100"/>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价格得分=（基准系数／投标“折扣系数”）×</w:t>
      </w:r>
      <w:r>
        <w:rPr>
          <w:rFonts w:hint="eastAsia" w:ascii="宋体" w:hAnsi="宋体" w:eastAsia="宋体" w:cs="宋体"/>
          <w:color w:val="000000" w:themeColor="text1"/>
          <w:kern w:val="0"/>
          <w:szCs w:val="21"/>
          <w:highlight w:val="none"/>
          <w:lang w:val="en-US" w:eastAsia="zh-CN"/>
          <w14:textFill>
            <w14:solidFill>
              <w14:schemeClr w14:val="tx1"/>
            </w14:solidFill>
          </w14:textFill>
        </w:rPr>
        <w:t>50</w:t>
      </w:r>
    </w:p>
    <w:p w14:paraId="44344DEA">
      <w:pPr>
        <w:autoSpaceDN w:val="0"/>
        <w:adjustRightInd w:val="0"/>
        <w:snapToGrid w:val="0"/>
        <w:spacing w:line="360" w:lineRule="auto"/>
        <w:ind w:firstLine="210" w:firstLineChars="1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B、分数出现小数点，保留小数点后2位，从小数点后第3位四舍五入。</w:t>
      </w:r>
    </w:p>
    <w:p w14:paraId="0E30D729">
      <w:pPr>
        <w:tabs>
          <w:tab w:val="left" w:pos="585"/>
        </w:tabs>
        <w:autoSpaceDE w:val="0"/>
        <w:autoSpaceDN w:val="0"/>
        <w:adjustRightInd w:val="0"/>
        <w:spacing w:line="400" w:lineRule="exact"/>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（4）综合得分</w:t>
      </w:r>
    </w:p>
    <w:p w14:paraId="28C1C73E">
      <w:pPr>
        <w:spacing w:line="400" w:lineRule="exact"/>
        <w:ind w:firstLine="848" w:firstLineChars="404"/>
        <w:rPr>
          <w:rFonts w:ascii="宋体" w:hAnsi="宋体" w:eastAsia="宋体" w:cs="宋体"/>
          <w:color w:val="000000" w:themeColor="text1"/>
          <w:kern w:val="0"/>
          <w:szCs w:val="28"/>
          <w:highlight w:val="none"/>
          <w:lang w:val="zh-CN"/>
          <w14:textFill>
            <w14:solidFill>
              <w14:schemeClr w14:val="tx1"/>
            </w14:solidFill>
          </w14:textFill>
        </w:rPr>
      </w:pPr>
      <w:bookmarkStart w:id="726" w:name="_Toc31624_WPSOffice_Level2"/>
      <w:r>
        <w:rPr>
          <w:rFonts w:hint="eastAsia" w:ascii="宋体" w:hAnsi="宋体" w:eastAsia="宋体" w:cs="宋体"/>
          <w:color w:val="000000" w:themeColor="text1"/>
          <w:kern w:val="0"/>
          <w:szCs w:val="28"/>
          <w:highlight w:val="none"/>
          <w:lang w:val="zh-CN"/>
          <w14:textFill>
            <w14:solidFill>
              <w14:schemeClr w14:val="tx1"/>
            </w14:solidFill>
          </w14:textFill>
        </w:rPr>
        <w:t>评标总得分=F1＋F2＋……+Fn</w:t>
      </w:r>
      <w:bookmarkEnd w:id="726"/>
    </w:p>
    <w:p w14:paraId="13BF1FC4">
      <w:pPr>
        <w:widowControl/>
        <w:autoSpaceDE w:val="0"/>
        <w:autoSpaceDN w:val="0"/>
        <w:adjustRightInd w:val="0"/>
        <w:spacing w:line="400" w:lineRule="exact"/>
        <w:ind w:firstLine="840" w:firstLineChars="400"/>
        <w:jc w:val="left"/>
        <w:rPr>
          <w:rFonts w:ascii="宋体" w:hAnsi="宋体" w:eastAsia="宋体" w:cs="宋体"/>
          <w:color w:val="000000" w:themeColor="text1"/>
          <w:kern w:val="0"/>
          <w:szCs w:val="21"/>
          <w:highlight w:val="none"/>
          <w14:textFill>
            <w14:solidFill>
              <w14:schemeClr w14:val="tx1"/>
            </w14:solidFill>
          </w14:textFill>
        </w:rPr>
      </w:pPr>
      <w:bookmarkStart w:id="727" w:name="_Toc13236_WPSOffice_Level2"/>
      <w:r>
        <w:rPr>
          <w:rFonts w:hint="eastAsia" w:ascii="宋体" w:hAnsi="宋体" w:eastAsia="宋体" w:cs="宋体"/>
          <w:color w:val="000000" w:themeColor="text1"/>
          <w:kern w:val="0"/>
          <w:szCs w:val="21"/>
          <w:highlight w:val="none"/>
          <w14:textFill>
            <w14:solidFill>
              <w14:schemeClr w14:val="tx1"/>
            </w14:solidFill>
          </w14:textFill>
        </w:rPr>
        <w:t>F1、F2、……Fn分别为各项评分因素的得分</w:t>
      </w:r>
      <w:bookmarkEnd w:id="727"/>
      <w:r>
        <w:rPr>
          <w:rFonts w:hint="eastAsia" w:ascii="宋体" w:hAnsi="宋体" w:eastAsia="宋体" w:cs="宋体"/>
          <w:color w:val="000000" w:themeColor="text1"/>
          <w:kern w:val="0"/>
          <w:szCs w:val="21"/>
          <w:highlight w:val="none"/>
          <w14:textFill>
            <w14:solidFill>
              <w14:schemeClr w14:val="tx1"/>
            </w14:solidFill>
          </w14:textFill>
        </w:rPr>
        <w:t>。</w:t>
      </w:r>
    </w:p>
    <w:p w14:paraId="0000EF7F">
      <w:pPr>
        <w:autoSpaceDE w:val="0"/>
        <w:autoSpaceDN w:val="0"/>
        <w:adjustRightInd w:val="0"/>
        <w:spacing w:line="360" w:lineRule="auto"/>
        <w:ind w:left="564" w:leftChars="1" w:hanging="562" w:hangingChars="200"/>
        <w:rPr>
          <w:rFonts w:ascii="宋体" w:hAnsi="宋体" w:eastAsia="宋体" w:cs="宋体"/>
          <w:b/>
          <w:bCs/>
          <w:color w:val="000000" w:themeColor="text1"/>
          <w:sz w:val="28"/>
          <w:szCs w:val="28"/>
          <w:highlight w:val="none"/>
          <w14:textFill>
            <w14:solidFill>
              <w14:schemeClr w14:val="tx1"/>
            </w14:solidFill>
          </w14:textFill>
        </w:rPr>
      </w:pPr>
    </w:p>
    <w:p w14:paraId="08E8AACB">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728" w:name="_Toc518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五、推荐中标人</w:t>
      </w:r>
      <w:bookmarkEnd w:id="728"/>
    </w:p>
    <w:p w14:paraId="61B406CF">
      <w:pPr>
        <w:autoSpaceDE w:val="0"/>
        <w:autoSpaceDN w:val="0"/>
        <w:adjustRightInd w:val="0"/>
        <w:spacing w:line="360" w:lineRule="auto"/>
        <w:ind w:left="420" w:hanging="420" w:hangingChars="2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13</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4"/>
          <w:highlight w:val="none"/>
          <w:lang w:val="zh-CN"/>
          <w14:textFill>
            <w14:solidFill>
              <w14:schemeClr w14:val="tx1"/>
            </w14:solidFill>
          </w14:textFill>
        </w:rPr>
        <w:t>评标委员会按评审后得分由高到低顺序排列</w:t>
      </w:r>
      <w:r>
        <w:rPr>
          <w:rFonts w:hint="eastAsia" w:ascii="宋体" w:hAnsi="宋体" w:eastAsia="宋体" w:cs="Times New Roman"/>
          <w:color w:val="000000" w:themeColor="text1"/>
          <w:kern w:val="0"/>
          <w:szCs w:val="21"/>
          <w:highlight w:val="none"/>
          <w14:textFill>
            <w14:solidFill>
              <w14:schemeClr w14:val="tx1"/>
            </w14:solidFill>
          </w14:textFill>
        </w:rPr>
        <w:t>，并向招标人推荐最后综合得分最高的前二名投标人为中标候选人（最后综合得分排名第一、第二的投标人分别为第一、第二中标候选人），招标人将确定第一中标候选人为中标人。</w:t>
      </w:r>
    </w:p>
    <w:p w14:paraId="50FBAA9A">
      <w:pPr>
        <w:autoSpaceDE w:val="0"/>
        <w:autoSpaceDN w:val="0"/>
        <w:adjustRightInd w:val="0"/>
        <w:spacing w:line="360" w:lineRule="auto"/>
        <w:ind w:left="420" w:leftChars="200" w:firstLine="420" w:firstLineChars="200"/>
        <w:jc w:val="left"/>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如果有两个或以上的投标人的最后综合得分相同，则在最后综合得分相同的投标人中按投标报价</w:t>
      </w:r>
      <w:r>
        <w:rPr>
          <w:rFonts w:hint="eastAsia" w:ascii="宋体" w:hAnsi="宋体" w:eastAsia="宋体" w:cs="Times New Roman"/>
          <w:color w:val="000000" w:themeColor="text1"/>
          <w:kern w:val="0"/>
          <w:szCs w:val="21"/>
          <w:highlight w:val="none"/>
          <w:lang w:val="zh-CN"/>
          <w14:textFill>
            <w14:solidFill>
              <w14:schemeClr w14:val="tx1"/>
            </w14:solidFill>
          </w14:textFill>
        </w:rPr>
        <w:t>由低到高顺序排出次序，报价低的排前，报价高的排后。</w:t>
      </w:r>
      <w:r>
        <w:rPr>
          <w:rFonts w:hint="eastAsia" w:ascii="宋体" w:hAnsi="宋体" w:eastAsia="宋体" w:cs="Times New Roman"/>
          <w:color w:val="000000" w:themeColor="text1"/>
          <w:kern w:val="0"/>
          <w:szCs w:val="21"/>
          <w:highlight w:val="none"/>
          <w14:textFill>
            <w14:solidFill>
              <w14:schemeClr w14:val="tx1"/>
            </w14:solidFill>
          </w14:textFill>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07E74C08">
      <w:pPr>
        <w:widowControl/>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58CED17C">
      <w:pPr>
        <w:autoSpaceDE w:val="0"/>
        <w:autoSpaceDN w:val="0"/>
        <w:adjustRightInd w:val="0"/>
        <w:spacing w:line="360" w:lineRule="auto"/>
        <w:ind w:left="185" w:leftChars="88" w:firstLine="3443" w:firstLineChars="1225"/>
        <w:rPr>
          <w:rFonts w:ascii="宋体" w:hAnsi="宋体" w:eastAsia="宋体" w:cs="宋体"/>
          <w:b/>
          <w:bCs/>
          <w:color w:val="000000" w:themeColor="text1"/>
          <w:sz w:val="28"/>
          <w:szCs w:val="28"/>
          <w:highlight w:val="none"/>
          <w:lang w:val="zh-CN"/>
          <w14:textFill>
            <w14:solidFill>
              <w14:schemeClr w14:val="tx1"/>
            </w14:solidFill>
          </w14:textFill>
        </w:rPr>
      </w:pPr>
      <w:bookmarkStart w:id="729" w:name="_Toc22724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六、编写评标报告</w:t>
      </w:r>
      <w:bookmarkEnd w:id="729"/>
    </w:p>
    <w:p w14:paraId="61C2E4D0">
      <w:pPr>
        <w:autoSpaceDE w:val="0"/>
        <w:autoSpaceDN w:val="0"/>
        <w:adjustRightInd w:val="0"/>
        <w:spacing w:line="360" w:lineRule="auto"/>
        <w:ind w:left="420" w:hanging="420" w:hangingChars="200"/>
        <w:jc w:val="left"/>
        <w:rPr>
          <w:rFonts w:ascii="宋体" w:hAnsi="宋体" w:eastAsia="宋体" w:cs="宋体"/>
          <w:b/>
          <w:bCs/>
          <w:color w:val="000000" w:themeColor="text1"/>
          <w:szCs w:val="32"/>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zh-CN"/>
          <w14:textFill>
            <w14:solidFill>
              <w14:schemeClr w14:val="tx1"/>
            </w14:solidFill>
          </w14:textFill>
        </w:rPr>
        <w:t>、评标委员会根据评审结果撰写评标报告。评标报告是评标委员会根据全体评标委员会成员签字的原始评审记录和评审结果编写的报告，其主要内容包括：</w:t>
      </w:r>
    </w:p>
    <w:p w14:paraId="08847E0A">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（1）开标邀请时间、开标日期和地点；</w:t>
      </w:r>
    </w:p>
    <w:p w14:paraId="18151BD0">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（2）投标人名单和评标委员会成员名单；</w:t>
      </w:r>
    </w:p>
    <w:p w14:paraId="7D69CE95">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（3）开标评审方法和标准；</w:t>
      </w:r>
    </w:p>
    <w:p w14:paraId="538C1F62">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（4）开标评审记录和评审情况及说明，包括投标无效投标人名单及原因；</w:t>
      </w:r>
    </w:p>
    <w:p w14:paraId="0084E00E">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（5）评审结果和中标候选投标人排序表；</w:t>
      </w:r>
    </w:p>
    <w:p w14:paraId="76AFF731">
      <w:pPr>
        <w:autoSpaceDE w:val="0"/>
        <w:autoSpaceDN w:val="0"/>
        <w:adjustRightInd w:val="0"/>
        <w:spacing w:line="360" w:lineRule="auto"/>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（6）评标委员会的推荐</w:t>
      </w:r>
      <w:r>
        <w:rPr>
          <w:rFonts w:hint="eastAsia" w:ascii="宋体" w:hAnsi="宋体" w:eastAsia="宋体" w:cs="宋体"/>
          <w:color w:val="000000" w:themeColor="text1"/>
          <w:szCs w:val="24"/>
          <w:highlight w:val="none"/>
          <w:lang w:val="zh-CN"/>
          <w14:textFill>
            <w14:solidFill>
              <w14:schemeClr w14:val="tx1"/>
            </w14:solidFill>
          </w14:textFill>
        </w:rPr>
        <w:t>建议。</w:t>
      </w:r>
    </w:p>
    <w:p w14:paraId="709FCFD4">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p>
    <w:p w14:paraId="1645B5D5">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730" w:name="_Toc23773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七、注意事项</w:t>
      </w:r>
      <w:bookmarkEnd w:id="730"/>
    </w:p>
    <w:p w14:paraId="57F88D57">
      <w:pPr>
        <w:autoSpaceDE w:val="0"/>
        <w:autoSpaceDN w:val="0"/>
        <w:adjustRightInd w:val="0"/>
        <w:spacing w:line="360" w:lineRule="auto"/>
        <w:ind w:left="420"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5</w:t>
      </w:r>
      <w:r>
        <w:rPr>
          <w:rFonts w:hint="eastAsia" w:ascii="宋体" w:hAnsi="宋体" w:eastAsia="宋体" w:cs="宋体"/>
          <w:color w:val="000000" w:themeColor="text1"/>
          <w:szCs w:val="24"/>
          <w:highlight w:val="none"/>
          <w:lang w:val="zh-CN"/>
          <w14:textFill>
            <w14:solidFill>
              <w14:schemeClr w14:val="tx1"/>
            </w14:solidFill>
          </w14:textFill>
        </w:rPr>
        <w:t>、为确保评审工作的顺利进行，防止因泄密或其它意外而造成的不良后果及影响，凡参加评审工作的人员都必须认真执行本规定：</w:t>
      </w:r>
    </w:p>
    <w:p w14:paraId="7D6A2918">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（1）在评审工作期间，所有分发的投标文件、资料等仅限于在评审场所中使用，不得带往其它地方，所有的招标文件、投标文件、资料等一律编号登记；</w:t>
      </w:r>
    </w:p>
    <w:p w14:paraId="5FCD0B8B">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（2）评审人员及工作人员不得在公共场合谈论有关评审内容；</w:t>
      </w:r>
    </w:p>
    <w:p w14:paraId="52457A79">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3DB3C9D">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如有需要举行</w:t>
      </w:r>
      <w:r>
        <w:rPr>
          <w:rFonts w:hint="eastAsia" w:ascii="宋体" w:hAnsi="宋体" w:eastAsia="宋体" w:cs="宋体"/>
          <w:color w:val="000000" w:themeColor="text1"/>
          <w:szCs w:val="24"/>
          <w:highlight w:val="none"/>
          <w:lang w:val="zh-CN"/>
          <w14:textFill>
            <w14:solidFill>
              <w14:schemeClr w14:val="tx1"/>
            </w14:solidFill>
          </w14:textFill>
        </w:rPr>
        <w:t>澄清会</w:t>
      </w:r>
      <w:r>
        <w:rPr>
          <w:rFonts w:hint="eastAsia" w:ascii="宋体" w:hAnsi="宋体" w:eastAsia="宋体" w:cs="宋体"/>
          <w:color w:val="000000" w:themeColor="text1"/>
          <w:szCs w:val="24"/>
          <w:highlight w:val="none"/>
          <w:lang w:val="en-US" w:eastAsia="zh-CN"/>
          <w14:textFill>
            <w14:solidFill>
              <w14:schemeClr w14:val="tx1"/>
            </w14:solidFill>
          </w14:textFill>
        </w:rPr>
        <w:t>，</w:t>
      </w:r>
      <w:r>
        <w:rPr>
          <w:rFonts w:hint="eastAsia" w:ascii="宋体" w:hAnsi="宋体" w:eastAsia="宋体" w:cs="宋体"/>
          <w:color w:val="000000" w:themeColor="text1"/>
          <w:szCs w:val="24"/>
          <w:highlight w:val="none"/>
          <w:lang w:val="zh-CN"/>
          <w14:textFill>
            <w14:solidFill>
              <w14:schemeClr w14:val="tx1"/>
            </w14:solidFill>
          </w14:textFill>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8C61739">
      <w:pPr>
        <w:widowControl/>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（5）任何评审人员和工作人员不得对外公布评审的一切内容。</w:t>
      </w:r>
      <w:bookmarkEnd w:id="693"/>
      <w:bookmarkEnd w:id="705"/>
      <w:bookmarkEnd w:id="706"/>
      <w:bookmarkEnd w:id="707"/>
    </w:p>
    <w:sectPr>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9E201">
    <w:pPr>
      <w:pStyle w:val="27"/>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2E6F0">
    <w:pPr>
      <w:pStyle w:val="27"/>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600E4">
    <w:pPr>
      <w:pStyle w:val="27"/>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26F4C">
    <w:pPr>
      <w:pStyle w:val="27"/>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76865">
    <w:pPr>
      <w:pStyle w:val="27"/>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A9A3D">
    <w:pPr>
      <w:pStyle w:val="27"/>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9BDA6">
    <w:pPr>
      <w:pStyle w:val="27"/>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16EE5">
    <w:pPr>
      <w:pStyle w:val="27"/>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4BE5E">
    <w:pPr>
      <w:pStyle w:val="27"/>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5E7AA440">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7F70D0"/>
    <w:multiLevelType w:val="multilevel"/>
    <w:tmpl w:val="7F7F70D0"/>
    <w:lvl w:ilvl="0" w:tentative="0">
      <w:start w:val="1"/>
      <w:numFmt w:val="japaneseCounting"/>
      <w:lvlText w:val="第%1条"/>
      <w:lvlJc w:val="left"/>
      <w:pPr>
        <w:ind w:left="720" w:hanging="720"/>
      </w:pPr>
      <w:rPr>
        <w:rFonts w:hint="default" w:ascii="宋体" w:hAnsi="宋体"/>
        <w:b/>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832A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F233B"/>
    <w:rsid w:val="011F3704"/>
    <w:rsid w:val="023B377A"/>
    <w:rsid w:val="0264097D"/>
    <w:rsid w:val="02FE5AC7"/>
    <w:rsid w:val="0330060B"/>
    <w:rsid w:val="03854A9A"/>
    <w:rsid w:val="03A4668C"/>
    <w:rsid w:val="03C926DB"/>
    <w:rsid w:val="03EF5160"/>
    <w:rsid w:val="055E0893"/>
    <w:rsid w:val="058F7720"/>
    <w:rsid w:val="05A33590"/>
    <w:rsid w:val="06447858"/>
    <w:rsid w:val="06A75D00"/>
    <w:rsid w:val="072C0818"/>
    <w:rsid w:val="07655E82"/>
    <w:rsid w:val="08CB659B"/>
    <w:rsid w:val="08CD3C14"/>
    <w:rsid w:val="0B471443"/>
    <w:rsid w:val="0CF103CF"/>
    <w:rsid w:val="0D23036B"/>
    <w:rsid w:val="0D4B427C"/>
    <w:rsid w:val="0F241091"/>
    <w:rsid w:val="1003503E"/>
    <w:rsid w:val="10585BEC"/>
    <w:rsid w:val="126A6AE6"/>
    <w:rsid w:val="130F4A87"/>
    <w:rsid w:val="13270B1E"/>
    <w:rsid w:val="13A201F7"/>
    <w:rsid w:val="144767ED"/>
    <w:rsid w:val="14754940"/>
    <w:rsid w:val="155A7A17"/>
    <w:rsid w:val="15BB209F"/>
    <w:rsid w:val="1686445B"/>
    <w:rsid w:val="16DB47A7"/>
    <w:rsid w:val="16F93AC7"/>
    <w:rsid w:val="1715478D"/>
    <w:rsid w:val="17AB4C90"/>
    <w:rsid w:val="18604589"/>
    <w:rsid w:val="18F11630"/>
    <w:rsid w:val="19F91737"/>
    <w:rsid w:val="1A06729A"/>
    <w:rsid w:val="1A267FC8"/>
    <w:rsid w:val="1A512FD2"/>
    <w:rsid w:val="1A8B2AFC"/>
    <w:rsid w:val="1A9B0904"/>
    <w:rsid w:val="1AC06CF9"/>
    <w:rsid w:val="1B0940FF"/>
    <w:rsid w:val="1B36234B"/>
    <w:rsid w:val="1BF52B38"/>
    <w:rsid w:val="1CE55562"/>
    <w:rsid w:val="1E2471AC"/>
    <w:rsid w:val="1E3E7537"/>
    <w:rsid w:val="1E8F3881"/>
    <w:rsid w:val="1F5A713A"/>
    <w:rsid w:val="1F623B72"/>
    <w:rsid w:val="207A0CA6"/>
    <w:rsid w:val="207A1985"/>
    <w:rsid w:val="20CD515E"/>
    <w:rsid w:val="21B214F2"/>
    <w:rsid w:val="22130CB8"/>
    <w:rsid w:val="229323DA"/>
    <w:rsid w:val="22EC3071"/>
    <w:rsid w:val="22EC7DFB"/>
    <w:rsid w:val="233E0D8E"/>
    <w:rsid w:val="2359040B"/>
    <w:rsid w:val="23AE7D0F"/>
    <w:rsid w:val="24F45147"/>
    <w:rsid w:val="26272FA3"/>
    <w:rsid w:val="268F6552"/>
    <w:rsid w:val="27ED6C10"/>
    <w:rsid w:val="28433F5A"/>
    <w:rsid w:val="286914E7"/>
    <w:rsid w:val="286E02B3"/>
    <w:rsid w:val="28CD7B64"/>
    <w:rsid w:val="28DA73F5"/>
    <w:rsid w:val="290106D1"/>
    <w:rsid w:val="292628CF"/>
    <w:rsid w:val="295C0655"/>
    <w:rsid w:val="2A520DD7"/>
    <w:rsid w:val="2A7402EA"/>
    <w:rsid w:val="2A795BE3"/>
    <w:rsid w:val="2A7F4FF2"/>
    <w:rsid w:val="2A823AA1"/>
    <w:rsid w:val="2A890D6D"/>
    <w:rsid w:val="2AA01ACF"/>
    <w:rsid w:val="2AEE344F"/>
    <w:rsid w:val="2B8175F8"/>
    <w:rsid w:val="2B954448"/>
    <w:rsid w:val="2C6F395B"/>
    <w:rsid w:val="2C85114F"/>
    <w:rsid w:val="2CFB0902"/>
    <w:rsid w:val="2CFC2BFE"/>
    <w:rsid w:val="2D4A1755"/>
    <w:rsid w:val="2D5D4102"/>
    <w:rsid w:val="2DA80544"/>
    <w:rsid w:val="2DB11966"/>
    <w:rsid w:val="302F3E7B"/>
    <w:rsid w:val="30422DEE"/>
    <w:rsid w:val="30B70026"/>
    <w:rsid w:val="314D028A"/>
    <w:rsid w:val="322177B6"/>
    <w:rsid w:val="323549CA"/>
    <w:rsid w:val="33A915FD"/>
    <w:rsid w:val="33F627C9"/>
    <w:rsid w:val="3437693D"/>
    <w:rsid w:val="35193434"/>
    <w:rsid w:val="355530AA"/>
    <w:rsid w:val="359222F5"/>
    <w:rsid w:val="35957653"/>
    <w:rsid w:val="35B9585C"/>
    <w:rsid w:val="364631D7"/>
    <w:rsid w:val="368928C2"/>
    <w:rsid w:val="37E56E09"/>
    <w:rsid w:val="380D11CF"/>
    <w:rsid w:val="383A485D"/>
    <w:rsid w:val="396A1A1A"/>
    <w:rsid w:val="397A6507"/>
    <w:rsid w:val="39A830CE"/>
    <w:rsid w:val="3A3358F6"/>
    <w:rsid w:val="3AA54601"/>
    <w:rsid w:val="3B1F29B6"/>
    <w:rsid w:val="3B203B6F"/>
    <w:rsid w:val="3B5D0C70"/>
    <w:rsid w:val="3B8E088C"/>
    <w:rsid w:val="3B9971A7"/>
    <w:rsid w:val="3BDB0A53"/>
    <w:rsid w:val="3C2C37C2"/>
    <w:rsid w:val="3D207CCF"/>
    <w:rsid w:val="3D633B4E"/>
    <w:rsid w:val="3E315AE5"/>
    <w:rsid w:val="3E3170D5"/>
    <w:rsid w:val="3F5B255F"/>
    <w:rsid w:val="3F5E5ADB"/>
    <w:rsid w:val="3F700FB1"/>
    <w:rsid w:val="414A3DAF"/>
    <w:rsid w:val="419C7625"/>
    <w:rsid w:val="41B87774"/>
    <w:rsid w:val="41E0783A"/>
    <w:rsid w:val="41F835B5"/>
    <w:rsid w:val="429E1862"/>
    <w:rsid w:val="42E3660E"/>
    <w:rsid w:val="42F64D8D"/>
    <w:rsid w:val="434729F6"/>
    <w:rsid w:val="435F61B3"/>
    <w:rsid w:val="43B50E83"/>
    <w:rsid w:val="43EA22C3"/>
    <w:rsid w:val="4456084E"/>
    <w:rsid w:val="44993977"/>
    <w:rsid w:val="44A02DC8"/>
    <w:rsid w:val="45670832"/>
    <w:rsid w:val="45735BFF"/>
    <w:rsid w:val="45B47BFC"/>
    <w:rsid w:val="462813AD"/>
    <w:rsid w:val="46363F7D"/>
    <w:rsid w:val="46401681"/>
    <w:rsid w:val="46DB74EF"/>
    <w:rsid w:val="470E1BDE"/>
    <w:rsid w:val="4A8E1D99"/>
    <w:rsid w:val="4AD847BC"/>
    <w:rsid w:val="4BB65E6F"/>
    <w:rsid w:val="4BC1465D"/>
    <w:rsid w:val="4BD70C88"/>
    <w:rsid w:val="4D9258D3"/>
    <w:rsid w:val="4F0A4599"/>
    <w:rsid w:val="4FC96B8B"/>
    <w:rsid w:val="4FCD1AFA"/>
    <w:rsid w:val="4FD57FEE"/>
    <w:rsid w:val="4FE2241F"/>
    <w:rsid w:val="503953D2"/>
    <w:rsid w:val="51061B95"/>
    <w:rsid w:val="51104352"/>
    <w:rsid w:val="514B0E58"/>
    <w:rsid w:val="5186238A"/>
    <w:rsid w:val="518D21E0"/>
    <w:rsid w:val="51E244BF"/>
    <w:rsid w:val="52F80915"/>
    <w:rsid w:val="52FF6D0B"/>
    <w:rsid w:val="53421CAA"/>
    <w:rsid w:val="534F6E6D"/>
    <w:rsid w:val="53894840"/>
    <w:rsid w:val="53972BDA"/>
    <w:rsid w:val="54C47921"/>
    <w:rsid w:val="556B7A96"/>
    <w:rsid w:val="55DB2334"/>
    <w:rsid w:val="568802DB"/>
    <w:rsid w:val="568E56F3"/>
    <w:rsid w:val="56B37004"/>
    <w:rsid w:val="56CC21A9"/>
    <w:rsid w:val="56D431E8"/>
    <w:rsid w:val="56FC43DF"/>
    <w:rsid w:val="56FE3136"/>
    <w:rsid w:val="57135D80"/>
    <w:rsid w:val="58C73FD6"/>
    <w:rsid w:val="59633BAD"/>
    <w:rsid w:val="59F7114C"/>
    <w:rsid w:val="59F74E07"/>
    <w:rsid w:val="5A1522A3"/>
    <w:rsid w:val="5ABF4E13"/>
    <w:rsid w:val="5B265064"/>
    <w:rsid w:val="5BE12FA3"/>
    <w:rsid w:val="5CDC63C4"/>
    <w:rsid w:val="5CF835CA"/>
    <w:rsid w:val="5D381408"/>
    <w:rsid w:val="5D8866EC"/>
    <w:rsid w:val="5E826883"/>
    <w:rsid w:val="5E96392B"/>
    <w:rsid w:val="5EBF421E"/>
    <w:rsid w:val="5F17442F"/>
    <w:rsid w:val="5F4F3B85"/>
    <w:rsid w:val="5F605944"/>
    <w:rsid w:val="605D0858"/>
    <w:rsid w:val="60A305BA"/>
    <w:rsid w:val="616A5BD3"/>
    <w:rsid w:val="61944D28"/>
    <w:rsid w:val="62882294"/>
    <w:rsid w:val="62B13874"/>
    <w:rsid w:val="62B62F9F"/>
    <w:rsid w:val="62DE48D9"/>
    <w:rsid w:val="63672753"/>
    <w:rsid w:val="637C0CF3"/>
    <w:rsid w:val="645779AB"/>
    <w:rsid w:val="645A1883"/>
    <w:rsid w:val="65136F69"/>
    <w:rsid w:val="65C22698"/>
    <w:rsid w:val="65E62E7A"/>
    <w:rsid w:val="66D15EF7"/>
    <w:rsid w:val="67494E9C"/>
    <w:rsid w:val="67674DB1"/>
    <w:rsid w:val="67BB5990"/>
    <w:rsid w:val="68F02332"/>
    <w:rsid w:val="6A847A01"/>
    <w:rsid w:val="6AAD178D"/>
    <w:rsid w:val="6AE606B8"/>
    <w:rsid w:val="6B9116AA"/>
    <w:rsid w:val="6BCC3834"/>
    <w:rsid w:val="6BDA2A65"/>
    <w:rsid w:val="6C355FB4"/>
    <w:rsid w:val="6C876A42"/>
    <w:rsid w:val="6CC649E7"/>
    <w:rsid w:val="6DF61CA8"/>
    <w:rsid w:val="6E1C7D46"/>
    <w:rsid w:val="6F5F71DE"/>
    <w:rsid w:val="6F6F261D"/>
    <w:rsid w:val="6F8D6E36"/>
    <w:rsid w:val="70B10C5A"/>
    <w:rsid w:val="70FB1367"/>
    <w:rsid w:val="719A5A6F"/>
    <w:rsid w:val="7218332F"/>
    <w:rsid w:val="72682AD1"/>
    <w:rsid w:val="72882C1F"/>
    <w:rsid w:val="72A03F09"/>
    <w:rsid w:val="72DD4B89"/>
    <w:rsid w:val="72ED20E1"/>
    <w:rsid w:val="72EF7A15"/>
    <w:rsid w:val="7315786E"/>
    <w:rsid w:val="73773656"/>
    <w:rsid w:val="73E025A6"/>
    <w:rsid w:val="743D7CF2"/>
    <w:rsid w:val="74585A01"/>
    <w:rsid w:val="750038EC"/>
    <w:rsid w:val="7503531D"/>
    <w:rsid w:val="75A128E4"/>
    <w:rsid w:val="75FF09EF"/>
    <w:rsid w:val="76696E55"/>
    <w:rsid w:val="77C962F4"/>
    <w:rsid w:val="77E837A3"/>
    <w:rsid w:val="7897083A"/>
    <w:rsid w:val="789F0C7A"/>
    <w:rsid w:val="7B9A28CE"/>
    <w:rsid w:val="7D6457E7"/>
    <w:rsid w:val="7DBE3DB0"/>
    <w:rsid w:val="7E004525"/>
    <w:rsid w:val="7E4A1626"/>
    <w:rsid w:val="7F8B5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2"/>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50"/>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6"/>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2"/>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4"/>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4"/>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5"/>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6"/>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7"/>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6"/>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5"/>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8"/>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5"/>
    <w:autoRedefine/>
    <w:unhideWhenUsed/>
    <w:qFormat/>
    <w:uiPriority w:val="99"/>
    <w:pPr>
      <w:jc w:val="left"/>
    </w:pPr>
  </w:style>
  <w:style w:type="paragraph" w:styleId="17">
    <w:name w:val="Body Text 3"/>
    <w:basedOn w:val="1"/>
    <w:link w:val="158"/>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20"/>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next w:val="20"/>
    <w:link w:val="203"/>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First Indent 2"/>
    <w:basedOn w:val="21"/>
    <w:next w:val="13"/>
    <w:qFormat/>
    <w:uiPriority w:val="99"/>
    <w:pPr>
      <w:spacing w:after="120"/>
      <w:ind w:left="420" w:leftChars="200" w:firstLine="420"/>
    </w:pPr>
    <w:rPr>
      <w:szCs w:val="24"/>
    </w:rPr>
  </w:style>
  <w:style w:type="paragraph" w:styleId="21">
    <w:name w:val="Body Text Indent"/>
    <w:basedOn w:val="1"/>
    <w:next w:val="20"/>
    <w:link w:val="94"/>
    <w:autoRedefine/>
    <w:qFormat/>
    <w:uiPriority w:val="0"/>
    <w:pPr>
      <w:ind w:left="567" w:leftChars="270"/>
    </w:pPr>
    <w:rPr>
      <w:rFonts w:ascii="Times New Roman" w:hAnsi="Times New Roman" w:eastAsia="宋体" w:cs="Times New Roman"/>
      <w:szCs w:val="20"/>
    </w:rPr>
  </w:style>
  <w:style w:type="paragraph" w:styleId="22">
    <w:name w:val="toc 3"/>
    <w:basedOn w:val="1"/>
    <w:next w:val="1"/>
    <w:autoRedefine/>
    <w:unhideWhenUsed/>
    <w:qFormat/>
    <w:uiPriority w:val="39"/>
    <w:pPr>
      <w:tabs>
        <w:tab w:val="right" w:leader="dot" w:pos="10144"/>
      </w:tabs>
      <w:ind w:left="840" w:leftChars="400"/>
    </w:pPr>
  </w:style>
  <w:style w:type="paragraph" w:styleId="23">
    <w:name w:val="Plain Text"/>
    <w:basedOn w:val="1"/>
    <w:link w:val="102"/>
    <w:autoRedefine/>
    <w:qFormat/>
    <w:uiPriority w:val="0"/>
    <w:rPr>
      <w:rFonts w:ascii="宋体" w:hAnsi="Courier New" w:eastAsia="宋体"/>
    </w:rPr>
  </w:style>
  <w:style w:type="paragraph" w:styleId="24">
    <w:name w:val="Date"/>
    <w:basedOn w:val="1"/>
    <w:next w:val="1"/>
    <w:link w:val="110"/>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103"/>
    <w:autoRedefine/>
    <w:qFormat/>
    <w:uiPriority w:val="0"/>
    <w:pPr>
      <w:tabs>
        <w:tab w:val="left" w:pos="8640"/>
      </w:tabs>
      <w:ind w:left="1260"/>
    </w:pPr>
    <w:rPr>
      <w:rFonts w:ascii="宋体" w:hAnsi="Times New Roman" w:eastAsia="宋体" w:cs="Times New Roman"/>
      <w:szCs w:val="20"/>
    </w:rPr>
  </w:style>
  <w:style w:type="paragraph" w:styleId="26">
    <w:name w:val="Balloon Text"/>
    <w:basedOn w:val="1"/>
    <w:link w:val="76"/>
    <w:autoRedefine/>
    <w:qFormat/>
    <w:uiPriority w:val="0"/>
    <w:rPr>
      <w:rFonts w:ascii="Times New Roman" w:hAnsi="Times New Roman" w:eastAsia="宋体" w:cs="Times New Roman"/>
      <w:sz w:val="18"/>
      <w:szCs w:val="18"/>
    </w:rPr>
  </w:style>
  <w:style w:type="paragraph" w:styleId="27">
    <w:name w:val="footer"/>
    <w:basedOn w:val="1"/>
    <w:link w:val="80"/>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22"/>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autoRedefine/>
    <w:unhideWhenUsed/>
    <w:qFormat/>
    <w:uiPriority w:val="39"/>
  </w:style>
  <w:style w:type="paragraph" w:styleId="30">
    <w:name w:val="Subtitle"/>
    <w:basedOn w:val="1"/>
    <w:next w:val="1"/>
    <w:qFormat/>
    <w:uiPriority w:val="11"/>
    <w:pPr>
      <w:autoSpaceDE w:val="0"/>
      <w:autoSpaceDN w:val="0"/>
      <w:adjustRightInd w:val="0"/>
      <w:spacing w:before="240" w:after="60" w:line="312" w:lineRule="auto"/>
      <w:jc w:val="center"/>
      <w:outlineLvl w:val="1"/>
    </w:pPr>
    <w:rPr>
      <w:rFonts w:ascii="Cambria" w:hAnsi="Cambria" w:eastAsia="宋体" w:cs="Times New Roman"/>
      <w:b/>
      <w:bCs/>
      <w:kern w:val="28"/>
      <w:sz w:val="32"/>
      <w:szCs w:val="32"/>
    </w:rPr>
  </w:style>
  <w:style w:type="paragraph" w:styleId="31">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2">
    <w:name w:val="Body Text Indent 3"/>
    <w:basedOn w:val="1"/>
    <w:link w:val="156"/>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3">
    <w:name w:val="toc 2"/>
    <w:basedOn w:val="1"/>
    <w:next w:val="1"/>
    <w:semiHidden/>
    <w:unhideWhenUsed/>
    <w:qFormat/>
    <w:uiPriority w:val="39"/>
    <w:pPr>
      <w:ind w:left="420" w:leftChars="200"/>
    </w:pPr>
  </w:style>
  <w:style w:type="paragraph" w:styleId="34">
    <w:name w:val="Body Text 2"/>
    <w:basedOn w:val="1"/>
    <w:link w:val="145"/>
    <w:autoRedefine/>
    <w:qFormat/>
    <w:uiPriority w:val="0"/>
    <w:pPr>
      <w:tabs>
        <w:tab w:val="left" w:pos="0"/>
      </w:tabs>
      <w:spacing w:line="400" w:lineRule="atLeast"/>
    </w:pPr>
    <w:rPr>
      <w:rFonts w:ascii="Arial" w:hAnsi="Arial" w:eastAsia="宋体" w:cs="Times New Roman"/>
      <w:color w:val="000000"/>
      <w:szCs w:val="24"/>
    </w:rPr>
  </w:style>
  <w:style w:type="paragraph" w:styleId="35">
    <w:name w:val="HTML Preformatted"/>
    <w:basedOn w:val="1"/>
    <w:link w:val="8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6">
    <w:name w:val="Normal (Web)"/>
    <w:basedOn w:val="1"/>
    <w:link w:val="95"/>
    <w:autoRedefine/>
    <w:qFormat/>
    <w:uiPriority w:val="0"/>
    <w:pPr>
      <w:widowControl/>
      <w:spacing w:before="100" w:beforeAutospacing="1" w:after="100" w:afterAutospacing="1"/>
      <w:jc w:val="left"/>
    </w:pPr>
    <w:rPr>
      <w:rFonts w:ascii="宋体" w:hAnsi="宋体"/>
      <w:sz w:val="15"/>
      <w:szCs w:val="15"/>
    </w:rPr>
  </w:style>
  <w:style w:type="paragraph" w:styleId="37">
    <w:name w:val="Title"/>
    <w:basedOn w:val="1"/>
    <w:next w:val="1"/>
    <w:link w:val="60"/>
    <w:autoRedefine/>
    <w:qFormat/>
    <w:uiPriority w:val="10"/>
    <w:pPr>
      <w:spacing w:before="120" w:after="60" w:line="300" w:lineRule="auto"/>
      <w:jc w:val="left"/>
      <w:outlineLvl w:val="0"/>
    </w:pPr>
    <w:rPr>
      <w:rFonts w:ascii="等线 Light" w:hAnsi="等线 Light" w:eastAsia="仿宋"/>
      <w:b/>
      <w:bCs/>
      <w:sz w:val="28"/>
      <w:szCs w:val="32"/>
    </w:rPr>
  </w:style>
  <w:style w:type="paragraph" w:styleId="38">
    <w:name w:val="annotation subject"/>
    <w:basedOn w:val="16"/>
    <w:next w:val="16"/>
    <w:link w:val="112"/>
    <w:autoRedefine/>
    <w:qFormat/>
    <w:uiPriority w:val="99"/>
    <w:pPr>
      <w:autoSpaceDE w:val="0"/>
      <w:autoSpaceDN w:val="0"/>
      <w:adjustRightInd w:val="0"/>
    </w:pPr>
    <w:rPr>
      <w:rFonts w:ascii="宋体" w:hAnsi="Times New Roman" w:eastAsia="宋体" w:cs="Times New Roman"/>
      <w:b/>
      <w:bCs/>
      <w:kern w:val="0"/>
      <w:sz w:val="24"/>
      <w:szCs w:val="24"/>
    </w:rPr>
  </w:style>
  <w:style w:type="table" w:styleId="40">
    <w:name w:val="Table Grid"/>
    <w:basedOn w:val="39"/>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autoRedefine/>
    <w:qFormat/>
    <w:uiPriority w:val="0"/>
    <w:rPr>
      <w:b/>
      <w:bCs/>
    </w:rPr>
  </w:style>
  <w:style w:type="character" w:styleId="43">
    <w:name w:val="page number"/>
    <w:qFormat/>
    <w:uiPriority w:val="0"/>
  </w:style>
  <w:style w:type="character" w:styleId="44">
    <w:name w:val="FollowedHyperlink"/>
    <w:autoRedefine/>
    <w:unhideWhenUsed/>
    <w:qFormat/>
    <w:uiPriority w:val="99"/>
    <w:rPr>
      <w:color w:val="954F72"/>
      <w:u w:val="single"/>
    </w:rPr>
  </w:style>
  <w:style w:type="character" w:styleId="45">
    <w:name w:val="Emphasis"/>
    <w:autoRedefine/>
    <w:qFormat/>
    <w:uiPriority w:val="0"/>
    <w:rPr>
      <w:i/>
      <w:iCs/>
    </w:rPr>
  </w:style>
  <w:style w:type="character" w:styleId="46">
    <w:name w:val="Hyperlink"/>
    <w:autoRedefine/>
    <w:qFormat/>
    <w:uiPriority w:val="99"/>
    <w:rPr>
      <w:rFonts w:hint="default" w:ascii="Arial" w:hAnsi="Arial" w:cs="Arial"/>
      <w:color w:val="000000"/>
      <w:sz w:val="20"/>
      <w:szCs w:val="20"/>
      <w:u w:val="none"/>
    </w:rPr>
  </w:style>
  <w:style w:type="character" w:styleId="47">
    <w:name w:val="annotation reference"/>
    <w:autoRedefine/>
    <w:qFormat/>
    <w:uiPriority w:val="99"/>
    <w:rPr>
      <w:sz w:val="21"/>
      <w:szCs w:val="21"/>
    </w:rPr>
  </w:style>
  <w:style w:type="paragraph" w:customStyle="1" w:styleId="48">
    <w:name w:val="首行缩进"/>
    <w:basedOn w:val="1"/>
    <w:autoRedefine/>
    <w:qFormat/>
    <w:uiPriority w:val="0"/>
    <w:pPr>
      <w:ind w:firstLine="480" w:firstLineChars="200"/>
    </w:pPr>
    <w:rPr>
      <w:lang w:val="zh-CN"/>
    </w:rPr>
  </w:style>
  <w:style w:type="character" w:customStyle="1" w:styleId="49">
    <w:name w:val="标题 1 字符"/>
    <w:basedOn w:val="41"/>
    <w:autoRedefine/>
    <w:qFormat/>
    <w:uiPriority w:val="0"/>
    <w:rPr>
      <w:b/>
      <w:bCs/>
      <w:kern w:val="44"/>
      <w:sz w:val="44"/>
      <w:szCs w:val="44"/>
    </w:rPr>
  </w:style>
  <w:style w:type="character" w:customStyle="1" w:styleId="50">
    <w:name w:val="标题 2 Char"/>
    <w:basedOn w:val="41"/>
    <w:link w:val="4"/>
    <w:autoRedefine/>
    <w:qFormat/>
    <w:uiPriority w:val="0"/>
    <w:rPr>
      <w:rFonts w:ascii="宋体" w:hAnsi="Calibri" w:eastAsia="宋体" w:cs="Times New Roman"/>
      <w:kern w:val="0"/>
      <w:sz w:val="24"/>
      <w:szCs w:val="24"/>
    </w:rPr>
  </w:style>
  <w:style w:type="character" w:customStyle="1" w:styleId="51">
    <w:name w:val="标题 3 字符"/>
    <w:basedOn w:val="41"/>
    <w:autoRedefine/>
    <w:qFormat/>
    <w:uiPriority w:val="0"/>
    <w:rPr>
      <w:b/>
      <w:bCs/>
      <w:sz w:val="32"/>
      <w:szCs w:val="32"/>
    </w:rPr>
  </w:style>
  <w:style w:type="character" w:customStyle="1" w:styleId="52">
    <w:name w:val="标题 4 Char1"/>
    <w:basedOn w:val="41"/>
    <w:link w:val="6"/>
    <w:autoRedefine/>
    <w:qFormat/>
    <w:uiPriority w:val="9"/>
    <w:rPr>
      <w:rFonts w:ascii="Arial" w:hAnsi="Arial" w:eastAsia="黑体" w:cs="Times New Roman"/>
      <w:b/>
      <w:bCs/>
      <w:kern w:val="0"/>
      <w:sz w:val="28"/>
      <w:szCs w:val="28"/>
    </w:rPr>
  </w:style>
  <w:style w:type="character" w:customStyle="1" w:styleId="53">
    <w:name w:val="标题 5 字符"/>
    <w:basedOn w:val="41"/>
    <w:autoRedefine/>
    <w:qFormat/>
    <w:uiPriority w:val="9"/>
    <w:rPr>
      <w:b/>
      <w:bCs/>
      <w:sz w:val="28"/>
      <w:szCs w:val="28"/>
    </w:rPr>
  </w:style>
  <w:style w:type="character" w:customStyle="1" w:styleId="54">
    <w:name w:val="标题 6 字符"/>
    <w:basedOn w:val="41"/>
    <w:autoRedefine/>
    <w:qFormat/>
    <w:uiPriority w:val="0"/>
    <w:rPr>
      <w:rFonts w:asciiTheme="majorHAnsi" w:hAnsiTheme="majorHAnsi" w:eastAsiaTheme="majorEastAsia" w:cstheme="majorBidi"/>
      <w:b/>
      <w:bCs/>
      <w:sz w:val="24"/>
      <w:szCs w:val="24"/>
    </w:rPr>
  </w:style>
  <w:style w:type="character" w:customStyle="1" w:styleId="55">
    <w:name w:val="标题 7 Char"/>
    <w:basedOn w:val="41"/>
    <w:link w:val="10"/>
    <w:autoRedefine/>
    <w:qFormat/>
    <w:uiPriority w:val="9"/>
    <w:rPr>
      <w:rFonts w:ascii="Times New Roman" w:hAnsi="Calibri" w:eastAsia="黑体" w:cs="Times New Roman"/>
      <w:b/>
      <w:bCs/>
      <w:kern w:val="0"/>
      <w:sz w:val="28"/>
      <w:szCs w:val="24"/>
    </w:rPr>
  </w:style>
  <w:style w:type="character" w:customStyle="1" w:styleId="56">
    <w:name w:val="标题 8 Char"/>
    <w:basedOn w:val="41"/>
    <w:link w:val="11"/>
    <w:qFormat/>
    <w:uiPriority w:val="9"/>
    <w:rPr>
      <w:rFonts w:ascii="Times New Roman" w:hAnsi="Calibri" w:eastAsia="黑体" w:cs="Times New Roman"/>
      <w:b/>
      <w:kern w:val="0"/>
      <w:sz w:val="28"/>
      <w:szCs w:val="24"/>
    </w:rPr>
  </w:style>
  <w:style w:type="character" w:customStyle="1" w:styleId="57">
    <w:name w:val="标题 9 Char"/>
    <w:basedOn w:val="41"/>
    <w:link w:val="12"/>
    <w:autoRedefine/>
    <w:qFormat/>
    <w:uiPriority w:val="9"/>
    <w:rPr>
      <w:rFonts w:ascii="Times New Roman" w:hAnsi="Calibri" w:eastAsia="黑体" w:cs="Times New Roman"/>
      <w:b/>
      <w:kern w:val="0"/>
      <w:sz w:val="28"/>
      <w:szCs w:val="24"/>
    </w:rPr>
  </w:style>
  <w:style w:type="character" w:customStyle="1" w:styleId="58">
    <w:name w:val="正文文本缩进 字符"/>
    <w:autoRedefine/>
    <w:qFormat/>
    <w:uiPriority w:val="0"/>
    <w:rPr>
      <w:rFonts w:ascii="Times New Roman" w:hAnsi="Times New Roman" w:eastAsia="宋体" w:cs="Times New Roman"/>
      <w:szCs w:val="20"/>
    </w:rPr>
  </w:style>
  <w:style w:type="character" w:customStyle="1" w:styleId="59">
    <w:name w:val="普通(网站) Char"/>
    <w:autoRedefine/>
    <w:qFormat/>
    <w:locked/>
    <w:uiPriority w:val="0"/>
    <w:rPr>
      <w:rFonts w:ascii="宋体" w:hAnsi="宋体"/>
      <w:sz w:val="15"/>
      <w:szCs w:val="15"/>
    </w:rPr>
  </w:style>
  <w:style w:type="character" w:customStyle="1" w:styleId="60">
    <w:name w:val="标题 Char"/>
    <w:link w:val="37"/>
    <w:autoRedefine/>
    <w:qFormat/>
    <w:uiPriority w:val="10"/>
    <w:rPr>
      <w:rFonts w:ascii="等线 Light" w:hAnsi="等线 Light" w:eastAsia="仿宋"/>
      <w:b/>
      <w:bCs/>
      <w:sz w:val="28"/>
      <w:szCs w:val="32"/>
    </w:rPr>
  </w:style>
  <w:style w:type="character" w:customStyle="1" w:styleId="61">
    <w:name w:val="日期 Char"/>
    <w:autoRedefine/>
    <w:semiHidden/>
    <w:qFormat/>
    <w:uiPriority w:val="99"/>
    <w:rPr>
      <w:kern w:val="2"/>
      <w:sz w:val="21"/>
    </w:rPr>
  </w:style>
  <w:style w:type="character" w:customStyle="1" w:styleId="62">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3">
    <w:name w:val="批注文字 Char"/>
    <w:autoRedefine/>
    <w:semiHidden/>
    <w:qFormat/>
    <w:uiPriority w:val="99"/>
    <w:rPr>
      <w:kern w:val="2"/>
      <w:sz w:val="21"/>
    </w:rPr>
  </w:style>
  <w:style w:type="character" w:customStyle="1" w:styleId="64">
    <w:name w:val="正文缩进2格 Char"/>
    <w:link w:val="65"/>
    <w:autoRedefine/>
    <w:qFormat/>
    <w:uiPriority w:val="0"/>
    <w:rPr>
      <w:rFonts w:ascii="仿宋_GB2312" w:hAnsi="宋体" w:eastAsia="仿宋_GB2312"/>
      <w:sz w:val="31"/>
      <w:szCs w:val="28"/>
    </w:rPr>
  </w:style>
  <w:style w:type="paragraph" w:customStyle="1" w:styleId="65">
    <w:name w:val="正文缩进2格"/>
    <w:basedOn w:val="1"/>
    <w:link w:val="64"/>
    <w:autoRedefine/>
    <w:qFormat/>
    <w:uiPriority w:val="0"/>
    <w:pPr>
      <w:spacing w:line="600" w:lineRule="exact"/>
      <w:ind w:firstLine="639" w:firstLineChars="206"/>
    </w:pPr>
    <w:rPr>
      <w:rFonts w:ascii="仿宋_GB2312" w:hAnsi="宋体" w:eastAsia="仿宋_GB2312"/>
      <w:sz w:val="31"/>
      <w:szCs w:val="28"/>
    </w:rPr>
  </w:style>
  <w:style w:type="character" w:customStyle="1" w:styleId="66">
    <w:name w:val="批注文字 字符"/>
    <w:autoRedefine/>
    <w:semiHidden/>
    <w:qFormat/>
    <w:uiPriority w:val="99"/>
    <w:rPr>
      <w:rFonts w:ascii="Times New Roman" w:hAnsi="Times New Roman"/>
      <w:kern w:val="2"/>
      <w:sz w:val="24"/>
      <w:szCs w:val="24"/>
    </w:rPr>
  </w:style>
  <w:style w:type="character" w:customStyle="1" w:styleId="67">
    <w:name w:val="正文文本缩进 Char"/>
    <w:qFormat/>
    <w:uiPriority w:val="0"/>
    <w:rPr>
      <w:rFonts w:ascii="Times New Roman" w:hAnsi="Times New Roman" w:eastAsia="宋体" w:cs="Times New Roman"/>
      <w:szCs w:val="20"/>
      <w:lang w:val="en-US" w:eastAsia="zh-CN"/>
    </w:rPr>
  </w:style>
  <w:style w:type="character" w:customStyle="1" w:styleId="68">
    <w:name w:val="批注框文本 字符1"/>
    <w:autoRedefine/>
    <w:semiHidden/>
    <w:qFormat/>
    <w:uiPriority w:val="99"/>
    <w:rPr>
      <w:rFonts w:ascii="宋体" w:hAnsi="Calibri" w:eastAsia="宋体" w:cs="Times New Roman"/>
      <w:kern w:val="0"/>
      <w:sz w:val="18"/>
      <w:szCs w:val="18"/>
    </w:rPr>
  </w:style>
  <w:style w:type="character" w:customStyle="1" w:styleId="69">
    <w:name w:val="List Paragraph Char"/>
    <w:link w:val="70"/>
    <w:autoRedefine/>
    <w:qFormat/>
    <w:uiPriority w:val="34"/>
    <w:rPr>
      <w:rFonts w:ascii="Calibri" w:hAnsi="Calibri"/>
    </w:rPr>
  </w:style>
  <w:style w:type="paragraph" w:customStyle="1" w:styleId="70">
    <w:name w:val="列出段落1"/>
    <w:basedOn w:val="1"/>
    <w:link w:val="69"/>
    <w:autoRedefine/>
    <w:qFormat/>
    <w:uiPriority w:val="34"/>
    <w:pPr>
      <w:ind w:firstLine="420" w:firstLineChars="200"/>
    </w:pPr>
    <w:rPr>
      <w:rFonts w:ascii="Calibri" w:hAnsi="Calibri"/>
    </w:rPr>
  </w:style>
  <w:style w:type="character" w:customStyle="1" w:styleId="71">
    <w:name w:val="标书正文 字符"/>
    <w:link w:val="72"/>
    <w:autoRedefine/>
    <w:qFormat/>
    <w:uiPriority w:val="0"/>
    <w:rPr>
      <w:rFonts w:ascii="Calibri" w:hAnsi="Calibri" w:eastAsia="仿宋"/>
      <w:sz w:val="24"/>
      <w:szCs w:val="21"/>
    </w:rPr>
  </w:style>
  <w:style w:type="paragraph" w:customStyle="1" w:styleId="72">
    <w:name w:val="标书正文"/>
    <w:basedOn w:val="1"/>
    <w:link w:val="71"/>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3">
    <w:name w:val="正文文本 字符"/>
    <w:autoRedefine/>
    <w:semiHidden/>
    <w:qFormat/>
    <w:uiPriority w:val="99"/>
    <w:rPr>
      <w:rFonts w:ascii="Times New Roman" w:hAnsi="Times New Roman"/>
      <w:kern w:val="2"/>
      <w:sz w:val="24"/>
      <w:szCs w:val="24"/>
    </w:rPr>
  </w:style>
  <w:style w:type="character" w:customStyle="1" w:styleId="74">
    <w:name w:val="页脚 Char"/>
    <w:autoRedefine/>
    <w:qFormat/>
    <w:uiPriority w:val="0"/>
    <w:rPr>
      <w:kern w:val="2"/>
      <w:sz w:val="18"/>
      <w:szCs w:val="18"/>
    </w:rPr>
  </w:style>
  <w:style w:type="character" w:customStyle="1" w:styleId="75">
    <w:name w:val="neir1"/>
    <w:autoRedefine/>
    <w:qFormat/>
    <w:uiPriority w:val="0"/>
    <w:rPr>
      <w:rFonts w:hint="default" w:ascii="ˎ̥" w:hAnsi="ˎ̥"/>
      <w:color w:val="333333"/>
      <w:sz w:val="21"/>
      <w:szCs w:val="21"/>
      <w:u w:val="none"/>
    </w:rPr>
  </w:style>
  <w:style w:type="character" w:customStyle="1" w:styleId="76">
    <w:name w:val="批注框文本 Char1"/>
    <w:link w:val="26"/>
    <w:autoRedefine/>
    <w:qFormat/>
    <w:uiPriority w:val="0"/>
    <w:rPr>
      <w:rFonts w:ascii="Times New Roman" w:hAnsi="Times New Roman" w:eastAsia="宋体" w:cs="Times New Roman"/>
      <w:sz w:val="18"/>
      <w:szCs w:val="18"/>
    </w:rPr>
  </w:style>
  <w:style w:type="character" w:customStyle="1" w:styleId="77">
    <w:name w:val="正文文本 3 字符1"/>
    <w:autoRedefine/>
    <w:semiHidden/>
    <w:qFormat/>
    <w:uiPriority w:val="99"/>
    <w:rPr>
      <w:rFonts w:ascii="宋体" w:hAnsi="Calibri" w:eastAsia="宋体" w:cs="Times New Roman"/>
      <w:kern w:val="0"/>
      <w:sz w:val="16"/>
      <w:szCs w:val="16"/>
    </w:rPr>
  </w:style>
  <w:style w:type="character" w:customStyle="1" w:styleId="78">
    <w:name w:val="正文文本 字符3"/>
    <w:autoRedefine/>
    <w:semiHidden/>
    <w:qFormat/>
    <w:uiPriority w:val="99"/>
    <w:rPr>
      <w:rFonts w:ascii="宋体" w:hAnsi="Calibri" w:eastAsia="宋体" w:cs="Times New Roman"/>
      <w:kern w:val="0"/>
      <w:sz w:val="24"/>
      <w:szCs w:val="24"/>
    </w:rPr>
  </w:style>
  <w:style w:type="character" w:customStyle="1" w:styleId="79">
    <w:name w:val="日期 字符1"/>
    <w:autoRedefine/>
    <w:semiHidden/>
    <w:qFormat/>
    <w:uiPriority w:val="99"/>
    <w:rPr>
      <w:rFonts w:ascii="宋体" w:hAnsi="Calibri" w:eastAsia="宋体" w:cs="Times New Roman"/>
      <w:kern w:val="0"/>
      <w:sz w:val="24"/>
      <w:szCs w:val="24"/>
    </w:rPr>
  </w:style>
  <w:style w:type="character" w:customStyle="1" w:styleId="80">
    <w:name w:val="页脚 Char2"/>
    <w:link w:val="27"/>
    <w:autoRedefine/>
    <w:qFormat/>
    <w:uiPriority w:val="99"/>
    <w:rPr>
      <w:rFonts w:ascii="宋体" w:eastAsia="宋体"/>
      <w:sz w:val="18"/>
      <w:szCs w:val="18"/>
    </w:rPr>
  </w:style>
  <w:style w:type="character" w:customStyle="1" w:styleId="81">
    <w:name w:val="吉奥正文 Char"/>
    <w:link w:val="82"/>
    <w:autoRedefine/>
    <w:qFormat/>
    <w:locked/>
    <w:uiPriority w:val="0"/>
    <w:rPr>
      <w:rFonts w:eastAsia="仿宋_GB2312"/>
      <w:sz w:val="28"/>
    </w:rPr>
  </w:style>
  <w:style w:type="paragraph" w:customStyle="1" w:styleId="82">
    <w:name w:val="吉奥正文"/>
    <w:basedOn w:val="1"/>
    <w:link w:val="81"/>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3">
    <w:name w:val="页脚 Char1"/>
    <w:autoRedefine/>
    <w:qFormat/>
    <w:uiPriority w:val="99"/>
    <w:rPr>
      <w:rFonts w:ascii="宋体" w:hAnsi="Times New Roman" w:eastAsia="宋体" w:cs="Times New Roman"/>
      <w:kern w:val="0"/>
      <w:sz w:val="18"/>
      <w:szCs w:val="18"/>
    </w:rPr>
  </w:style>
  <w:style w:type="character" w:customStyle="1" w:styleId="84">
    <w:name w:val="标题 字符"/>
    <w:autoRedefine/>
    <w:qFormat/>
    <w:uiPriority w:val="10"/>
    <w:rPr>
      <w:rFonts w:ascii="Cambria" w:hAnsi="Cambria" w:eastAsia="宋体" w:cs="Times New Roman"/>
      <w:b/>
      <w:bCs/>
      <w:kern w:val="0"/>
      <w:sz w:val="32"/>
      <w:szCs w:val="32"/>
      <w:lang w:val="en-US" w:eastAsia="zh-CN"/>
    </w:rPr>
  </w:style>
  <w:style w:type="character" w:customStyle="1" w:styleId="85">
    <w:name w:val="题注 Char"/>
    <w:link w:val="14"/>
    <w:autoRedefine/>
    <w:qFormat/>
    <w:uiPriority w:val="0"/>
    <w:rPr>
      <w:rFonts w:ascii="Arial" w:hAnsi="Arial" w:eastAsia="黑体" w:cs="Arial"/>
    </w:rPr>
  </w:style>
  <w:style w:type="character" w:customStyle="1" w:styleId="86">
    <w:name w:val="批注文字 字符2"/>
    <w:autoRedefine/>
    <w:qFormat/>
    <w:uiPriority w:val="99"/>
    <w:rPr>
      <w:rFonts w:ascii="宋体" w:hAnsi="Times New Roman" w:eastAsia="宋体" w:cs="Times New Roman"/>
      <w:kern w:val="0"/>
      <w:sz w:val="24"/>
      <w:szCs w:val="24"/>
    </w:rPr>
  </w:style>
  <w:style w:type="character" w:customStyle="1" w:styleId="87">
    <w:name w:val="批注主题 字符1"/>
    <w:autoRedefine/>
    <w:semiHidden/>
    <w:qFormat/>
    <w:uiPriority w:val="99"/>
    <w:rPr>
      <w:rFonts w:ascii="宋体" w:hAnsi="Calibri" w:eastAsia="宋体" w:cs="Times New Roman"/>
      <w:b/>
      <w:bCs/>
      <w:kern w:val="0"/>
      <w:sz w:val="24"/>
      <w:szCs w:val="24"/>
    </w:rPr>
  </w:style>
  <w:style w:type="character" w:customStyle="1" w:styleId="88">
    <w:name w:val="HTML 预设格式 Char"/>
    <w:link w:val="35"/>
    <w:autoRedefine/>
    <w:qFormat/>
    <w:uiPriority w:val="99"/>
    <w:rPr>
      <w:rFonts w:ascii="Arial" w:hAnsi="Arial" w:eastAsia="宋体" w:cs="Arial"/>
      <w:szCs w:val="21"/>
    </w:rPr>
  </w:style>
  <w:style w:type="character" w:customStyle="1" w:styleId="89">
    <w:name w:val="标题 3.1 Char"/>
    <w:link w:val="90"/>
    <w:qFormat/>
    <w:uiPriority w:val="0"/>
    <w:rPr>
      <w:rFonts w:ascii="宋体" w:hAnsi="宋体"/>
      <w:b/>
      <w:bCs/>
      <w:sz w:val="32"/>
      <w:szCs w:val="32"/>
    </w:rPr>
  </w:style>
  <w:style w:type="paragraph" w:customStyle="1" w:styleId="90">
    <w:name w:val="标题 3.1"/>
    <w:basedOn w:val="5"/>
    <w:link w:val="89"/>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1">
    <w:name w:val="HTML 预设格式 Char1"/>
    <w:autoRedefine/>
    <w:semiHidden/>
    <w:qFormat/>
    <w:uiPriority w:val="99"/>
    <w:rPr>
      <w:rFonts w:ascii="Courier New" w:hAnsi="Courier New" w:eastAsia="宋体" w:cs="Courier New"/>
      <w:kern w:val="0"/>
      <w:sz w:val="20"/>
      <w:szCs w:val="20"/>
    </w:rPr>
  </w:style>
  <w:style w:type="character" w:customStyle="1" w:styleId="92">
    <w:name w:val="批注文字 字符1"/>
    <w:autoRedefine/>
    <w:qFormat/>
    <w:uiPriority w:val="0"/>
    <w:rPr>
      <w:rFonts w:eastAsia="宋体"/>
      <w:kern w:val="2"/>
      <w:sz w:val="24"/>
      <w:szCs w:val="24"/>
      <w:lang w:val="en-US" w:eastAsia="zh-CN" w:bidi="ar-SA"/>
    </w:rPr>
  </w:style>
  <w:style w:type="character" w:customStyle="1" w:styleId="93">
    <w:name w:val="正文文本缩进 字符2"/>
    <w:autoRedefine/>
    <w:semiHidden/>
    <w:qFormat/>
    <w:uiPriority w:val="99"/>
    <w:rPr>
      <w:rFonts w:ascii="宋体" w:hAnsi="Calibri" w:eastAsia="宋体" w:cs="Times New Roman"/>
      <w:kern w:val="0"/>
      <w:sz w:val="24"/>
      <w:szCs w:val="24"/>
    </w:rPr>
  </w:style>
  <w:style w:type="character" w:customStyle="1" w:styleId="94">
    <w:name w:val="正文文本缩进 Char1"/>
    <w:link w:val="21"/>
    <w:autoRedefine/>
    <w:qFormat/>
    <w:uiPriority w:val="0"/>
    <w:rPr>
      <w:rFonts w:ascii="Times New Roman" w:hAnsi="Times New Roman" w:eastAsia="宋体" w:cs="Times New Roman"/>
      <w:szCs w:val="20"/>
    </w:rPr>
  </w:style>
  <w:style w:type="character" w:customStyle="1" w:styleId="95">
    <w:name w:val="普通(网站) Char1"/>
    <w:link w:val="36"/>
    <w:autoRedefine/>
    <w:qFormat/>
    <w:locked/>
    <w:uiPriority w:val="0"/>
    <w:rPr>
      <w:rFonts w:ascii="宋体" w:hAnsi="宋体"/>
      <w:sz w:val="15"/>
      <w:szCs w:val="15"/>
    </w:rPr>
  </w:style>
  <w:style w:type="character" w:customStyle="1" w:styleId="96">
    <w:name w:val="模板正文 Char"/>
    <w:link w:val="9"/>
    <w:autoRedefine/>
    <w:qFormat/>
    <w:uiPriority w:val="0"/>
    <w:rPr>
      <w:rFonts w:ascii="宋体" w:eastAsia="仿宋"/>
      <w:sz w:val="24"/>
      <w:szCs w:val="21"/>
    </w:rPr>
  </w:style>
  <w:style w:type="character" w:customStyle="1" w:styleId="97">
    <w:name w:val="批注主题 Char"/>
    <w:autoRedefine/>
    <w:semiHidden/>
    <w:qFormat/>
    <w:uiPriority w:val="99"/>
    <w:rPr>
      <w:b/>
      <w:bCs/>
      <w:kern w:val="2"/>
      <w:sz w:val="21"/>
    </w:rPr>
  </w:style>
  <w:style w:type="character" w:customStyle="1" w:styleId="98">
    <w:name w:val="正文文本 Char1"/>
    <w:autoRedefine/>
    <w:qFormat/>
    <w:uiPriority w:val="0"/>
    <w:rPr>
      <w:rFonts w:ascii="宋体" w:hAnsi="Times New Roman" w:eastAsia="宋体" w:cs="Times New Roman"/>
      <w:kern w:val="0"/>
      <w:sz w:val="24"/>
      <w:szCs w:val="24"/>
    </w:rPr>
  </w:style>
  <w:style w:type="character" w:customStyle="1" w:styleId="99">
    <w:name w:val="正文文本 字符1"/>
    <w:autoRedefine/>
    <w:qFormat/>
    <w:uiPriority w:val="99"/>
    <w:rPr>
      <w:rFonts w:ascii="宋体" w:eastAsia="宋体"/>
      <w:b/>
      <w:bCs/>
      <w:sz w:val="84"/>
      <w:szCs w:val="84"/>
      <w:lang w:val="zh-CN"/>
    </w:rPr>
  </w:style>
  <w:style w:type="character" w:customStyle="1" w:styleId="100">
    <w:name w:val="标题 1 Char"/>
    <w:autoRedefine/>
    <w:qFormat/>
    <w:uiPriority w:val="9"/>
    <w:rPr>
      <w:rFonts w:ascii="宋体" w:hAnsi="Times New Roman" w:eastAsia="宋体" w:cs="Times New Roman"/>
      <w:kern w:val="0"/>
      <w:sz w:val="24"/>
      <w:szCs w:val="24"/>
    </w:rPr>
  </w:style>
  <w:style w:type="character" w:customStyle="1" w:styleId="101">
    <w:name w:val="正文文本 Char2"/>
    <w:autoRedefine/>
    <w:qFormat/>
    <w:uiPriority w:val="99"/>
    <w:rPr>
      <w:rFonts w:ascii="宋体" w:eastAsia="宋体"/>
      <w:b/>
      <w:bCs/>
      <w:sz w:val="84"/>
      <w:szCs w:val="84"/>
      <w:lang w:val="zh-CN"/>
    </w:rPr>
  </w:style>
  <w:style w:type="character" w:customStyle="1" w:styleId="102">
    <w:name w:val="纯文本 Char2"/>
    <w:link w:val="23"/>
    <w:autoRedefine/>
    <w:qFormat/>
    <w:uiPriority w:val="0"/>
    <w:rPr>
      <w:rFonts w:ascii="宋体" w:hAnsi="Courier New" w:eastAsia="宋体"/>
    </w:rPr>
  </w:style>
  <w:style w:type="character" w:customStyle="1" w:styleId="103">
    <w:name w:val="正文文本缩进 2 Char"/>
    <w:link w:val="25"/>
    <w:autoRedefine/>
    <w:qFormat/>
    <w:uiPriority w:val="0"/>
    <w:rPr>
      <w:rFonts w:ascii="宋体" w:hAnsi="Times New Roman" w:eastAsia="宋体" w:cs="Times New Roman"/>
      <w:szCs w:val="20"/>
    </w:rPr>
  </w:style>
  <w:style w:type="character" w:customStyle="1" w:styleId="104">
    <w:name w:val="HTML Markup"/>
    <w:autoRedefine/>
    <w:qFormat/>
    <w:uiPriority w:val="0"/>
    <w:rPr>
      <w:vanish/>
      <w:color w:val="FF0000"/>
    </w:rPr>
  </w:style>
  <w:style w:type="character" w:customStyle="1" w:styleId="105">
    <w:name w:val="页眉 Char1"/>
    <w:autoRedefine/>
    <w:qFormat/>
    <w:uiPriority w:val="0"/>
    <w:rPr>
      <w:rFonts w:ascii="宋体" w:hAnsi="Times New Roman" w:eastAsia="宋体" w:cs="Times New Roman"/>
      <w:kern w:val="0"/>
      <w:sz w:val="18"/>
      <w:szCs w:val="18"/>
    </w:rPr>
  </w:style>
  <w:style w:type="character" w:customStyle="1" w:styleId="106">
    <w:name w:val="font11"/>
    <w:basedOn w:val="41"/>
    <w:autoRedefine/>
    <w:qFormat/>
    <w:uiPriority w:val="0"/>
    <w:rPr>
      <w:rFonts w:hint="eastAsia" w:ascii="宋体" w:hAnsi="宋体" w:eastAsia="宋体" w:cs="宋体"/>
      <w:color w:val="FF0000"/>
      <w:sz w:val="22"/>
      <w:szCs w:val="22"/>
      <w:u w:val="none"/>
    </w:rPr>
  </w:style>
  <w:style w:type="character" w:customStyle="1" w:styleId="107">
    <w:name w:val="style61"/>
    <w:autoRedefine/>
    <w:qFormat/>
    <w:uiPriority w:val="0"/>
    <w:rPr>
      <w:b/>
      <w:bCs/>
    </w:rPr>
  </w:style>
  <w:style w:type="character" w:customStyle="1" w:styleId="108">
    <w:name w:val="表头文字 Char"/>
    <w:link w:val="109"/>
    <w:autoRedefine/>
    <w:qFormat/>
    <w:uiPriority w:val="0"/>
    <w:rPr>
      <w:rFonts w:eastAsia="仿宋_GB2312"/>
      <w:b/>
      <w:sz w:val="28"/>
      <w:szCs w:val="21"/>
    </w:rPr>
  </w:style>
  <w:style w:type="paragraph" w:customStyle="1" w:styleId="109">
    <w:name w:val="表头文字"/>
    <w:basedOn w:val="1"/>
    <w:link w:val="108"/>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0">
    <w:name w:val="日期 Char1"/>
    <w:link w:val="24"/>
    <w:autoRedefine/>
    <w:qFormat/>
    <w:uiPriority w:val="99"/>
    <w:rPr>
      <w:rFonts w:ascii="宋体" w:hAnsi="Times New Roman" w:eastAsia="宋体" w:cs="Times New Roman"/>
      <w:b/>
      <w:bCs/>
      <w:szCs w:val="21"/>
      <w:lang w:val="zh-CN"/>
    </w:rPr>
  </w:style>
  <w:style w:type="character" w:customStyle="1" w:styleId="111">
    <w:name w:val="纯文本 Char1"/>
    <w:autoRedefine/>
    <w:qFormat/>
    <w:uiPriority w:val="0"/>
    <w:rPr>
      <w:rFonts w:ascii="宋体" w:hAnsi="Courier New" w:eastAsia="宋体" w:cs="Courier New"/>
      <w:kern w:val="0"/>
      <w:szCs w:val="21"/>
    </w:rPr>
  </w:style>
  <w:style w:type="character" w:customStyle="1" w:styleId="112">
    <w:name w:val="批注主题 Char1"/>
    <w:link w:val="38"/>
    <w:autoRedefine/>
    <w:qFormat/>
    <w:uiPriority w:val="99"/>
    <w:rPr>
      <w:rFonts w:ascii="宋体" w:hAnsi="Times New Roman" w:eastAsia="宋体" w:cs="Times New Roman"/>
      <w:b/>
      <w:bCs/>
      <w:kern w:val="0"/>
      <w:sz w:val="24"/>
      <w:szCs w:val="24"/>
    </w:rPr>
  </w:style>
  <w:style w:type="character" w:customStyle="1" w:styleId="113">
    <w:name w:val="纯文本 字符"/>
    <w:autoRedefine/>
    <w:qFormat/>
    <w:uiPriority w:val="99"/>
    <w:rPr>
      <w:rFonts w:ascii="宋体" w:hAnsi="Courier New" w:eastAsia="宋体" w:cs="Times New Roman"/>
      <w:szCs w:val="20"/>
      <w:lang w:val="en-US" w:eastAsia="zh-CN"/>
    </w:rPr>
  </w:style>
  <w:style w:type="character" w:customStyle="1" w:styleId="114">
    <w:name w:val="font71"/>
    <w:autoRedefine/>
    <w:qFormat/>
    <w:uiPriority w:val="0"/>
    <w:rPr>
      <w:rFonts w:hint="eastAsia" w:ascii="宋体" w:hAnsi="宋体" w:eastAsia="宋体" w:cs="宋体"/>
      <w:color w:val="FF0000"/>
      <w:sz w:val="18"/>
      <w:szCs w:val="18"/>
      <w:u w:val="none"/>
    </w:rPr>
  </w:style>
  <w:style w:type="character" w:customStyle="1" w:styleId="115">
    <w:name w:val="font21"/>
    <w:autoRedefine/>
    <w:qFormat/>
    <w:uiPriority w:val="0"/>
    <w:rPr>
      <w:rFonts w:hint="eastAsia" w:ascii="宋体" w:hAnsi="宋体" w:eastAsia="宋体" w:cs="宋体"/>
      <w:b/>
      <w:color w:val="000000"/>
      <w:sz w:val="21"/>
      <w:szCs w:val="21"/>
      <w:u w:val="none"/>
    </w:rPr>
  </w:style>
  <w:style w:type="character" w:customStyle="1" w:styleId="116">
    <w:name w:val="纯文本 字符3"/>
    <w:autoRedefine/>
    <w:semiHidden/>
    <w:qFormat/>
    <w:uiPriority w:val="99"/>
    <w:rPr>
      <w:rFonts w:ascii="等线" w:hAnsi="Courier New" w:cs="Courier New"/>
      <w:kern w:val="0"/>
      <w:sz w:val="24"/>
      <w:szCs w:val="24"/>
    </w:rPr>
  </w:style>
  <w:style w:type="character" w:customStyle="1" w:styleId="117">
    <w:name w:val="font31"/>
    <w:qFormat/>
    <w:uiPriority w:val="0"/>
    <w:rPr>
      <w:rFonts w:hint="eastAsia" w:ascii="宋体" w:hAnsi="宋体" w:eastAsia="宋体" w:cs="宋体"/>
      <w:color w:val="000000"/>
      <w:sz w:val="18"/>
      <w:szCs w:val="18"/>
      <w:u w:val="none"/>
    </w:rPr>
  </w:style>
  <w:style w:type="character" w:customStyle="1" w:styleId="118">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9">
    <w:name w:val="普通(网站) 字符1"/>
    <w:qFormat/>
    <w:locked/>
    <w:uiPriority w:val="0"/>
    <w:rPr>
      <w:rFonts w:ascii="宋体" w:hAnsi="宋体"/>
      <w:sz w:val="15"/>
      <w:szCs w:val="15"/>
    </w:rPr>
  </w:style>
  <w:style w:type="character" w:customStyle="1" w:styleId="120">
    <w:name w:val="正文文本 Char3"/>
    <w:link w:val="18"/>
    <w:qFormat/>
    <w:uiPriority w:val="99"/>
    <w:rPr>
      <w:rFonts w:ascii="宋体" w:eastAsia="宋体"/>
      <w:b/>
      <w:bCs/>
      <w:sz w:val="84"/>
      <w:szCs w:val="84"/>
      <w:lang w:val="zh-CN"/>
    </w:rPr>
  </w:style>
  <w:style w:type="character" w:customStyle="1" w:styleId="121">
    <w:name w:val="标题 5 Char"/>
    <w:autoRedefine/>
    <w:semiHidden/>
    <w:qFormat/>
    <w:uiPriority w:val="9"/>
    <w:rPr>
      <w:b/>
      <w:bCs/>
      <w:kern w:val="2"/>
      <w:sz w:val="28"/>
      <w:szCs w:val="28"/>
    </w:rPr>
  </w:style>
  <w:style w:type="character" w:customStyle="1" w:styleId="122">
    <w:name w:val="页眉 Char2"/>
    <w:link w:val="28"/>
    <w:qFormat/>
    <w:uiPriority w:val="99"/>
    <w:rPr>
      <w:rFonts w:ascii="宋体" w:eastAsia="宋体"/>
      <w:sz w:val="18"/>
      <w:szCs w:val="18"/>
    </w:rPr>
  </w:style>
  <w:style w:type="character" w:customStyle="1" w:styleId="123">
    <w:name w:val="表格文字 Char"/>
    <w:link w:val="124"/>
    <w:autoRedefine/>
    <w:qFormat/>
    <w:uiPriority w:val="0"/>
    <w:rPr>
      <w:rFonts w:eastAsia="仿宋_GB2312"/>
      <w:sz w:val="28"/>
      <w:szCs w:val="24"/>
    </w:rPr>
  </w:style>
  <w:style w:type="paragraph" w:customStyle="1" w:styleId="124">
    <w:name w:val="表格文字"/>
    <w:basedOn w:val="1"/>
    <w:link w:val="123"/>
    <w:autoRedefine/>
    <w:qFormat/>
    <w:uiPriority w:val="0"/>
    <w:rPr>
      <w:rFonts w:eastAsia="仿宋_GB2312"/>
      <w:sz w:val="28"/>
      <w:szCs w:val="24"/>
    </w:rPr>
  </w:style>
  <w:style w:type="character" w:customStyle="1" w:styleId="125">
    <w:name w:val="标题 字符2"/>
    <w:autoRedefine/>
    <w:qFormat/>
    <w:uiPriority w:val="10"/>
    <w:rPr>
      <w:rFonts w:ascii="等线 Light" w:hAnsi="等线 Light" w:eastAsia="等线 Light" w:cs="Times New Roman"/>
      <w:b/>
      <w:bCs/>
      <w:kern w:val="0"/>
      <w:sz w:val="32"/>
      <w:szCs w:val="32"/>
    </w:rPr>
  </w:style>
  <w:style w:type="character" w:customStyle="1" w:styleId="126">
    <w:name w:val="正文缩进2格 Char Char"/>
    <w:qFormat/>
    <w:uiPriority w:val="0"/>
    <w:rPr>
      <w:rFonts w:ascii="仿宋_GB2312" w:hAnsi="宋体" w:eastAsia="仿宋_GB2312"/>
      <w:kern w:val="2"/>
      <w:sz w:val="31"/>
      <w:szCs w:val="28"/>
      <w:lang w:val="en-US" w:eastAsia="zh-CN" w:bidi="ar-SA"/>
    </w:rPr>
  </w:style>
  <w:style w:type="character" w:customStyle="1" w:styleId="127">
    <w:name w:val="小 Char"/>
    <w:qFormat/>
    <w:uiPriority w:val="0"/>
    <w:rPr>
      <w:rFonts w:ascii="宋体" w:hAnsi="Courier New" w:eastAsia="宋体"/>
      <w:kern w:val="2"/>
      <w:sz w:val="21"/>
      <w:lang w:val="en-US" w:eastAsia="zh-CN" w:bidi="ar-SA"/>
    </w:rPr>
  </w:style>
  <w:style w:type="character" w:customStyle="1" w:styleId="128">
    <w:name w:val="themebody1"/>
    <w:autoRedefine/>
    <w:qFormat/>
    <w:uiPriority w:val="0"/>
    <w:rPr>
      <w:color w:val="FFFFFF"/>
    </w:rPr>
  </w:style>
  <w:style w:type="character" w:customStyle="1" w:styleId="129">
    <w:name w:val="页脚 字符1"/>
    <w:semiHidden/>
    <w:qFormat/>
    <w:uiPriority w:val="99"/>
    <w:rPr>
      <w:rFonts w:ascii="宋体" w:hAnsi="Calibri" w:eastAsia="宋体" w:cs="Times New Roman"/>
      <w:kern w:val="0"/>
      <w:sz w:val="18"/>
      <w:szCs w:val="18"/>
    </w:rPr>
  </w:style>
  <w:style w:type="character" w:customStyle="1" w:styleId="130">
    <w:name w:val="列出段落 Char"/>
    <w:link w:val="131"/>
    <w:autoRedefine/>
    <w:qFormat/>
    <w:uiPriority w:val="34"/>
    <w:rPr>
      <w:kern w:val="2"/>
      <w:sz w:val="21"/>
      <w:szCs w:val="22"/>
    </w:rPr>
  </w:style>
  <w:style w:type="paragraph" w:styleId="131">
    <w:name w:val="List Paragraph"/>
    <w:basedOn w:val="1"/>
    <w:link w:val="130"/>
    <w:qFormat/>
    <w:uiPriority w:val="34"/>
    <w:pPr>
      <w:ind w:firstLine="420" w:firstLineChars="200"/>
    </w:pPr>
  </w:style>
  <w:style w:type="character" w:customStyle="1" w:styleId="132">
    <w:name w:val="正文文本 Char"/>
    <w:qFormat/>
    <w:uiPriority w:val="99"/>
    <w:rPr>
      <w:rFonts w:ascii="宋体" w:eastAsia="宋体"/>
      <w:b/>
      <w:bCs/>
      <w:sz w:val="84"/>
      <w:szCs w:val="84"/>
      <w:lang w:val="zh-CN"/>
    </w:rPr>
  </w:style>
  <w:style w:type="character" w:customStyle="1" w:styleId="133">
    <w:name w:val="页眉 字符1"/>
    <w:autoRedefine/>
    <w:semiHidden/>
    <w:qFormat/>
    <w:uiPriority w:val="99"/>
    <w:rPr>
      <w:rFonts w:ascii="宋体" w:hAnsi="Calibri" w:eastAsia="宋体" w:cs="Times New Roman"/>
      <w:kern w:val="0"/>
      <w:sz w:val="18"/>
      <w:szCs w:val="18"/>
    </w:rPr>
  </w:style>
  <w:style w:type="character" w:customStyle="1" w:styleId="134">
    <w:name w:val="标题 5 Char1"/>
    <w:link w:val="7"/>
    <w:autoRedefine/>
    <w:qFormat/>
    <w:uiPriority w:val="9"/>
    <w:rPr>
      <w:rFonts w:ascii="宋体" w:hAnsi="Calibri" w:eastAsia="宋体" w:cs="Times New Roman"/>
      <w:b/>
      <w:bCs/>
      <w:kern w:val="0"/>
      <w:sz w:val="28"/>
      <w:szCs w:val="28"/>
    </w:rPr>
  </w:style>
  <w:style w:type="character" w:customStyle="1" w:styleId="135">
    <w:name w:val="keyfeatures1"/>
    <w:autoRedefine/>
    <w:qFormat/>
    <w:uiPriority w:val="0"/>
    <w:rPr>
      <w:rFonts w:hint="default" w:ascii="Arial" w:hAnsi="Arial" w:cs="Arial"/>
      <w:color w:val="003366"/>
      <w:sz w:val="17"/>
      <w:szCs w:val="17"/>
      <w:u w:val="none"/>
    </w:rPr>
  </w:style>
  <w:style w:type="character" w:customStyle="1" w:styleId="136">
    <w:name w:val="题注 字符"/>
    <w:qFormat/>
    <w:uiPriority w:val="0"/>
    <w:rPr>
      <w:rFonts w:ascii="宋体" w:hAnsi="宋体" w:eastAsia="黑体" w:cs="Times New Roman"/>
      <w:b/>
      <w:szCs w:val="21"/>
    </w:rPr>
  </w:style>
  <w:style w:type="character" w:customStyle="1" w:styleId="137">
    <w:name w:val="标题 4 Char"/>
    <w:autoRedefine/>
    <w:qFormat/>
    <w:uiPriority w:val="0"/>
    <w:rPr>
      <w:rFonts w:ascii="宋体" w:hAnsi="宋体" w:eastAsia="宋体"/>
      <w:b/>
      <w:kern w:val="2"/>
      <w:sz w:val="21"/>
      <w:szCs w:val="24"/>
      <w:lang w:val="en-US" w:eastAsia="zh-CN" w:bidi="ar-SA"/>
    </w:rPr>
  </w:style>
  <w:style w:type="character" w:customStyle="1" w:styleId="138">
    <w:name w:val="批注文字 字符3"/>
    <w:autoRedefine/>
    <w:semiHidden/>
    <w:qFormat/>
    <w:uiPriority w:val="99"/>
    <w:rPr>
      <w:rFonts w:ascii="宋体" w:hAnsi="Calibri" w:eastAsia="宋体" w:cs="Times New Roman"/>
      <w:kern w:val="0"/>
      <w:sz w:val="24"/>
      <w:szCs w:val="24"/>
    </w:rPr>
  </w:style>
  <w:style w:type="character" w:customStyle="1" w:styleId="139">
    <w:name w:val="纯文本 字符1"/>
    <w:qFormat/>
    <w:uiPriority w:val="0"/>
    <w:rPr>
      <w:rFonts w:ascii="宋体" w:hAnsi="Courier New" w:eastAsia="宋体"/>
      <w:kern w:val="2"/>
      <w:sz w:val="21"/>
      <w:szCs w:val="24"/>
      <w:lang w:val="en-US" w:eastAsia="zh-CN" w:bidi="ar-SA"/>
    </w:rPr>
  </w:style>
  <w:style w:type="character" w:customStyle="1" w:styleId="140">
    <w:name w:val="列出段落 Char1"/>
    <w:qFormat/>
    <w:uiPriority w:val="34"/>
    <w:rPr>
      <w:rFonts w:ascii="宋体"/>
      <w:sz w:val="24"/>
      <w:szCs w:val="24"/>
    </w:rPr>
  </w:style>
  <w:style w:type="character" w:customStyle="1" w:styleId="141">
    <w:name w:val="彩色列表 - 着色 1 字符"/>
    <w:link w:val="142"/>
    <w:qFormat/>
    <w:uiPriority w:val="0"/>
    <w:rPr>
      <w:rFonts w:ascii="Calibri" w:hAnsi="Calibri"/>
    </w:rPr>
  </w:style>
  <w:style w:type="paragraph" w:customStyle="1" w:styleId="142">
    <w:name w:val="彩色列表 - 着色 11"/>
    <w:basedOn w:val="1"/>
    <w:link w:val="141"/>
    <w:qFormat/>
    <w:uiPriority w:val="0"/>
    <w:pPr>
      <w:ind w:firstLine="420" w:firstLineChars="200"/>
    </w:pPr>
    <w:rPr>
      <w:rFonts w:ascii="Calibri" w:hAnsi="Calibri"/>
    </w:rPr>
  </w:style>
  <w:style w:type="character" w:customStyle="1" w:styleId="143">
    <w:name w:val="纯文本 Char"/>
    <w:autoRedefine/>
    <w:qFormat/>
    <w:uiPriority w:val="0"/>
    <w:rPr>
      <w:rFonts w:ascii="宋体" w:hAnsi="Courier New" w:eastAsia="宋体" w:cs="Times New Roman"/>
      <w:szCs w:val="20"/>
    </w:rPr>
  </w:style>
  <w:style w:type="character" w:customStyle="1" w:styleId="144">
    <w:name w:val="标题 6 Char"/>
    <w:link w:val="8"/>
    <w:autoRedefine/>
    <w:qFormat/>
    <w:uiPriority w:val="9"/>
    <w:rPr>
      <w:rFonts w:ascii="Times New Roman" w:hAnsi="Calibri" w:eastAsia="黑体" w:cs="Times New Roman"/>
      <w:b/>
      <w:bCs/>
      <w:kern w:val="0"/>
      <w:sz w:val="28"/>
      <w:szCs w:val="24"/>
    </w:rPr>
  </w:style>
  <w:style w:type="character" w:customStyle="1" w:styleId="145">
    <w:name w:val="正文文本 2 Char"/>
    <w:link w:val="34"/>
    <w:autoRedefine/>
    <w:qFormat/>
    <w:uiPriority w:val="0"/>
    <w:rPr>
      <w:rFonts w:ascii="Arial" w:hAnsi="Arial" w:eastAsia="宋体" w:cs="Times New Roman"/>
      <w:color w:val="000000"/>
      <w:szCs w:val="24"/>
    </w:rPr>
  </w:style>
  <w:style w:type="character" w:customStyle="1" w:styleId="146">
    <w:name w:val="标题 3 Char"/>
    <w:link w:val="5"/>
    <w:autoRedefine/>
    <w:qFormat/>
    <w:uiPriority w:val="0"/>
    <w:rPr>
      <w:rFonts w:ascii="宋体" w:hAnsi="Calibri" w:eastAsia="宋体" w:cs="Times New Roman"/>
      <w:kern w:val="0"/>
      <w:sz w:val="24"/>
      <w:szCs w:val="24"/>
    </w:rPr>
  </w:style>
  <w:style w:type="character" w:customStyle="1" w:styleId="147">
    <w:name w:val="正文文本缩进 2 字符1"/>
    <w:autoRedefine/>
    <w:semiHidden/>
    <w:qFormat/>
    <w:uiPriority w:val="99"/>
    <w:rPr>
      <w:rFonts w:ascii="宋体" w:hAnsi="Calibri" w:eastAsia="宋体" w:cs="Times New Roman"/>
      <w:kern w:val="0"/>
      <w:sz w:val="24"/>
      <w:szCs w:val="24"/>
    </w:rPr>
  </w:style>
  <w:style w:type="character" w:customStyle="1" w:styleId="148">
    <w:name w:val="正文文本缩进 3 字符1"/>
    <w:autoRedefine/>
    <w:semiHidden/>
    <w:qFormat/>
    <w:uiPriority w:val="99"/>
    <w:rPr>
      <w:rFonts w:ascii="宋体" w:hAnsi="Calibri" w:eastAsia="宋体" w:cs="Times New Roman"/>
      <w:kern w:val="0"/>
      <w:sz w:val="16"/>
      <w:szCs w:val="16"/>
    </w:rPr>
  </w:style>
  <w:style w:type="character" w:customStyle="1" w:styleId="149">
    <w:name w:val="正文文本 2 字符1"/>
    <w:autoRedefine/>
    <w:semiHidden/>
    <w:qFormat/>
    <w:uiPriority w:val="99"/>
    <w:rPr>
      <w:rFonts w:ascii="宋体" w:hAnsi="Calibri" w:eastAsia="宋体" w:cs="Times New Roman"/>
      <w:kern w:val="0"/>
      <w:sz w:val="24"/>
      <w:szCs w:val="24"/>
    </w:rPr>
  </w:style>
  <w:style w:type="character" w:customStyle="1" w:styleId="150">
    <w:name w:val="eschoolnr"/>
    <w:autoRedefine/>
    <w:qFormat/>
    <w:uiPriority w:val="0"/>
    <w:rPr>
      <w:sz w:val="23"/>
      <w:szCs w:val="23"/>
    </w:rPr>
  </w:style>
  <w:style w:type="character" w:customStyle="1" w:styleId="151">
    <w:name w:val="访问过的超链接1"/>
    <w:autoRedefine/>
    <w:qFormat/>
    <w:uiPriority w:val="0"/>
    <w:rPr>
      <w:rFonts w:ascii="Arial" w:hAnsi="Arial" w:cs="Arial"/>
      <w:color w:val="000000"/>
      <w:sz w:val="20"/>
      <w:szCs w:val="20"/>
      <w:u w:val="none"/>
    </w:rPr>
  </w:style>
  <w:style w:type="character" w:customStyle="1" w:styleId="152">
    <w:name w:val="标题 1 Char1"/>
    <w:link w:val="3"/>
    <w:autoRedefine/>
    <w:qFormat/>
    <w:uiPriority w:val="0"/>
    <w:rPr>
      <w:rFonts w:ascii="宋体" w:hAnsi="Calibri" w:eastAsia="宋体" w:cs="Times New Roman"/>
      <w:kern w:val="0"/>
      <w:sz w:val="24"/>
      <w:szCs w:val="24"/>
    </w:rPr>
  </w:style>
  <w:style w:type="character" w:customStyle="1" w:styleId="153">
    <w:name w:val="批注文字 Char1"/>
    <w:qFormat/>
    <w:uiPriority w:val="0"/>
    <w:rPr>
      <w:kern w:val="2"/>
      <w:sz w:val="21"/>
      <w:szCs w:val="24"/>
    </w:rPr>
  </w:style>
  <w:style w:type="character" w:customStyle="1" w:styleId="154">
    <w:name w:val="批注框文本 Char"/>
    <w:autoRedefine/>
    <w:semiHidden/>
    <w:qFormat/>
    <w:uiPriority w:val="99"/>
    <w:rPr>
      <w:kern w:val="2"/>
      <w:sz w:val="18"/>
      <w:szCs w:val="18"/>
    </w:rPr>
  </w:style>
  <w:style w:type="character" w:customStyle="1" w:styleId="155">
    <w:name w:val="DAS正文 Char"/>
    <w:autoRedefine/>
    <w:qFormat/>
    <w:uiPriority w:val="0"/>
    <w:rPr>
      <w:rFonts w:ascii="Verdana" w:hAnsi="Verdana" w:eastAsia="宋体"/>
      <w:kern w:val="2"/>
      <w:sz w:val="21"/>
      <w:szCs w:val="21"/>
      <w:lang w:val="en-US" w:eastAsia="zh-CN" w:bidi="ar-SA"/>
    </w:rPr>
  </w:style>
  <w:style w:type="character" w:customStyle="1" w:styleId="156">
    <w:name w:val="正文文本缩进 3 Char"/>
    <w:link w:val="32"/>
    <w:qFormat/>
    <w:uiPriority w:val="0"/>
    <w:rPr>
      <w:rFonts w:ascii="宋体" w:hAnsi="Times New Roman" w:eastAsia="宋体" w:cs="Times New Roman"/>
      <w:kern w:val="0"/>
      <w:sz w:val="24"/>
      <w:szCs w:val="24"/>
    </w:rPr>
  </w:style>
  <w:style w:type="character" w:customStyle="1" w:styleId="157">
    <w:name w:val="页眉 Char"/>
    <w:autoRedefine/>
    <w:qFormat/>
    <w:uiPriority w:val="99"/>
    <w:rPr>
      <w:kern w:val="2"/>
      <w:sz w:val="18"/>
      <w:szCs w:val="18"/>
    </w:rPr>
  </w:style>
  <w:style w:type="character" w:customStyle="1" w:styleId="158">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9">
    <w:name w:val="HTML 预设格式 字符1"/>
    <w:semiHidden/>
    <w:qFormat/>
    <w:uiPriority w:val="99"/>
    <w:rPr>
      <w:rFonts w:ascii="Courier New" w:hAnsi="Courier New" w:eastAsia="宋体" w:cs="Courier New"/>
      <w:kern w:val="0"/>
      <w:sz w:val="20"/>
      <w:szCs w:val="20"/>
    </w:rPr>
  </w:style>
  <w:style w:type="character" w:customStyle="1" w:styleId="160">
    <w:name w:val="彩色列表 - 强调文字颜色 1 Char"/>
    <w:link w:val="161"/>
    <w:autoRedefine/>
    <w:qFormat/>
    <w:uiPriority w:val="0"/>
    <w:rPr>
      <w:rFonts w:ascii="宋体"/>
      <w:sz w:val="24"/>
      <w:szCs w:val="24"/>
    </w:rPr>
  </w:style>
  <w:style w:type="paragraph" w:customStyle="1" w:styleId="161">
    <w:name w:val="彩色列表 - 强调文字颜色 11"/>
    <w:basedOn w:val="1"/>
    <w:link w:val="160"/>
    <w:autoRedefine/>
    <w:qFormat/>
    <w:uiPriority w:val="0"/>
    <w:pPr>
      <w:autoSpaceDE w:val="0"/>
      <w:autoSpaceDN w:val="0"/>
      <w:adjustRightInd w:val="0"/>
      <w:ind w:firstLine="420" w:firstLineChars="200"/>
      <w:jc w:val="left"/>
    </w:pPr>
    <w:rPr>
      <w:rFonts w:ascii="宋体"/>
      <w:sz w:val="24"/>
      <w:szCs w:val="24"/>
    </w:rPr>
  </w:style>
  <w:style w:type="character" w:customStyle="1" w:styleId="162">
    <w:name w:val="普通(网站) 字符"/>
    <w:qFormat/>
    <w:locked/>
    <w:uiPriority w:val="99"/>
    <w:rPr>
      <w:rFonts w:ascii="宋体" w:hAnsi="宋体" w:eastAsia="宋体" w:cs="Times New Roman"/>
      <w:kern w:val="0"/>
      <w:sz w:val="15"/>
      <w:szCs w:val="15"/>
      <w:lang w:val="en-US" w:eastAsia="zh-CN"/>
    </w:rPr>
  </w:style>
  <w:style w:type="paragraph" w:customStyle="1" w:styleId="163">
    <w:name w:val="_Style 123"/>
    <w:basedOn w:val="1"/>
    <w:next w:val="131"/>
    <w:qFormat/>
    <w:uiPriority w:val="34"/>
    <w:pPr>
      <w:spacing w:line="360" w:lineRule="auto"/>
      <w:ind w:firstLine="420" w:firstLineChars="200"/>
    </w:pPr>
    <w:rPr>
      <w:rFonts w:ascii="Calibri" w:hAnsi="Calibri" w:eastAsia="宋体" w:cs="Times New Roman"/>
    </w:rPr>
  </w:style>
  <w:style w:type="character" w:customStyle="1" w:styleId="164">
    <w:name w:val="纯文本 字符4"/>
    <w:basedOn w:val="41"/>
    <w:semiHidden/>
    <w:qFormat/>
    <w:uiPriority w:val="99"/>
    <w:rPr>
      <w:rFonts w:hAnsi="Courier New" w:cs="Courier New" w:asciiTheme="minorEastAsia"/>
    </w:rPr>
  </w:style>
  <w:style w:type="character" w:customStyle="1" w:styleId="165">
    <w:name w:val="批注文字 Char2"/>
    <w:basedOn w:val="41"/>
    <w:link w:val="16"/>
    <w:semiHidden/>
    <w:qFormat/>
    <w:uiPriority w:val="99"/>
  </w:style>
  <w:style w:type="character" w:customStyle="1" w:styleId="166">
    <w:name w:val="批注主题 字符2"/>
    <w:basedOn w:val="165"/>
    <w:semiHidden/>
    <w:qFormat/>
    <w:uiPriority w:val="99"/>
    <w:rPr>
      <w:b/>
      <w:bCs/>
    </w:rPr>
  </w:style>
  <w:style w:type="character" w:customStyle="1" w:styleId="167">
    <w:name w:val="标题 字符3"/>
    <w:basedOn w:val="41"/>
    <w:qFormat/>
    <w:uiPriority w:val="10"/>
    <w:rPr>
      <w:rFonts w:asciiTheme="majorHAnsi" w:hAnsiTheme="majorHAnsi" w:eastAsiaTheme="majorEastAsia" w:cstheme="majorBidi"/>
      <w:b/>
      <w:bCs/>
      <w:sz w:val="32"/>
      <w:szCs w:val="32"/>
    </w:rPr>
  </w:style>
  <w:style w:type="character" w:customStyle="1" w:styleId="168">
    <w:name w:val="正文文本缩进 字符3"/>
    <w:basedOn w:val="41"/>
    <w:semiHidden/>
    <w:qFormat/>
    <w:uiPriority w:val="99"/>
  </w:style>
  <w:style w:type="character" w:customStyle="1" w:styleId="169">
    <w:name w:val="正文文本 字符4"/>
    <w:basedOn w:val="41"/>
    <w:semiHidden/>
    <w:qFormat/>
    <w:uiPriority w:val="99"/>
  </w:style>
  <w:style w:type="character" w:customStyle="1" w:styleId="170">
    <w:name w:val="正文文本缩进 3 字符2"/>
    <w:basedOn w:val="41"/>
    <w:autoRedefine/>
    <w:semiHidden/>
    <w:qFormat/>
    <w:uiPriority w:val="99"/>
    <w:rPr>
      <w:sz w:val="16"/>
      <w:szCs w:val="16"/>
    </w:rPr>
  </w:style>
  <w:style w:type="character" w:customStyle="1" w:styleId="171">
    <w:name w:val="页眉 字符2"/>
    <w:basedOn w:val="41"/>
    <w:semiHidden/>
    <w:qFormat/>
    <w:uiPriority w:val="99"/>
    <w:rPr>
      <w:sz w:val="18"/>
      <w:szCs w:val="18"/>
    </w:rPr>
  </w:style>
  <w:style w:type="character" w:customStyle="1" w:styleId="172">
    <w:name w:val="批注框文本 字符2"/>
    <w:basedOn w:val="41"/>
    <w:semiHidden/>
    <w:qFormat/>
    <w:uiPriority w:val="99"/>
    <w:rPr>
      <w:sz w:val="18"/>
      <w:szCs w:val="18"/>
    </w:rPr>
  </w:style>
  <w:style w:type="character" w:customStyle="1" w:styleId="173">
    <w:name w:val="HTML 预设格式 字符2"/>
    <w:basedOn w:val="41"/>
    <w:semiHidden/>
    <w:qFormat/>
    <w:uiPriority w:val="99"/>
    <w:rPr>
      <w:rFonts w:ascii="Courier New" w:hAnsi="Courier New" w:cs="Courier New"/>
      <w:sz w:val="20"/>
      <w:szCs w:val="20"/>
    </w:rPr>
  </w:style>
  <w:style w:type="character" w:customStyle="1" w:styleId="174">
    <w:name w:val="页脚 字符2"/>
    <w:basedOn w:val="41"/>
    <w:semiHidden/>
    <w:qFormat/>
    <w:uiPriority w:val="99"/>
    <w:rPr>
      <w:sz w:val="18"/>
      <w:szCs w:val="18"/>
    </w:rPr>
  </w:style>
  <w:style w:type="character" w:customStyle="1" w:styleId="175">
    <w:name w:val="正文文本缩进 2 字符2"/>
    <w:basedOn w:val="41"/>
    <w:semiHidden/>
    <w:qFormat/>
    <w:uiPriority w:val="99"/>
  </w:style>
  <w:style w:type="character" w:customStyle="1" w:styleId="176">
    <w:name w:val="正文文本 3 字符2"/>
    <w:basedOn w:val="41"/>
    <w:semiHidden/>
    <w:qFormat/>
    <w:uiPriority w:val="99"/>
    <w:rPr>
      <w:sz w:val="16"/>
      <w:szCs w:val="16"/>
    </w:rPr>
  </w:style>
  <w:style w:type="character" w:customStyle="1" w:styleId="177">
    <w:name w:val="正文文本 2 字符2"/>
    <w:basedOn w:val="41"/>
    <w:semiHidden/>
    <w:qFormat/>
    <w:uiPriority w:val="99"/>
  </w:style>
  <w:style w:type="paragraph" w:customStyle="1" w:styleId="178">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9">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80">
    <w:name w:val="文档结构图 字符2"/>
    <w:basedOn w:val="41"/>
    <w:autoRedefine/>
    <w:semiHidden/>
    <w:qFormat/>
    <w:uiPriority w:val="99"/>
    <w:rPr>
      <w:rFonts w:ascii="Microsoft YaHei UI" w:eastAsia="Microsoft YaHei UI"/>
      <w:sz w:val="18"/>
      <w:szCs w:val="18"/>
    </w:rPr>
  </w:style>
  <w:style w:type="character" w:customStyle="1" w:styleId="181">
    <w:name w:val="日期 字符2"/>
    <w:basedOn w:val="41"/>
    <w:semiHidden/>
    <w:qFormat/>
    <w:uiPriority w:val="99"/>
  </w:style>
  <w:style w:type="paragraph" w:customStyle="1" w:styleId="182">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3">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4">
    <w:name w:val="修订1"/>
    <w:autoRedefine/>
    <w:semiHidden/>
    <w:qFormat/>
    <w:uiPriority w:val="99"/>
    <w:rPr>
      <w:rFonts w:ascii="宋体" w:hAnsi="Calibri" w:eastAsia="宋体" w:cs="Times New Roman"/>
      <w:sz w:val="24"/>
      <w:szCs w:val="24"/>
      <w:lang w:val="en-US" w:eastAsia="zh-CN" w:bidi="ar-SA"/>
    </w:rPr>
  </w:style>
  <w:style w:type="paragraph" w:customStyle="1" w:styleId="185">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6">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7">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8">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9">
    <w:name w:val="p0"/>
    <w:basedOn w:val="1"/>
    <w:qFormat/>
    <w:uiPriority w:val="0"/>
    <w:pPr>
      <w:widowControl/>
    </w:pPr>
    <w:rPr>
      <w:rFonts w:ascii="Times New Roman" w:hAnsi="Calibri" w:eastAsia="宋体" w:cs="Times New Roman"/>
      <w:kern w:val="0"/>
      <w:szCs w:val="20"/>
    </w:rPr>
  </w:style>
  <w:style w:type="paragraph" w:customStyle="1" w:styleId="190">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2">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3">
    <w:name w:val="WPSOffice手动目录 1"/>
    <w:qFormat/>
    <w:uiPriority w:val="0"/>
    <w:rPr>
      <w:rFonts w:ascii="Calibri" w:hAnsi="Calibri" w:eastAsia="宋体" w:cs="Times New Roman"/>
      <w:lang w:val="en-US" w:eastAsia="zh-CN" w:bidi="ar-SA"/>
    </w:rPr>
  </w:style>
  <w:style w:type="paragraph" w:customStyle="1" w:styleId="194">
    <w:name w:val="_Style 69"/>
    <w:basedOn w:val="1"/>
    <w:next w:val="131"/>
    <w:qFormat/>
    <w:uiPriority w:val="34"/>
    <w:pPr>
      <w:spacing w:line="360" w:lineRule="auto"/>
      <w:ind w:firstLine="420" w:firstLineChars="200"/>
    </w:pPr>
    <w:rPr>
      <w:rFonts w:ascii="Calibri" w:hAnsi="Calibri" w:eastAsia="宋体" w:cs="Times New Roman"/>
    </w:rPr>
  </w:style>
  <w:style w:type="paragraph" w:customStyle="1" w:styleId="195">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6">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7">
    <w:name w:val="彩色底纹 - 着色 11"/>
    <w:semiHidden/>
    <w:qFormat/>
    <w:uiPriority w:val="99"/>
    <w:rPr>
      <w:rFonts w:ascii="宋体" w:hAnsi="Calibri" w:eastAsia="宋体" w:cs="Times New Roman"/>
      <w:sz w:val="24"/>
      <w:szCs w:val="24"/>
      <w:lang w:val="en-US" w:eastAsia="zh-CN" w:bidi="ar-SA"/>
    </w:rPr>
  </w:style>
  <w:style w:type="paragraph" w:customStyle="1" w:styleId="198">
    <w:name w:val="WPSOffice手动目录 2"/>
    <w:qFormat/>
    <w:uiPriority w:val="0"/>
    <w:pPr>
      <w:ind w:left="200" w:leftChars="200"/>
    </w:pPr>
    <w:rPr>
      <w:rFonts w:ascii="Calibri" w:hAnsi="Calibri" w:eastAsia="宋体" w:cs="Times New Roman"/>
      <w:lang w:val="en-US" w:eastAsia="zh-CN" w:bidi="ar-SA"/>
    </w:rPr>
  </w:style>
  <w:style w:type="paragraph" w:customStyle="1" w:styleId="199">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0">
    <w:name w:val="表格文字居中"/>
    <w:basedOn w:val="124"/>
    <w:autoRedefine/>
    <w:qFormat/>
    <w:uiPriority w:val="0"/>
    <w:pPr>
      <w:jc w:val="center"/>
    </w:pPr>
    <w:rPr>
      <w:rFonts w:cs="宋体"/>
      <w:szCs w:val="20"/>
    </w:rPr>
  </w:style>
  <w:style w:type="paragraph" w:customStyle="1" w:styleId="201">
    <w:name w:val="正文缩进4格"/>
    <w:basedOn w:val="65"/>
    <w:qFormat/>
    <w:uiPriority w:val="0"/>
    <w:pPr>
      <w:spacing w:line="360" w:lineRule="auto"/>
      <w:ind w:left="964" w:leftChars="314" w:hanging="210" w:hangingChars="100"/>
    </w:pPr>
    <w:rPr>
      <w:rFonts w:ascii="宋体" w:eastAsia="宋体"/>
      <w:sz w:val="21"/>
      <w:szCs w:val="21"/>
      <w:lang w:val="zh-CN"/>
    </w:rPr>
  </w:style>
  <w:style w:type="paragraph" w:customStyle="1" w:styleId="202">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3">
    <w:name w:val="正文首行缩进 Char"/>
    <w:basedOn w:val="120"/>
    <w:link w:val="19"/>
    <w:semiHidden/>
    <w:qFormat/>
    <w:uiPriority w:val="99"/>
    <w:rPr>
      <w:rFonts w:ascii="宋体" w:eastAsia="宋体"/>
      <w:b w:val="0"/>
      <w:bCs w:val="0"/>
      <w:sz w:val="84"/>
      <w:szCs w:val="84"/>
      <w:lang w:val="zh-CN"/>
    </w:rPr>
  </w:style>
  <w:style w:type="paragraph" w:customStyle="1" w:styleId="204">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5">
    <w:name w:val="font91"/>
    <w:basedOn w:val="41"/>
    <w:qFormat/>
    <w:uiPriority w:val="0"/>
    <w:rPr>
      <w:rFonts w:hint="eastAsia" w:ascii="宋体" w:hAnsi="宋体" w:eastAsia="宋体" w:cs="宋体"/>
      <w:color w:val="000000"/>
      <w:sz w:val="18"/>
      <w:szCs w:val="18"/>
      <w:u w:val="none"/>
    </w:rPr>
  </w:style>
  <w:style w:type="character" w:customStyle="1" w:styleId="206">
    <w:name w:val="font101"/>
    <w:basedOn w:val="41"/>
    <w:qFormat/>
    <w:uiPriority w:val="0"/>
    <w:rPr>
      <w:rFonts w:ascii="Arial" w:hAnsi="Arial" w:cs="Arial"/>
      <w:color w:val="000000"/>
      <w:sz w:val="18"/>
      <w:szCs w:val="18"/>
      <w:u w:val="none"/>
    </w:rPr>
  </w:style>
  <w:style w:type="character" w:customStyle="1" w:styleId="207">
    <w:name w:val="font112"/>
    <w:basedOn w:val="41"/>
    <w:qFormat/>
    <w:uiPriority w:val="0"/>
    <w:rPr>
      <w:rFonts w:ascii="Helvetica" w:hAnsi="Helvetica" w:eastAsia="Helvetica" w:cs="Helvetica"/>
      <w:color w:val="333333"/>
      <w:sz w:val="22"/>
      <w:szCs w:val="22"/>
      <w:u w:val="none"/>
    </w:rPr>
  </w:style>
  <w:style w:type="character" w:customStyle="1" w:styleId="208">
    <w:name w:val="font121"/>
    <w:basedOn w:val="41"/>
    <w:qFormat/>
    <w:uiPriority w:val="0"/>
    <w:rPr>
      <w:rFonts w:hint="eastAsia" w:ascii="宋体" w:hAnsi="宋体" w:eastAsia="宋体" w:cs="宋体"/>
      <w:color w:val="333333"/>
      <w:sz w:val="22"/>
      <w:szCs w:val="22"/>
      <w:u w:val="none"/>
    </w:rPr>
  </w:style>
  <w:style w:type="character" w:customStyle="1" w:styleId="209">
    <w:name w:val="font51"/>
    <w:basedOn w:val="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24625</Words>
  <Characters>25650</Characters>
  <Lines>314</Lines>
  <Paragraphs>88</Paragraphs>
  <TotalTime>173</TotalTime>
  <ScaleCrop>false</ScaleCrop>
  <LinksUpToDate>false</LinksUpToDate>
  <CharactersWithSpaces>26067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建成</cp:lastModifiedBy>
  <dcterms:modified xsi:type="dcterms:W3CDTF">2026-04-21T09:39:19Z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52C595485BB84554BFA483B59E2F09CE_13</vt:lpwstr>
  </property>
  <property fmtid="{D5CDD505-2E9C-101B-9397-08002B2CF9AE}" pid="4" name="KSOTemplateDocerSaveRecord">
    <vt:lpwstr>eyJoZGlkIjoiODM5NDdjMTgwYzEzNTE2ZGVmMDA1ZDRhZTg3NDI0ZGUiLCJ1c2VySWQiOiIzNzQxMjY2MjUifQ==</vt:lpwstr>
  </property>
</Properties>
</file>