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46483C27">
      <w:pPr>
        <w:spacing w:line="360" w:lineRule="auto"/>
        <w:ind w:right="-26"/>
        <w:jc w:val="center"/>
        <w:rPr>
          <w:rFonts w:hint="eastAsia" w:ascii="Times New Roman" w:eastAsia="宋体" w:cs="宋体"/>
          <w:b/>
          <w:bCs/>
          <w:kern w:val="2"/>
          <w:sz w:val="48"/>
          <w:szCs w:val="48"/>
          <w:lang w:eastAsia="zh-CN"/>
        </w:rPr>
      </w:pPr>
      <w:r>
        <w:rPr>
          <w:rFonts w:hint="eastAsia" w:ascii="Times New Roman" w:cs="宋体"/>
          <w:b/>
          <w:bCs/>
          <w:kern w:val="2"/>
          <w:sz w:val="48"/>
          <w:szCs w:val="48"/>
          <w:lang w:eastAsia="zh-CN"/>
        </w:rPr>
        <w:t>东莞市石鼓净水有限公司市区水质净化厂提标提升泵叶轮采购项目</w:t>
      </w:r>
    </w:p>
    <w:p w14:paraId="78EAFC53">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start="1"/>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16</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9</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4</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6</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东莞市石鼓净水有限公司市区水质净化厂提标提升泵叶轮采购项目</w:t>
      </w:r>
      <w:r>
        <w:rPr>
          <w:rFonts w:hint="eastAsia" w:hAnsi="宋体" w:cs="宋体"/>
          <w:u w:val="single"/>
        </w:rPr>
        <w:t>”</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6</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0</w:t>
      </w:r>
      <w:r>
        <w:rPr>
          <w:rFonts w:hint="eastAsia" w:ascii="Times New Roman" w:cs="宋体"/>
          <w:color w:val="000000" w:themeColor="text1"/>
          <w:lang w:val="en-US" w:eastAsia="zh-CN"/>
          <w14:textFill>
            <w14:solidFill>
              <w14:schemeClr w14:val="tx1"/>
            </w14:solidFill>
          </w14:textFill>
        </w:rPr>
        <w:t>34</w:t>
      </w:r>
    </w:p>
    <w:p w14:paraId="24DCD19E">
      <w:pPr>
        <w:spacing w:line="360" w:lineRule="auto"/>
        <w:ind w:firstLine="424" w:firstLineChars="177"/>
        <w:rPr>
          <w:rFonts w:hint="eastAsia" w:hAnsi="宋体" w:eastAsia="宋体" w:cs="宋体"/>
          <w:lang w:eastAsia="zh-CN"/>
        </w:rPr>
      </w:pPr>
      <w:r>
        <w:rPr>
          <w:rFonts w:hint="eastAsia" w:hAnsi="宋体" w:cs="宋体"/>
        </w:rPr>
        <w:t>二、采购项目名称：</w:t>
      </w:r>
      <w:r>
        <w:rPr>
          <w:rFonts w:hint="eastAsia" w:ascii="Times New Roman" w:cs="宋体"/>
          <w:u w:val="single"/>
          <w:lang w:eastAsia="zh-CN"/>
        </w:rPr>
        <w:t>东莞市石鼓净水有限公司市区水质净化厂提标提升泵叶轮采购项目</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w:t>
      </w:r>
      <w:r>
        <w:rPr>
          <w:rFonts w:hint="eastAsia" w:ascii="Times New Roman" w:eastAsia="宋体" w:cs="宋体"/>
        </w:rPr>
        <w:t>限价为</w:t>
      </w:r>
      <w:r>
        <w:rPr>
          <w:rFonts w:hint="eastAsia" w:ascii="Times New Roman" w:eastAsia="宋体" w:cs="宋体"/>
          <w:lang w:val="en-US" w:eastAsia="zh-CN"/>
        </w:rPr>
        <w:t>166,460.17</w:t>
      </w:r>
      <w:r>
        <w:rPr>
          <w:rFonts w:hint="eastAsia" w:ascii="Times New Roman" w:eastAsia="宋体" w:cs="宋体"/>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ascii="宋体" w:hAnsi="宋体"/>
          <w:sz w:val="24"/>
          <w:szCs w:val="24"/>
          <w:u w:val="single"/>
          <w:lang w:val="en-US" w:eastAsia="zh-CN"/>
        </w:rPr>
        <w:t>6</w:t>
      </w:r>
      <w:r>
        <w:rPr>
          <w:rFonts w:hint="eastAsia" w:ascii="宋体" w:hAnsi="宋体" w:eastAsia="宋体"/>
          <w:sz w:val="24"/>
          <w:szCs w:val="24"/>
          <w:u w:val="single"/>
          <w:lang w:val="en-US" w:eastAsia="zh-CN"/>
        </w:rPr>
        <w:t>套</w:t>
      </w:r>
      <w:r>
        <w:rPr>
          <w:rFonts w:hint="eastAsia" w:ascii="Times New Roman" w:cs="宋体"/>
          <w:u w:val="single"/>
          <w:lang w:eastAsia="zh-CN"/>
        </w:rPr>
        <w:t>叶轮</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hAnsi="宋体" w:cs="宋体"/>
        </w:rPr>
        <w:t>报价人</w:t>
      </w:r>
      <w:r>
        <w:rPr>
          <w:rFonts w:ascii="Times New Roman"/>
        </w:rPr>
        <w:t>自2023年1月1日以来，</w:t>
      </w:r>
      <w:r>
        <w:rPr>
          <w:rFonts w:ascii="宋体" w:hAnsi="宋体" w:eastAsia="宋体" w:cs="宋体"/>
          <w:color w:val="auto"/>
          <w:highlight w:val="none"/>
        </w:rPr>
        <w:t>至少具备一</w:t>
      </w:r>
      <w:r>
        <w:rPr>
          <w:rFonts w:hint="eastAsia" w:ascii="宋体" w:hAnsi="宋体" w:eastAsia="宋体" w:cs="宋体"/>
          <w:color w:val="auto"/>
          <w:highlight w:val="none"/>
          <w:lang w:val="en-US" w:eastAsia="zh-CN"/>
        </w:rPr>
        <w:t>份</w:t>
      </w:r>
      <w:r>
        <w:rPr>
          <w:rFonts w:hint="eastAsia" w:hAnsi="宋体" w:cs="宋体"/>
          <w:color w:val="auto"/>
          <w:highlight w:val="none"/>
          <w:u w:val="single"/>
          <w:lang w:val="en-US" w:eastAsia="zh-CN"/>
        </w:rPr>
        <w:t>叶轮供货</w:t>
      </w:r>
      <w:r>
        <w:rPr>
          <w:rFonts w:hint="eastAsia" w:ascii="宋体" w:hAnsi="宋体" w:eastAsia="宋体" w:cs="宋体"/>
          <w:color w:val="auto"/>
          <w:highlight w:val="none"/>
          <w:lang w:val="en-US" w:eastAsia="zh-CN"/>
        </w:rPr>
        <w:t>相关</w:t>
      </w:r>
      <w:r>
        <w:rPr>
          <w:rFonts w:ascii="宋体" w:hAnsi="宋体" w:eastAsia="宋体" w:cs="宋体"/>
          <w:color w:val="auto"/>
          <w:highlight w:val="none"/>
        </w:rPr>
        <w:t>业绩（合同签订日期为</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或以后</w:t>
      </w:r>
      <w:r>
        <w:rPr>
          <w:rFonts w:hint="eastAsia" w:ascii="宋体" w:hAnsi="宋体" w:eastAsia="宋体" w:cs="宋体"/>
          <w:color w:val="auto"/>
          <w:highlight w:val="none"/>
        </w:rPr>
        <w:t>）</w:t>
      </w:r>
      <w:r>
        <w:rPr>
          <w:rFonts w:ascii="Times New Roman"/>
        </w:rPr>
        <w:t>；</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21</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21</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黄工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3252</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16</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4476"/>
      <w:bookmarkStart w:id="7" w:name="_Toc447044600"/>
      <w:bookmarkStart w:id="8" w:name="_Toc447045087"/>
    </w:p>
    <w:p w14:paraId="74DD2B24">
      <w:pPr>
        <w:spacing w:line="600" w:lineRule="exact"/>
        <w:jc w:val="center"/>
        <w:rPr>
          <w:rFonts w:ascii="宋体" w:hAnsi="宋体" w:cstheme="minorHAnsi"/>
          <w:b/>
          <w:sz w:val="40"/>
          <w:szCs w:val="40"/>
        </w:rPr>
      </w:pPr>
      <w:r>
        <w:rPr>
          <w:rFonts w:hint="eastAsia" w:ascii="宋体" w:hAnsi="宋体" w:eastAsia="宋体" w:cstheme="minorHAnsi"/>
          <w:b/>
          <w:i w:val="0"/>
          <w:iCs w:val="0"/>
          <w:caps w:val="0"/>
          <w:spacing w:val="0"/>
          <w:sz w:val="40"/>
          <w:szCs w:val="40"/>
          <w:shd w:val="clear"/>
        </w:rPr>
        <w:t>东莞市石鼓净水有限公司市区水质净化厂提标提升泵叶轮采购项目</w:t>
      </w:r>
      <w:r>
        <w:rPr>
          <w:rFonts w:hint="eastAsia" w:ascii="宋体" w:hAnsi="宋体" w:cstheme="minorHAnsi"/>
          <w:b/>
          <w:sz w:val="40"/>
          <w:szCs w:val="40"/>
        </w:rPr>
        <w:t>用户</w:t>
      </w:r>
      <w:r>
        <w:rPr>
          <w:rFonts w:ascii="宋体" w:hAnsi="宋体" w:cstheme="minorHAnsi"/>
          <w:b/>
          <w:sz w:val="40"/>
          <w:szCs w:val="40"/>
        </w:rPr>
        <w:t>需求书</w:t>
      </w:r>
    </w:p>
    <w:p w14:paraId="5C5FFED8">
      <w:pPr>
        <w:spacing w:line="240" w:lineRule="exact"/>
        <w:rPr>
          <w:rFonts w:eastAsia="方正小标宋简体" w:asciiTheme="minorHAnsi" w:hAnsiTheme="minorHAnsi" w:cstheme="minorHAnsi"/>
          <w:sz w:val="28"/>
          <w:szCs w:val="28"/>
        </w:rPr>
      </w:pPr>
    </w:p>
    <w:p w14:paraId="4FEF6329">
      <w:pPr>
        <w:spacing w:line="360" w:lineRule="auto"/>
        <w:rPr>
          <w:rFonts w:ascii="宋体" w:hAnsi="宋体"/>
          <w:b/>
          <w:sz w:val="28"/>
          <w:szCs w:val="28"/>
        </w:rPr>
      </w:pPr>
      <w:r>
        <w:rPr>
          <w:rFonts w:hint="eastAsia" w:ascii="宋体" w:hAnsi="宋体"/>
          <w:b/>
          <w:sz w:val="28"/>
          <w:szCs w:val="28"/>
        </w:rPr>
        <w:t>1．项目信息</w:t>
      </w:r>
    </w:p>
    <w:p w14:paraId="51955A8E">
      <w:pPr>
        <w:spacing w:line="360" w:lineRule="auto"/>
        <w:ind w:firstLine="530" w:firstLineChars="221"/>
        <w:rPr>
          <w:rFonts w:ascii="宋体" w:hAnsi="宋体"/>
          <w:sz w:val="24"/>
          <w:szCs w:val="24"/>
        </w:rPr>
      </w:pPr>
      <w:r>
        <w:rPr>
          <w:rFonts w:hint="eastAsia" w:ascii="宋体" w:hAnsi="宋体"/>
          <w:sz w:val="24"/>
          <w:szCs w:val="24"/>
        </w:rPr>
        <w:t>采购人：东莞市石鼓</w:t>
      </w:r>
      <w:r>
        <w:rPr>
          <w:rFonts w:hint="eastAsia" w:ascii="宋体" w:hAnsi="宋体"/>
          <w:sz w:val="24"/>
          <w:szCs w:val="24"/>
          <w:lang w:val="en-US" w:eastAsia="zh-CN"/>
        </w:rPr>
        <w:t>净水</w:t>
      </w:r>
      <w:r>
        <w:rPr>
          <w:rFonts w:hint="eastAsia" w:ascii="宋体" w:hAnsi="宋体"/>
          <w:sz w:val="24"/>
          <w:szCs w:val="24"/>
        </w:rPr>
        <w:t>有限公司</w:t>
      </w:r>
    </w:p>
    <w:p w14:paraId="7B989E53">
      <w:pPr>
        <w:spacing w:line="360" w:lineRule="auto"/>
        <w:ind w:firstLine="530" w:firstLineChars="221"/>
        <w:rPr>
          <w:rFonts w:hint="eastAsia" w:ascii="宋体" w:hAnsi="宋体"/>
          <w:sz w:val="24"/>
          <w:szCs w:val="24"/>
        </w:rPr>
      </w:pPr>
      <w:r>
        <w:rPr>
          <w:rFonts w:hint="eastAsia" w:ascii="宋体" w:hAnsi="宋体"/>
          <w:sz w:val="24"/>
          <w:szCs w:val="24"/>
        </w:rPr>
        <w:t>采购内容：水泵</w:t>
      </w:r>
      <w:r>
        <w:rPr>
          <w:rFonts w:hint="eastAsia" w:ascii="宋体" w:hAnsi="宋体" w:cs="Times New Roman"/>
          <w:sz w:val="24"/>
          <w:szCs w:val="24"/>
        </w:rPr>
        <w:t>叶轮采购</w:t>
      </w:r>
      <w:r>
        <w:rPr>
          <w:rFonts w:hint="eastAsia" w:ascii="宋体" w:hAnsi="宋体"/>
          <w:sz w:val="24"/>
          <w:szCs w:val="24"/>
        </w:rPr>
        <w:t>（详见“3.1采购货物清单”）</w:t>
      </w:r>
    </w:p>
    <w:p w14:paraId="46ABE215">
      <w:pPr>
        <w:spacing w:line="360" w:lineRule="auto"/>
        <w:ind w:firstLine="530" w:firstLineChars="221"/>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采购限价：</w:t>
      </w:r>
      <w:r>
        <w:rPr>
          <w:rFonts w:hint="eastAsia" w:ascii="宋体" w:hAnsi="宋体" w:cs="Times New Roman"/>
          <w:sz w:val="24"/>
          <w:szCs w:val="24"/>
          <w:lang w:val="en-US" w:eastAsia="zh-CN"/>
        </w:rPr>
        <w:t>166</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460</w:t>
      </w: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17</w:t>
      </w:r>
      <w:r>
        <w:rPr>
          <w:rFonts w:hint="eastAsia" w:ascii="宋体" w:hAnsi="宋体" w:eastAsia="宋体" w:cs="Times New Roman"/>
          <w:sz w:val="24"/>
          <w:szCs w:val="24"/>
          <w:lang w:val="en-US" w:eastAsia="zh-CN"/>
        </w:rPr>
        <w:t>元（不含税）</w:t>
      </w:r>
    </w:p>
    <w:p w14:paraId="68FF3245">
      <w:pPr>
        <w:spacing w:line="360" w:lineRule="auto"/>
        <w:ind w:firstLine="530" w:firstLineChars="221"/>
        <w:rPr>
          <w:rFonts w:hint="eastAsia" w:ascii="宋体" w:hAnsi="宋体"/>
          <w:sz w:val="24"/>
          <w:szCs w:val="24"/>
        </w:rPr>
      </w:pPr>
    </w:p>
    <w:p w14:paraId="0D78F328">
      <w:pPr>
        <w:spacing w:line="200" w:lineRule="exact"/>
        <w:ind w:firstLine="530" w:firstLineChars="221"/>
        <w:rPr>
          <w:rFonts w:ascii="宋体" w:hAnsi="宋体"/>
          <w:sz w:val="24"/>
          <w:szCs w:val="24"/>
        </w:rPr>
      </w:pPr>
    </w:p>
    <w:p w14:paraId="67E1306A">
      <w:pPr>
        <w:spacing w:line="360" w:lineRule="auto"/>
        <w:rPr>
          <w:rFonts w:ascii="宋体" w:hAnsi="宋体"/>
          <w:b/>
          <w:sz w:val="28"/>
          <w:szCs w:val="28"/>
        </w:rPr>
      </w:pPr>
      <w:r>
        <w:rPr>
          <w:rFonts w:hint="eastAsia" w:ascii="宋体" w:hAnsi="宋体"/>
          <w:b/>
          <w:sz w:val="28"/>
          <w:szCs w:val="28"/>
        </w:rPr>
        <w:t>2．项目概况</w:t>
      </w:r>
    </w:p>
    <w:p w14:paraId="2138E057">
      <w:pPr>
        <w:spacing w:line="360" w:lineRule="auto"/>
        <w:ind w:firstLine="530" w:firstLineChars="221"/>
        <w:rPr>
          <w:rFonts w:hint="default" w:ascii="宋体" w:hAnsi="宋体" w:eastAsia="宋体"/>
          <w:sz w:val="24"/>
          <w:szCs w:val="24"/>
          <w:lang w:val="en-US" w:eastAsia="zh-CN"/>
        </w:rPr>
      </w:pPr>
      <w:r>
        <w:rPr>
          <w:rFonts w:hint="eastAsia" w:ascii="宋体" w:hAnsi="宋体"/>
          <w:sz w:val="24"/>
          <w:szCs w:val="24"/>
          <w:lang w:val="en-US" w:eastAsia="zh-CN"/>
        </w:rPr>
        <w:t>市区水质净化厂提标配备12台由蓝深生产的 WQ2720-12-125型潜水离心泵（设计运行模式为8用4备），额定流量 2720 m³/h。设备自2020年投入使用至今近6年的时间，受长期水流冲刷、汽蚀影响，提升泵叶轮普遍出现严重磨损、穿孔、汽蚀、蜂窝状金属剥落等问题，运行性能大幅衰减，单台运行流量已不足2000m³/h，严重制约厂区生产运行。厂区已于2025年12月完成对7#～12#共6台提升泵铸铁叶轮更换，更换后设备运行效果显著改善；当前剩余1#～6#共6台提升泵仍使用原磨损叶轮，运行工况持续劣化，已无法满足生产及备用要求，为满足厂区生产需求、恢复设备备用率，现需采购提升泵叶轮一批。</w:t>
      </w:r>
    </w:p>
    <w:p w14:paraId="55514EC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本项目是采购</w:t>
      </w:r>
      <w:r>
        <w:rPr>
          <w:rFonts w:hint="eastAsia" w:ascii="宋体" w:hAnsi="宋体"/>
          <w:sz w:val="24"/>
          <w:szCs w:val="24"/>
          <w:lang w:val="en-US" w:eastAsia="zh-CN"/>
        </w:rPr>
        <w:t>提升泵叶轮一批</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对</w:t>
      </w:r>
      <w:r>
        <w:rPr>
          <w:rFonts w:hint="default" w:ascii="Times New Roman" w:hAnsi="Times New Roman" w:eastAsia="宋体" w:cs="Times New Roman"/>
          <w:sz w:val="24"/>
          <w:szCs w:val="24"/>
          <w:lang w:val="en-US" w:eastAsia="zh-CN"/>
        </w:rPr>
        <w:t>现有</w:t>
      </w:r>
      <w:r>
        <w:rPr>
          <w:rFonts w:hint="eastAsia" w:eastAsia="宋体" w:cs="Times New Roman"/>
          <w:sz w:val="24"/>
          <w:szCs w:val="24"/>
          <w:lang w:val="en-US" w:eastAsia="zh-CN"/>
        </w:rPr>
        <w:t>的提升泵叶轮</w:t>
      </w:r>
      <w:r>
        <w:rPr>
          <w:rFonts w:hint="default" w:ascii="Times New Roman" w:hAnsi="Times New Roman" w:eastAsia="宋体" w:cs="Times New Roman"/>
          <w:sz w:val="24"/>
          <w:szCs w:val="24"/>
        </w:rPr>
        <w:t>进行</w:t>
      </w:r>
      <w:r>
        <w:rPr>
          <w:rFonts w:hint="eastAsia" w:eastAsia="宋体" w:cs="Times New Roman"/>
          <w:sz w:val="24"/>
          <w:szCs w:val="24"/>
          <w:lang w:val="en-US" w:eastAsia="zh-CN"/>
        </w:rPr>
        <w:t>更换</w:t>
      </w:r>
      <w:r>
        <w:rPr>
          <w:rFonts w:hint="default" w:ascii="Times New Roman" w:hAnsi="Times New Roman" w:eastAsia="宋体" w:cs="Times New Roman"/>
          <w:sz w:val="24"/>
          <w:szCs w:val="24"/>
        </w:rPr>
        <w:t>，确保生产的正常、稳定运行。</w:t>
      </w:r>
    </w:p>
    <w:p w14:paraId="0D9FFFCA">
      <w:pPr>
        <w:spacing w:line="200" w:lineRule="exact"/>
        <w:ind w:firstLine="530" w:firstLineChars="221"/>
        <w:rPr>
          <w:rFonts w:ascii="宋体" w:hAnsi="宋体"/>
          <w:sz w:val="24"/>
          <w:szCs w:val="24"/>
        </w:rPr>
      </w:pPr>
    </w:p>
    <w:p w14:paraId="11C7B648">
      <w:pPr>
        <w:spacing w:line="360" w:lineRule="auto"/>
        <w:rPr>
          <w:rFonts w:ascii="宋体" w:hAnsi="宋体"/>
          <w:b/>
          <w:sz w:val="28"/>
          <w:szCs w:val="28"/>
        </w:rPr>
      </w:pPr>
      <w:r>
        <w:rPr>
          <w:rFonts w:ascii="宋体" w:hAnsi="宋体"/>
          <w:b/>
          <w:sz w:val="28"/>
          <w:szCs w:val="28"/>
        </w:rPr>
        <w:t>3</w:t>
      </w:r>
      <w:r>
        <w:rPr>
          <w:rFonts w:hint="eastAsia" w:ascii="宋体" w:hAnsi="宋体"/>
          <w:b/>
          <w:sz w:val="28"/>
          <w:szCs w:val="28"/>
        </w:rPr>
        <w:t>．</w:t>
      </w:r>
      <w:r>
        <w:rPr>
          <w:rFonts w:ascii="宋体" w:hAnsi="宋体"/>
          <w:b/>
          <w:sz w:val="28"/>
          <w:szCs w:val="28"/>
        </w:rPr>
        <w:t>采购清单及要求</w:t>
      </w:r>
    </w:p>
    <w:p w14:paraId="29990253">
      <w:pPr>
        <w:autoSpaceDE w:val="0"/>
        <w:autoSpaceDN w:val="0"/>
        <w:adjustRightInd w:val="0"/>
        <w:spacing w:line="360" w:lineRule="auto"/>
        <w:jc w:val="left"/>
        <w:rPr>
          <w:rFonts w:ascii="宋体" w:hAnsi="宋体"/>
          <w:b/>
          <w:sz w:val="24"/>
          <w:szCs w:val="24"/>
        </w:rPr>
      </w:pPr>
      <w:r>
        <w:rPr>
          <w:rFonts w:hint="eastAsia" w:ascii="宋体" w:hAnsi="宋体"/>
          <w:b/>
          <w:sz w:val="24"/>
          <w:szCs w:val="24"/>
        </w:rPr>
        <w:t>3</w:t>
      </w:r>
      <w:r>
        <w:rPr>
          <w:rFonts w:ascii="宋体" w:hAnsi="宋体"/>
          <w:b/>
          <w:sz w:val="24"/>
          <w:szCs w:val="24"/>
        </w:rPr>
        <w:t xml:space="preserve">.1 </w:t>
      </w:r>
      <w:r>
        <w:rPr>
          <w:rFonts w:hint="eastAsia" w:ascii="宋体" w:hAnsi="宋体"/>
          <w:b/>
          <w:sz w:val="24"/>
          <w:szCs w:val="24"/>
        </w:rPr>
        <w:t>采购货物清单</w:t>
      </w: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76"/>
        <w:gridCol w:w="1276"/>
        <w:gridCol w:w="2268"/>
        <w:gridCol w:w="709"/>
        <w:gridCol w:w="2268"/>
      </w:tblGrid>
      <w:tr w14:paraId="488A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vMerge w:val="restart"/>
            <w:tcBorders>
              <w:tl2br w:val="nil"/>
              <w:tr2bl w:val="nil"/>
            </w:tcBorders>
            <w:shd w:val="clear" w:color="auto" w:fill="auto"/>
            <w:vAlign w:val="center"/>
          </w:tcPr>
          <w:p w14:paraId="47ADC52D">
            <w:pPr>
              <w:ind w:left="-120" w:leftChars="-50" w:right="-120" w:rightChars="-50"/>
              <w:jc w:val="center"/>
              <w:rPr>
                <w:rFonts w:ascii="宋体" w:hAnsi="宋体"/>
                <w:sz w:val="24"/>
                <w:szCs w:val="24"/>
              </w:rPr>
            </w:pPr>
            <w:r>
              <w:rPr>
                <w:rFonts w:hint="eastAsia" w:ascii="宋体" w:hAnsi="宋体"/>
                <w:sz w:val="24"/>
                <w:szCs w:val="24"/>
              </w:rPr>
              <w:t>序号</w:t>
            </w:r>
          </w:p>
        </w:tc>
        <w:tc>
          <w:tcPr>
            <w:tcW w:w="1176" w:type="dxa"/>
            <w:vMerge w:val="restart"/>
            <w:tcBorders>
              <w:tl2br w:val="nil"/>
              <w:tr2bl w:val="nil"/>
            </w:tcBorders>
            <w:shd w:val="clear" w:color="auto" w:fill="auto"/>
            <w:vAlign w:val="center"/>
          </w:tcPr>
          <w:p w14:paraId="00CE5D04">
            <w:pPr>
              <w:jc w:val="center"/>
              <w:rPr>
                <w:rFonts w:hint="default" w:ascii="宋体" w:hAnsi="宋体" w:eastAsia="宋体"/>
                <w:sz w:val="24"/>
                <w:szCs w:val="24"/>
                <w:lang w:val="en-US" w:eastAsia="zh-CN"/>
              </w:rPr>
            </w:pPr>
            <w:r>
              <w:rPr>
                <w:rFonts w:hint="eastAsia" w:ascii="宋体" w:hAnsi="宋体"/>
                <w:sz w:val="24"/>
                <w:szCs w:val="24"/>
              </w:rPr>
              <w:t>采购</w:t>
            </w:r>
            <w:r>
              <w:rPr>
                <w:rFonts w:hint="eastAsia" w:ascii="宋体" w:hAnsi="宋体"/>
                <w:sz w:val="24"/>
                <w:szCs w:val="24"/>
                <w:lang w:val="en-US" w:eastAsia="zh-CN"/>
              </w:rPr>
              <w:t>配件名称</w:t>
            </w:r>
          </w:p>
        </w:tc>
        <w:tc>
          <w:tcPr>
            <w:tcW w:w="3544" w:type="dxa"/>
            <w:gridSpan w:val="2"/>
            <w:tcBorders>
              <w:tl2br w:val="nil"/>
              <w:tr2bl w:val="nil"/>
            </w:tcBorders>
            <w:shd w:val="clear" w:color="auto" w:fill="auto"/>
            <w:vAlign w:val="center"/>
          </w:tcPr>
          <w:p w14:paraId="5969ADE6">
            <w:pPr>
              <w:jc w:val="center"/>
              <w:rPr>
                <w:rFonts w:ascii="宋体" w:hAnsi="宋体"/>
                <w:sz w:val="24"/>
                <w:szCs w:val="24"/>
              </w:rPr>
            </w:pPr>
            <w:r>
              <w:rPr>
                <w:rFonts w:hint="eastAsia" w:ascii="宋体" w:hAnsi="宋体"/>
                <w:sz w:val="24"/>
                <w:szCs w:val="24"/>
              </w:rPr>
              <w:t>适用设备信息</w:t>
            </w:r>
          </w:p>
        </w:tc>
        <w:tc>
          <w:tcPr>
            <w:tcW w:w="709" w:type="dxa"/>
            <w:vMerge w:val="restart"/>
            <w:tcBorders>
              <w:tl2br w:val="nil"/>
              <w:tr2bl w:val="nil"/>
            </w:tcBorders>
            <w:shd w:val="clear" w:color="auto" w:fill="auto"/>
            <w:vAlign w:val="center"/>
          </w:tcPr>
          <w:p w14:paraId="580838C8">
            <w:pPr>
              <w:jc w:val="center"/>
              <w:rPr>
                <w:rFonts w:ascii="宋体" w:hAnsi="宋体"/>
                <w:sz w:val="24"/>
                <w:szCs w:val="24"/>
              </w:rPr>
            </w:pPr>
            <w:r>
              <w:rPr>
                <w:rFonts w:hint="eastAsia" w:ascii="宋体" w:hAnsi="宋体"/>
                <w:sz w:val="24"/>
                <w:szCs w:val="24"/>
              </w:rPr>
              <w:t>采购</w:t>
            </w:r>
          </w:p>
          <w:p w14:paraId="54686596">
            <w:pPr>
              <w:jc w:val="center"/>
              <w:rPr>
                <w:rFonts w:ascii="宋体" w:hAnsi="宋体"/>
                <w:sz w:val="24"/>
                <w:szCs w:val="24"/>
              </w:rPr>
            </w:pPr>
            <w:r>
              <w:rPr>
                <w:rFonts w:hint="eastAsia" w:ascii="宋体" w:hAnsi="宋体"/>
                <w:sz w:val="24"/>
                <w:szCs w:val="24"/>
              </w:rPr>
              <w:t>数量</w:t>
            </w:r>
          </w:p>
        </w:tc>
        <w:tc>
          <w:tcPr>
            <w:tcW w:w="2268" w:type="dxa"/>
            <w:vMerge w:val="restart"/>
            <w:tcBorders>
              <w:tl2br w:val="nil"/>
              <w:tr2bl w:val="nil"/>
            </w:tcBorders>
            <w:shd w:val="clear" w:color="auto" w:fill="auto"/>
            <w:vAlign w:val="center"/>
          </w:tcPr>
          <w:p w14:paraId="1DEFE052">
            <w:pPr>
              <w:jc w:val="center"/>
              <w:rPr>
                <w:rFonts w:ascii="宋体" w:hAnsi="宋体"/>
                <w:sz w:val="24"/>
                <w:szCs w:val="24"/>
              </w:rPr>
            </w:pPr>
            <w:r>
              <w:rPr>
                <w:rFonts w:hint="eastAsia" w:ascii="宋体" w:hAnsi="宋体"/>
                <w:sz w:val="24"/>
                <w:szCs w:val="24"/>
              </w:rPr>
              <w:t>备注</w:t>
            </w:r>
          </w:p>
        </w:tc>
      </w:tr>
      <w:tr w14:paraId="691D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62" w:type="dxa"/>
            <w:vMerge w:val="continue"/>
            <w:tcBorders>
              <w:tl2br w:val="nil"/>
              <w:tr2bl w:val="nil"/>
            </w:tcBorders>
            <w:shd w:val="clear" w:color="auto" w:fill="auto"/>
            <w:vAlign w:val="center"/>
          </w:tcPr>
          <w:p w14:paraId="5E662710">
            <w:pPr>
              <w:jc w:val="center"/>
              <w:rPr>
                <w:rFonts w:ascii="宋体" w:hAnsi="宋体"/>
                <w:sz w:val="24"/>
                <w:szCs w:val="24"/>
              </w:rPr>
            </w:pPr>
          </w:p>
        </w:tc>
        <w:tc>
          <w:tcPr>
            <w:tcW w:w="1176" w:type="dxa"/>
            <w:vMerge w:val="continue"/>
            <w:tcBorders>
              <w:tl2br w:val="nil"/>
              <w:tr2bl w:val="nil"/>
            </w:tcBorders>
            <w:shd w:val="clear" w:color="auto" w:fill="auto"/>
            <w:vAlign w:val="center"/>
          </w:tcPr>
          <w:p w14:paraId="32885071">
            <w:pPr>
              <w:jc w:val="center"/>
              <w:rPr>
                <w:rFonts w:ascii="宋体" w:hAnsi="宋体"/>
                <w:sz w:val="24"/>
                <w:szCs w:val="24"/>
              </w:rPr>
            </w:pPr>
          </w:p>
        </w:tc>
        <w:tc>
          <w:tcPr>
            <w:tcW w:w="1276" w:type="dxa"/>
            <w:tcBorders>
              <w:tl2br w:val="nil"/>
              <w:tr2bl w:val="nil"/>
            </w:tcBorders>
            <w:shd w:val="clear" w:color="auto" w:fill="auto"/>
            <w:vAlign w:val="center"/>
          </w:tcPr>
          <w:p w14:paraId="05ED5242">
            <w:pPr>
              <w:jc w:val="center"/>
              <w:rPr>
                <w:rFonts w:ascii="宋体" w:hAnsi="宋体"/>
                <w:sz w:val="24"/>
                <w:szCs w:val="24"/>
              </w:rPr>
            </w:pPr>
            <w:r>
              <w:rPr>
                <w:rFonts w:hint="eastAsia" w:ascii="宋体" w:hAnsi="宋体"/>
                <w:sz w:val="24"/>
                <w:szCs w:val="24"/>
              </w:rPr>
              <w:t>生产厂家</w:t>
            </w:r>
          </w:p>
        </w:tc>
        <w:tc>
          <w:tcPr>
            <w:tcW w:w="2268" w:type="dxa"/>
            <w:tcBorders>
              <w:tl2br w:val="nil"/>
              <w:tr2bl w:val="nil"/>
            </w:tcBorders>
            <w:shd w:val="clear" w:color="auto" w:fill="auto"/>
            <w:vAlign w:val="center"/>
          </w:tcPr>
          <w:p w14:paraId="4A59B9E6">
            <w:pPr>
              <w:jc w:val="center"/>
              <w:rPr>
                <w:rFonts w:ascii="宋体" w:hAnsi="宋体"/>
                <w:sz w:val="24"/>
                <w:szCs w:val="24"/>
              </w:rPr>
            </w:pPr>
            <w:r>
              <w:rPr>
                <w:rFonts w:hint="eastAsia" w:ascii="宋体" w:hAnsi="宋体"/>
                <w:sz w:val="24"/>
                <w:szCs w:val="24"/>
              </w:rPr>
              <w:t>设备型号</w:t>
            </w:r>
          </w:p>
        </w:tc>
        <w:tc>
          <w:tcPr>
            <w:tcW w:w="709" w:type="dxa"/>
            <w:vMerge w:val="continue"/>
            <w:tcBorders>
              <w:tl2br w:val="nil"/>
              <w:tr2bl w:val="nil"/>
            </w:tcBorders>
            <w:shd w:val="clear" w:color="auto" w:fill="auto"/>
            <w:vAlign w:val="center"/>
          </w:tcPr>
          <w:p w14:paraId="3B509719">
            <w:pPr>
              <w:jc w:val="center"/>
              <w:rPr>
                <w:rFonts w:ascii="宋体" w:hAnsi="宋体"/>
                <w:sz w:val="24"/>
                <w:szCs w:val="24"/>
              </w:rPr>
            </w:pPr>
          </w:p>
        </w:tc>
        <w:tc>
          <w:tcPr>
            <w:tcW w:w="2268" w:type="dxa"/>
            <w:vMerge w:val="continue"/>
            <w:tcBorders>
              <w:tl2br w:val="nil"/>
              <w:tr2bl w:val="nil"/>
            </w:tcBorders>
            <w:shd w:val="clear" w:color="auto" w:fill="auto"/>
            <w:vAlign w:val="center"/>
          </w:tcPr>
          <w:p w14:paraId="4151A2D2">
            <w:pPr>
              <w:jc w:val="center"/>
              <w:rPr>
                <w:rFonts w:ascii="宋体" w:hAnsi="宋体"/>
                <w:sz w:val="24"/>
                <w:szCs w:val="24"/>
              </w:rPr>
            </w:pPr>
          </w:p>
        </w:tc>
      </w:tr>
      <w:tr w14:paraId="736D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62" w:type="dxa"/>
            <w:shd w:val="clear" w:color="auto" w:fill="auto"/>
            <w:vAlign w:val="center"/>
          </w:tcPr>
          <w:p w14:paraId="574CEC72">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1</w:t>
            </w:r>
          </w:p>
        </w:tc>
        <w:tc>
          <w:tcPr>
            <w:tcW w:w="1176" w:type="dxa"/>
            <w:shd w:val="clear" w:color="auto" w:fill="auto"/>
            <w:vAlign w:val="center"/>
          </w:tcPr>
          <w:p w14:paraId="6C4598D2">
            <w:pPr>
              <w:jc w:val="center"/>
              <w:rPr>
                <w:rFonts w:hint="eastAsia" w:ascii="宋体" w:hAnsi="宋体" w:eastAsia="宋体"/>
                <w:sz w:val="24"/>
                <w:szCs w:val="24"/>
              </w:rPr>
            </w:pPr>
            <w:r>
              <w:rPr>
                <w:rFonts w:hint="eastAsia" w:ascii="宋体" w:hAnsi="宋体" w:eastAsia="宋体"/>
                <w:sz w:val="24"/>
                <w:szCs w:val="24"/>
                <w:lang w:val="en-US" w:eastAsia="zh-CN"/>
              </w:rPr>
              <w:t>304不锈钢叶轮</w:t>
            </w:r>
          </w:p>
        </w:tc>
        <w:tc>
          <w:tcPr>
            <w:tcW w:w="1276" w:type="dxa"/>
            <w:shd w:val="clear" w:color="auto" w:fill="auto"/>
            <w:vAlign w:val="center"/>
          </w:tcPr>
          <w:p w14:paraId="205E14C5">
            <w:pPr>
              <w:jc w:val="center"/>
              <w:rPr>
                <w:rFonts w:hint="eastAsia" w:ascii="宋体" w:hAnsi="宋体" w:eastAsia="宋体"/>
                <w:sz w:val="24"/>
                <w:szCs w:val="24"/>
                <w:lang w:eastAsia="zh-CN"/>
              </w:rPr>
            </w:pPr>
            <w:r>
              <w:rPr>
                <w:rFonts w:hint="eastAsia" w:ascii="宋体" w:hAnsi="宋体" w:eastAsia="宋体"/>
                <w:sz w:val="24"/>
                <w:szCs w:val="24"/>
                <w:lang w:val="en-US" w:eastAsia="zh-CN"/>
              </w:rPr>
              <w:t>蓝深</w:t>
            </w:r>
          </w:p>
        </w:tc>
        <w:tc>
          <w:tcPr>
            <w:tcW w:w="2268" w:type="dxa"/>
            <w:shd w:val="clear" w:color="auto" w:fill="auto"/>
            <w:vAlign w:val="center"/>
          </w:tcPr>
          <w:p w14:paraId="16C7DEDF">
            <w:pPr>
              <w:jc w:val="center"/>
              <w:rPr>
                <w:rFonts w:hint="eastAsia" w:ascii="宋体" w:hAnsi="宋体" w:eastAsia="宋体" w:cs="Times New Roman"/>
                <w:kern w:val="2"/>
                <w:sz w:val="24"/>
                <w:szCs w:val="24"/>
                <w:lang w:val="en-US" w:eastAsia="zh-CN" w:bidi="ar-SA"/>
              </w:rPr>
            </w:pPr>
            <w:r>
              <w:rPr>
                <w:rFonts w:hint="default" w:ascii="宋体" w:hAnsi="宋体" w:eastAsia="宋体" w:cs="宋体"/>
                <w:color w:val="000000"/>
                <w:sz w:val="24"/>
                <w:szCs w:val="24"/>
                <w:lang w:val="en-US" w:eastAsia="zh-CN"/>
              </w:rPr>
              <w:t>WQ2720-12-125</w:t>
            </w:r>
          </w:p>
        </w:tc>
        <w:tc>
          <w:tcPr>
            <w:tcW w:w="709" w:type="dxa"/>
            <w:shd w:val="clear" w:color="auto" w:fill="auto"/>
            <w:vAlign w:val="center"/>
          </w:tcPr>
          <w:p w14:paraId="41FE6FD2">
            <w:pPr>
              <w:jc w:val="center"/>
              <w:rPr>
                <w:rFonts w:hint="default" w:ascii="宋体" w:hAnsi="宋体" w:eastAsia="宋体"/>
                <w:sz w:val="24"/>
                <w:szCs w:val="24"/>
                <w:lang w:val="en-US" w:eastAsia="zh-CN"/>
              </w:rPr>
            </w:pPr>
            <w:r>
              <w:rPr>
                <w:rFonts w:hint="eastAsia" w:ascii="宋体" w:hAnsi="宋体"/>
                <w:sz w:val="24"/>
                <w:szCs w:val="24"/>
                <w:lang w:val="en-US" w:eastAsia="zh-CN"/>
              </w:rPr>
              <w:t>6</w:t>
            </w:r>
            <w:r>
              <w:rPr>
                <w:rFonts w:hint="eastAsia" w:ascii="宋体" w:hAnsi="宋体" w:eastAsia="宋体"/>
                <w:sz w:val="24"/>
                <w:szCs w:val="24"/>
                <w:lang w:val="en-US" w:eastAsia="zh-CN"/>
              </w:rPr>
              <w:t>套</w:t>
            </w:r>
          </w:p>
        </w:tc>
        <w:tc>
          <w:tcPr>
            <w:tcW w:w="2268" w:type="dxa"/>
            <w:shd w:val="clear" w:color="auto" w:fill="auto"/>
            <w:vAlign w:val="center"/>
          </w:tcPr>
          <w:p w14:paraId="6A98D5FC">
            <w:pPr>
              <w:jc w:val="center"/>
              <w:rPr>
                <w:rFonts w:hint="default" w:ascii="宋体" w:hAnsi="宋体" w:eastAsia="宋体"/>
                <w:sz w:val="24"/>
                <w:szCs w:val="24"/>
                <w:lang w:val="en-US" w:eastAsia="zh-CN"/>
              </w:rPr>
            </w:pPr>
          </w:p>
        </w:tc>
      </w:tr>
    </w:tbl>
    <w:p w14:paraId="701C86CF">
      <w:pPr>
        <w:spacing w:line="360" w:lineRule="auto"/>
        <w:rPr>
          <w:rFonts w:ascii="宋体" w:hAnsi="宋体"/>
          <w:b/>
          <w:sz w:val="24"/>
          <w:szCs w:val="24"/>
        </w:rPr>
      </w:pPr>
      <w:r>
        <w:rPr>
          <w:rFonts w:ascii="宋体" w:hAnsi="宋体"/>
          <w:b/>
          <w:sz w:val="24"/>
          <w:szCs w:val="24"/>
        </w:rPr>
        <w:t>3.2</w:t>
      </w:r>
      <w:r>
        <w:rPr>
          <w:rFonts w:hint="eastAsia" w:ascii="宋体" w:hAnsi="宋体"/>
          <w:b/>
          <w:sz w:val="24"/>
          <w:szCs w:val="24"/>
        </w:rPr>
        <w:t xml:space="preserve"> 供货及安装界限</w:t>
      </w:r>
    </w:p>
    <w:p w14:paraId="6C4A5213">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 供货单位提供清单货物。</w:t>
      </w:r>
    </w:p>
    <w:p w14:paraId="2F601253">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2) 供货单位负责所供货物的指导安装、验收及售后服务。</w:t>
      </w:r>
    </w:p>
    <w:p w14:paraId="29B54F0B">
      <w:pPr>
        <w:spacing w:line="360" w:lineRule="auto"/>
        <w:rPr>
          <w:b/>
        </w:rPr>
      </w:pPr>
      <w:r>
        <w:rPr>
          <w:rFonts w:ascii="宋体" w:hAnsi="宋体"/>
          <w:b/>
          <w:sz w:val="24"/>
          <w:szCs w:val="24"/>
        </w:rPr>
        <w:t>3.</w:t>
      </w:r>
      <w:r>
        <w:rPr>
          <w:rFonts w:hint="eastAsia" w:ascii="宋体" w:hAnsi="宋体"/>
          <w:b/>
          <w:sz w:val="24"/>
          <w:szCs w:val="24"/>
        </w:rPr>
        <w:t>3</w:t>
      </w:r>
      <w:r>
        <w:rPr>
          <w:rFonts w:ascii="宋体" w:hAnsi="宋体"/>
          <w:b/>
          <w:sz w:val="24"/>
          <w:szCs w:val="24"/>
        </w:rPr>
        <w:t>质量要求</w:t>
      </w:r>
    </w:p>
    <w:p w14:paraId="35F9C42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
          <w:bCs/>
          <w:sz w:val="24"/>
          <w:szCs w:val="24"/>
        </w:rPr>
      </w:pPr>
      <w:r>
        <w:rPr>
          <w:rFonts w:ascii="宋体" w:hAnsi="宋体"/>
          <w:b/>
          <w:bCs/>
          <w:sz w:val="24"/>
          <w:szCs w:val="24"/>
        </w:rPr>
        <w:t>(</w:t>
      </w:r>
      <w:r>
        <w:rPr>
          <w:rFonts w:hint="eastAsia" w:ascii="宋体" w:hAnsi="宋体"/>
          <w:b/>
          <w:bCs/>
          <w:sz w:val="24"/>
          <w:szCs w:val="24"/>
        </w:rPr>
        <w:t>1) 提升泵为潜水离心泵，水泵型号</w:t>
      </w:r>
      <w:r>
        <w:rPr>
          <w:rFonts w:hint="default" w:ascii="宋体" w:hAnsi="宋体"/>
          <w:b/>
          <w:bCs/>
          <w:sz w:val="24"/>
          <w:szCs w:val="24"/>
          <w:highlight w:val="none"/>
          <w:lang w:val="en-US" w:eastAsia="zh-CN"/>
        </w:rPr>
        <w:t>WQ2720-12-125</w:t>
      </w:r>
      <w:r>
        <w:rPr>
          <w:rFonts w:hint="eastAsia" w:ascii="宋体" w:hAnsi="宋体"/>
          <w:b/>
          <w:bCs/>
          <w:sz w:val="24"/>
          <w:szCs w:val="24"/>
          <w:highlight w:val="none"/>
          <w:lang w:val="en-US" w:eastAsia="zh-CN"/>
        </w:rPr>
        <w:t>，</w:t>
      </w:r>
      <w:r>
        <w:rPr>
          <w:rFonts w:ascii="宋体" w:hAnsi="宋体"/>
          <w:b/>
          <w:bCs/>
          <w:sz w:val="24"/>
          <w:szCs w:val="24"/>
          <w:highlight w:val="none"/>
        </w:rPr>
        <w:t>水泵的额定功率</w:t>
      </w:r>
      <w:r>
        <w:rPr>
          <w:rFonts w:hint="eastAsia" w:ascii="宋体" w:hAnsi="宋体"/>
          <w:b/>
          <w:bCs/>
          <w:sz w:val="24"/>
          <w:szCs w:val="24"/>
          <w:highlight w:val="none"/>
          <w:lang w:val="en-US" w:eastAsia="zh-CN"/>
        </w:rPr>
        <w:t>125</w:t>
      </w:r>
      <w:r>
        <w:rPr>
          <w:rFonts w:hint="eastAsia" w:ascii="宋体" w:hAnsi="宋体"/>
          <w:b/>
          <w:bCs/>
          <w:sz w:val="24"/>
          <w:szCs w:val="24"/>
          <w:highlight w:val="none"/>
        </w:rPr>
        <w:t>KW、额定扬程</w:t>
      </w:r>
      <w:r>
        <w:rPr>
          <w:rFonts w:ascii="宋体" w:hAnsi="宋体"/>
          <w:b/>
          <w:bCs/>
          <w:sz w:val="24"/>
          <w:szCs w:val="24"/>
          <w:highlight w:val="none"/>
        </w:rPr>
        <w:t>1</w:t>
      </w:r>
      <w:r>
        <w:rPr>
          <w:rFonts w:hint="eastAsia" w:ascii="宋体" w:hAnsi="宋体"/>
          <w:b/>
          <w:bCs/>
          <w:sz w:val="24"/>
          <w:szCs w:val="24"/>
          <w:highlight w:val="none"/>
          <w:lang w:val="en-US" w:eastAsia="zh-CN"/>
        </w:rPr>
        <w:t>2</w:t>
      </w:r>
      <w:r>
        <w:rPr>
          <w:rFonts w:hint="eastAsia" w:ascii="宋体" w:hAnsi="宋体"/>
          <w:b/>
          <w:bCs/>
          <w:sz w:val="24"/>
          <w:szCs w:val="24"/>
          <w:highlight w:val="none"/>
        </w:rPr>
        <w:t>m、额定流量</w:t>
      </w:r>
      <w:r>
        <w:rPr>
          <w:rFonts w:ascii="宋体" w:hAnsi="宋体"/>
          <w:b/>
          <w:bCs/>
          <w:sz w:val="24"/>
          <w:szCs w:val="24"/>
          <w:highlight w:val="none"/>
        </w:rPr>
        <w:t>2</w:t>
      </w:r>
      <w:r>
        <w:rPr>
          <w:rFonts w:hint="eastAsia" w:ascii="宋体" w:hAnsi="宋体"/>
          <w:b/>
          <w:bCs/>
          <w:sz w:val="24"/>
          <w:szCs w:val="24"/>
          <w:highlight w:val="none"/>
          <w:lang w:val="en-US" w:eastAsia="zh-CN"/>
        </w:rPr>
        <w:t>72</w:t>
      </w:r>
      <w:r>
        <w:rPr>
          <w:rFonts w:ascii="宋体" w:hAnsi="宋体"/>
          <w:b/>
          <w:bCs/>
          <w:sz w:val="24"/>
          <w:szCs w:val="24"/>
          <w:highlight w:val="none"/>
        </w:rPr>
        <w:t>0</w:t>
      </w:r>
      <w:r>
        <w:rPr>
          <w:rFonts w:hint="eastAsia" w:ascii="宋体" w:hAnsi="宋体"/>
          <w:b/>
          <w:bCs/>
          <w:sz w:val="24"/>
          <w:szCs w:val="24"/>
          <w:highlight w:val="none"/>
        </w:rPr>
        <w:t>m</w:t>
      </w:r>
      <w:r>
        <w:rPr>
          <w:rFonts w:hint="eastAsia" w:ascii="宋体" w:hAnsi="宋体"/>
          <w:b/>
          <w:bCs/>
          <w:sz w:val="24"/>
          <w:szCs w:val="24"/>
          <w:highlight w:val="none"/>
          <w:vertAlign w:val="superscript"/>
        </w:rPr>
        <w:t>3</w:t>
      </w:r>
      <w:r>
        <w:rPr>
          <w:rFonts w:hint="eastAsia" w:ascii="宋体" w:hAnsi="宋体"/>
          <w:b/>
          <w:bCs/>
          <w:sz w:val="24"/>
          <w:szCs w:val="24"/>
          <w:highlight w:val="none"/>
        </w:rPr>
        <w:t>/h</w:t>
      </w:r>
      <w:r>
        <w:rPr>
          <w:rFonts w:hint="eastAsia" w:ascii="宋体" w:hAnsi="宋体"/>
          <w:b/>
          <w:bCs/>
          <w:sz w:val="24"/>
          <w:szCs w:val="24"/>
          <w:highlight w:val="none"/>
          <w:lang w:eastAsia="zh-CN"/>
        </w:rPr>
        <w:t>，</w:t>
      </w:r>
      <w:r>
        <w:rPr>
          <w:rFonts w:hint="eastAsia" w:ascii="宋体" w:hAnsi="宋体"/>
          <w:b/>
          <w:bCs/>
          <w:sz w:val="24"/>
          <w:szCs w:val="24"/>
        </w:rPr>
        <w:t>供货单位所供叶轮必须适用于</w:t>
      </w:r>
      <w:r>
        <w:rPr>
          <w:rFonts w:hint="eastAsia" w:ascii="宋体" w:hAnsi="宋体"/>
          <w:b/>
          <w:bCs/>
          <w:sz w:val="24"/>
          <w:szCs w:val="24"/>
          <w:lang w:val="en-US" w:eastAsia="zh-CN"/>
        </w:rPr>
        <w:t>市区水质净化厂提标</w:t>
      </w:r>
      <w:r>
        <w:rPr>
          <w:rFonts w:hint="eastAsia" w:ascii="宋体" w:hAnsi="宋体"/>
          <w:b/>
          <w:bCs/>
          <w:sz w:val="24"/>
          <w:szCs w:val="24"/>
        </w:rPr>
        <w:t>提升泵的安装、使用无需对现有水泵进行任何的改造，供货单位所供叶轮严禁使用现有水泵叶轮进行测绘仿制。水泵更换叶轮后，水泵运行流量、扬程不得低于水泵的额定流量、扬程。</w:t>
      </w:r>
    </w:p>
    <w:p w14:paraId="2A2F65F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叶轮应做动平衡和静平衡试验。</w:t>
      </w:r>
    </w:p>
    <w:p w14:paraId="64FA8E3F">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供货</w:t>
      </w:r>
      <w:r>
        <w:rPr>
          <w:rFonts w:ascii="宋体" w:hAnsi="宋体"/>
          <w:sz w:val="24"/>
          <w:szCs w:val="24"/>
        </w:rPr>
        <w:t>单位所供货物必须是全新的，</w:t>
      </w:r>
      <w:r>
        <w:rPr>
          <w:rFonts w:hint="eastAsia" w:ascii="宋体" w:hAnsi="宋体"/>
          <w:sz w:val="24"/>
          <w:szCs w:val="24"/>
        </w:rPr>
        <w:t>无瑕疵和缺陷，质量为合格的货物。</w:t>
      </w:r>
      <w:r>
        <w:rPr>
          <w:rFonts w:ascii="宋体" w:hAnsi="宋体"/>
          <w:sz w:val="24"/>
          <w:szCs w:val="24"/>
        </w:rPr>
        <w:t>所有</w:t>
      </w:r>
      <w:r>
        <w:rPr>
          <w:rFonts w:hint="eastAsia" w:ascii="宋体" w:hAnsi="宋体"/>
          <w:sz w:val="24"/>
          <w:szCs w:val="24"/>
        </w:rPr>
        <w:t>货物</w:t>
      </w:r>
      <w:r>
        <w:rPr>
          <w:rFonts w:ascii="宋体" w:hAnsi="宋体"/>
          <w:sz w:val="24"/>
          <w:szCs w:val="24"/>
        </w:rPr>
        <w:t>运输</w:t>
      </w:r>
      <w:r>
        <w:rPr>
          <w:rFonts w:hint="eastAsia" w:ascii="宋体" w:hAnsi="宋体"/>
          <w:sz w:val="24"/>
          <w:szCs w:val="24"/>
        </w:rPr>
        <w:t>至交货</w:t>
      </w:r>
      <w:r>
        <w:rPr>
          <w:rFonts w:ascii="宋体" w:hAnsi="宋体"/>
          <w:sz w:val="24"/>
          <w:szCs w:val="24"/>
        </w:rPr>
        <w:t>地点时</w:t>
      </w:r>
      <w:r>
        <w:rPr>
          <w:rFonts w:hint="eastAsia" w:ascii="宋体" w:hAnsi="宋体"/>
          <w:sz w:val="24"/>
          <w:szCs w:val="24"/>
        </w:rPr>
        <w:t>，</w:t>
      </w:r>
      <w:r>
        <w:rPr>
          <w:rFonts w:ascii="宋体" w:hAnsi="宋体"/>
          <w:sz w:val="24"/>
          <w:szCs w:val="24"/>
        </w:rPr>
        <w:t>包装</w:t>
      </w:r>
      <w:r>
        <w:rPr>
          <w:rFonts w:hint="eastAsia" w:ascii="宋体" w:hAnsi="宋体"/>
          <w:sz w:val="24"/>
          <w:szCs w:val="24"/>
        </w:rPr>
        <w:t>需</w:t>
      </w:r>
      <w:r>
        <w:rPr>
          <w:rFonts w:ascii="宋体" w:hAnsi="宋体"/>
          <w:sz w:val="24"/>
          <w:szCs w:val="24"/>
        </w:rPr>
        <w:t>完好，由</w:t>
      </w:r>
      <w:r>
        <w:rPr>
          <w:rFonts w:hint="eastAsia" w:ascii="宋体" w:hAnsi="宋体"/>
          <w:sz w:val="24"/>
          <w:szCs w:val="24"/>
        </w:rPr>
        <w:t>采购</w:t>
      </w:r>
      <w:r>
        <w:rPr>
          <w:rFonts w:ascii="宋体" w:hAnsi="宋体"/>
          <w:sz w:val="24"/>
          <w:szCs w:val="24"/>
        </w:rPr>
        <w:t>人签收后方可拆包安装。</w:t>
      </w:r>
    </w:p>
    <w:p w14:paraId="34ED2D3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ascii="宋体" w:hAnsi="宋体"/>
          <w:sz w:val="24"/>
          <w:szCs w:val="24"/>
        </w:rPr>
        <w:t>(</w:t>
      </w:r>
      <w:r>
        <w:rPr>
          <w:rFonts w:hint="eastAsia" w:ascii="宋体" w:hAnsi="宋体"/>
          <w:sz w:val="24"/>
          <w:szCs w:val="24"/>
          <w:lang w:val="en-US" w:eastAsia="zh-CN"/>
        </w:rPr>
        <w:t>4</w:t>
      </w:r>
      <w:r>
        <w:rPr>
          <w:rFonts w:hint="eastAsia" w:ascii="宋体" w:hAnsi="宋体"/>
          <w:sz w:val="24"/>
          <w:szCs w:val="24"/>
        </w:rPr>
        <w:t>) 所有货物须满足国家及行业环保和质量标准。</w:t>
      </w:r>
    </w:p>
    <w:p w14:paraId="545719B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w:t>
      </w:r>
      <w:r>
        <w:rPr>
          <w:rFonts w:hint="eastAsia" w:ascii="宋体" w:hAnsi="宋体"/>
          <w:sz w:val="24"/>
          <w:szCs w:val="24"/>
          <w:lang w:val="en-US" w:eastAsia="zh-CN"/>
        </w:rPr>
        <w:t>5</w:t>
      </w:r>
      <w:r>
        <w:rPr>
          <w:rFonts w:hint="eastAsia" w:ascii="宋体" w:hAnsi="宋体"/>
          <w:sz w:val="24"/>
          <w:szCs w:val="24"/>
        </w:rPr>
        <w:t>) 所有备件必须有质量检验合格证、装箱单、产品安装使用说明书、出厂检验报告（或测试性能、测试报告）及采购方要求的其他合格证明文件等相关资料。</w:t>
      </w:r>
    </w:p>
    <w:p w14:paraId="68EDCDF8">
      <w:pPr>
        <w:spacing w:line="360" w:lineRule="auto"/>
        <w:rPr>
          <w:rFonts w:ascii="宋体" w:hAnsi="宋体"/>
          <w:b/>
          <w:color w:val="000000"/>
          <w:sz w:val="24"/>
          <w:szCs w:val="24"/>
        </w:rPr>
      </w:pPr>
      <w:r>
        <w:rPr>
          <w:rFonts w:hint="eastAsia" w:ascii="宋体" w:hAnsi="宋体"/>
          <w:b/>
          <w:sz w:val="24"/>
          <w:szCs w:val="24"/>
        </w:rPr>
        <w:t>3</w:t>
      </w:r>
      <w:r>
        <w:rPr>
          <w:rFonts w:ascii="宋体" w:hAnsi="宋体"/>
          <w:b/>
          <w:color w:val="000000"/>
          <w:sz w:val="24"/>
          <w:szCs w:val="24"/>
        </w:rPr>
        <w:t xml:space="preserve">.4 </w:t>
      </w:r>
      <w:r>
        <w:rPr>
          <w:rFonts w:hint="eastAsia" w:ascii="宋体" w:hAnsi="宋体"/>
          <w:b/>
          <w:color w:val="000000"/>
          <w:sz w:val="24"/>
          <w:szCs w:val="24"/>
        </w:rPr>
        <w:t>交货要求</w:t>
      </w:r>
    </w:p>
    <w:p w14:paraId="7ED31570">
      <w:pPr>
        <w:tabs>
          <w:tab w:val="left" w:pos="567"/>
        </w:tabs>
        <w:spacing w:line="360" w:lineRule="auto"/>
        <w:ind w:firstLine="480" w:firstLineChars="200"/>
        <w:rPr>
          <w:rFonts w:ascii="宋体" w:hAnsi="宋体"/>
          <w:sz w:val="24"/>
        </w:rPr>
      </w:pPr>
      <w:r>
        <w:rPr>
          <w:rFonts w:ascii="宋体" w:hAnsi="宋体"/>
          <w:sz w:val="24"/>
          <w:szCs w:val="24"/>
        </w:rPr>
        <w:t>(</w:t>
      </w:r>
      <w:r>
        <w:rPr>
          <w:rFonts w:hint="eastAsia" w:ascii="宋体" w:hAnsi="宋体"/>
          <w:sz w:val="24"/>
          <w:szCs w:val="24"/>
        </w:rPr>
        <w:t xml:space="preserve">1) </w:t>
      </w:r>
      <w:r>
        <w:rPr>
          <w:rFonts w:hint="eastAsia" w:ascii="宋体" w:hAnsi="宋体"/>
          <w:sz w:val="24"/>
        </w:rPr>
        <w:t>交货时间：自合同签订之日起</w:t>
      </w:r>
      <w:r>
        <w:rPr>
          <w:rFonts w:hint="eastAsia" w:ascii="宋体" w:hAnsi="宋体"/>
          <w:sz w:val="24"/>
          <w:lang w:val="en-US" w:eastAsia="zh-CN"/>
        </w:rPr>
        <w:t>90</w:t>
      </w:r>
      <w:r>
        <w:rPr>
          <w:rFonts w:hint="eastAsia" w:hAnsi="宋体"/>
          <w:sz w:val="24"/>
          <w:lang w:val="en-US" w:eastAsia="zh-CN"/>
        </w:rPr>
        <w:t>日</w:t>
      </w:r>
      <w:r>
        <w:rPr>
          <w:rFonts w:hint="eastAsia" w:ascii="宋体" w:hAnsi="宋体"/>
          <w:sz w:val="24"/>
        </w:rPr>
        <w:t>内送达，对于部分货源不充足需要订购的设备，供货单位需跟采购人进行沟通并经采购人同意后，可延长交货期。</w:t>
      </w:r>
    </w:p>
    <w:p w14:paraId="300EE80D">
      <w:pPr>
        <w:tabs>
          <w:tab w:val="left" w:pos="567"/>
        </w:tabs>
        <w:spacing w:line="360" w:lineRule="auto"/>
        <w:ind w:firstLine="480" w:firstLineChars="200"/>
        <w:rPr>
          <w:rFonts w:ascii="宋体" w:hAnsi="宋体"/>
          <w:sz w:val="24"/>
        </w:rPr>
      </w:pPr>
      <w:r>
        <w:rPr>
          <w:rFonts w:ascii="宋体" w:hAnsi="宋体"/>
          <w:sz w:val="24"/>
          <w:szCs w:val="24"/>
        </w:rPr>
        <w:t>(</w:t>
      </w:r>
      <w:r>
        <w:rPr>
          <w:rFonts w:hint="eastAsia" w:ascii="宋体" w:hAnsi="宋体"/>
          <w:sz w:val="24"/>
          <w:szCs w:val="24"/>
        </w:rPr>
        <w:t xml:space="preserve">2) </w:t>
      </w:r>
      <w:r>
        <w:rPr>
          <w:rFonts w:hint="eastAsia" w:ascii="宋体" w:hAnsi="宋体"/>
          <w:sz w:val="24"/>
        </w:rPr>
        <w:t>交货地点：</w:t>
      </w:r>
      <w:r>
        <w:rPr>
          <w:rFonts w:hint="eastAsia" w:ascii="宋体" w:hAnsi="宋体"/>
          <w:sz w:val="24"/>
          <w:szCs w:val="24"/>
        </w:rPr>
        <w:t>东莞市石鼓</w:t>
      </w:r>
      <w:r>
        <w:rPr>
          <w:rFonts w:hint="eastAsia" w:ascii="宋体" w:hAnsi="宋体"/>
          <w:sz w:val="24"/>
          <w:szCs w:val="24"/>
          <w:lang w:val="en-US" w:eastAsia="zh-CN"/>
        </w:rPr>
        <w:t>净水</w:t>
      </w:r>
      <w:r>
        <w:rPr>
          <w:rFonts w:hint="eastAsia" w:ascii="宋体" w:hAnsi="宋体"/>
          <w:sz w:val="24"/>
          <w:szCs w:val="24"/>
        </w:rPr>
        <w:t>有限公司</w:t>
      </w:r>
      <w:r>
        <w:rPr>
          <w:rFonts w:hint="eastAsia" w:ascii="宋体" w:hAnsi="宋体"/>
          <w:sz w:val="24"/>
          <w:szCs w:val="24"/>
          <w:lang w:eastAsia="zh-CN"/>
        </w:rPr>
        <w:t>市区水质净化厂</w:t>
      </w:r>
      <w:r>
        <w:rPr>
          <w:rFonts w:hint="eastAsia" w:ascii="宋体" w:hAnsi="宋体"/>
          <w:sz w:val="24"/>
        </w:rPr>
        <w:t>厂内。</w:t>
      </w:r>
      <w:r>
        <w:rPr>
          <w:rFonts w:hint="eastAsia" w:ascii="宋体" w:hAnsi="宋体"/>
          <w:sz w:val="24"/>
          <w:szCs w:val="24"/>
        </w:rPr>
        <w:t>供货单位负责供货设备运输及承担运输费用。</w:t>
      </w:r>
    </w:p>
    <w:p w14:paraId="252CD458">
      <w:pPr>
        <w:tabs>
          <w:tab w:val="left" w:pos="567"/>
        </w:tabs>
        <w:spacing w:line="360" w:lineRule="auto"/>
        <w:ind w:firstLine="480" w:firstLineChars="200"/>
        <w:rPr>
          <w:rFonts w:ascii="宋体" w:hAnsi="宋体"/>
          <w:sz w:val="24"/>
        </w:rPr>
      </w:pPr>
      <w:r>
        <w:rPr>
          <w:rFonts w:ascii="宋体" w:hAnsi="宋体"/>
          <w:sz w:val="24"/>
          <w:szCs w:val="24"/>
        </w:rPr>
        <w:t>(</w:t>
      </w:r>
      <w:r>
        <w:rPr>
          <w:rFonts w:hint="eastAsia" w:ascii="宋体" w:hAnsi="宋体"/>
          <w:sz w:val="24"/>
          <w:szCs w:val="24"/>
        </w:rPr>
        <w:t xml:space="preserve">3) </w:t>
      </w:r>
      <w:r>
        <w:rPr>
          <w:rFonts w:hint="eastAsia" w:ascii="宋体" w:hAnsi="宋体"/>
          <w:sz w:val="24"/>
        </w:rPr>
        <w:t>交货方式与风险承担：在货物移交给采购人并经采购人验收合格前，货物的毁损、灭失的风险和责任均由供货单位承担。</w:t>
      </w:r>
    </w:p>
    <w:p w14:paraId="4AF29129">
      <w:pPr>
        <w:tabs>
          <w:tab w:val="left" w:pos="567"/>
        </w:tabs>
        <w:spacing w:line="200" w:lineRule="exact"/>
        <w:ind w:firstLine="480" w:firstLineChars="200"/>
        <w:rPr>
          <w:rFonts w:ascii="宋体" w:hAnsi="宋体"/>
          <w:sz w:val="24"/>
        </w:rPr>
      </w:pPr>
    </w:p>
    <w:p w14:paraId="404E58B0">
      <w:pPr>
        <w:rPr>
          <w:rFonts w:ascii="宋体" w:hAnsi="宋体"/>
          <w:b/>
          <w:sz w:val="28"/>
          <w:szCs w:val="28"/>
          <w:lang w:val="zh-CN"/>
        </w:rPr>
      </w:pPr>
      <w:r>
        <w:rPr>
          <w:rFonts w:hint="eastAsia" w:ascii="宋体" w:hAnsi="宋体"/>
          <w:b/>
          <w:sz w:val="28"/>
          <w:szCs w:val="28"/>
          <w:lang w:val="zh-CN"/>
        </w:rPr>
        <w:t>4. 验收要求</w:t>
      </w:r>
    </w:p>
    <w:p w14:paraId="5C29EB79">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1)</w:t>
      </w:r>
      <w:r>
        <w:rPr>
          <w:rFonts w:ascii="宋体" w:hAnsi="宋体"/>
          <w:sz w:val="24"/>
          <w:szCs w:val="24"/>
        </w:rPr>
        <w:t xml:space="preserve"> 货物到达交货地点后，采购人（含采购人委托的第三方）、供货单位代表共同验货。采购人按照本合同及用户需求书、国家相关法律法规以及规范的要求等相关的规定，对货物的品种、品牌、产地、型号规格、数量、外观质量、资料进行清点和全面的检验，并作详细的记录。 </w:t>
      </w:r>
    </w:p>
    <w:p w14:paraId="20281071">
      <w:pPr>
        <w:tabs>
          <w:tab w:val="left" w:pos="567"/>
        </w:tabs>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2)</w:t>
      </w:r>
      <w:r>
        <w:rPr>
          <w:rFonts w:ascii="宋体" w:hAnsi="宋体"/>
          <w:sz w:val="24"/>
          <w:szCs w:val="24"/>
        </w:rPr>
        <w:t xml:space="preserve"> 如发现货物的品种、品牌、产地、型号规格、数量、外观质量、资料与合同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或其他责任方负担，与采购人无关。</w:t>
      </w:r>
    </w:p>
    <w:p w14:paraId="128EF677">
      <w:pPr>
        <w:tabs>
          <w:tab w:val="left" w:pos="567"/>
        </w:tabs>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 xml:space="preserve"> 由于非采购人原因而引起货物的修理或更换的时间，以不影响生产为原则，否则将视为逾期交货。</w:t>
      </w:r>
    </w:p>
    <w:p w14:paraId="32DD0DC8">
      <w:pPr>
        <w:tabs>
          <w:tab w:val="left" w:pos="567"/>
        </w:tabs>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 xml:space="preserve"> 交接验收合格后，</w:t>
      </w:r>
      <w:r>
        <w:rPr>
          <w:rFonts w:hint="eastAsia" w:ascii="宋体" w:hAnsi="宋体"/>
          <w:sz w:val="24"/>
          <w:szCs w:val="24"/>
          <w:lang w:val="en-US" w:eastAsia="zh-CN"/>
        </w:rPr>
        <w:t>采购人</w:t>
      </w:r>
      <w:r>
        <w:rPr>
          <w:rFonts w:hint="eastAsia" w:ascii="宋体" w:hAnsi="宋体"/>
          <w:sz w:val="24"/>
          <w:szCs w:val="24"/>
        </w:rPr>
        <w:t>、</w:t>
      </w:r>
      <w:r>
        <w:rPr>
          <w:rFonts w:hint="eastAsia" w:ascii="宋体" w:hAnsi="宋体"/>
          <w:sz w:val="24"/>
          <w:szCs w:val="24"/>
          <w:lang w:val="en-US" w:eastAsia="zh-CN"/>
        </w:rPr>
        <w:t>供货单位</w:t>
      </w:r>
      <w:r>
        <w:rPr>
          <w:rFonts w:hint="eastAsia" w:ascii="宋体" w:hAnsi="宋体"/>
          <w:sz w:val="24"/>
          <w:szCs w:val="24"/>
        </w:rPr>
        <w:t>双方共同出具验收报告并由双方书面确认验收结果</w:t>
      </w:r>
      <w:r>
        <w:rPr>
          <w:rFonts w:ascii="宋体" w:hAnsi="宋体"/>
          <w:sz w:val="24"/>
          <w:szCs w:val="24"/>
        </w:rPr>
        <w:t>。</w:t>
      </w:r>
    </w:p>
    <w:p w14:paraId="3DA5BA93">
      <w:pPr>
        <w:tabs>
          <w:tab w:val="left" w:pos="567"/>
        </w:tabs>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w:t>
      </w:r>
      <w:r>
        <w:rPr>
          <w:rFonts w:ascii="宋体" w:hAnsi="宋体"/>
          <w:sz w:val="24"/>
          <w:szCs w:val="24"/>
        </w:rPr>
        <w:t xml:space="preserve"> 采购人根据本条规定对货物所做出的验收，仅作为起算付款及质保期之用，不视为双方对于货物质量的最终认定。货物经验收合格后，供货单位仍应在质保期内对产品质量承担保证责任。</w:t>
      </w:r>
    </w:p>
    <w:p w14:paraId="494BC7A0">
      <w:pPr>
        <w:tabs>
          <w:tab w:val="left" w:pos="567"/>
        </w:tabs>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w:t>
      </w:r>
      <w:r>
        <w:rPr>
          <w:rFonts w:ascii="宋体" w:hAnsi="宋体"/>
          <w:sz w:val="24"/>
          <w:szCs w:val="24"/>
        </w:rPr>
        <w:t xml:space="preserve"> 货物在全部经验收合格前，其损耗、毁损、灭失等风险及责任由供货单位承担，如因发生前述情形，导致供货单位所供应的货物不能通过采购人验收的，供货单位应按采购人要求予以更换或退货</w:t>
      </w:r>
      <w:r>
        <w:rPr>
          <w:rFonts w:hint="eastAsia" w:hAnsi="宋体"/>
          <w:sz w:val="24"/>
          <w:szCs w:val="24"/>
          <w:lang w:eastAsia="zh-CN"/>
        </w:rPr>
        <w:t>，</w:t>
      </w:r>
      <w:r>
        <w:rPr>
          <w:rFonts w:hint="eastAsia" w:hAnsi="宋体"/>
          <w:sz w:val="24"/>
          <w:szCs w:val="24"/>
          <w:lang w:val="en-US" w:eastAsia="zh-CN"/>
        </w:rPr>
        <w:t>费用由供货单位承担</w:t>
      </w:r>
      <w:r>
        <w:rPr>
          <w:rFonts w:ascii="宋体" w:hAnsi="宋体"/>
          <w:sz w:val="24"/>
          <w:szCs w:val="24"/>
        </w:rPr>
        <w:t>。</w:t>
      </w:r>
    </w:p>
    <w:p w14:paraId="73056AB6">
      <w:pPr>
        <w:tabs>
          <w:tab w:val="left" w:pos="567"/>
        </w:tabs>
        <w:spacing w:line="360" w:lineRule="auto"/>
        <w:ind w:firstLine="480" w:firstLineChars="200"/>
        <w:rPr>
          <w:rFonts w:ascii="宋体" w:hAnsi="宋体"/>
          <w:sz w:val="24"/>
          <w:szCs w:val="24"/>
        </w:rPr>
      </w:pPr>
      <w:r>
        <w:rPr>
          <w:rFonts w:ascii="宋体" w:hAnsi="宋体"/>
          <w:sz w:val="24"/>
          <w:szCs w:val="24"/>
        </w:rPr>
        <w:t>(7</w:t>
      </w:r>
      <w:r>
        <w:rPr>
          <w:rFonts w:hint="eastAsia" w:ascii="宋体" w:hAnsi="宋体"/>
          <w:sz w:val="24"/>
          <w:szCs w:val="24"/>
        </w:rPr>
        <w:t>)</w:t>
      </w:r>
      <w:r>
        <w:rPr>
          <w:rFonts w:ascii="宋体" w:hAnsi="宋体"/>
          <w:sz w:val="24"/>
          <w:szCs w:val="24"/>
        </w:rPr>
        <w:t xml:space="preserve"> 验收过程中，如对检验记录不能取得一致意见时，一方可委托货物交付地的权威的第三方检验机构联合进行检验。检验结果具有约束力，检验费用由责任方负担。</w:t>
      </w:r>
    </w:p>
    <w:p w14:paraId="6CF695A0">
      <w:pPr>
        <w:spacing w:line="200" w:lineRule="exact"/>
        <w:ind w:firstLine="480" w:firstLineChars="200"/>
        <w:rPr>
          <w:rFonts w:ascii="宋体" w:hAnsi="宋体"/>
          <w:sz w:val="24"/>
          <w:szCs w:val="24"/>
        </w:rPr>
      </w:pPr>
    </w:p>
    <w:p w14:paraId="546B858D">
      <w:pPr>
        <w:spacing w:line="200" w:lineRule="exact"/>
        <w:ind w:firstLine="480" w:firstLineChars="200"/>
        <w:rPr>
          <w:rFonts w:ascii="宋体" w:hAnsi="宋体"/>
          <w:sz w:val="24"/>
          <w:szCs w:val="24"/>
        </w:rPr>
      </w:pPr>
    </w:p>
    <w:p w14:paraId="327336F9">
      <w:pPr>
        <w:rPr>
          <w:rFonts w:ascii="宋体" w:hAnsi="宋体"/>
          <w:b/>
          <w:sz w:val="28"/>
          <w:szCs w:val="28"/>
          <w:lang w:val="zh-CN"/>
        </w:rPr>
      </w:pPr>
      <w:r>
        <w:rPr>
          <w:rFonts w:hint="eastAsia" w:ascii="宋体" w:hAnsi="宋体"/>
          <w:b/>
          <w:sz w:val="28"/>
          <w:szCs w:val="28"/>
          <w:lang w:val="en-US" w:eastAsia="zh-CN"/>
        </w:rPr>
        <w:t>5</w:t>
      </w:r>
      <w:r>
        <w:rPr>
          <w:rFonts w:hint="eastAsia" w:ascii="宋体" w:hAnsi="宋体"/>
          <w:b/>
          <w:sz w:val="28"/>
          <w:szCs w:val="28"/>
          <w:lang w:val="zh-CN"/>
        </w:rPr>
        <w:t>. 质保及售后要求</w:t>
      </w:r>
    </w:p>
    <w:p w14:paraId="0414E9B4">
      <w:pPr>
        <w:spacing w:line="360" w:lineRule="auto"/>
        <w:ind w:firstLine="480" w:firstLineChars="200"/>
        <w:rPr>
          <w:rFonts w:hAnsi="宋体"/>
          <w:sz w:val="24"/>
        </w:rPr>
      </w:pPr>
      <w:r>
        <w:rPr>
          <w:rFonts w:ascii="宋体" w:hAnsi="宋体"/>
          <w:sz w:val="24"/>
          <w:szCs w:val="24"/>
        </w:rPr>
        <w:t>(1</w:t>
      </w:r>
      <w:r>
        <w:rPr>
          <w:rFonts w:hint="eastAsia" w:ascii="宋体" w:hAnsi="宋体"/>
          <w:sz w:val="24"/>
          <w:szCs w:val="24"/>
        </w:rPr>
        <w:t>) 货物质保期为</w:t>
      </w:r>
      <w:r>
        <w:rPr>
          <w:rFonts w:ascii="宋体" w:hAnsi="宋体"/>
          <w:sz w:val="24"/>
          <w:szCs w:val="24"/>
        </w:rPr>
        <w:t>6</w:t>
      </w:r>
      <w:r>
        <w:rPr>
          <w:rFonts w:hint="eastAsia" w:ascii="宋体" w:hAnsi="宋体"/>
          <w:sz w:val="24"/>
          <w:szCs w:val="24"/>
        </w:rPr>
        <w:t>个月，自验收合格之日起算。</w:t>
      </w:r>
      <w:r>
        <w:rPr>
          <w:rFonts w:hint="eastAsia" w:hAnsi="宋体"/>
          <w:sz w:val="24"/>
        </w:rPr>
        <w:t>质保期内供货单位对设备出现的不符合合同要求的、有问题的地方应免费提供维修以及其它售后服务，质保期内所有服务由供货单位上门进行，且不得另行收取任何费用。</w:t>
      </w:r>
    </w:p>
    <w:p w14:paraId="4C2B675E">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 质保期内，若货物经 1 次维修或维修时间超过1个月，仍不能正常使用的，供货单位应免费给予更换，被更换的货物的质保期为从完成更换并经</w:t>
      </w:r>
      <w:r>
        <w:rPr>
          <w:rFonts w:hint="eastAsia" w:ascii="宋体" w:hAnsi="宋体"/>
          <w:sz w:val="24"/>
          <w:szCs w:val="24"/>
          <w:lang w:val="en-US" w:eastAsia="zh-CN"/>
        </w:rPr>
        <w:t>采购人</w:t>
      </w:r>
      <w:r>
        <w:rPr>
          <w:rFonts w:hint="eastAsia" w:ascii="宋体" w:hAnsi="宋体"/>
          <w:sz w:val="24"/>
          <w:szCs w:val="24"/>
        </w:rPr>
        <w:t>验收合格之日起重新计算。</w:t>
      </w:r>
    </w:p>
    <w:p w14:paraId="5C5504A2">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3) 在合同</w:t>
      </w:r>
      <w:r>
        <w:rPr>
          <w:rFonts w:hint="eastAsia" w:ascii="宋体" w:hAnsi="宋体"/>
          <w:sz w:val="24"/>
          <w:szCs w:val="24"/>
          <w:lang w:val="en-US" w:eastAsia="zh-CN"/>
        </w:rPr>
        <w:t>约定</w:t>
      </w:r>
      <w:r>
        <w:rPr>
          <w:rFonts w:hint="eastAsia" w:ascii="宋体" w:hAnsi="宋体"/>
          <w:sz w:val="24"/>
          <w:szCs w:val="24"/>
        </w:rPr>
        <w:t>的质保期内，供货单位承诺将在接到采购人的故障通知后</w:t>
      </w:r>
      <w:r>
        <w:rPr>
          <w:rFonts w:ascii="宋体" w:hAnsi="宋体"/>
          <w:sz w:val="24"/>
          <w:szCs w:val="24"/>
        </w:rPr>
        <w:t>4小时内响应，24小时内到达项目现场进行维修等服务</w:t>
      </w:r>
      <w:r>
        <w:rPr>
          <w:rFonts w:hint="eastAsia" w:ascii="宋体" w:hAnsi="宋体"/>
          <w:sz w:val="24"/>
          <w:szCs w:val="24"/>
        </w:rPr>
        <w:t>，维修时间不计入质保期内</w:t>
      </w:r>
      <w:r>
        <w:rPr>
          <w:rFonts w:ascii="宋体" w:hAnsi="宋体"/>
          <w:sz w:val="24"/>
          <w:szCs w:val="24"/>
        </w:rPr>
        <w:t>。</w:t>
      </w:r>
    </w:p>
    <w:p w14:paraId="57AD417E">
      <w:pPr>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rPr>
        <w:t>4) 采购人在使用货物时所遇技术问题，供货单位应按采购人要求及时向采购人无偿提供技术指导服务。</w:t>
      </w:r>
    </w:p>
    <w:p w14:paraId="73C36C8B">
      <w:pPr>
        <w:pStyle w:val="56"/>
        <w:spacing w:line="360" w:lineRule="auto"/>
        <w:rPr>
          <w:sz w:val="24"/>
          <w:szCs w:val="24"/>
        </w:rPr>
      </w:pPr>
      <w:r>
        <w:rPr>
          <w:rFonts w:ascii="宋体" w:hAnsi="宋体"/>
          <w:sz w:val="24"/>
          <w:szCs w:val="24"/>
        </w:rPr>
        <w:t>(</w:t>
      </w:r>
      <w:r>
        <w:rPr>
          <w:rFonts w:hint="eastAsia" w:ascii="宋体" w:hAnsi="宋体"/>
          <w:sz w:val="24"/>
          <w:szCs w:val="24"/>
        </w:rPr>
        <w:t xml:space="preserve">5) </w:t>
      </w:r>
      <w:r>
        <w:rPr>
          <w:rFonts w:hint="eastAsia"/>
          <w:sz w:val="24"/>
          <w:szCs w:val="24"/>
          <w:lang w:val="en-US" w:eastAsia="zh-CN"/>
        </w:rPr>
        <w:t>质保期</w:t>
      </w:r>
      <w:r>
        <w:rPr>
          <w:rFonts w:hint="eastAsia"/>
          <w:sz w:val="24"/>
          <w:szCs w:val="24"/>
        </w:rPr>
        <w:t>内发生的全部服务费用（含更换零部件、达到本合同相关要求的更换货物或退货）由</w:t>
      </w:r>
      <w:r>
        <w:rPr>
          <w:rFonts w:hint="eastAsia"/>
          <w:sz w:val="24"/>
          <w:szCs w:val="24"/>
          <w:lang w:val="en-US" w:eastAsia="zh-CN"/>
        </w:rPr>
        <w:t>供货单位</w:t>
      </w:r>
      <w:r>
        <w:rPr>
          <w:rFonts w:hint="eastAsia"/>
          <w:sz w:val="24"/>
          <w:szCs w:val="24"/>
        </w:rPr>
        <w:t>承担，包括但不限于由</w:t>
      </w:r>
      <w:r>
        <w:rPr>
          <w:rFonts w:hint="eastAsia"/>
          <w:sz w:val="24"/>
          <w:szCs w:val="24"/>
          <w:lang w:val="en-US" w:eastAsia="zh-CN"/>
        </w:rPr>
        <w:t>供货单位</w:t>
      </w:r>
      <w:r>
        <w:rPr>
          <w:rFonts w:hint="eastAsia"/>
          <w:sz w:val="24"/>
          <w:szCs w:val="24"/>
        </w:rPr>
        <w:t>承担完成</w:t>
      </w:r>
      <w:r>
        <w:rPr>
          <w:rFonts w:hint="eastAsia"/>
          <w:sz w:val="24"/>
          <w:szCs w:val="24"/>
          <w:lang w:val="en-US" w:eastAsia="zh-CN"/>
        </w:rPr>
        <w:t>质保期</w:t>
      </w:r>
      <w:r>
        <w:rPr>
          <w:rFonts w:hint="eastAsia"/>
          <w:sz w:val="24"/>
          <w:szCs w:val="24"/>
        </w:rPr>
        <w:t>内所有工作而产生的维修费、运费、装卸费、购置费、测试费、人工费、交通费等各项费用（包括进口关税和增值税等）。</w:t>
      </w:r>
    </w:p>
    <w:p w14:paraId="1D57FF5C">
      <w:pPr>
        <w:spacing w:line="360" w:lineRule="auto"/>
        <w:ind w:firstLine="480" w:firstLineChars="200"/>
        <w:rPr>
          <w:rFonts w:hint="eastAsia" w:ascii="宋体" w:hAnsi="宋体"/>
          <w:sz w:val="24"/>
          <w:szCs w:val="24"/>
        </w:rPr>
      </w:pPr>
      <w:r>
        <w:rPr>
          <w:rFonts w:ascii="宋体" w:hAnsi="宋体"/>
          <w:sz w:val="24"/>
          <w:szCs w:val="24"/>
        </w:rPr>
        <w:t>(</w:t>
      </w:r>
      <w:r>
        <w:rPr>
          <w:rFonts w:hint="eastAsia" w:ascii="宋体" w:hAnsi="宋体"/>
          <w:sz w:val="24"/>
          <w:szCs w:val="24"/>
          <w:lang w:val="en-US" w:eastAsia="zh-CN"/>
        </w:rPr>
        <w:t>6</w:t>
      </w:r>
      <w:r>
        <w:rPr>
          <w:rFonts w:hint="eastAsia" w:ascii="宋体" w:hAnsi="宋体"/>
          <w:sz w:val="24"/>
          <w:szCs w:val="24"/>
        </w:rPr>
        <w:t>) 供货单位未按上述要求提供售后服务的，采购人有权</w:t>
      </w:r>
      <w:r>
        <w:rPr>
          <w:rFonts w:hint="eastAsia" w:ascii="宋体" w:hAnsi="宋体"/>
          <w:sz w:val="24"/>
          <w:szCs w:val="24"/>
          <w:lang w:val="en-US" w:eastAsia="zh-CN"/>
        </w:rPr>
        <w:t>自行</w:t>
      </w:r>
      <w:r>
        <w:rPr>
          <w:rFonts w:hint="eastAsia" w:ascii="宋体" w:hAnsi="宋体"/>
          <w:sz w:val="24"/>
          <w:szCs w:val="24"/>
        </w:rPr>
        <w:t>要求其他第三方提供相关服务，因此产生的费用及</w:t>
      </w:r>
      <w:r>
        <w:rPr>
          <w:rFonts w:hint="eastAsia" w:ascii="宋体" w:hAnsi="宋体"/>
          <w:sz w:val="24"/>
          <w:szCs w:val="24"/>
          <w:lang w:val="en-US" w:eastAsia="zh-CN"/>
        </w:rPr>
        <w:t>供货单位</w:t>
      </w:r>
      <w:r>
        <w:rPr>
          <w:rFonts w:hint="eastAsia" w:ascii="宋体" w:hAnsi="宋体"/>
          <w:sz w:val="24"/>
          <w:szCs w:val="24"/>
        </w:rPr>
        <w:t>未按约定提供售后服务导致的</w:t>
      </w:r>
      <w:r>
        <w:rPr>
          <w:rFonts w:hint="eastAsia" w:ascii="宋体" w:hAnsi="宋体"/>
          <w:sz w:val="24"/>
          <w:szCs w:val="24"/>
          <w:lang w:val="en-US" w:eastAsia="zh-CN"/>
        </w:rPr>
        <w:t>采购人</w:t>
      </w:r>
      <w:r>
        <w:rPr>
          <w:rFonts w:hint="eastAsia" w:ascii="宋体" w:hAnsi="宋体"/>
          <w:sz w:val="24"/>
          <w:szCs w:val="24"/>
        </w:rPr>
        <w:t>损失全部由供货单位承担。</w:t>
      </w:r>
    </w:p>
    <w:p w14:paraId="0D95235F">
      <w:pPr>
        <w:spacing w:line="200" w:lineRule="exact"/>
        <w:ind w:firstLine="480" w:firstLineChars="200"/>
        <w:rPr>
          <w:rFonts w:ascii="宋体" w:hAnsi="宋体"/>
          <w:sz w:val="24"/>
          <w:szCs w:val="24"/>
        </w:rPr>
      </w:pPr>
    </w:p>
    <w:p w14:paraId="65DF4455">
      <w:pPr>
        <w:rPr>
          <w:rFonts w:ascii="宋体" w:hAnsi="宋体"/>
          <w:b/>
          <w:sz w:val="28"/>
          <w:szCs w:val="28"/>
          <w:lang w:val="zh-CN"/>
        </w:rPr>
      </w:pPr>
      <w:r>
        <w:rPr>
          <w:rFonts w:hint="eastAsia" w:ascii="宋体" w:hAnsi="宋体"/>
          <w:b/>
          <w:sz w:val="28"/>
          <w:szCs w:val="28"/>
          <w:lang w:val="en-US" w:eastAsia="zh-CN"/>
        </w:rPr>
        <w:t>6</w:t>
      </w:r>
      <w:r>
        <w:rPr>
          <w:rFonts w:hint="eastAsia" w:ascii="宋体" w:hAnsi="宋体"/>
          <w:b/>
          <w:sz w:val="28"/>
          <w:szCs w:val="28"/>
          <w:lang w:val="zh-CN"/>
        </w:rPr>
        <w:t>. 价款要求</w:t>
      </w:r>
    </w:p>
    <w:p w14:paraId="0F927A90">
      <w:pPr>
        <w:spacing w:line="360" w:lineRule="auto"/>
        <w:ind w:firstLine="480" w:firstLineChars="200"/>
        <w:rPr>
          <w:rFonts w:hint="eastAsia" w:ascii="宋体" w:hAnsi="宋体"/>
          <w:sz w:val="24"/>
          <w:szCs w:val="24"/>
        </w:rPr>
      </w:pPr>
      <w:r>
        <w:rPr>
          <w:rFonts w:hint="eastAsia" w:ascii="宋体" w:hAnsi="宋体"/>
          <w:sz w:val="24"/>
          <w:szCs w:val="24"/>
        </w:rPr>
        <w:t>(1) 本项目的报价费用，包含但不限于本合同项下所供货物及其配备的附件的采购、制造、检测、试验、送货、装卸（含二次搬运至甲方指定交货或仓储地点）、人工费、材料费、运费、</w:t>
      </w:r>
      <w:r>
        <w:rPr>
          <w:rFonts w:hint="eastAsia" w:ascii="宋体" w:hAnsi="宋体"/>
          <w:sz w:val="24"/>
          <w:szCs w:val="24"/>
          <w:lang w:val="en-US" w:eastAsia="zh-CN"/>
        </w:rPr>
        <w:t>指导安装费、供货单位销项税以外的</w:t>
      </w:r>
      <w:r>
        <w:rPr>
          <w:rFonts w:hint="eastAsia" w:ascii="宋体" w:hAnsi="宋体"/>
          <w:sz w:val="24"/>
          <w:szCs w:val="24"/>
        </w:rPr>
        <w:t>税费、保险、现场仓储、质保期免费上门提供售后服务等相关服务的全部费用。未经采购人书面确认，供货单位无权另行收取其它任何费用。</w:t>
      </w:r>
    </w:p>
    <w:p w14:paraId="48D2BF4E">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 xml:space="preserve">) </w:t>
      </w:r>
      <w:r>
        <w:rPr>
          <w:rFonts w:hint="eastAsia" w:ascii="宋体" w:hAnsi="宋体"/>
          <w:sz w:val="24"/>
          <w:szCs w:val="24"/>
          <w:lang w:val="en-US" w:eastAsia="zh-CN"/>
        </w:rPr>
        <w:t>供货单位</w:t>
      </w:r>
      <w:r>
        <w:rPr>
          <w:rFonts w:hint="eastAsia" w:ascii="宋体" w:hAnsi="宋体"/>
          <w:sz w:val="24"/>
          <w:szCs w:val="24"/>
        </w:rPr>
        <w:t>完成清单货物的货到现场，经</w:t>
      </w:r>
      <w:r>
        <w:rPr>
          <w:rFonts w:hint="eastAsia" w:ascii="宋体" w:hAnsi="宋体"/>
          <w:sz w:val="24"/>
          <w:szCs w:val="24"/>
          <w:lang w:val="en-US" w:eastAsia="zh-CN"/>
        </w:rPr>
        <w:t>采购人</w:t>
      </w:r>
      <w:r>
        <w:rPr>
          <w:rFonts w:hint="eastAsia" w:ascii="宋体" w:hAnsi="宋体"/>
          <w:sz w:val="24"/>
          <w:szCs w:val="24"/>
        </w:rPr>
        <w:t>验收合格后，供货单位向采购人提交请款报告及合同总金额、合法、有效的增值税专用发票，采购人在收到前述材料并确认无误后</w:t>
      </w:r>
      <w:r>
        <w:rPr>
          <w:rFonts w:hint="eastAsia" w:ascii="宋体" w:hAnsi="宋体"/>
          <w:sz w:val="24"/>
          <w:szCs w:val="24"/>
          <w:lang w:val="en-US" w:eastAsia="zh-CN"/>
        </w:rPr>
        <w:t>3</w:t>
      </w:r>
      <w:r>
        <w:rPr>
          <w:rFonts w:hint="eastAsia" w:ascii="宋体" w:hAnsi="宋体"/>
          <w:sz w:val="24"/>
          <w:szCs w:val="24"/>
        </w:rPr>
        <w:t>0个工作日内，采购人支付合同金额95%款项给供货单位，剩余的5%合同价款作为质保金。质保期满后，采购货物无质量问题，由供货单位提供相关请款资料，采购人将</w:t>
      </w:r>
      <w:r>
        <w:rPr>
          <w:rFonts w:hint="eastAsia" w:ascii="宋体" w:hAnsi="宋体"/>
          <w:sz w:val="24"/>
          <w:szCs w:val="24"/>
          <w:lang w:val="en-US" w:eastAsia="zh-CN"/>
        </w:rPr>
        <w:t>剩余</w:t>
      </w:r>
      <w:r>
        <w:rPr>
          <w:rFonts w:hint="eastAsia" w:ascii="宋体" w:hAnsi="宋体"/>
          <w:sz w:val="24"/>
          <w:szCs w:val="24"/>
        </w:rPr>
        <w:t>质保金</w:t>
      </w:r>
      <w:r>
        <w:rPr>
          <w:rFonts w:hint="eastAsia" w:ascii="宋体" w:hAnsi="宋体"/>
          <w:sz w:val="24"/>
          <w:szCs w:val="24"/>
          <w:lang w:val="en-US" w:eastAsia="zh-CN"/>
        </w:rPr>
        <w:t>无息</w:t>
      </w:r>
      <w:r>
        <w:rPr>
          <w:rFonts w:hint="eastAsia" w:ascii="宋体" w:hAnsi="宋体"/>
          <w:sz w:val="24"/>
          <w:szCs w:val="24"/>
        </w:rPr>
        <w:t>支付给供货单位。供货单位逾期提交请款资料及发票或提交资料不符合采购人要求的，采购人付款时间顺延，并不承担逾期付款违约责任。由于供货单位提供的发票不符合税法规定，给采购人造成的损失由供货单位承担赔偿责任</w:t>
      </w:r>
      <w:r>
        <w:rPr>
          <w:rFonts w:hint="eastAsia" w:ascii="宋体" w:hAnsi="宋体"/>
          <w:sz w:val="24"/>
          <w:szCs w:val="24"/>
          <w:lang w:eastAsia="zh-CN"/>
        </w:rPr>
        <w:t>，</w:t>
      </w:r>
      <w:r>
        <w:rPr>
          <w:rFonts w:hint="eastAsia" w:ascii="宋体" w:hAnsi="宋体"/>
          <w:sz w:val="24"/>
          <w:szCs w:val="24"/>
          <w:lang w:val="en-US" w:eastAsia="zh-CN"/>
        </w:rPr>
        <w:t>供货单位</w:t>
      </w:r>
      <w:r>
        <w:rPr>
          <w:rFonts w:hint="eastAsia" w:ascii="宋体" w:hAnsi="宋体"/>
          <w:sz w:val="24"/>
          <w:szCs w:val="24"/>
          <w:lang w:eastAsia="zh-CN"/>
        </w:rPr>
        <w:t>不得以此延迟而拒绝或迟延履行合同义务</w:t>
      </w:r>
      <w:r>
        <w:rPr>
          <w:rFonts w:hint="eastAsia" w:ascii="宋体" w:hAnsi="宋体"/>
          <w:sz w:val="24"/>
          <w:szCs w:val="24"/>
        </w:rPr>
        <w:t>。</w:t>
      </w:r>
    </w:p>
    <w:p w14:paraId="1A04E7CB">
      <w:pPr>
        <w:spacing w:line="360" w:lineRule="auto"/>
        <w:rPr>
          <w:rFonts w:ascii="Times New Roman"/>
          <w:szCs w:val="21"/>
        </w:rPr>
      </w:pPr>
    </w:p>
    <w:bookmarkEnd w:id="6"/>
    <w:bookmarkEnd w:id="7"/>
    <w:bookmarkEnd w:id="8"/>
    <w:p w14:paraId="17C457CD">
      <w:pPr>
        <w:pStyle w:val="3"/>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14:paraId="3FAF0DE2">
      <w:pPr>
        <w:spacing w:line="360" w:lineRule="auto"/>
        <w:jc w:val="center"/>
        <w:rPr>
          <w:b/>
          <w:color w:val="000000" w:themeColor="text1"/>
          <w14:textFill>
            <w14:solidFill>
              <w14:schemeClr w14:val="tx1"/>
            </w14:solidFill>
          </w14:textFill>
        </w:rPr>
      </w:pPr>
    </w:p>
    <w:p w14:paraId="3E2C09E2">
      <w:pPr>
        <w:spacing w:line="360" w:lineRule="auto"/>
        <w:jc w:val="center"/>
        <w:rPr>
          <w:rFonts w:ascii="Times New Roman" w:hAnsi="Times New Roman" w:eastAsia="宋体"/>
          <w:b/>
          <w:color w:val="auto"/>
          <w:highlight w:val="none"/>
        </w:rPr>
      </w:pPr>
      <w:r>
        <w:rPr>
          <w:rFonts w:hint="eastAsia" w:ascii="Times New Roman"/>
          <w:sz w:val="28"/>
          <w:szCs w:val="28"/>
        </w:rPr>
        <w:t xml:space="preserve"> </w:t>
      </w:r>
      <w:r>
        <w:rPr>
          <w:rFonts w:ascii="Times New Roman"/>
          <w:sz w:val="28"/>
          <w:szCs w:val="28"/>
        </w:rPr>
        <w:t xml:space="preserve"> </w:t>
      </w:r>
    </w:p>
    <w:p w14:paraId="20C0FA07">
      <w:pPr>
        <w:wordWrap/>
        <w:spacing w:line="360" w:lineRule="auto"/>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合同编号：</w:t>
      </w:r>
    </w:p>
    <w:p w14:paraId="0948D7F3">
      <w:pPr>
        <w:spacing w:line="360" w:lineRule="auto"/>
        <w:jc w:val="center"/>
        <w:rPr>
          <w:color w:val="000000" w:themeColor="text1"/>
          <w14:textFill>
            <w14:solidFill>
              <w14:schemeClr w14:val="tx1"/>
            </w14:solidFill>
          </w14:textFill>
        </w:rPr>
      </w:pPr>
    </w:p>
    <w:p w14:paraId="1749F412">
      <w:pPr>
        <w:spacing w:line="360" w:lineRule="auto"/>
        <w:jc w:val="center"/>
        <w:rPr>
          <w:color w:val="000000" w:themeColor="text1"/>
          <w14:textFill>
            <w14:solidFill>
              <w14:schemeClr w14:val="tx1"/>
            </w14:solidFill>
          </w14:textFill>
        </w:rPr>
      </w:pPr>
    </w:p>
    <w:p w14:paraId="35E7A9A5">
      <w:pPr>
        <w:spacing w:line="360" w:lineRule="auto"/>
        <w:jc w:val="center"/>
        <w:rPr>
          <w:color w:val="000000" w:themeColor="text1"/>
          <w14:textFill>
            <w14:solidFill>
              <w14:schemeClr w14:val="tx1"/>
            </w14:solidFill>
          </w14:textFill>
        </w:rPr>
      </w:pPr>
    </w:p>
    <w:p w14:paraId="4BF6B371">
      <w:pPr>
        <w:spacing w:line="840" w:lineRule="exact"/>
        <w:rPr>
          <w:color w:val="000000" w:themeColor="text1"/>
          <w14:textFill>
            <w14:solidFill>
              <w14:schemeClr w14:val="tx1"/>
            </w14:solidFill>
          </w14:textFill>
        </w:rPr>
      </w:pPr>
    </w:p>
    <w:p w14:paraId="01F75DFA">
      <w:pPr>
        <w:spacing w:line="840" w:lineRule="exact"/>
        <w:jc w:val="center"/>
        <w:rPr>
          <w:rFonts w:ascii="Times New Roman"/>
          <w:b/>
          <w:bCs/>
          <w:sz w:val="44"/>
          <w:szCs w:val="44"/>
        </w:rPr>
      </w:pPr>
      <w:r>
        <w:rPr>
          <w:rFonts w:hint="eastAsia"/>
          <w:b/>
          <w:bCs/>
          <w:color w:val="000000" w:themeColor="text1"/>
          <w:sz w:val="44"/>
          <w:szCs w:val="44"/>
          <w14:textFill>
            <w14:solidFill>
              <w14:schemeClr w14:val="tx1"/>
            </w14:solidFill>
          </w14:textFill>
        </w:rPr>
        <w:t>东莞市石鼓净水有限公司市区水质净化厂提标提升泵叶轮采购项目合同</w:t>
      </w:r>
    </w:p>
    <w:p w14:paraId="0F3D9F41">
      <w:pPr>
        <w:spacing w:line="360" w:lineRule="auto"/>
        <w:rPr>
          <w:color w:val="000000" w:themeColor="text1"/>
          <w14:textFill>
            <w14:solidFill>
              <w14:schemeClr w14:val="tx1"/>
            </w14:solidFill>
          </w14:textFill>
        </w:rPr>
      </w:pPr>
    </w:p>
    <w:p w14:paraId="1E976853">
      <w:pPr>
        <w:spacing w:line="360" w:lineRule="auto"/>
        <w:rPr>
          <w:color w:val="000000" w:themeColor="text1"/>
          <w14:textFill>
            <w14:solidFill>
              <w14:schemeClr w14:val="tx1"/>
            </w14:solidFill>
          </w14:textFill>
        </w:rPr>
      </w:pPr>
    </w:p>
    <w:p w14:paraId="2C57E151">
      <w:pPr>
        <w:spacing w:line="360" w:lineRule="auto"/>
        <w:rPr>
          <w:color w:val="000000" w:themeColor="text1"/>
          <w14:textFill>
            <w14:solidFill>
              <w14:schemeClr w14:val="tx1"/>
            </w14:solidFill>
          </w14:textFill>
        </w:rPr>
      </w:pPr>
    </w:p>
    <w:p w14:paraId="5BBE798D">
      <w:pPr>
        <w:spacing w:line="360" w:lineRule="auto"/>
        <w:rPr>
          <w:color w:val="000000" w:themeColor="text1"/>
          <w14:textFill>
            <w14:solidFill>
              <w14:schemeClr w14:val="tx1"/>
            </w14:solidFill>
          </w14:textFill>
        </w:rPr>
      </w:pPr>
    </w:p>
    <w:p w14:paraId="39F44A3A">
      <w:pPr>
        <w:spacing w:line="360" w:lineRule="auto"/>
        <w:rPr>
          <w:color w:val="000000" w:themeColor="text1"/>
          <w14:textFill>
            <w14:solidFill>
              <w14:schemeClr w14:val="tx1"/>
            </w14:solidFill>
          </w14:textFill>
        </w:rPr>
      </w:pPr>
    </w:p>
    <w:p w14:paraId="118ABEC1">
      <w:pPr>
        <w:spacing w:line="360" w:lineRule="auto"/>
        <w:jc w:val="center"/>
        <w:rPr>
          <w:color w:val="000000" w:themeColor="text1"/>
          <w14:textFill>
            <w14:solidFill>
              <w14:schemeClr w14:val="tx1"/>
            </w14:solidFill>
          </w14:textFill>
        </w:rPr>
      </w:pPr>
    </w:p>
    <w:p w14:paraId="3050DA06">
      <w:pPr>
        <w:spacing w:line="360" w:lineRule="auto"/>
        <w:jc w:val="center"/>
        <w:rPr>
          <w:color w:val="000000" w:themeColor="text1"/>
          <w14:textFill>
            <w14:solidFill>
              <w14:schemeClr w14:val="tx1"/>
            </w14:solidFill>
          </w14:textFill>
        </w:rPr>
      </w:pPr>
    </w:p>
    <w:p w14:paraId="2A4A2543">
      <w:pPr>
        <w:spacing w:line="360" w:lineRule="auto"/>
        <w:rPr>
          <w:color w:val="000000" w:themeColor="text1"/>
          <w14:textFill>
            <w14:solidFill>
              <w14:schemeClr w14:val="tx1"/>
            </w14:solidFill>
          </w14:textFill>
        </w:rPr>
      </w:pPr>
    </w:p>
    <w:p w14:paraId="2703B434">
      <w:pPr>
        <w:spacing w:line="360" w:lineRule="auto"/>
        <w:rPr>
          <w:color w:val="000000" w:themeColor="text1"/>
          <w14:textFill>
            <w14:solidFill>
              <w14:schemeClr w14:val="tx1"/>
            </w14:solidFill>
          </w14:textFill>
        </w:rPr>
      </w:pPr>
    </w:p>
    <w:p w14:paraId="6970B3AE">
      <w:pPr>
        <w:spacing w:line="360" w:lineRule="auto"/>
        <w:rPr>
          <w:color w:val="000000" w:themeColor="text1"/>
          <w14:textFill>
            <w14:solidFill>
              <w14:schemeClr w14:val="tx1"/>
            </w14:solidFill>
          </w14:textFill>
        </w:rPr>
      </w:pPr>
    </w:p>
    <w:p w14:paraId="36B55A63">
      <w:pPr>
        <w:spacing w:line="360" w:lineRule="auto"/>
        <w:rPr>
          <w:color w:val="000000" w:themeColor="text1"/>
          <w14:textFill>
            <w14:solidFill>
              <w14:schemeClr w14:val="tx1"/>
            </w14:solidFill>
          </w14:textFill>
        </w:rPr>
      </w:pPr>
    </w:p>
    <w:p w14:paraId="792D7884">
      <w:pPr>
        <w:spacing w:line="360" w:lineRule="auto"/>
        <w:ind w:firstLine="1800" w:firstLineChars="600"/>
        <w:rPr>
          <w:rFonts w:hint="default" w:eastAsia="宋体"/>
          <w:color w:val="000000" w:themeColor="text1"/>
          <w:sz w:val="30"/>
          <w:szCs w:val="30"/>
          <w:lang w:val="en-US" w:eastAsia="zh-CN"/>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甲</w:t>
      </w:r>
      <w:r>
        <w:rPr>
          <w:rFonts w:hint="eastAsia"/>
          <w:color w:val="000000" w:themeColor="text1"/>
          <w:sz w:val="30"/>
          <w:szCs w:val="30"/>
          <w14:textFill>
            <w14:solidFill>
              <w14:schemeClr w14:val="tx1"/>
            </w14:solidFill>
          </w14:textFill>
        </w:rPr>
        <w:t>方：</w:t>
      </w:r>
      <w:r>
        <w:rPr>
          <w:rFonts w:hint="eastAsia"/>
          <w:color w:val="000000" w:themeColor="text1"/>
          <w:sz w:val="30"/>
          <w:szCs w:val="30"/>
          <w:lang w:val="en-US" w:eastAsia="zh-CN"/>
          <w14:textFill>
            <w14:solidFill>
              <w14:schemeClr w14:val="tx1"/>
            </w14:solidFill>
          </w14:textFill>
        </w:rPr>
        <w:t>东莞石鼓净水有限公司</w:t>
      </w:r>
    </w:p>
    <w:p w14:paraId="10B32924">
      <w:pPr>
        <w:spacing w:line="360" w:lineRule="auto"/>
        <w:ind w:firstLine="1800" w:firstLineChars="600"/>
        <w:rPr>
          <w:rFonts w:hint="eastAsia"/>
          <w:color w:val="000000" w:themeColor="text1"/>
          <w:sz w:val="30"/>
          <w:szCs w:val="30"/>
          <w:lang w:val="en-US" w:eastAsia="zh-CN"/>
          <w14:textFill>
            <w14:solidFill>
              <w14:schemeClr w14:val="tx1"/>
            </w14:solidFill>
          </w14:textFill>
        </w:rPr>
      </w:pPr>
    </w:p>
    <w:p w14:paraId="1310CF8B">
      <w:pPr>
        <w:spacing w:line="360" w:lineRule="auto"/>
        <w:ind w:firstLine="1800" w:firstLineChars="600"/>
        <w:rPr>
          <w:rFonts w:hint="default"/>
          <w:color w:val="000000" w:themeColor="text1"/>
          <w:sz w:val="30"/>
          <w:szCs w:val="30"/>
          <w:lang w:val="en-US"/>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乙</w:t>
      </w:r>
      <w:r>
        <w:rPr>
          <w:rFonts w:hint="eastAsia"/>
          <w:color w:val="000000" w:themeColor="text1"/>
          <w:sz w:val="30"/>
          <w:szCs w:val="30"/>
          <w14:textFill>
            <w14:solidFill>
              <w14:schemeClr w14:val="tx1"/>
            </w14:solidFill>
          </w14:textFill>
        </w:rPr>
        <w:t>方：</w:t>
      </w:r>
      <w:r>
        <w:rPr>
          <w:rFonts w:hint="eastAsia"/>
          <w:color w:val="000000" w:themeColor="text1"/>
          <w:sz w:val="30"/>
          <w:szCs w:val="30"/>
          <w:u w:val="single"/>
          <w:lang w:val="en-US" w:eastAsia="zh-CN"/>
          <w14:textFill>
            <w14:solidFill>
              <w14:schemeClr w14:val="tx1"/>
            </w14:solidFill>
          </w14:textFill>
        </w:rPr>
        <w:t xml:space="preserve">                   </w:t>
      </w:r>
      <w:r>
        <w:rPr>
          <w:rFonts w:hint="eastAsia"/>
          <w:color w:val="000000" w:themeColor="text1"/>
          <w:sz w:val="30"/>
          <w:szCs w:val="30"/>
          <w:u w:val="none"/>
          <w:lang w:val="en-US" w:eastAsia="zh-CN"/>
          <w14:textFill>
            <w14:solidFill>
              <w14:schemeClr w14:val="tx1"/>
            </w14:solidFill>
          </w14:textFill>
        </w:rPr>
        <w:t xml:space="preserve">  </w:t>
      </w:r>
    </w:p>
    <w:p w14:paraId="47116E8B">
      <w:pPr>
        <w:spacing w:line="360" w:lineRule="auto"/>
        <w:ind w:firstLine="1440" w:firstLineChars="600"/>
        <w:rPr>
          <w:color w:val="000000" w:themeColor="text1"/>
          <w:sz w:val="40"/>
          <w:szCs w:val="40"/>
          <w14:textFill>
            <w14:solidFill>
              <w14:schemeClr w14:val="tx1"/>
            </w14:solidFill>
          </w14:textFill>
        </w:rPr>
      </w:pPr>
      <w:r>
        <w:rPr>
          <w:color w:val="000000" w:themeColor="text1"/>
          <w14:textFill>
            <w14:solidFill>
              <w14:schemeClr w14:val="tx1"/>
            </w14:solidFill>
          </w14:textFill>
        </w:rPr>
        <w:br w:type="page"/>
      </w:r>
    </w:p>
    <w:p w14:paraId="355561ED">
      <w:pPr>
        <w:spacing w:line="360" w:lineRule="auto"/>
        <w:rPr>
          <w:rFonts w:hint="default" w:ascii="Times New Roman" w:eastAsia="宋体"/>
          <w:lang w:val="en-US" w:eastAsia="zh-CN"/>
        </w:rPr>
      </w:pPr>
      <w:r>
        <w:rPr>
          <w:rFonts w:hint="eastAsia" w:ascii="Times New Roman"/>
          <w:b/>
          <w:lang w:val="en-US" w:eastAsia="zh-CN"/>
        </w:rPr>
        <w:t>甲</w:t>
      </w:r>
      <w:r>
        <w:rPr>
          <w:rFonts w:hint="eastAsia" w:ascii="Times New Roman"/>
          <w:b/>
        </w:rPr>
        <w:t>方：</w:t>
      </w:r>
      <w:r>
        <w:rPr>
          <w:rFonts w:hint="eastAsia" w:ascii="Times New Roman"/>
          <w:b/>
          <w:u w:val="single"/>
        </w:rPr>
        <w:t>东莞石鼓净水有限公司</w:t>
      </w:r>
    </w:p>
    <w:p w14:paraId="5458F899">
      <w:pPr>
        <w:spacing w:line="360" w:lineRule="auto"/>
        <w:rPr>
          <w:rFonts w:hint="default" w:ascii="Times New Roman" w:eastAsia="宋体"/>
          <w:lang w:val="en-US" w:eastAsia="zh-CN"/>
        </w:rPr>
      </w:pPr>
      <w:r>
        <w:rPr>
          <w:rFonts w:hint="eastAsia" w:ascii="Times New Roman"/>
        </w:rPr>
        <w:t>地址：</w:t>
      </w:r>
      <w:r>
        <w:rPr>
          <w:rFonts w:hint="eastAsia" w:ascii="Times New Roman"/>
          <w:u w:val="single"/>
        </w:rPr>
        <w:t>广东省东莞市南城街道滨河路100号一期1号楼101室</w:t>
      </w:r>
    </w:p>
    <w:p w14:paraId="29E06C95">
      <w:pPr>
        <w:spacing w:line="360" w:lineRule="auto"/>
        <w:rPr>
          <w:rFonts w:hint="default" w:ascii="Times New Roman" w:eastAsia="宋体"/>
          <w:lang w:val="en-US" w:eastAsia="zh-CN"/>
        </w:rPr>
      </w:pPr>
      <w:r>
        <w:rPr>
          <w:rFonts w:hint="eastAsia" w:ascii="Times New Roman"/>
          <w:b/>
          <w:lang w:val="en-US" w:eastAsia="zh-CN"/>
        </w:rPr>
        <w:t>乙</w:t>
      </w:r>
      <w:r>
        <w:rPr>
          <w:rFonts w:hint="eastAsia" w:ascii="Times New Roman"/>
          <w:b/>
        </w:rPr>
        <w:t>方：</w:t>
      </w:r>
      <w:r>
        <w:rPr>
          <w:rFonts w:hint="eastAsia" w:ascii="Times New Roman"/>
          <w:b/>
          <w:u w:val="single"/>
          <w:lang w:val="en-US" w:eastAsia="zh-CN"/>
        </w:rPr>
        <w:t xml:space="preserve">                      </w:t>
      </w:r>
      <w:r>
        <w:rPr>
          <w:rFonts w:hint="eastAsia" w:ascii="Times New Roman"/>
          <w:b/>
          <w:lang w:val="en-US" w:eastAsia="zh-CN"/>
        </w:rPr>
        <w:t xml:space="preserve"> </w:t>
      </w:r>
    </w:p>
    <w:p w14:paraId="76487590">
      <w:pPr>
        <w:spacing w:line="360" w:lineRule="auto"/>
        <w:rPr>
          <w:rFonts w:hint="default" w:ascii="Times New Roman" w:eastAsia="宋体"/>
          <w:u w:val="single"/>
          <w:lang w:val="en-US" w:eastAsia="zh-CN"/>
        </w:rPr>
      </w:pPr>
      <w:r>
        <w:rPr>
          <w:rFonts w:hint="eastAsia" w:ascii="Times New Roman"/>
        </w:rPr>
        <w:t>地址：</w:t>
      </w:r>
      <w:r>
        <w:rPr>
          <w:rFonts w:hint="eastAsia" w:ascii="Times New Roman"/>
          <w:u w:val="single"/>
          <w:lang w:val="en-US" w:eastAsia="zh-CN"/>
        </w:rPr>
        <w:t xml:space="preserve">                      </w:t>
      </w:r>
      <w:r>
        <w:rPr>
          <w:rFonts w:hint="eastAsia" w:ascii="Times New Roman"/>
          <w:lang w:val="en-US" w:eastAsia="zh-CN"/>
        </w:rPr>
        <w:t xml:space="preserve"> </w:t>
      </w:r>
    </w:p>
    <w:p w14:paraId="1C80C84E">
      <w:pPr>
        <w:spacing w:line="360" w:lineRule="auto"/>
        <w:rPr>
          <w:rFonts w:ascii="Times New Roman"/>
        </w:rPr>
      </w:pPr>
    </w:p>
    <w:p w14:paraId="7CAE277C">
      <w:pPr>
        <w:spacing w:line="360" w:lineRule="auto"/>
        <w:ind w:firstLine="480" w:firstLineChars="200"/>
        <w:rPr>
          <w:rFonts w:ascii="Times New Roman"/>
        </w:rPr>
      </w:pPr>
      <w:r>
        <w:rPr>
          <w:rFonts w:hint="eastAsia" w:ascii="Times New Roman"/>
        </w:rPr>
        <w:t>经甲方询价</w:t>
      </w:r>
      <w:r>
        <w:rPr>
          <w:rFonts w:ascii="Times New Roman"/>
        </w:rPr>
        <w:t>采购</w:t>
      </w:r>
      <w:r>
        <w:rPr>
          <w:rFonts w:hint="eastAsia" w:ascii="Times New Roman"/>
        </w:rPr>
        <w:t>，现确定甲方向乙方采购</w:t>
      </w:r>
      <w:r>
        <w:rPr>
          <w:rFonts w:hint="eastAsia" w:ascii="Times New Roman"/>
          <w:lang w:val="en-US" w:eastAsia="zh-CN"/>
        </w:rPr>
        <w:t>提升泵叶轮</w:t>
      </w:r>
      <w:r>
        <w:rPr>
          <w:rFonts w:hint="eastAsia" w:ascii="Times New Roman"/>
        </w:rPr>
        <w:t>一批。根据《中华人民共和国</w:t>
      </w:r>
      <w:r>
        <w:rPr>
          <w:rFonts w:hint="eastAsia" w:ascii="Times New Roman"/>
          <w:lang w:val="en-US" w:eastAsia="zh-CN"/>
        </w:rPr>
        <w:t>民法典</w:t>
      </w:r>
      <w:r>
        <w:rPr>
          <w:rFonts w:hint="eastAsia" w:ascii="Times New Roman"/>
        </w:rPr>
        <w:t>》等法律、法规的规定，经双方平等协商，双方就</w:t>
      </w:r>
      <w:r>
        <w:rPr>
          <w:rFonts w:hint="eastAsia" w:ascii="Times New Roman"/>
          <w:u w:val="single"/>
        </w:rPr>
        <w:t>提升泵叶轮</w:t>
      </w:r>
      <w:r>
        <w:rPr>
          <w:rFonts w:hint="eastAsia" w:ascii="Times New Roman"/>
        </w:rPr>
        <w:t>（以下称</w:t>
      </w:r>
      <w:r>
        <w:rPr>
          <w:rFonts w:ascii="Times New Roman"/>
        </w:rPr>
        <w:t>“</w:t>
      </w:r>
      <w:r>
        <w:rPr>
          <w:rFonts w:hint="eastAsia" w:ascii="Times New Roman"/>
        </w:rPr>
        <w:t>货物</w:t>
      </w:r>
      <w:r>
        <w:rPr>
          <w:rFonts w:ascii="Times New Roman"/>
        </w:rPr>
        <w:t>”</w:t>
      </w:r>
      <w:r>
        <w:rPr>
          <w:rFonts w:hint="eastAsia" w:ascii="Times New Roman"/>
        </w:rPr>
        <w:t>）采购事宜，签订本合同。</w:t>
      </w:r>
    </w:p>
    <w:p w14:paraId="2C7792AB">
      <w:pPr>
        <w:spacing w:line="360" w:lineRule="auto"/>
        <w:ind w:firstLine="480" w:firstLineChars="200"/>
        <w:rPr>
          <w:rFonts w:ascii="Times New Roman"/>
        </w:rPr>
      </w:pPr>
    </w:p>
    <w:p w14:paraId="6ED07154">
      <w:pPr>
        <w:pStyle w:val="27"/>
        <w:numPr>
          <w:ilvl w:val="0"/>
          <w:numId w:val="1"/>
        </w:numPr>
        <w:ind w:firstLineChars="0"/>
        <w:outlineLvl w:val="1"/>
        <w:rPr>
          <w:rFonts w:ascii="Times New Roman" w:hAnsi="Times New Roman"/>
          <w:b/>
          <w:sz w:val="24"/>
          <w:szCs w:val="24"/>
        </w:rPr>
      </w:pPr>
      <w:bookmarkStart w:id="11" w:name="_Toc27990831"/>
      <w:r>
        <w:rPr>
          <w:rFonts w:hint="eastAsia" w:ascii="Times New Roman" w:hAnsi="Times New Roman"/>
          <w:b/>
          <w:sz w:val="24"/>
          <w:szCs w:val="24"/>
        </w:rPr>
        <w:t>合同采购清单</w:t>
      </w:r>
      <w:bookmarkEnd w:id="11"/>
    </w:p>
    <w:p w14:paraId="0343DC04">
      <w:pPr>
        <w:numPr>
          <w:ilvl w:val="0"/>
          <w:numId w:val="2"/>
        </w:numPr>
        <w:spacing w:before="156" w:beforeLines="50" w:line="360" w:lineRule="auto"/>
        <w:ind w:firstLine="566" w:firstLineChars="236"/>
        <w:outlineLvl w:val="1"/>
        <w:rPr>
          <w:rFonts w:hint="eastAsia"/>
          <w:bCs/>
          <w:color w:val="000000" w:themeColor="text1"/>
          <w14:textFill>
            <w14:solidFill>
              <w14:schemeClr w14:val="tx1"/>
            </w14:solidFill>
          </w14:textFill>
        </w:rPr>
      </w:pPr>
      <w:bookmarkStart w:id="12" w:name="_Toc27990832"/>
      <w:r>
        <w:rPr>
          <w:rFonts w:hint="eastAsia"/>
          <w:bCs/>
          <w:color w:val="000000" w:themeColor="text1"/>
          <w14:textFill>
            <w14:solidFill>
              <w14:schemeClr w14:val="tx1"/>
            </w14:solidFill>
          </w14:textFill>
        </w:rPr>
        <w:t>详见附件</w:t>
      </w:r>
      <w:r>
        <w:rPr>
          <w:rFonts w:hint="eastAsia"/>
          <w:bCs/>
          <w:color w:val="000000" w:themeColor="text1"/>
          <w:lang w:val="en-US" w:eastAsia="zh-CN"/>
          <w14:textFill>
            <w14:solidFill>
              <w14:schemeClr w14:val="tx1"/>
            </w14:solidFill>
          </w14:textFill>
        </w:rPr>
        <w:t>一</w:t>
      </w:r>
      <w:r>
        <w:rPr>
          <w:rFonts w:hint="eastAsia"/>
          <w:bCs/>
          <w:color w:val="000000" w:themeColor="text1"/>
          <w14:textFill>
            <w14:solidFill>
              <w14:schemeClr w14:val="tx1"/>
            </w14:solidFill>
          </w14:textFill>
        </w:rPr>
        <w:t>《分项报价表》和附件</w:t>
      </w:r>
      <w:r>
        <w:rPr>
          <w:rFonts w:hint="eastAsia"/>
          <w:bCs/>
          <w:color w:val="000000" w:themeColor="text1"/>
          <w:lang w:val="en-US" w:eastAsia="zh-CN"/>
          <w14:textFill>
            <w14:solidFill>
              <w14:schemeClr w14:val="tx1"/>
            </w14:solidFill>
          </w14:textFill>
        </w:rPr>
        <w:t>二</w:t>
      </w:r>
      <w:r>
        <w:rPr>
          <w:rFonts w:hint="eastAsia"/>
          <w:bCs/>
          <w:color w:val="000000" w:themeColor="text1"/>
          <w14:textFill>
            <w14:solidFill>
              <w14:schemeClr w14:val="tx1"/>
            </w14:solidFill>
          </w14:textFill>
        </w:rPr>
        <w:t>《用户需求书》。</w:t>
      </w:r>
      <w:bookmarkEnd w:id="12"/>
    </w:p>
    <w:p w14:paraId="35BF3D7C">
      <w:pPr>
        <w:numPr>
          <w:ilvl w:val="0"/>
          <w:numId w:val="2"/>
        </w:numPr>
        <w:spacing w:before="156" w:beforeLines="50" w:line="360" w:lineRule="auto"/>
        <w:ind w:firstLine="566" w:firstLineChars="236"/>
        <w:outlineLvl w:val="1"/>
        <w:rPr>
          <w:rFonts w:hint="eastAsia"/>
          <w:bCs/>
          <w:color w:val="000000" w:themeColor="text1"/>
          <w14:textFill>
            <w14:solidFill>
              <w14:schemeClr w14:val="tx1"/>
            </w14:solidFill>
          </w14:textFill>
        </w:rPr>
      </w:pPr>
      <w:r>
        <w:rPr>
          <w:rFonts w:hint="eastAsia" w:ascii="Times New Roman"/>
        </w:rPr>
        <w:t>乙方需按照合同中甲方要求的供货范围供货。若甲方未在合同、用户需求书、采购文件等文件中列明，但为了满足甲方的正常使用及达到验收标准而需增加货物的，由乙方为甲方提供完善方案。完善方案经甲方同意后，由乙方按照完善方案履行义务，其中涉及的增加的费用已包含在合同价中，甲方不另行向乙方支付费用。</w:t>
      </w:r>
    </w:p>
    <w:p w14:paraId="0746B04B">
      <w:pPr>
        <w:spacing w:before="156" w:beforeLines="50" w:line="360" w:lineRule="auto"/>
        <w:ind w:firstLine="566" w:firstLineChars="236"/>
        <w:outlineLvl w:val="1"/>
        <w:rPr>
          <w:rFonts w:hint="eastAsia"/>
          <w:bCs/>
          <w:color w:val="000000" w:themeColor="text1"/>
          <w14:textFill>
            <w14:solidFill>
              <w14:schemeClr w14:val="tx1"/>
            </w14:solidFill>
          </w14:textFill>
        </w:rPr>
      </w:pPr>
    </w:p>
    <w:p w14:paraId="1827F77D">
      <w:pPr>
        <w:pStyle w:val="27"/>
        <w:numPr>
          <w:ilvl w:val="0"/>
          <w:numId w:val="1"/>
        </w:numPr>
        <w:ind w:firstLineChars="0"/>
        <w:outlineLvl w:val="1"/>
        <w:rPr>
          <w:rFonts w:ascii="Times New Roman" w:hAnsi="Times New Roman"/>
          <w:b/>
          <w:sz w:val="24"/>
          <w:szCs w:val="24"/>
        </w:rPr>
      </w:pPr>
      <w:bookmarkStart w:id="13" w:name="_Toc27990833"/>
      <w:r>
        <w:rPr>
          <w:rFonts w:hint="eastAsia" w:ascii="Times New Roman" w:hAnsi="Times New Roman"/>
          <w:b/>
          <w:sz w:val="24"/>
          <w:szCs w:val="24"/>
        </w:rPr>
        <w:t>质量</w:t>
      </w:r>
      <w:bookmarkEnd w:id="13"/>
      <w:r>
        <w:rPr>
          <w:rFonts w:hint="eastAsia" w:ascii="Times New Roman" w:hAnsi="Times New Roman"/>
          <w:b/>
          <w:sz w:val="24"/>
          <w:szCs w:val="24"/>
          <w:lang w:val="en-US" w:eastAsia="zh-CN"/>
        </w:rPr>
        <w:t>要求</w:t>
      </w:r>
    </w:p>
    <w:p w14:paraId="02ADEA0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4"/>
          <w:lang w:val="en-US" w:eastAsia="zh-CN"/>
        </w:rPr>
      </w:pPr>
      <w:r>
        <w:rPr>
          <w:rFonts w:hint="eastAsia" w:hAnsi="宋体"/>
          <w:sz w:val="24"/>
          <w:szCs w:val="24"/>
          <w:lang w:val="en-US" w:eastAsia="zh-CN"/>
        </w:rPr>
        <w:t>1、提升泵为潜水离心泵，水泵型号WQ2720-12-125，水泵的额定功率125KW、额定扬程12m、额定流量2720m3/h，乙方所供叶轮必须适用于市区水质净化厂提标提升泵的安装、使用无需对现有水泵进行任何的改造，乙方所供叶轮严禁使用现有水泵叶轮进行测绘仿制。水泵更换叶轮后，水泵运行流量、扬程不得低于水泵的额定流量、扬程。</w:t>
      </w:r>
    </w:p>
    <w:p w14:paraId="7016F9B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hAnsi="宋体"/>
          <w:sz w:val="24"/>
          <w:szCs w:val="24"/>
          <w:lang w:val="en-US" w:eastAsia="zh-CN"/>
        </w:rPr>
        <w:t>2、</w:t>
      </w:r>
      <w:r>
        <w:rPr>
          <w:rFonts w:hint="eastAsia" w:ascii="宋体" w:hAnsi="宋体"/>
          <w:sz w:val="24"/>
          <w:szCs w:val="24"/>
        </w:rPr>
        <w:t>叶轮应做动平衡和静平衡试验。</w:t>
      </w:r>
    </w:p>
    <w:p w14:paraId="65C398C9">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hAnsi="宋体"/>
          <w:sz w:val="24"/>
          <w:szCs w:val="24"/>
          <w:lang w:val="en-US" w:eastAsia="zh-CN"/>
        </w:rPr>
        <w:t>3、乙方</w:t>
      </w:r>
      <w:r>
        <w:rPr>
          <w:rFonts w:ascii="宋体" w:hAnsi="宋体"/>
          <w:sz w:val="24"/>
          <w:szCs w:val="24"/>
        </w:rPr>
        <w:t>所供货物必须是全新的，</w:t>
      </w:r>
      <w:r>
        <w:rPr>
          <w:rFonts w:hint="eastAsia" w:ascii="宋体" w:hAnsi="宋体"/>
          <w:sz w:val="24"/>
          <w:szCs w:val="24"/>
        </w:rPr>
        <w:t>无瑕疵和缺陷，质量为合格的货物。</w:t>
      </w:r>
      <w:r>
        <w:rPr>
          <w:rFonts w:ascii="宋体" w:hAnsi="宋体"/>
          <w:sz w:val="24"/>
          <w:szCs w:val="24"/>
        </w:rPr>
        <w:t>所有</w:t>
      </w:r>
      <w:r>
        <w:rPr>
          <w:rFonts w:hint="eastAsia" w:ascii="宋体" w:hAnsi="宋体"/>
          <w:sz w:val="24"/>
          <w:szCs w:val="24"/>
        </w:rPr>
        <w:t>货物</w:t>
      </w:r>
      <w:r>
        <w:rPr>
          <w:rFonts w:ascii="宋体" w:hAnsi="宋体"/>
          <w:sz w:val="24"/>
          <w:szCs w:val="24"/>
        </w:rPr>
        <w:t>运输</w:t>
      </w:r>
      <w:r>
        <w:rPr>
          <w:rFonts w:hint="eastAsia" w:ascii="宋体" w:hAnsi="宋体"/>
          <w:sz w:val="24"/>
          <w:szCs w:val="24"/>
        </w:rPr>
        <w:t>至交货</w:t>
      </w:r>
      <w:r>
        <w:rPr>
          <w:rFonts w:ascii="宋体" w:hAnsi="宋体"/>
          <w:sz w:val="24"/>
          <w:szCs w:val="24"/>
        </w:rPr>
        <w:t>地点时</w:t>
      </w:r>
      <w:r>
        <w:rPr>
          <w:rFonts w:hint="eastAsia" w:ascii="宋体" w:hAnsi="宋体"/>
          <w:sz w:val="24"/>
          <w:szCs w:val="24"/>
        </w:rPr>
        <w:t>，</w:t>
      </w:r>
      <w:r>
        <w:rPr>
          <w:rFonts w:ascii="宋体" w:hAnsi="宋体"/>
          <w:sz w:val="24"/>
          <w:szCs w:val="24"/>
        </w:rPr>
        <w:t>包装</w:t>
      </w:r>
      <w:r>
        <w:rPr>
          <w:rFonts w:hint="eastAsia" w:ascii="宋体" w:hAnsi="宋体"/>
          <w:sz w:val="24"/>
          <w:szCs w:val="24"/>
        </w:rPr>
        <w:t>需</w:t>
      </w:r>
      <w:r>
        <w:rPr>
          <w:rFonts w:ascii="宋体" w:hAnsi="宋体"/>
          <w:sz w:val="24"/>
          <w:szCs w:val="24"/>
        </w:rPr>
        <w:t>完好，由</w:t>
      </w:r>
      <w:r>
        <w:rPr>
          <w:rFonts w:hint="eastAsia" w:hAnsi="宋体"/>
          <w:sz w:val="24"/>
          <w:szCs w:val="24"/>
          <w:lang w:val="en-US" w:eastAsia="zh-CN"/>
        </w:rPr>
        <w:t>甲方</w:t>
      </w:r>
      <w:r>
        <w:rPr>
          <w:rFonts w:ascii="宋体" w:hAnsi="宋体"/>
          <w:sz w:val="24"/>
          <w:szCs w:val="24"/>
        </w:rPr>
        <w:t>签收后方可拆包安装。</w:t>
      </w:r>
    </w:p>
    <w:p w14:paraId="5E849EAC">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hAnsi="宋体"/>
          <w:sz w:val="24"/>
          <w:szCs w:val="24"/>
          <w:lang w:val="en-US" w:eastAsia="zh-CN"/>
        </w:rPr>
        <w:t>4、</w:t>
      </w:r>
      <w:r>
        <w:rPr>
          <w:rFonts w:hint="eastAsia" w:ascii="宋体" w:hAnsi="宋体"/>
          <w:sz w:val="24"/>
          <w:szCs w:val="24"/>
        </w:rPr>
        <w:t>所有货物须满足国家及行业环保和质量标准。</w:t>
      </w:r>
    </w:p>
    <w:p w14:paraId="7FE74C8A">
      <w:pPr>
        <w:keepNext w:val="0"/>
        <w:keepLines w:val="0"/>
        <w:pageBreakBefore w:val="0"/>
        <w:widowControl w:val="0"/>
        <w:tabs>
          <w:tab w:val="left" w:pos="567"/>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hAnsi="宋体"/>
          <w:sz w:val="24"/>
          <w:szCs w:val="24"/>
          <w:lang w:val="en-US" w:eastAsia="zh-CN"/>
        </w:rPr>
        <w:t>5、</w:t>
      </w:r>
      <w:r>
        <w:rPr>
          <w:rFonts w:hint="eastAsia" w:ascii="宋体" w:hAnsi="宋体"/>
          <w:sz w:val="24"/>
          <w:szCs w:val="24"/>
        </w:rPr>
        <w:t>所有备件必须有质量检验合格证、装箱单、产品安装使用说明书、出厂检验报告（或测试性能、测试报告）及</w:t>
      </w:r>
      <w:r>
        <w:rPr>
          <w:rFonts w:hint="eastAsia" w:hAnsi="宋体"/>
          <w:sz w:val="24"/>
          <w:szCs w:val="24"/>
          <w:lang w:val="en-US" w:eastAsia="zh-CN"/>
        </w:rPr>
        <w:t>甲</w:t>
      </w:r>
      <w:r>
        <w:rPr>
          <w:rFonts w:hint="eastAsia" w:ascii="宋体" w:hAnsi="宋体"/>
          <w:sz w:val="24"/>
          <w:szCs w:val="24"/>
        </w:rPr>
        <w:t>方要求的其他合格证明文件等相关资料。</w:t>
      </w:r>
    </w:p>
    <w:p w14:paraId="3B70F0CD">
      <w:pPr>
        <w:rPr>
          <w:rFonts w:hint="eastAsia"/>
        </w:rPr>
      </w:pPr>
    </w:p>
    <w:p w14:paraId="1CC11A23">
      <w:pPr>
        <w:pStyle w:val="27"/>
        <w:numPr>
          <w:ilvl w:val="0"/>
          <w:numId w:val="1"/>
        </w:numPr>
        <w:ind w:firstLineChars="0"/>
        <w:outlineLvl w:val="1"/>
        <w:rPr>
          <w:rFonts w:ascii="Times New Roman" w:hAnsi="Times New Roman"/>
          <w:b/>
          <w:sz w:val="24"/>
          <w:szCs w:val="24"/>
        </w:rPr>
      </w:pPr>
      <w:bookmarkStart w:id="14" w:name="_Toc27990834"/>
      <w:r>
        <w:rPr>
          <w:rFonts w:hint="eastAsia" w:ascii="Times New Roman" w:hAnsi="Times New Roman"/>
          <w:b/>
          <w:sz w:val="24"/>
          <w:szCs w:val="24"/>
        </w:rPr>
        <w:t>交货约定</w:t>
      </w:r>
      <w:bookmarkEnd w:id="14"/>
    </w:p>
    <w:p w14:paraId="42532925">
      <w:pPr>
        <w:tabs>
          <w:tab w:val="left" w:pos="567"/>
        </w:tabs>
        <w:spacing w:line="360" w:lineRule="auto"/>
        <w:ind w:firstLine="480" w:firstLineChars="200"/>
        <w:rPr>
          <w:rFonts w:hint="eastAsia" w:ascii="Times New Roman"/>
        </w:rPr>
      </w:pPr>
      <w:r>
        <w:rPr>
          <w:rFonts w:hint="eastAsia" w:ascii="Times New Roman"/>
          <w:lang w:val="en-US" w:eastAsia="zh-CN"/>
        </w:rPr>
        <w:t>1</w:t>
      </w:r>
      <w:r>
        <w:rPr>
          <w:rFonts w:hint="eastAsia" w:ascii="Times New Roman"/>
        </w:rPr>
        <w:t>、交货时间：自合同签订之日起90</w:t>
      </w:r>
      <w:r>
        <w:rPr>
          <w:rFonts w:hint="eastAsia" w:ascii="Times New Roman"/>
          <w:lang w:val="en-US" w:eastAsia="zh-CN"/>
        </w:rPr>
        <w:t>日</w:t>
      </w:r>
      <w:r>
        <w:rPr>
          <w:rFonts w:hint="eastAsia" w:ascii="Times New Roman"/>
        </w:rPr>
        <w:t>内送达，对于部分货源不充足需要订购的设备，</w:t>
      </w:r>
      <w:r>
        <w:rPr>
          <w:rFonts w:hint="eastAsia" w:ascii="Times New Roman"/>
          <w:lang w:val="en-US" w:eastAsia="zh-CN"/>
        </w:rPr>
        <w:t>乙方</w:t>
      </w:r>
      <w:r>
        <w:rPr>
          <w:rFonts w:hint="eastAsia" w:ascii="Times New Roman"/>
        </w:rPr>
        <w:t>需跟</w:t>
      </w:r>
      <w:r>
        <w:rPr>
          <w:rFonts w:hint="eastAsia" w:ascii="Times New Roman"/>
          <w:lang w:val="en-US" w:eastAsia="zh-CN"/>
        </w:rPr>
        <w:t>甲方</w:t>
      </w:r>
      <w:r>
        <w:rPr>
          <w:rFonts w:hint="eastAsia" w:ascii="Times New Roman"/>
        </w:rPr>
        <w:t>进行沟通并经</w:t>
      </w:r>
      <w:r>
        <w:rPr>
          <w:rFonts w:hint="eastAsia" w:ascii="Times New Roman"/>
          <w:lang w:val="en-US" w:eastAsia="zh-CN"/>
        </w:rPr>
        <w:t>甲方</w:t>
      </w:r>
      <w:r>
        <w:rPr>
          <w:rFonts w:hint="eastAsia" w:ascii="Times New Roman"/>
        </w:rPr>
        <w:t>同意后，可延长交货期</w:t>
      </w:r>
      <w:r>
        <w:rPr>
          <w:rFonts w:hint="eastAsia" w:ascii="宋体" w:hAnsi="宋体"/>
          <w:sz w:val="24"/>
        </w:rPr>
        <w:t>。</w:t>
      </w:r>
    </w:p>
    <w:p w14:paraId="2A396504">
      <w:pPr>
        <w:numPr>
          <w:ilvl w:val="0"/>
          <w:numId w:val="0"/>
        </w:numPr>
        <w:spacing w:line="360" w:lineRule="auto"/>
        <w:ind w:firstLine="480" w:firstLineChars="200"/>
        <w:rPr>
          <w:rFonts w:ascii="Times New Roman"/>
        </w:rPr>
      </w:pPr>
      <w:r>
        <w:rPr>
          <w:rFonts w:ascii="Times New Roman"/>
        </w:rPr>
        <w:t>2</w:t>
      </w:r>
      <w:r>
        <w:rPr>
          <w:rFonts w:hint="eastAsia" w:ascii="Times New Roman"/>
        </w:rPr>
        <w:t>、交货地点、方式：</w:t>
      </w:r>
    </w:p>
    <w:p w14:paraId="3D09B7A2">
      <w:pPr>
        <w:spacing w:line="360" w:lineRule="auto"/>
        <w:ind w:firstLine="480" w:firstLineChars="200"/>
        <w:rPr>
          <w:rFonts w:hint="eastAsia" w:ascii="Times New Roman"/>
        </w:rPr>
      </w:pPr>
      <w:r>
        <w:rPr>
          <w:rFonts w:hint="eastAsia" w:ascii="Times New Roman"/>
        </w:rPr>
        <w:t>交货地点为：</w:t>
      </w:r>
      <w:r>
        <w:rPr>
          <w:rFonts w:hint="eastAsia" w:ascii="Times New Roman"/>
          <w:u w:val="single"/>
          <w:lang w:val="en-US" w:eastAsia="zh-CN"/>
        </w:rPr>
        <w:t>东莞市市区水质净化</w:t>
      </w:r>
      <w:r>
        <w:rPr>
          <w:rFonts w:hint="eastAsia" w:ascii="Times New Roman"/>
        </w:rPr>
        <w:t>厂内。</w:t>
      </w:r>
      <w:r>
        <w:rPr>
          <w:rFonts w:hint="eastAsia" w:ascii="Times New Roman"/>
          <w:lang w:eastAsia="zh-CN"/>
        </w:rPr>
        <w:t>乙方</w:t>
      </w:r>
      <w:r>
        <w:rPr>
          <w:rFonts w:hint="eastAsia" w:ascii="Times New Roman"/>
        </w:rPr>
        <w:t>负责供货设备运输及承担运输费用。</w:t>
      </w:r>
    </w:p>
    <w:p w14:paraId="7923D71E">
      <w:pPr>
        <w:spacing w:line="360" w:lineRule="auto"/>
        <w:ind w:firstLine="480" w:firstLineChars="200"/>
        <w:rPr>
          <w:rFonts w:hint="eastAsia" w:ascii="Times New Roman"/>
        </w:rPr>
      </w:pPr>
      <w:r>
        <w:rPr>
          <w:rFonts w:hint="eastAsia" w:ascii="Times New Roman"/>
        </w:rPr>
        <w:t>乙方的货物应当按照甲方要求送到指定的地点，由于乙方使用第三方送货服务导致货物未能经过双方共同验收、未送到指定地点的，甲方有权拒绝收货。</w:t>
      </w:r>
    </w:p>
    <w:p w14:paraId="7042E094">
      <w:pPr>
        <w:spacing w:line="360" w:lineRule="auto"/>
        <w:ind w:firstLine="480" w:firstLineChars="200"/>
        <w:rPr>
          <w:rFonts w:hint="eastAsia" w:ascii="Times New Roman"/>
        </w:rPr>
      </w:pP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6D623B5F">
      <w:pPr>
        <w:spacing w:line="360" w:lineRule="auto"/>
        <w:ind w:firstLine="480" w:firstLineChars="200"/>
        <w:rPr>
          <w:rFonts w:ascii="Times New Roman"/>
        </w:rPr>
      </w:pPr>
      <w:r>
        <w:rPr>
          <w:rFonts w:ascii="Times New Roman"/>
        </w:rPr>
        <w:t>3</w:t>
      </w:r>
      <w:r>
        <w:rPr>
          <w:rFonts w:hint="eastAsia" w:ascii="Times New Roman"/>
        </w:rPr>
        <w:t>、交货方式与风险承担：</w:t>
      </w:r>
    </w:p>
    <w:p w14:paraId="12DDD7F3">
      <w:pPr>
        <w:spacing w:line="360" w:lineRule="auto"/>
        <w:ind w:firstLine="480" w:firstLineChars="200"/>
        <w:rPr>
          <w:rFonts w:hint="eastAsia" w:ascii="Times New Roman"/>
        </w:rPr>
      </w:pPr>
      <w:r>
        <w:rPr>
          <w:rFonts w:hint="eastAsia" w:ascii="Times New Roman"/>
        </w:rPr>
        <w:t>在货物移交给甲方并经甲方验收合格前，货物的毁损、灭失的风险和责任均由乙方承担。</w:t>
      </w:r>
    </w:p>
    <w:p w14:paraId="441BE53D">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480" w:leftChars="0" w:firstLine="0" w:firstLineChars="0"/>
        <w:textAlignment w:val="auto"/>
        <w:rPr>
          <w:rFonts w:hint="eastAsia" w:ascii="Times New Roman"/>
          <w:lang w:val="en-US" w:eastAsia="zh-CN"/>
        </w:rPr>
      </w:pPr>
      <w:r>
        <w:rPr>
          <w:rFonts w:hint="eastAsia" w:ascii="Times New Roman"/>
          <w:lang w:val="en-US" w:eastAsia="zh-CN"/>
        </w:rPr>
        <w:t>供货及安装界限</w:t>
      </w:r>
    </w:p>
    <w:p w14:paraId="490C90F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（1）乙方提供清单货物。</w:t>
      </w:r>
    </w:p>
    <w:p w14:paraId="35ECF0E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（2）乙方负责所供货物的指导安装、验收及售后服务。</w:t>
      </w:r>
    </w:p>
    <w:p w14:paraId="16C1965C">
      <w:pPr>
        <w:spacing w:line="360" w:lineRule="auto"/>
        <w:rPr>
          <w:rFonts w:ascii="Times New Roman"/>
        </w:rPr>
      </w:pPr>
    </w:p>
    <w:p w14:paraId="4FAC988B">
      <w:pPr>
        <w:pStyle w:val="27"/>
        <w:numPr>
          <w:ilvl w:val="0"/>
          <w:numId w:val="1"/>
        </w:numPr>
        <w:ind w:firstLineChars="0"/>
        <w:outlineLvl w:val="1"/>
        <w:rPr>
          <w:rFonts w:ascii="Times New Roman" w:hAnsi="Times New Roman"/>
          <w:sz w:val="24"/>
          <w:szCs w:val="24"/>
        </w:rPr>
      </w:pPr>
      <w:bookmarkStart w:id="15" w:name="_Toc27990835"/>
      <w:r>
        <w:rPr>
          <w:rFonts w:hint="eastAsia" w:ascii="Times New Roman" w:hAnsi="Times New Roman"/>
          <w:b/>
          <w:sz w:val="24"/>
          <w:szCs w:val="24"/>
        </w:rPr>
        <w:t>包装</w:t>
      </w:r>
      <w:bookmarkEnd w:id="15"/>
    </w:p>
    <w:p w14:paraId="04D80ADC">
      <w:pPr>
        <w:spacing w:line="360" w:lineRule="auto"/>
        <w:ind w:firstLine="480" w:firstLineChars="200"/>
        <w:rPr>
          <w:rFonts w:hAnsi="宋体"/>
        </w:rPr>
      </w:pPr>
      <w:r>
        <w:rPr>
          <w:rFonts w:hint="eastAsia" w:hAnsi="宋体"/>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09EB24D0">
      <w:pPr>
        <w:spacing w:line="360" w:lineRule="auto"/>
        <w:ind w:firstLine="424" w:firstLineChars="177"/>
        <w:rPr>
          <w:rFonts w:hint="eastAsia" w:hAnsi="宋体"/>
        </w:rPr>
      </w:pPr>
      <w:r>
        <w:rPr>
          <w:rFonts w:hint="eastAsia" w:hAnsi="宋体"/>
          <w:lang w:val="en-US" w:eastAsia="zh-CN"/>
        </w:rPr>
        <w:t>2</w:t>
      </w:r>
      <w:r>
        <w:rPr>
          <w:rFonts w:hint="eastAsia" w:hAnsi="宋体"/>
        </w:rPr>
        <w:t>、乙方所供货物应为制造商原装出厂，且包装箱号与设备出厂批号应一致。</w:t>
      </w:r>
    </w:p>
    <w:p w14:paraId="7576A480">
      <w:pPr>
        <w:spacing w:line="360" w:lineRule="auto"/>
        <w:ind w:firstLine="424" w:firstLineChars="177"/>
        <w:rPr>
          <w:rFonts w:hint="eastAsia" w:hAnsi="宋体"/>
        </w:rPr>
      </w:pPr>
    </w:p>
    <w:p w14:paraId="500D616E">
      <w:pPr>
        <w:pStyle w:val="27"/>
        <w:numPr>
          <w:ilvl w:val="0"/>
          <w:numId w:val="1"/>
        </w:numPr>
        <w:ind w:firstLineChars="0"/>
        <w:outlineLvl w:val="1"/>
        <w:rPr>
          <w:rFonts w:ascii="Times New Roman" w:hAnsi="Times New Roman"/>
          <w:b/>
          <w:sz w:val="24"/>
          <w:szCs w:val="24"/>
        </w:rPr>
      </w:pPr>
      <w:bookmarkStart w:id="16" w:name="_Toc27990837"/>
      <w:r>
        <w:rPr>
          <w:rFonts w:hint="eastAsia" w:ascii="Times New Roman" w:hAnsi="Times New Roman"/>
          <w:b/>
          <w:sz w:val="24"/>
          <w:szCs w:val="24"/>
        </w:rPr>
        <w:t>验收</w:t>
      </w:r>
      <w:bookmarkEnd w:id="16"/>
      <w:r>
        <w:rPr>
          <w:rFonts w:hint="eastAsia" w:ascii="Times New Roman" w:hAnsi="Times New Roman"/>
          <w:b/>
          <w:sz w:val="24"/>
          <w:szCs w:val="24"/>
          <w:lang w:val="en-US" w:eastAsia="zh-CN"/>
        </w:rPr>
        <w:t>要求</w:t>
      </w:r>
    </w:p>
    <w:p w14:paraId="3A094874">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1、</w:t>
      </w:r>
      <w:r>
        <w:rPr>
          <w:rFonts w:ascii="宋体" w:hAnsi="宋体"/>
          <w:sz w:val="24"/>
          <w:szCs w:val="24"/>
        </w:rPr>
        <w:t>货物到达交货地点后，</w:t>
      </w:r>
      <w:r>
        <w:rPr>
          <w:rFonts w:hint="eastAsia" w:hAnsi="宋体"/>
          <w:sz w:val="24"/>
          <w:szCs w:val="24"/>
          <w:lang w:eastAsia="zh-CN"/>
        </w:rPr>
        <w:t>甲方</w:t>
      </w:r>
      <w:r>
        <w:rPr>
          <w:rFonts w:ascii="宋体" w:hAnsi="宋体"/>
          <w:sz w:val="24"/>
          <w:szCs w:val="24"/>
        </w:rPr>
        <w:t>（含</w:t>
      </w:r>
      <w:r>
        <w:rPr>
          <w:rFonts w:hint="eastAsia" w:hAnsi="宋体"/>
          <w:sz w:val="24"/>
          <w:szCs w:val="24"/>
          <w:lang w:val="en-US" w:eastAsia="zh-CN"/>
        </w:rPr>
        <w:t>甲方</w:t>
      </w:r>
      <w:r>
        <w:rPr>
          <w:rFonts w:ascii="宋体" w:hAnsi="宋体"/>
          <w:sz w:val="24"/>
          <w:szCs w:val="24"/>
        </w:rPr>
        <w:t>委托的第三方）、</w:t>
      </w:r>
      <w:r>
        <w:rPr>
          <w:rFonts w:hint="eastAsia" w:hAnsi="宋体"/>
          <w:sz w:val="24"/>
          <w:szCs w:val="24"/>
          <w:lang w:eastAsia="zh-CN"/>
        </w:rPr>
        <w:t>乙方</w:t>
      </w:r>
      <w:r>
        <w:rPr>
          <w:rFonts w:ascii="宋体" w:hAnsi="宋体"/>
          <w:sz w:val="24"/>
          <w:szCs w:val="24"/>
        </w:rPr>
        <w:t>代表共同验货。</w:t>
      </w:r>
      <w:r>
        <w:rPr>
          <w:rFonts w:hint="eastAsia" w:hAnsi="宋体"/>
          <w:sz w:val="24"/>
          <w:szCs w:val="24"/>
          <w:lang w:eastAsia="zh-CN"/>
        </w:rPr>
        <w:t>甲方</w:t>
      </w:r>
      <w:r>
        <w:rPr>
          <w:rFonts w:ascii="宋体" w:hAnsi="宋体"/>
          <w:sz w:val="24"/>
          <w:szCs w:val="24"/>
        </w:rPr>
        <w:t xml:space="preserve">按照本合同及用户需求书、国家相关法律法规以及规范的要求等相关的规定，对货物的品种、品牌、产地、型号规格、数量、外观质量、资料进行清点和全面的检验，并作详细的记录。 </w:t>
      </w:r>
    </w:p>
    <w:p w14:paraId="65949EA0">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2、</w:t>
      </w:r>
      <w:r>
        <w:rPr>
          <w:rFonts w:ascii="宋体" w:hAnsi="宋体"/>
          <w:sz w:val="24"/>
          <w:szCs w:val="24"/>
        </w:rPr>
        <w:t>如发现货物的品种、品牌、产地、型号规格、数量、外观质量、资料与合同不符，或货物短缺、质次、损坏等问题，应作详细记录，</w:t>
      </w:r>
      <w:r>
        <w:rPr>
          <w:rFonts w:hint="eastAsia" w:hAnsi="宋体"/>
          <w:sz w:val="24"/>
          <w:szCs w:val="24"/>
          <w:lang w:eastAsia="zh-CN"/>
        </w:rPr>
        <w:t>甲方</w:t>
      </w:r>
      <w:r>
        <w:rPr>
          <w:rFonts w:ascii="宋体" w:hAnsi="宋体"/>
          <w:sz w:val="24"/>
          <w:szCs w:val="24"/>
        </w:rPr>
        <w:t>可拒绝收货，或由</w:t>
      </w:r>
      <w:r>
        <w:rPr>
          <w:rFonts w:hint="eastAsia" w:hAnsi="宋体"/>
          <w:sz w:val="24"/>
          <w:szCs w:val="24"/>
          <w:lang w:eastAsia="zh-CN"/>
        </w:rPr>
        <w:t>乙方</w:t>
      </w:r>
      <w:r>
        <w:rPr>
          <w:rFonts w:ascii="宋体" w:hAnsi="宋体"/>
          <w:sz w:val="24"/>
          <w:szCs w:val="24"/>
        </w:rPr>
        <w:t>在</w:t>
      </w:r>
      <w:r>
        <w:rPr>
          <w:rFonts w:hint="eastAsia" w:hAnsi="宋体"/>
          <w:sz w:val="24"/>
          <w:szCs w:val="24"/>
          <w:lang w:eastAsia="zh-CN"/>
        </w:rPr>
        <w:t>甲方</w:t>
      </w:r>
      <w:r>
        <w:rPr>
          <w:rFonts w:ascii="宋体" w:hAnsi="宋体"/>
          <w:sz w:val="24"/>
          <w:szCs w:val="24"/>
        </w:rPr>
        <w:t>规定的时间内立即、无条件为</w:t>
      </w:r>
      <w:r>
        <w:rPr>
          <w:rFonts w:hint="eastAsia" w:hAnsi="宋体"/>
          <w:sz w:val="24"/>
          <w:szCs w:val="24"/>
          <w:lang w:eastAsia="zh-CN"/>
        </w:rPr>
        <w:t>甲方</w:t>
      </w:r>
      <w:r>
        <w:rPr>
          <w:rFonts w:ascii="宋体" w:hAnsi="宋体"/>
          <w:sz w:val="24"/>
          <w:szCs w:val="24"/>
        </w:rPr>
        <w:t>调换或补齐，调换或补齐后的货物，</w:t>
      </w:r>
      <w:r>
        <w:rPr>
          <w:rFonts w:hint="eastAsia" w:hAnsi="宋体"/>
          <w:sz w:val="24"/>
          <w:szCs w:val="24"/>
          <w:lang w:eastAsia="zh-CN"/>
        </w:rPr>
        <w:t>甲方</w:t>
      </w:r>
      <w:r>
        <w:rPr>
          <w:rFonts w:ascii="宋体" w:hAnsi="宋体"/>
          <w:sz w:val="24"/>
          <w:szCs w:val="24"/>
        </w:rPr>
        <w:t>有权按照本条有关验收的规定进行验收，由此产生的制造、修理和运费及保险费等费用均应由</w:t>
      </w:r>
      <w:r>
        <w:rPr>
          <w:rFonts w:hint="eastAsia" w:hAnsi="宋体"/>
          <w:sz w:val="24"/>
          <w:szCs w:val="24"/>
          <w:lang w:eastAsia="zh-CN"/>
        </w:rPr>
        <w:t>乙方</w:t>
      </w:r>
      <w:r>
        <w:rPr>
          <w:rFonts w:ascii="宋体" w:hAnsi="宋体"/>
          <w:sz w:val="24"/>
          <w:szCs w:val="24"/>
        </w:rPr>
        <w:t>或其他责任方负担，与</w:t>
      </w:r>
      <w:r>
        <w:rPr>
          <w:rFonts w:hint="eastAsia" w:hAnsi="宋体"/>
          <w:sz w:val="24"/>
          <w:szCs w:val="24"/>
          <w:lang w:eastAsia="zh-CN"/>
        </w:rPr>
        <w:t>甲方</w:t>
      </w:r>
      <w:r>
        <w:rPr>
          <w:rFonts w:ascii="宋体" w:hAnsi="宋体"/>
          <w:sz w:val="24"/>
          <w:szCs w:val="24"/>
        </w:rPr>
        <w:t>无关。</w:t>
      </w:r>
    </w:p>
    <w:p w14:paraId="34693EC3">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3、</w:t>
      </w:r>
      <w:r>
        <w:rPr>
          <w:rFonts w:ascii="宋体" w:hAnsi="宋体"/>
          <w:sz w:val="24"/>
          <w:szCs w:val="24"/>
        </w:rPr>
        <w:t>由于非</w:t>
      </w:r>
      <w:r>
        <w:rPr>
          <w:rFonts w:hint="eastAsia" w:hAnsi="宋体"/>
          <w:sz w:val="24"/>
          <w:szCs w:val="24"/>
          <w:lang w:eastAsia="zh-CN"/>
        </w:rPr>
        <w:t>甲方</w:t>
      </w:r>
      <w:r>
        <w:rPr>
          <w:rFonts w:ascii="宋体" w:hAnsi="宋体"/>
          <w:sz w:val="24"/>
          <w:szCs w:val="24"/>
        </w:rPr>
        <w:t>原因而引起货物的修理或更换的时间，以不影响生产为原则，否则将视为逾期交货。</w:t>
      </w:r>
    </w:p>
    <w:p w14:paraId="4E9E17C1">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4、</w:t>
      </w:r>
      <w:r>
        <w:rPr>
          <w:rFonts w:ascii="宋体" w:hAnsi="宋体"/>
          <w:sz w:val="24"/>
          <w:szCs w:val="24"/>
        </w:rPr>
        <w:t>验收合格后，</w:t>
      </w:r>
      <w:r>
        <w:rPr>
          <w:rFonts w:hint="eastAsia" w:hAnsi="宋体"/>
          <w:sz w:val="24"/>
          <w:szCs w:val="24"/>
          <w:lang w:val="en-US" w:eastAsia="zh-CN"/>
        </w:rPr>
        <w:t>甲、乙双方共同出具验收报告并由双方书面确认验收结果</w:t>
      </w:r>
      <w:r>
        <w:rPr>
          <w:rFonts w:ascii="宋体" w:hAnsi="宋体"/>
          <w:sz w:val="24"/>
          <w:szCs w:val="24"/>
        </w:rPr>
        <w:t>。</w:t>
      </w:r>
    </w:p>
    <w:p w14:paraId="5249E8FB">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5、</w:t>
      </w:r>
      <w:r>
        <w:rPr>
          <w:rFonts w:hint="eastAsia" w:hAnsi="宋体"/>
          <w:sz w:val="24"/>
          <w:szCs w:val="24"/>
          <w:lang w:eastAsia="zh-CN"/>
        </w:rPr>
        <w:t>甲方</w:t>
      </w:r>
      <w:r>
        <w:rPr>
          <w:rFonts w:ascii="宋体" w:hAnsi="宋体"/>
          <w:sz w:val="24"/>
          <w:szCs w:val="24"/>
        </w:rPr>
        <w:t>根据本条规定对货物所做出的验收，仅作为起算付款及质保期之用，不视为双方对于货物质量的最终认定。货物经验收合格后，</w:t>
      </w:r>
      <w:r>
        <w:rPr>
          <w:rFonts w:hint="eastAsia" w:hAnsi="宋体"/>
          <w:sz w:val="24"/>
          <w:szCs w:val="24"/>
          <w:lang w:eastAsia="zh-CN"/>
        </w:rPr>
        <w:t>乙方</w:t>
      </w:r>
      <w:r>
        <w:rPr>
          <w:rFonts w:ascii="宋体" w:hAnsi="宋体"/>
          <w:sz w:val="24"/>
          <w:szCs w:val="24"/>
        </w:rPr>
        <w:t>仍应在质保期内对产品质量承担保证责任。</w:t>
      </w:r>
    </w:p>
    <w:p w14:paraId="01E4917B">
      <w:pPr>
        <w:tabs>
          <w:tab w:val="left" w:pos="567"/>
        </w:tabs>
        <w:spacing w:line="360" w:lineRule="auto"/>
        <w:ind w:firstLine="480" w:firstLineChars="200"/>
        <w:rPr>
          <w:rFonts w:ascii="宋体" w:hAnsi="宋体"/>
          <w:sz w:val="24"/>
          <w:szCs w:val="24"/>
        </w:rPr>
      </w:pPr>
      <w:r>
        <w:rPr>
          <w:rFonts w:hint="eastAsia" w:hAnsi="宋体"/>
          <w:sz w:val="24"/>
          <w:szCs w:val="24"/>
          <w:lang w:val="en-US" w:eastAsia="zh-CN"/>
        </w:rPr>
        <w:t>6、</w:t>
      </w:r>
      <w:r>
        <w:rPr>
          <w:rFonts w:ascii="宋体" w:hAnsi="宋体"/>
          <w:sz w:val="24"/>
          <w:szCs w:val="24"/>
        </w:rPr>
        <w:t>货物在全部经验收合格前，其损耗、毁损、灭失等风险及责任由</w:t>
      </w:r>
      <w:r>
        <w:rPr>
          <w:rFonts w:hint="eastAsia" w:hAnsi="宋体"/>
          <w:sz w:val="24"/>
          <w:szCs w:val="24"/>
          <w:lang w:eastAsia="zh-CN"/>
        </w:rPr>
        <w:t>乙方</w:t>
      </w:r>
      <w:r>
        <w:rPr>
          <w:rFonts w:ascii="宋体" w:hAnsi="宋体"/>
          <w:sz w:val="24"/>
          <w:szCs w:val="24"/>
        </w:rPr>
        <w:t>承担，如因发生前述情形，导致</w:t>
      </w:r>
      <w:r>
        <w:rPr>
          <w:rFonts w:hint="eastAsia" w:hAnsi="宋体"/>
          <w:sz w:val="24"/>
          <w:szCs w:val="24"/>
          <w:lang w:eastAsia="zh-CN"/>
        </w:rPr>
        <w:t>乙方</w:t>
      </w:r>
      <w:r>
        <w:rPr>
          <w:rFonts w:ascii="宋体" w:hAnsi="宋体"/>
          <w:sz w:val="24"/>
          <w:szCs w:val="24"/>
        </w:rPr>
        <w:t>所供应的货物不能通过</w:t>
      </w:r>
      <w:r>
        <w:rPr>
          <w:rFonts w:hint="eastAsia" w:hAnsi="宋体"/>
          <w:sz w:val="24"/>
          <w:szCs w:val="24"/>
          <w:lang w:eastAsia="zh-CN"/>
        </w:rPr>
        <w:t>甲方</w:t>
      </w:r>
      <w:r>
        <w:rPr>
          <w:rFonts w:ascii="宋体" w:hAnsi="宋体"/>
          <w:sz w:val="24"/>
          <w:szCs w:val="24"/>
        </w:rPr>
        <w:t>验收的，</w:t>
      </w:r>
      <w:r>
        <w:rPr>
          <w:rFonts w:hint="eastAsia" w:hAnsi="宋体"/>
          <w:sz w:val="24"/>
          <w:szCs w:val="24"/>
          <w:lang w:eastAsia="zh-CN"/>
        </w:rPr>
        <w:t>乙方</w:t>
      </w:r>
      <w:r>
        <w:rPr>
          <w:rFonts w:ascii="宋体" w:hAnsi="宋体"/>
          <w:sz w:val="24"/>
          <w:szCs w:val="24"/>
        </w:rPr>
        <w:t>应按</w:t>
      </w:r>
      <w:r>
        <w:rPr>
          <w:rFonts w:hint="eastAsia" w:hAnsi="宋体"/>
          <w:sz w:val="24"/>
          <w:szCs w:val="24"/>
          <w:lang w:eastAsia="zh-CN"/>
        </w:rPr>
        <w:t>甲方</w:t>
      </w:r>
      <w:r>
        <w:rPr>
          <w:rFonts w:ascii="宋体" w:hAnsi="宋体"/>
          <w:sz w:val="24"/>
          <w:szCs w:val="24"/>
        </w:rPr>
        <w:t>要求予以更换或退货</w:t>
      </w:r>
      <w:r>
        <w:rPr>
          <w:rFonts w:hint="eastAsia" w:hAnsi="宋体"/>
          <w:sz w:val="24"/>
          <w:szCs w:val="24"/>
          <w:lang w:eastAsia="zh-CN"/>
        </w:rPr>
        <w:t>，</w:t>
      </w:r>
      <w:r>
        <w:rPr>
          <w:rFonts w:hint="eastAsia" w:hAnsi="宋体"/>
          <w:sz w:val="24"/>
          <w:szCs w:val="24"/>
          <w:lang w:val="en-US" w:eastAsia="zh-CN"/>
        </w:rPr>
        <w:t>费用由乙方承担</w:t>
      </w:r>
      <w:r>
        <w:rPr>
          <w:rFonts w:ascii="宋体" w:hAnsi="宋体"/>
          <w:sz w:val="24"/>
          <w:szCs w:val="24"/>
        </w:rPr>
        <w:t>。</w:t>
      </w:r>
    </w:p>
    <w:p w14:paraId="2AB2625A">
      <w:pPr>
        <w:spacing w:line="360" w:lineRule="auto"/>
        <w:ind w:firstLine="480" w:firstLineChars="200"/>
        <w:rPr>
          <w:rFonts w:ascii="宋体" w:hAnsi="宋体"/>
          <w:sz w:val="24"/>
          <w:szCs w:val="24"/>
        </w:rPr>
      </w:pPr>
      <w:r>
        <w:rPr>
          <w:rFonts w:hint="eastAsia" w:hAnsi="宋体"/>
          <w:sz w:val="24"/>
          <w:szCs w:val="24"/>
          <w:lang w:val="en-US" w:eastAsia="zh-CN"/>
        </w:rPr>
        <w:t>7、</w:t>
      </w:r>
      <w:r>
        <w:rPr>
          <w:rFonts w:ascii="宋体" w:hAnsi="宋体"/>
          <w:sz w:val="24"/>
          <w:szCs w:val="24"/>
        </w:rPr>
        <w:t>验收过程中，如对检验记录不能取得一致意见时，一方可委托货物交付地的权威的第三方检验机构联合进行检验。检验结果具有约束力，检验费用由责任方负担。</w:t>
      </w:r>
    </w:p>
    <w:p w14:paraId="1614EF18">
      <w:pPr>
        <w:spacing w:line="360" w:lineRule="auto"/>
        <w:ind w:firstLine="480" w:firstLineChars="200"/>
        <w:rPr>
          <w:rFonts w:hint="eastAsia" w:ascii="Times New Roman"/>
        </w:rPr>
      </w:pPr>
    </w:p>
    <w:p w14:paraId="4F2C1FC0">
      <w:pPr>
        <w:pStyle w:val="27"/>
        <w:numPr>
          <w:ilvl w:val="0"/>
          <w:numId w:val="1"/>
        </w:numPr>
        <w:ind w:firstLineChars="0"/>
        <w:outlineLvl w:val="1"/>
        <w:rPr>
          <w:rFonts w:ascii="Times New Roman" w:hAnsi="Times New Roman"/>
          <w:b/>
          <w:sz w:val="24"/>
          <w:szCs w:val="24"/>
        </w:rPr>
      </w:pPr>
      <w:bookmarkStart w:id="17" w:name="_Toc27990838"/>
      <w:r>
        <w:rPr>
          <w:rFonts w:hint="eastAsia" w:ascii="Times New Roman" w:hAnsi="Times New Roman"/>
          <w:b/>
          <w:sz w:val="24"/>
          <w:szCs w:val="24"/>
        </w:rPr>
        <w:t>价款要求</w:t>
      </w:r>
      <w:bookmarkEnd w:id="17"/>
      <w:r>
        <w:rPr>
          <w:rFonts w:hint="eastAsia" w:ascii="Times New Roman" w:hAnsi="Times New Roman"/>
          <w:b/>
          <w:sz w:val="24"/>
          <w:szCs w:val="24"/>
        </w:rPr>
        <w:t>及付款方式</w:t>
      </w:r>
    </w:p>
    <w:p w14:paraId="30FA9AAA">
      <w:pPr>
        <w:spacing w:line="360" w:lineRule="auto"/>
        <w:ind w:firstLine="566" w:firstLineChars="236"/>
        <w:rPr>
          <w:rFonts w:ascii="Times New Roman"/>
        </w:rPr>
      </w:pPr>
      <w:r>
        <w:rPr>
          <w:rFonts w:hint="eastAsia" w:ascii="Times New Roman"/>
        </w:rPr>
        <w:t>1、本合同价（即销售额，不含乙方销项税额）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。以上合同价（即销售额，不含乙方销项税额）包括但不限于所供货物及其配备的附件的采购、制造、检测、试验、送货、装卸（含二次搬运至</w:t>
      </w:r>
      <w:r>
        <w:rPr>
          <w:rFonts w:hint="eastAsia" w:ascii="Times New Roman"/>
          <w:lang w:val="en-US" w:eastAsia="zh-CN"/>
        </w:rPr>
        <w:t>甲方</w:t>
      </w:r>
      <w:r>
        <w:rPr>
          <w:rFonts w:hint="eastAsia" w:ascii="Times New Roman"/>
        </w:rPr>
        <w:t>指定交货或仓储地点）、人工费、材料费、运费、</w:t>
      </w:r>
      <w:r>
        <w:rPr>
          <w:rFonts w:hint="eastAsia" w:ascii="Times New Roman"/>
          <w:lang w:val="en-US" w:eastAsia="zh-CN"/>
        </w:rPr>
        <w:t>指导安装费、乙方销项税以外的</w:t>
      </w:r>
      <w:r>
        <w:rPr>
          <w:rFonts w:hint="eastAsia" w:ascii="Times New Roman"/>
        </w:rPr>
        <w:t>税费、保险、现场仓储</w:t>
      </w:r>
      <w:r>
        <w:rPr>
          <w:rFonts w:hint="eastAsia" w:ascii="Times New Roman"/>
          <w:lang w:eastAsia="zh-CN"/>
        </w:rPr>
        <w:t>、</w:t>
      </w:r>
      <w:r>
        <w:rPr>
          <w:rFonts w:hint="eastAsia" w:ascii="Times New Roman"/>
        </w:rPr>
        <w:t>质保期免费上门提供售后服务等</w:t>
      </w:r>
      <w:r>
        <w:rPr>
          <w:rFonts w:hint="eastAsia" w:ascii="Times New Roman"/>
          <w:lang w:val="en-US" w:eastAsia="zh-CN"/>
        </w:rPr>
        <w:t>相关服务</w:t>
      </w:r>
      <w:r>
        <w:rPr>
          <w:rFonts w:hint="eastAsia" w:ascii="Times New Roman"/>
        </w:rPr>
        <w:t>的全部费用。在本合同履行过程中，合同价（即销售额，不含乙方销项税额）不随法律法规政策、物价人工、工期调整而进行调整，未经甲方书面确认，乙方无权增加任何费用。</w:t>
      </w:r>
    </w:p>
    <w:p w14:paraId="4A8370AC">
      <w:pPr>
        <w:spacing w:line="360" w:lineRule="auto"/>
        <w:ind w:firstLine="566" w:firstLineChars="236"/>
        <w:rPr>
          <w:rFonts w:ascii="Times New Roman"/>
        </w:rPr>
      </w:pPr>
      <w:r>
        <w:rPr>
          <w:rFonts w:hint="eastAsia" w:ascii="Times New Roman"/>
        </w:rPr>
        <w:t>2、依法计得并根据本合同约定确定的销项税额由甲方承担。根据《中华人民共和国增值税法实施条例》（国务院令第826</w:t>
      </w:r>
      <w:r>
        <w:rPr>
          <w:rFonts w:hint="eastAsia" w:ascii="Times New Roman"/>
          <w:lang w:val="en-US" w:eastAsia="zh-CN"/>
        </w:rPr>
        <w:t>号</w:t>
      </w:r>
      <w:r>
        <w:rPr>
          <w:rFonts w:hint="eastAsia" w:ascii="Times New Roman"/>
        </w:rPr>
        <w:t>）及当前税务部门的相关规定，本合同项目的增值税税率为</w:t>
      </w:r>
      <w:r>
        <w:rPr>
          <w:rFonts w:hint="eastAsia" w:ascii="Times New Roman"/>
          <w:u w:val="single"/>
          <w:lang w:val="en-US" w:eastAsia="zh-CN"/>
        </w:rPr>
        <w:t xml:space="preserve">   %</w:t>
      </w:r>
      <w:r>
        <w:rPr>
          <w:rFonts w:hint="eastAsia" w:ascii="Times New Roman"/>
        </w:rPr>
        <w:t>，对应的销项税额</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0F6EA308">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45109344">
      <w:pPr>
        <w:spacing w:line="360" w:lineRule="auto"/>
        <w:ind w:firstLine="566" w:firstLineChars="236"/>
        <w:rPr>
          <w:rFonts w:ascii="Times New Roman"/>
        </w:rPr>
      </w:pPr>
      <w:r>
        <w:rPr>
          <w:rFonts w:hint="eastAsia" w:ascii="Times New Roman"/>
        </w:rPr>
        <w:t>3、合同价税合计</w:t>
      </w:r>
      <w:r>
        <w:rPr>
          <w:rFonts w:ascii="Times New Roman" w:hAnsi="Times New Roman"/>
          <w:sz w:val="24"/>
          <w:szCs w:val="24"/>
        </w:rPr>
        <w:t>为</w:t>
      </w:r>
      <w:r>
        <w:rPr>
          <w:rFonts w:ascii="Times New Roman" w:hAnsi="Times New Roman"/>
          <w:sz w:val="24"/>
          <w:szCs w:val="24"/>
          <w:u w:val="single"/>
        </w:rPr>
        <w:t>¥</w:t>
      </w:r>
      <w:r>
        <w:rPr>
          <w:rFonts w:hint="eastAsia" w:ascii="Times New Roman"/>
          <w:sz w:val="24"/>
          <w:szCs w:val="24"/>
          <w:u w:val="single"/>
          <w:lang w:val="en-US" w:eastAsia="zh-CN"/>
        </w:rPr>
        <w:t xml:space="preserve">            </w:t>
      </w:r>
      <w:r>
        <w:rPr>
          <w:rFonts w:ascii="Times New Roman" w:hAnsi="Times New Roman"/>
          <w:sz w:val="24"/>
          <w:szCs w:val="24"/>
        </w:rPr>
        <w:t>元（大写人民币</w:t>
      </w:r>
      <w:r>
        <w:rPr>
          <w:rFonts w:hint="eastAsia" w:ascii="Times New Roman"/>
          <w:sz w:val="24"/>
          <w:szCs w:val="24"/>
          <w:u w:val="single"/>
          <w:lang w:val="en-US" w:eastAsia="zh-CN"/>
        </w:rPr>
        <w:t xml:space="preserve">             </w:t>
      </w:r>
      <w:r>
        <w:rPr>
          <w:rFonts w:ascii="Times New Roman" w:hAnsi="Times New Roman"/>
          <w:sz w:val="24"/>
          <w:szCs w:val="24"/>
        </w:rPr>
        <w:t>）</w:t>
      </w:r>
      <w:r>
        <w:rPr>
          <w:rFonts w:hint="eastAsia" w:ascii="Times New Roman"/>
        </w:rPr>
        <w:t>，合同履行期间根据本条第2项规定调整销项税额的，结算合同价税合计对应调整。</w:t>
      </w:r>
    </w:p>
    <w:p w14:paraId="06E90E89">
      <w:pPr>
        <w:spacing w:line="360" w:lineRule="auto"/>
        <w:ind w:firstLine="566" w:firstLineChars="236"/>
        <w:rPr>
          <w:rFonts w:ascii="Times New Roman"/>
        </w:rPr>
      </w:pPr>
      <w:r>
        <w:rPr>
          <w:rFonts w:hint="eastAsia" w:ascii="Times New Roman"/>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r>
        <w:rPr>
          <w:rFonts w:hint="eastAsia" w:ascii="Times New Roman"/>
          <w:lang w:eastAsia="zh-CN"/>
        </w:rPr>
        <w:t>，</w:t>
      </w:r>
      <w:r>
        <w:rPr>
          <w:rFonts w:hint="eastAsia" w:ascii="Times New Roman"/>
          <w:lang w:val="en-US" w:eastAsia="zh-CN"/>
        </w:rPr>
        <w:t>乙方不得以此为由拒绝或迟延履行合同义务</w:t>
      </w:r>
      <w:r>
        <w:rPr>
          <w:rFonts w:hint="eastAsia" w:ascii="Times New Roman"/>
        </w:rPr>
        <w:t>；或者，甲方有权直接从未付合同款项中扣除前述款项，且乙方必须按照扣除前述款项前的合同价（销售额）开具增值税专用发票，保证增值税税额符合法律规定。</w:t>
      </w:r>
    </w:p>
    <w:p w14:paraId="5A1628D9">
      <w:pPr>
        <w:spacing w:line="360" w:lineRule="auto"/>
        <w:ind w:firstLine="566" w:firstLineChars="236"/>
        <w:rPr>
          <w:rFonts w:hint="eastAsia" w:ascii="Times New Roman"/>
          <w:lang w:eastAsia="zh-CN"/>
        </w:rPr>
      </w:pPr>
      <w:r>
        <w:rPr>
          <w:rFonts w:hint="eastAsia" w:ascii="Times New Roman"/>
        </w:rPr>
        <w:t>5、</w:t>
      </w:r>
      <w:r>
        <w:rPr>
          <w:rFonts w:hint="eastAsia" w:ascii="宋体" w:hAnsi="宋体"/>
          <w:sz w:val="24"/>
          <w:szCs w:val="24"/>
        </w:rPr>
        <w:t>乙方完成清单货物的货到现场，经甲方验收合格后，</w:t>
      </w:r>
      <w:r>
        <w:rPr>
          <w:rFonts w:hint="eastAsia" w:hAnsi="宋体"/>
          <w:sz w:val="24"/>
          <w:szCs w:val="24"/>
          <w:lang w:eastAsia="zh-CN"/>
        </w:rPr>
        <w:t>乙方</w:t>
      </w:r>
      <w:r>
        <w:rPr>
          <w:rFonts w:hint="eastAsia" w:hAnsi="宋体"/>
          <w:sz w:val="24"/>
          <w:szCs w:val="24"/>
          <w:lang w:val="en-US" w:eastAsia="zh-CN"/>
        </w:rPr>
        <w:t>按甲方要求</w:t>
      </w:r>
      <w:r>
        <w:rPr>
          <w:rFonts w:hint="eastAsia" w:ascii="宋体" w:hAnsi="宋体"/>
          <w:sz w:val="24"/>
          <w:szCs w:val="24"/>
        </w:rPr>
        <w:t>向</w:t>
      </w:r>
      <w:r>
        <w:rPr>
          <w:rFonts w:hint="eastAsia" w:hAnsi="宋体"/>
          <w:sz w:val="24"/>
          <w:szCs w:val="24"/>
          <w:lang w:eastAsia="zh-CN"/>
        </w:rPr>
        <w:t>甲方</w:t>
      </w:r>
      <w:r>
        <w:rPr>
          <w:rFonts w:hint="eastAsia" w:ascii="宋体" w:hAnsi="宋体"/>
          <w:sz w:val="24"/>
          <w:szCs w:val="24"/>
        </w:rPr>
        <w:t>提交请款报告及</w:t>
      </w:r>
      <w:r>
        <w:rPr>
          <w:rFonts w:hint="eastAsia" w:hAnsi="宋体"/>
          <w:sz w:val="24"/>
          <w:szCs w:val="24"/>
          <w:lang w:val="en-US" w:eastAsia="zh-CN"/>
        </w:rPr>
        <w:t>请款金额等额</w:t>
      </w:r>
      <w:r>
        <w:rPr>
          <w:rFonts w:hint="eastAsia" w:ascii="宋体" w:hAnsi="宋体"/>
          <w:sz w:val="24"/>
          <w:szCs w:val="24"/>
        </w:rPr>
        <w:t>、合法、有效的增值税专用发票，</w:t>
      </w:r>
      <w:r>
        <w:rPr>
          <w:rFonts w:hint="eastAsia" w:hAnsi="宋体"/>
          <w:sz w:val="24"/>
          <w:szCs w:val="24"/>
          <w:lang w:eastAsia="zh-CN"/>
        </w:rPr>
        <w:t>甲方</w:t>
      </w:r>
      <w:r>
        <w:rPr>
          <w:rFonts w:hint="eastAsia" w:ascii="宋体" w:hAnsi="宋体"/>
          <w:sz w:val="24"/>
          <w:szCs w:val="24"/>
        </w:rPr>
        <w:t>在收到前述材料并确认无误后</w:t>
      </w:r>
      <w:r>
        <w:rPr>
          <w:rFonts w:hint="eastAsia" w:hAnsi="宋体"/>
          <w:sz w:val="24"/>
          <w:szCs w:val="24"/>
          <w:highlight w:val="none"/>
          <w:u w:val="single"/>
          <w:lang w:val="en-US" w:eastAsia="zh-CN"/>
        </w:rPr>
        <w:t>3</w:t>
      </w:r>
      <w:r>
        <w:rPr>
          <w:rFonts w:hint="eastAsia" w:ascii="宋体" w:hAnsi="宋体"/>
          <w:sz w:val="24"/>
          <w:szCs w:val="24"/>
          <w:highlight w:val="none"/>
          <w:u w:val="single"/>
        </w:rPr>
        <w:t>0</w:t>
      </w:r>
      <w:r>
        <w:rPr>
          <w:rFonts w:hint="eastAsia" w:ascii="宋体" w:hAnsi="宋体"/>
          <w:sz w:val="24"/>
          <w:szCs w:val="24"/>
        </w:rPr>
        <w:t>个工作日内，</w:t>
      </w:r>
      <w:r>
        <w:rPr>
          <w:rFonts w:hint="eastAsia" w:hAnsi="宋体"/>
          <w:sz w:val="24"/>
          <w:szCs w:val="24"/>
          <w:lang w:eastAsia="zh-CN"/>
        </w:rPr>
        <w:t>甲方</w:t>
      </w:r>
      <w:r>
        <w:rPr>
          <w:rFonts w:hint="eastAsia" w:ascii="宋体" w:hAnsi="宋体"/>
          <w:sz w:val="24"/>
          <w:szCs w:val="24"/>
        </w:rPr>
        <w:t>支付合同</w:t>
      </w:r>
      <w:r>
        <w:rPr>
          <w:rFonts w:hint="eastAsia" w:hAnsi="宋体"/>
          <w:sz w:val="24"/>
          <w:szCs w:val="24"/>
          <w:lang w:val="en-US" w:eastAsia="zh-CN"/>
        </w:rPr>
        <w:t>价的</w:t>
      </w:r>
      <w:r>
        <w:rPr>
          <w:rFonts w:hint="eastAsia" w:ascii="宋体" w:hAnsi="宋体"/>
          <w:sz w:val="24"/>
          <w:szCs w:val="24"/>
          <w:u w:val="single"/>
        </w:rPr>
        <w:t>95%</w:t>
      </w:r>
      <w:r>
        <w:rPr>
          <w:rFonts w:hint="eastAsia" w:ascii="宋体" w:hAnsi="宋体"/>
          <w:sz w:val="24"/>
          <w:szCs w:val="24"/>
        </w:rPr>
        <w:t>及对应的税额给乙方，剩余合同价的</w:t>
      </w:r>
      <w:r>
        <w:rPr>
          <w:rFonts w:hint="eastAsia" w:ascii="宋体" w:hAnsi="宋体"/>
          <w:sz w:val="24"/>
          <w:szCs w:val="24"/>
          <w:u w:val="single"/>
        </w:rPr>
        <w:t>5%</w:t>
      </w:r>
      <w:r>
        <w:rPr>
          <w:rFonts w:hint="eastAsia" w:ascii="宋体" w:hAnsi="宋体" w:eastAsiaTheme="minorEastAsia" w:cstheme="minorBidi"/>
          <w:sz w:val="24"/>
          <w:szCs w:val="24"/>
          <w:lang w:val="en-US" w:eastAsia="zh-CN"/>
        </w:rPr>
        <w:t>及对应的税额</w:t>
      </w:r>
      <w:r>
        <w:rPr>
          <w:rFonts w:hint="eastAsia" w:ascii="宋体" w:hAnsi="宋体"/>
          <w:sz w:val="24"/>
          <w:szCs w:val="24"/>
        </w:rPr>
        <w:t>作为质保金。质保期满后，所供货物无质量问题且乙方按照本合同约定提供质保服务的，由乙方提供请款报告及请款金额等额的</w:t>
      </w:r>
      <w:r>
        <w:rPr>
          <w:rFonts w:hint="eastAsia" w:hAnsi="宋体"/>
          <w:sz w:val="24"/>
          <w:szCs w:val="24"/>
          <w:lang w:eastAsia="zh-CN"/>
        </w:rPr>
        <w:t>、</w:t>
      </w:r>
      <w:r>
        <w:rPr>
          <w:rFonts w:hint="eastAsia" w:ascii="宋体" w:hAnsi="宋体"/>
          <w:sz w:val="24"/>
          <w:szCs w:val="24"/>
        </w:rPr>
        <w:t>合法、有效的增值税专用发票等相关请款资料，甲方在收到前述材料并确认无误后</w:t>
      </w:r>
      <w:r>
        <w:rPr>
          <w:rFonts w:hint="eastAsia" w:hAnsi="宋体"/>
          <w:sz w:val="24"/>
          <w:szCs w:val="24"/>
          <w:highlight w:val="none"/>
          <w:lang w:val="en-US" w:eastAsia="zh-CN"/>
        </w:rPr>
        <w:t>3</w:t>
      </w:r>
      <w:r>
        <w:rPr>
          <w:rFonts w:hint="eastAsia" w:ascii="宋体" w:hAnsi="宋体"/>
          <w:sz w:val="24"/>
          <w:szCs w:val="24"/>
          <w:highlight w:val="none"/>
        </w:rPr>
        <w:t>0个</w:t>
      </w:r>
      <w:r>
        <w:rPr>
          <w:rFonts w:hint="eastAsia" w:ascii="宋体" w:hAnsi="宋体"/>
          <w:sz w:val="24"/>
          <w:szCs w:val="24"/>
        </w:rPr>
        <w:t>工作日内，甲方将</w:t>
      </w:r>
      <w:r>
        <w:rPr>
          <w:rFonts w:hint="eastAsia" w:hAnsi="宋体"/>
          <w:sz w:val="24"/>
          <w:szCs w:val="24"/>
          <w:lang w:val="en-US" w:eastAsia="zh-CN"/>
        </w:rPr>
        <w:t>剩余</w:t>
      </w:r>
      <w:r>
        <w:rPr>
          <w:rFonts w:hint="eastAsia" w:ascii="宋体" w:hAnsi="宋体"/>
          <w:sz w:val="24"/>
          <w:szCs w:val="24"/>
        </w:rPr>
        <w:t>质保金无息支付给乙方。如质保期内乙方未能按合同约定提供质保服务的，在质保期满后由甲方根据乙方实际履行质保服务情况与乙方结算质保金。</w:t>
      </w:r>
    </w:p>
    <w:p w14:paraId="558EF391">
      <w:pPr>
        <w:spacing w:line="360" w:lineRule="auto"/>
        <w:ind w:firstLine="566" w:firstLineChars="236"/>
        <w:rPr>
          <w:rFonts w:ascii="Times New Roman"/>
        </w:rPr>
      </w:pPr>
      <w:r>
        <w:rPr>
          <w:rFonts w:hint="eastAsia" w:ascii="Times New Roman"/>
        </w:rPr>
        <w:t>6、以上款项由甲方直接以银行转账或银行承兑汇票形式支付给乙方，汇票期限不超过三个月，每期款项支付方式由甲方决定。乙方逾期提交请款材料</w:t>
      </w:r>
      <w:r>
        <w:rPr>
          <w:rFonts w:hint="eastAsia" w:ascii="Times New Roman"/>
          <w:lang w:eastAsia="zh-CN"/>
        </w:rPr>
        <w:t>、</w:t>
      </w:r>
      <w:r>
        <w:rPr>
          <w:rFonts w:hint="eastAsia" w:ascii="Times New Roman"/>
          <w:lang w:val="en-US" w:eastAsia="zh-CN"/>
        </w:rPr>
        <w:t>发票</w:t>
      </w:r>
      <w:r>
        <w:rPr>
          <w:rFonts w:hint="eastAsia" w:ascii="Times New Roman"/>
        </w:rPr>
        <w:t>或提交材料</w:t>
      </w:r>
      <w:r>
        <w:rPr>
          <w:rFonts w:hint="eastAsia" w:ascii="Times New Roman"/>
          <w:lang w:eastAsia="zh-CN"/>
        </w:rPr>
        <w:t>、</w:t>
      </w:r>
      <w:r>
        <w:rPr>
          <w:rFonts w:hint="eastAsia" w:ascii="Times New Roman"/>
          <w:lang w:val="en-US" w:eastAsia="zh-CN"/>
        </w:rPr>
        <w:t>发票</w:t>
      </w:r>
      <w:r>
        <w:rPr>
          <w:rFonts w:hint="eastAsia" w:ascii="Times New Roman"/>
        </w:rPr>
        <w:t>不符合甲方要求的，甲方有权顺延支付相应款项，并不承担逾期付款的违约责任，由于乙方提供的发票不符合税法规定，给甲方造成的损失由乙方承担赔偿责任，乙方不得以此延迟而拒绝</w:t>
      </w:r>
      <w:r>
        <w:rPr>
          <w:rFonts w:hint="eastAsia" w:ascii="Times New Roman"/>
          <w:lang w:val="en-US" w:eastAsia="zh-CN"/>
        </w:rPr>
        <w:t>或迟延</w:t>
      </w:r>
      <w:r>
        <w:rPr>
          <w:rFonts w:hint="eastAsia" w:ascii="Times New Roman"/>
        </w:rPr>
        <w:t>履行合同义务。</w:t>
      </w:r>
    </w:p>
    <w:p w14:paraId="29203430">
      <w:pPr>
        <w:spacing w:line="360" w:lineRule="auto"/>
        <w:rPr>
          <w:rFonts w:ascii="Times New Roman"/>
        </w:rPr>
      </w:pPr>
    </w:p>
    <w:p w14:paraId="100E3316">
      <w:pPr>
        <w:pStyle w:val="27"/>
        <w:numPr>
          <w:ilvl w:val="0"/>
          <w:numId w:val="1"/>
        </w:numPr>
        <w:ind w:firstLineChars="0"/>
        <w:outlineLvl w:val="1"/>
        <w:rPr>
          <w:rFonts w:ascii="Times New Roman" w:hAnsi="Times New Roman"/>
          <w:b/>
          <w:sz w:val="24"/>
          <w:szCs w:val="24"/>
        </w:rPr>
      </w:pPr>
      <w:bookmarkStart w:id="18" w:name="_Toc27990839"/>
      <w:r>
        <w:rPr>
          <w:rFonts w:hint="eastAsia" w:ascii="Times New Roman" w:hAnsi="Times New Roman"/>
          <w:b/>
          <w:sz w:val="24"/>
          <w:szCs w:val="24"/>
        </w:rPr>
        <w:t>售后服务</w:t>
      </w:r>
      <w:bookmarkEnd w:id="18"/>
    </w:p>
    <w:p w14:paraId="4C527A8E">
      <w:pPr>
        <w:spacing w:line="360" w:lineRule="auto"/>
        <w:ind w:firstLine="480" w:firstLineChars="200"/>
        <w:rPr>
          <w:rFonts w:ascii="Times New Roman"/>
        </w:rPr>
      </w:pPr>
      <w:r>
        <w:rPr>
          <w:rFonts w:hint="eastAsia" w:ascii="Times New Roman"/>
          <w:lang w:val="en-US" w:eastAsia="zh-CN"/>
        </w:rPr>
        <w:t>1</w:t>
      </w:r>
      <w:r>
        <w:rPr>
          <w:rFonts w:hint="eastAsia" w:ascii="Times New Roman"/>
        </w:rPr>
        <w:t>、货物质量保证期为</w:t>
      </w:r>
      <w:r>
        <w:rPr>
          <w:rFonts w:hint="eastAsia" w:ascii="Times New Roman"/>
          <w:u w:val="single"/>
          <w:lang w:val="en-US" w:eastAsia="zh-CN"/>
        </w:rPr>
        <w:t xml:space="preserve"> 6 </w:t>
      </w:r>
      <w:r>
        <w:rPr>
          <w:rFonts w:hint="eastAsia" w:ascii="Times New Roman"/>
          <w:u w:val="none"/>
        </w:rPr>
        <w:t>个月</w:t>
      </w:r>
      <w:r>
        <w:rPr>
          <w:rFonts w:hint="eastAsia" w:ascii="Times New Roman"/>
        </w:rPr>
        <w:t>，自验收合格之日起计算</w:t>
      </w:r>
      <w:r>
        <w:rPr>
          <w:rFonts w:hint="eastAsia" w:ascii="Times New Roman"/>
          <w:lang w:eastAsia="zh-CN"/>
        </w:rPr>
        <w:t>。</w:t>
      </w:r>
      <w:r>
        <w:rPr>
          <w:rFonts w:hint="eastAsia" w:ascii="Times New Roman"/>
        </w:rPr>
        <w:t>质保期内</w:t>
      </w:r>
      <w:r>
        <w:rPr>
          <w:rFonts w:hint="eastAsia" w:ascii="Times New Roman"/>
          <w:lang w:eastAsia="zh-CN"/>
        </w:rPr>
        <w:t>乙方</w:t>
      </w:r>
      <w:r>
        <w:rPr>
          <w:rFonts w:hint="eastAsia" w:ascii="Times New Roman"/>
        </w:rPr>
        <w:t>对设备出现的不符合合同要求的、有问题的地方应免费提供维修以及其它售后服务，质保期内所有服务由</w:t>
      </w:r>
      <w:r>
        <w:rPr>
          <w:rFonts w:hint="eastAsia" w:ascii="Times New Roman"/>
          <w:lang w:eastAsia="zh-CN"/>
        </w:rPr>
        <w:t>乙方</w:t>
      </w:r>
      <w:r>
        <w:rPr>
          <w:rFonts w:hint="eastAsia" w:ascii="Times New Roman"/>
        </w:rPr>
        <w:t>上门进行，且不得另行收取任何费用。若货物厂家出厂时承诺更长的质保期限或更高标准的质保义务的，乙方需按厂家承诺提供质保服务。</w:t>
      </w:r>
    </w:p>
    <w:p w14:paraId="49354D53">
      <w:pPr>
        <w:spacing w:line="360" w:lineRule="auto"/>
        <w:ind w:firstLine="480" w:firstLineChars="200"/>
        <w:rPr>
          <w:rFonts w:hint="eastAsia" w:ascii="Times New Roman"/>
        </w:rPr>
      </w:pPr>
      <w:r>
        <w:rPr>
          <w:rFonts w:hint="eastAsia" w:ascii="Times New Roman"/>
          <w:lang w:val="en-US" w:eastAsia="zh-CN"/>
        </w:rPr>
        <w:t>2</w:t>
      </w:r>
      <w:r>
        <w:rPr>
          <w:rFonts w:hint="eastAsia" w:ascii="Times New Roman"/>
        </w:rPr>
        <w:t>、质保期内，若货物经 1 次维修或维修时间超过1个月，仍不能正常使用的，</w:t>
      </w:r>
      <w:r>
        <w:rPr>
          <w:rFonts w:hint="eastAsia" w:ascii="Times New Roman"/>
          <w:lang w:eastAsia="zh-CN"/>
        </w:rPr>
        <w:t>乙方</w:t>
      </w:r>
      <w:r>
        <w:rPr>
          <w:rFonts w:hint="eastAsia" w:ascii="Times New Roman"/>
        </w:rPr>
        <w:t>应免费给予更换，被更换的货物的质保期为从</w:t>
      </w:r>
      <w:r>
        <w:rPr>
          <w:rFonts w:hint="eastAsia" w:ascii="Times New Roman"/>
          <w:lang w:val="en-US" w:eastAsia="zh-CN"/>
        </w:rPr>
        <w:t>完成更换并经甲方验收合格之日</w:t>
      </w:r>
      <w:r>
        <w:rPr>
          <w:rFonts w:hint="eastAsia" w:ascii="Times New Roman"/>
        </w:rPr>
        <w:t>起重新计算。</w:t>
      </w:r>
    </w:p>
    <w:p w14:paraId="15118C2C">
      <w:pPr>
        <w:spacing w:line="360" w:lineRule="auto"/>
        <w:ind w:firstLine="424" w:firstLineChars="177"/>
        <w:rPr>
          <w:rFonts w:hint="eastAsia" w:ascii="Times New Roman"/>
        </w:rPr>
      </w:pPr>
      <w:r>
        <w:rPr>
          <w:rFonts w:hint="eastAsia" w:ascii="Times New Roman"/>
          <w:lang w:val="en-US" w:eastAsia="zh-CN"/>
        </w:rPr>
        <w:t>3</w:t>
      </w:r>
      <w:r>
        <w:rPr>
          <w:rFonts w:hint="eastAsia" w:ascii="Times New Roman"/>
        </w:rPr>
        <w:t>、在合同</w:t>
      </w:r>
      <w:r>
        <w:rPr>
          <w:rFonts w:hint="eastAsia" w:ascii="Times New Roman"/>
          <w:lang w:val="en-US" w:eastAsia="zh-CN"/>
        </w:rPr>
        <w:t>约定</w:t>
      </w:r>
      <w:r>
        <w:rPr>
          <w:rFonts w:hint="eastAsia" w:ascii="Times New Roman"/>
        </w:rPr>
        <w:t>的质保期内，</w:t>
      </w:r>
      <w:r>
        <w:rPr>
          <w:rFonts w:hint="eastAsia" w:ascii="Times New Roman"/>
          <w:lang w:val="en-US" w:eastAsia="zh-CN"/>
        </w:rPr>
        <w:t>乙方承诺将在</w:t>
      </w:r>
      <w:r>
        <w:rPr>
          <w:rFonts w:hint="eastAsia" w:ascii="Times New Roman"/>
        </w:rPr>
        <w:t>接到</w:t>
      </w:r>
      <w:r>
        <w:rPr>
          <w:rFonts w:hint="eastAsia" w:ascii="Times New Roman"/>
          <w:lang w:val="en-US" w:eastAsia="zh-CN"/>
        </w:rPr>
        <w:t>甲方</w:t>
      </w:r>
      <w:r>
        <w:rPr>
          <w:rFonts w:hint="eastAsia" w:ascii="Times New Roman"/>
        </w:rPr>
        <w:t>的故障通知后4小时内响应，24小时内到达项目现场进行维修等服务</w:t>
      </w:r>
      <w:r>
        <w:rPr>
          <w:rFonts w:hint="eastAsia" w:ascii="Times New Roman"/>
          <w:lang w:eastAsia="zh-CN"/>
        </w:rPr>
        <w:t>，</w:t>
      </w:r>
      <w:r>
        <w:rPr>
          <w:rFonts w:hint="eastAsia" w:ascii="Times New Roman"/>
          <w:lang w:val="en-US" w:eastAsia="zh-CN"/>
        </w:rPr>
        <w:t>维修时间不计入质保期内</w:t>
      </w:r>
      <w:r>
        <w:rPr>
          <w:rFonts w:hint="eastAsia" w:ascii="Times New Roman"/>
        </w:rPr>
        <w:t>。</w:t>
      </w:r>
    </w:p>
    <w:p w14:paraId="47FEAEAF">
      <w:pPr>
        <w:spacing w:line="360" w:lineRule="auto"/>
        <w:ind w:firstLine="424" w:firstLineChars="177"/>
        <w:rPr>
          <w:rFonts w:hint="eastAsia" w:ascii="Times New Roman"/>
        </w:rPr>
      </w:pPr>
      <w:r>
        <w:rPr>
          <w:rFonts w:hint="eastAsia" w:ascii="Times New Roman"/>
          <w:lang w:val="en-US" w:eastAsia="zh-CN"/>
        </w:rPr>
        <w:t>4、</w:t>
      </w:r>
      <w:r>
        <w:rPr>
          <w:rFonts w:hint="eastAsia" w:ascii="Times New Roman"/>
          <w:lang w:eastAsia="zh-CN"/>
        </w:rPr>
        <w:t>甲方</w:t>
      </w:r>
      <w:r>
        <w:rPr>
          <w:rFonts w:hint="eastAsia" w:ascii="Times New Roman"/>
        </w:rPr>
        <w:t>在使用货物时所遇技术问题，</w:t>
      </w:r>
      <w:r>
        <w:rPr>
          <w:rFonts w:hint="eastAsia" w:ascii="Times New Roman"/>
          <w:lang w:eastAsia="zh-CN"/>
        </w:rPr>
        <w:t>乙方</w:t>
      </w:r>
      <w:r>
        <w:rPr>
          <w:rFonts w:hint="eastAsia" w:ascii="Times New Roman"/>
        </w:rPr>
        <w:t>应按</w:t>
      </w:r>
      <w:r>
        <w:rPr>
          <w:rFonts w:hint="eastAsia" w:ascii="Times New Roman"/>
          <w:lang w:eastAsia="zh-CN"/>
        </w:rPr>
        <w:t>甲方</w:t>
      </w:r>
      <w:r>
        <w:rPr>
          <w:rFonts w:hint="eastAsia" w:ascii="Times New Roman"/>
        </w:rPr>
        <w:t>要求及时向</w:t>
      </w:r>
      <w:r>
        <w:rPr>
          <w:rFonts w:hint="eastAsia" w:ascii="Times New Roman"/>
          <w:lang w:eastAsia="zh-CN"/>
        </w:rPr>
        <w:t>甲方</w:t>
      </w:r>
      <w:r>
        <w:rPr>
          <w:rFonts w:hint="eastAsia" w:ascii="Times New Roman"/>
        </w:rPr>
        <w:t>无偿提供技术指导服务。</w:t>
      </w:r>
    </w:p>
    <w:p w14:paraId="6F3C639B">
      <w:pPr>
        <w:numPr>
          <w:ilvl w:val="0"/>
          <w:numId w:val="0"/>
        </w:numPr>
        <w:spacing w:line="360" w:lineRule="auto"/>
        <w:ind w:firstLine="480" w:firstLineChars="200"/>
        <w:rPr>
          <w:rFonts w:hint="eastAsia" w:ascii="Times New Roman"/>
        </w:rPr>
      </w:pPr>
      <w:r>
        <w:rPr>
          <w:rFonts w:hint="eastAsia" w:ascii="Times New Roman"/>
          <w:lang w:val="en-US" w:eastAsia="zh-CN"/>
        </w:rPr>
        <w:t>5、</w:t>
      </w:r>
      <w:r>
        <w:rPr>
          <w:rFonts w:hint="eastAsia" w:ascii="Times New Roman"/>
        </w:rPr>
        <w:t>质保期内发生的全部服务费用（含更换零部件、达到本合同相关要求的更换货物或退货）由乙方承担，包括但不限于由乙方承担完成质保期内所有工作而产生的维修费、运费、装卸</w:t>
      </w:r>
      <w:r>
        <w:rPr>
          <w:rFonts w:ascii="Times New Roman"/>
        </w:rPr>
        <w:t>费、</w:t>
      </w:r>
      <w:r>
        <w:rPr>
          <w:rFonts w:hint="eastAsia" w:ascii="Times New Roman"/>
        </w:rPr>
        <w:t>购置费、测试费、人工费、交通费等各项费用（包括进口关税和增值税等）。</w:t>
      </w:r>
    </w:p>
    <w:p w14:paraId="78B7D28A">
      <w:pPr>
        <w:numPr>
          <w:ilvl w:val="0"/>
          <w:numId w:val="0"/>
        </w:num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lang w:eastAsia="zh-CN"/>
        </w:rPr>
        <w:t>乙方</w:t>
      </w:r>
      <w:r>
        <w:rPr>
          <w:rFonts w:hint="eastAsia" w:ascii="Times New Roman"/>
        </w:rPr>
        <w:t>未按上述要求提供售后服务的，</w:t>
      </w:r>
      <w:r>
        <w:rPr>
          <w:rFonts w:hint="eastAsia" w:ascii="Times New Roman"/>
          <w:lang w:eastAsia="zh-CN"/>
        </w:rPr>
        <w:t>甲方</w:t>
      </w:r>
      <w:r>
        <w:rPr>
          <w:rFonts w:hint="eastAsia" w:ascii="Times New Roman"/>
        </w:rPr>
        <w:t>有权</w:t>
      </w:r>
      <w:r>
        <w:rPr>
          <w:rFonts w:hint="eastAsia" w:ascii="Times New Roman"/>
          <w:lang w:val="en-US" w:eastAsia="zh-CN"/>
        </w:rPr>
        <w:t>自行</w:t>
      </w:r>
      <w:r>
        <w:rPr>
          <w:rFonts w:hint="eastAsia" w:ascii="Times New Roman"/>
        </w:rPr>
        <w:t>要求其他第三方提供相关服务，因此产生的费用</w:t>
      </w:r>
      <w:r>
        <w:rPr>
          <w:rFonts w:hint="eastAsia" w:ascii="Times New Roman"/>
          <w:lang w:val="en-US" w:eastAsia="zh-CN"/>
        </w:rPr>
        <w:t>及乙方未按约定提供售后服务导致的甲方损失</w:t>
      </w:r>
      <w:r>
        <w:rPr>
          <w:rFonts w:hint="eastAsia" w:ascii="Times New Roman"/>
        </w:rPr>
        <w:t>全部由</w:t>
      </w:r>
      <w:r>
        <w:rPr>
          <w:rFonts w:hint="eastAsia" w:ascii="Times New Roman"/>
          <w:lang w:eastAsia="zh-CN"/>
        </w:rPr>
        <w:t>乙方</w:t>
      </w:r>
      <w:r>
        <w:rPr>
          <w:rFonts w:hint="eastAsia" w:ascii="Times New Roman"/>
        </w:rPr>
        <w:t>承担。</w:t>
      </w:r>
    </w:p>
    <w:p w14:paraId="1A7B3D31">
      <w:pPr>
        <w:spacing w:line="360" w:lineRule="auto"/>
        <w:ind w:firstLine="424" w:firstLineChars="177"/>
        <w:rPr>
          <w:rFonts w:ascii="Times New Roman"/>
        </w:rPr>
      </w:pPr>
    </w:p>
    <w:p w14:paraId="4550815B">
      <w:pPr>
        <w:pStyle w:val="27"/>
        <w:numPr>
          <w:ilvl w:val="0"/>
          <w:numId w:val="1"/>
        </w:numPr>
        <w:ind w:firstLineChars="0"/>
        <w:outlineLvl w:val="1"/>
        <w:rPr>
          <w:rFonts w:ascii="Times New Roman" w:hAnsi="Times New Roman"/>
          <w:b/>
          <w:sz w:val="24"/>
          <w:szCs w:val="24"/>
        </w:rPr>
      </w:pPr>
      <w:bookmarkStart w:id="19" w:name="_Toc27990840"/>
      <w:r>
        <w:rPr>
          <w:rFonts w:hint="eastAsia" w:ascii="Times New Roman" w:hAnsi="Times New Roman"/>
          <w:b/>
          <w:sz w:val="24"/>
          <w:szCs w:val="24"/>
        </w:rPr>
        <w:t>违约责任</w:t>
      </w:r>
      <w:bookmarkEnd w:id="19"/>
    </w:p>
    <w:p w14:paraId="2E18D660">
      <w:pPr>
        <w:spacing w:line="360" w:lineRule="auto"/>
        <w:ind w:firstLine="480" w:firstLineChars="200"/>
        <w:rPr>
          <w:rFonts w:ascii="Times New Roman"/>
        </w:rPr>
      </w:pPr>
      <w:r>
        <w:rPr>
          <w:rFonts w:hint="eastAsia" w:ascii="Times New Roman"/>
          <w:lang w:val="en-US" w:eastAsia="zh-CN"/>
        </w:rPr>
        <w:t>1</w:t>
      </w:r>
      <w:r>
        <w:rPr>
          <w:rFonts w:hint="eastAsia" w:ascii="Times New Roman"/>
        </w:rPr>
        <w:t>、</w:t>
      </w:r>
      <w:r>
        <w:rPr>
          <w:rFonts w:hint="eastAsia" w:ascii="Times New Roman"/>
          <w:lang w:val="en-US" w:eastAsia="zh-CN"/>
        </w:rPr>
        <w:t>如</w:t>
      </w:r>
      <w:r>
        <w:rPr>
          <w:rFonts w:hint="eastAsia" w:ascii="Times New Roman"/>
        </w:rPr>
        <w:t>乙方未按合同约定的时间完成清单货物的货到现场，乙方每逾期一日，</w:t>
      </w:r>
      <w:r>
        <w:rPr>
          <w:rFonts w:hint="eastAsia" w:ascii="Times New Roman"/>
          <w:lang w:val="en-US" w:eastAsia="zh-CN"/>
        </w:rPr>
        <w:t>乙方应</w:t>
      </w:r>
      <w:r>
        <w:rPr>
          <w:rFonts w:hint="eastAsia" w:ascii="Times New Roman"/>
        </w:rPr>
        <w:t>按合同价的</w:t>
      </w:r>
      <w:r>
        <w:rPr>
          <w:rFonts w:hint="eastAsia" w:ascii="Times New Roman"/>
          <w:u w:val="single"/>
        </w:rPr>
        <w:t>5‰</w:t>
      </w:r>
      <w:r>
        <w:rPr>
          <w:rFonts w:hint="eastAsia" w:ascii="Times New Roman"/>
        </w:rPr>
        <w:t>向甲方支付违约金</w:t>
      </w:r>
      <w:r>
        <w:rPr>
          <w:rFonts w:hint="eastAsia" w:ascii="Times New Roman"/>
          <w:lang w:eastAsia="zh-CN"/>
        </w:rPr>
        <w:t>，</w:t>
      </w:r>
      <w:r>
        <w:rPr>
          <w:rFonts w:hint="eastAsia" w:ascii="Times New Roman"/>
          <w:lang w:val="en-US" w:eastAsia="zh-CN"/>
        </w:rPr>
        <w:t>前述逾期违约金累计总额最高不超过合同价的【30】%</w:t>
      </w:r>
      <w:r>
        <w:rPr>
          <w:rFonts w:hint="eastAsia" w:ascii="Times New Roman"/>
        </w:rPr>
        <w:t>。逾期交货超过</w:t>
      </w:r>
      <w:r>
        <w:rPr>
          <w:rFonts w:hint="eastAsia" w:ascii="Times New Roman"/>
          <w:u w:val="single"/>
          <w:lang w:val="en-US" w:eastAsia="zh-CN"/>
        </w:rPr>
        <w:t>10日</w:t>
      </w:r>
      <w:r>
        <w:rPr>
          <w:rFonts w:hint="eastAsia" w:ascii="Times New Roman"/>
        </w:rPr>
        <w:t>的，除上述违约金外，甲方有权单方解除合同且有权要求乙方</w:t>
      </w:r>
      <w:r>
        <w:rPr>
          <w:rFonts w:ascii="Times New Roman"/>
        </w:rPr>
        <w:t>支付</w:t>
      </w:r>
      <w:r>
        <w:rPr>
          <w:rFonts w:hint="eastAsia" w:ascii="Times New Roman"/>
        </w:rPr>
        <w:t>合同价</w:t>
      </w:r>
      <w:r>
        <w:rPr>
          <w:rFonts w:ascii="Times New Roman"/>
          <w:u w:val="single"/>
        </w:rPr>
        <w:t>15%</w:t>
      </w:r>
      <w:r>
        <w:rPr>
          <w:rFonts w:hint="eastAsia" w:ascii="Times New Roman"/>
        </w:rPr>
        <w:t>的违约金。造成甲方损失的，乙方应当承担全部责任及损失赔偿。</w:t>
      </w:r>
    </w:p>
    <w:p w14:paraId="3F636C16">
      <w:pPr>
        <w:spacing w:line="360" w:lineRule="auto"/>
        <w:ind w:firstLine="480" w:firstLineChars="200"/>
        <w:rPr>
          <w:rFonts w:ascii="Times New Roman"/>
        </w:rPr>
      </w:pPr>
      <w:r>
        <w:rPr>
          <w:rFonts w:hint="eastAsia" w:ascii="Times New Roman"/>
          <w:lang w:val="en-US" w:eastAsia="zh-CN"/>
        </w:rPr>
        <w:t>2</w:t>
      </w:r>
      <w:r>
        <w:rPr>
          <w:rFonts w:hint="eastAsia" w:ascii="Times New Roman"/>
        </w:rPr>
        <w:t>、乙方所交货物（包括但不限于品种、型号、规格、质量）不符合本合同约定的，甲方有权拒收，并要求乙方予以免费更换或无条件退货，同时乙方应向甲方支付</w:t>
      </w:r>
      <w:r>
        <w:rPr>
          <w:rFonts w:hint="eastAsia" w:ascii="Times New Roman"/>
          <w:lang w:val="en-US" w:eastAsia="zh-CN"/>
        </w:rPr>
        <w:t>合同价</w:t>
      </w:r>
      <w:r>
        <w:rPr>
          <w:rFonts w:ascii="Times New Roman"/>
          <w:u w:val="single"/>
        </w:rPr>
        <w:t>5%</w:t>
      </w:r>
      <w:r>
        <w:rPr>
          <w:rFonts w:hint="eastAsia" w:ascii="Times New Roman"/>
        </w:rPr>
        <w:t>的违约金。</w:t>
      </w:r>
    </w:p>
    <w:p w14:paraId="1DE70546">
      <w:pPr>
        <w:spacing w:line="360" w:lineRule="auto"/>
        <w:ind w:firstLine="480" w:firstLineChars="200"/>
        <w:rPr>
          <w:rFonts w:ascii="Times New Roman"/>
        </w:rPr>
      </w:pPr>
      <w:r>
        <w:rPr>
          <w:rFonts w:hint="eastAsia" w:ascii="Times New Roman"/>
          <w:lang w:val="en-US" w:eastAsia="zh-CN"/>
        </w:rPr>
        <w:t>3</w:t>
      </w:r>
      <w:r>
        <w:rPr>
          <w:rFonts w:hint="eastAsia" w:ascii="Times New Roman"/>
        </w:rPr>
        <w:t>、乙方未按约定履行售后服务义务的，甲方有权要求限期改正。如逾期仍未改正的，甲方有权要求乙方支付合同价</w:t>
      </w:r>
      <w:r>
        <w:rPr>
          <w:rFonts w:ascii="Times New Roman"/>
          <w:u w:val="single"/>
        </w:rPr>
        <w:t>5%</w:t>
      </w:r>
      <w:r>
        <w:rPr>
          <w:rFonts w:hint="eastAsia" w:ascii="Times New Roman"/>
        </w:rPr>
        <w:t>的违约金</w:t>
      </w:r>
      <w:r>
        <w:rPr>
          <w:rFonts w:hint="eastAsia" w:ascii="Times New Roman"/>
          <w:lang w:eastAsia="zh-CN"/>
        </w:rPr>
        <w:t>，且</w:t>
      </w:r>
      <w:r>
        <w:rPr>
          <w:rFonts w:hint="eastAsia" w:ascii="Times New Roman" w:hAnsi="Times New Roman" w:eastAsia="宋体" w:cs="Times New Roman"/>
          <w:b w:val="0"/>
          <w:bCs w:val="0"/>
          <w:color w:val="auto"/>
          <w:sz w:val="24"/>
          <w:szCs w:val="24"/>
          <w:u w:val="none"/>
          <w:lang w:val="en-US" w:eastAsia="zh-CN"/>
        </w:rPr>
        <w:t>有权自行委托第三方提供售后服务，所产生的费用甲方有权从未付款项中扣除，如不足扣除的，乙方还应另行向甲方赔偿</w:t>
      </w:r>
      <w:r>
        <w:rPr>
          <w:rFonts w:hint="eastAsia" w:ascii="Times New Roman"/>
        </w:rPr>
        <w:t>。</w:t>
      </w:r>
    </w:p>
    <w:p w14:paraId="1D0101AA">
      <w:pPr>
        <w:spacing w:line="360" w:lineRule="auto"/>
        <w:ind w:firstLine="480" w:firstLineChars="200"/>
        <w:rPr>
          <w:rFonts w:ascii="Times New Roman"/>
        </w:rPr>
      </w:pPr>
      <w:r>
        <w:rPr>
          <w:rFonts w:hint="eastAsia" w:ascii="Times New Roman"/>
          <w:lang w:val="en-US" w:eastAsia="zh-CN"/>
        </w:rPr>
        <w:t>4</w:t>
      </w:r>
      <w:r>
        <w:rPr>
          <w:rFonts w:hint="eastAsia" w:ascii="Times New Roman"/>
        </w:rPr>
        <w:t>、无论是否在质保期内，因货物质量问题发生安全事故或引起其他损失、造成不良后果的，乙方应承担全部责任及损失赔偿。</w:t>
      </w:r>
    </w:p>
    <w:p w14:paraId="0CC315BE">
      <w:pPr>
        <w:spacing w:line="360" w:lineRule="auto"/>
        <w:ind w:firstLine="480" w:firstLineChars="200"/>
        <w:rPr>
          <w:rFonts w:ascii="Times New Roman"/>
        </w:rPr>
      </w:pPr>
      <w:r>
        <w:rPr>
          <w:rFonts w:hint="eastAsia" w:ascii="Times New Roman"/>
          <w:lang w:val="en-US" w:eastAsia="zh-CN"/>
        </w:rPr>
        <w:t>5</w:t>
      </w:r>
      <w:r>
        <w:rPr>
          <w:rFonts w:hint="eastAsia" w:ascii="Times New Roman"/>
        </w:rPr>
        <w:t>、甲方根据本合同的约定要求乙方更换货物的，乙方在收到甲方发出更换通知后</w:t>
      </w:r>
      <w:r>
        <w:rPr>
          <w:rFonts w:ascii="Times New Roman"/>
          <w:u w:val="single"/>
        </w:rPr>
        <w:t>3</w:t>
      </w:r>
      <w:r>
        <w:rPr>
          <w:rFonts w:hint="eastAsia" w:ascii="Times New Roman"/>
          <w:u w:val="single"/>
          <w:lang w:val="en-US" w:eastAsia="zh-CN"/>
        </w:rPr>
        <w:t>日</w:t>
      </w:r>
      <w:r>
        <w:rPr>
          <w:rFonts w:hint="eastAsia" w:ascii="Times New Roman"/>
        </w:rPr>
        <w:t>内</w:t>
      </w:r>
      <w:r>
        <w:rPr>
          <w:rFonts w:hint="eastAsia" w:ascii="Times New Roman"/>
          <w:lang w:val="en-US" w:eastAsia="zh-CN"/>
        </w:rPr>
        <w:t>或甲方要求时限内</w:t>
      </w:r>
      <w:r>
        <w:rPr>
          <w:rFonts w:hint="eastAsia" w:ascii="Times New Roman"/>
        </w:rPr>
        <w:t>无条件更换全新并符合本合同约定的货物，否则按本条</w:t>
      </w:r>
      <w:r>
        <w:rPr>
          <w:rFonts w:hint="eastAsia" w:ascii="Times New Roman"/>
          <w:lang w:val="en-US" w:eastAsia="zh-CN"/>
        </w:rPr>
        <w:t>第1</w:t>
      </w:r>
      <w:r>
        <w:rPr>
          <w:rFonts w:hint="eastAsia" w:ascii="Times New Roman"/>
        </w:rPr>
        <w:t>款逾期供货的违约规定进行处理</w:t>
      </w:r>
      <w:r>
        <w:rPr>
          <w:rFonts w:hint="eastAsia" w:ascii="Times New Roman"/>
          <w:lang w:eastAsia="zh-CN"/>
        </w:rPr>
        <w:t>，</w:t>
      </w:r>
      <w:r>
        <w:rPr>
          <w:rFonts w:hint="eastAsia" w:ascii="Times New Roman"/>
        </w:rPr>
        <w:t>同时应承担因此产生的全部费用并赔偿甲方因此遭受的损失，更换的货物的质量保证期应按本合同的相关约定重新计算。</w:t>
      </w:r>
    </w:p>
    <w:p w14:paraId="7A351278">
      <w:pPr>
        <w:spacing w:line="360" w:lineRule="auto"/>
        <w:ind w:firstLine="480" w:firstLineChars="200"/>
        <w:rPr>
          <w:rFonts w:hint="eastAsia" w:ascii="Times New Roman"/>
        </w:rPr>
      </w:pPr>
      <w:r>
        <w:rPr>
          <w:rFonts w:hint="eastAsia" w:ascii="Times New Roman"/>
          <w:lang w:val="en-US" w:eastAsia="zh-CN"/>
        </w:rPr>
        <w:t>6</w:t>
      </w:r>
      <w:r>
        <w:rPr>
          <w:rFonts w:hint="eastAsia" w:ascii="Times New Roman"/>
        </w:rPr>
        <w:t>、甲方根据本合同的约定要求退货，或因本合同被解除或提前终止而需要退货的，乙方在收到甲方发出退货通知后</w:t>
      </w:r>
      <w:r>
        <w:rPr>
          <w:rFonts w:ascii="Times New Roman"/>
          <w:u w:val="single"/>
        </w:rPr>
        <w:t>3</w:t>
      </w:r>
      <w:r>
        <w:rPr>
          <w:rFonts w:hint="eastAsia" w:ascii="Times New Roman"/>
          <w:u w:val="single"/>
          <w:lang w:val="en-US" w:eastAsia="zh-CN"/>
        </w:rPr>
        <w:t>日</w:t>
      </w:r>
      <w:r>
        <w:rPr>
          <w:rFonts w:hint="eastAsia" w:ascii="Times New Roman"/>
        </w:rPr>
        <w:t>内无条件将退货货物</w:t>
      </w:r>
      <w:r>
        <w:rPr>
          <w:rFonts w:hint="eastAsia" w:ascii="Times New Roman"/>
          <w:lang w:val="en-US" w:eastAsia="zh-CN"/>
        </w:rPr>
        <w:t>拆卸</w:t>
      </w:r>
      <w:r>
        <w:rPr>
          <w:rFonts w:hint="eastAsia" w:ascii="Times New Roman"/>
        </w:rPr>
        <w:t>运回，并自收到甲方发出退货通知之日起</w:t>
      </w:r>
      <w:r>
        <w:rPr>
          <w:rFonts w:ascii="Times New Roman"/>
          <w:u w:val="single"/>
        </w:rPr>
        <w:t>3</w:t>
      </w:r>
      <w:r>
        <w:rPr>
          <w:rFonts w:hint="eastAsia" w:ascii="Times New Roman"/>
          <w:u w:val="single"/>
          <w:lang w:val="en-US" w:eastAsia="zh-CN"/>
        </w:rPr>
        <w:t>日</w:t>
      </w:r>
      <w:r>
        <w:rPr>
          <w:rFonts w:hint="eastAsia" w:ascii="Times New Roman"/>
        </w:rPr>
        <w:t>内返还甲方已全部支付的货款</w:t>
      </w:r>
      <w:r>
        <w:rPr>
          <w:rFonts w:hint="eastAsia" w:ascii="Times New Roman"/>
          <w:lang w:eastAsia="zh-CN"/>
        </w:rPr>
        <w:t>（</w:t>
      </w:r>
      <w:r>
        <w:rPr>
          <w:rFonts w:hint="eastAsia" w:ascii="Times New Roman"/>
          <w:lang w:val="en-US" w:eastAsia="zh-CN"/>
        </w:rPr>
        <w:t>合同价税合计）</w:t>
      </w:r>
      <w:r>
        <w:rPr>
          <w:rFonts w:hint="eastAsia" w:ascii="Times New Roman"/>
        </w:rPr>
        <w:t>，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14:paraId="338717A0">
      <w:pPr>
        <w:spacing w:line="360" w:lineRule="auto"/>
        <w:ind w:firstLine="480" w:firstLineChars="200"/>
        <w:rPr>
          <w:rFonts w:hint="eastAsia" w:ascii="Times New Roman"/>
          <w:lang w:val="en-US" w:eastAsia="zh-CN"/>
        </w:rPr>
      </w:pPr>
      <w:r>
        <w:rPr>
          <w:rFonts w:hint="eastAsia" w:ascii="Times New Roman"/>
          <w:lang w:val="en-US" w:eastAsia="zh-CN"/>
        </w:rPr>
        <w:t>7</w:t>
      </w:r>
      <w:r>
        <w:rPr>
          <w:rFonts w:hint="eastAsia" w:ascii="Times New Roman"/>
        </w:rPr>
        <w:t>、</w:t>
      </w:r>
      <w:r>
        <w:rPr>
          <w:rFonts w:hint="eastAsia" w:ascii="Times New Roman"/>
          <w:lang w:val="en-US" w:eastAsia="zh-CN"/>
        </w:rPr>
        <w:t>乙方逾期将应退款项退还给甲方的，乙方需每日按应退款项的</w:t>
      </w:r>
      <w:r>
        <w:rPr>
          <w:rFonts w:hint="eastAsia" w:ascii="Times New Roman"/>
          <w:u w:val="single"/>
          <w:lang w:val="en-US" w:eastAsia="zh-CN"/>
        </w:rPr>
        <w:t>5</w:t>
      </w:r>
      <w:r>
        <w:rPr>
          <w:rFonts w:hint="eastAsia" w:ascii="Times New Roman"/>
          <w:lang w:val="en-US" w:eastAsia="zh-CN"/>
        </w:rPr>
        <w:t>‰支付违约金。</w:t>
      </w:r>
    </w:p>
    <w:p w14:paraId="4B0577D6">
      <w:pPr>
        <w:spacing w:line="360" w:lineRule="auto"/>
        <w:ind w:firstLine="480" w:firstLineChars="200"/>
        <w:rPr>
          <w:rFonts w:hint="eastAsia" w:ascii="Times New Roman"/>
          <w:lang w:val="en-US" w:eastAsia="zh-CN"/>
        </w:rPr>
      </w:pPr>
      <w:r>
        <w:rPr>
          <w:rFonts w:hint="eastAsia" w:ascii="Times New Roman"/>
          <w:lang w:val="en-US" w:eastAsia="zh-C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30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F84FF0F">
      <w:pPr>
        <w:spacing w:line="360" w:lineRule="auto"/>
        <w:ind w:firstLine="480" w:firstLineChars="200"/>
        <w:rPr>
          <w:rFonts w:hint="eastAsia" w:ascii="Times New Roman" w:eastAsia="宋体"/>
          <w:lang w:eastAsia="zh-CN"/>
        </w:rPr>
      </w:pPr>
      <w:r>
        <w:rPr>
          <w:rFonts w:hint="eastAsia" w:ascii="Times New Roman"/>
          <w:lang w:val="en-US" w:eastAsia="zh-CN"/>
        </w:rPr>
        <w:t>9、乙方违反本合同约定，合同对违约责任有特别约定的，适用该特别约定；无特别约定的，甲方有权要求乙方支付合同价【30】%作为违约金。违约金不足以弥补甲方因此所受损失的，乙方应予以补足</w:t>
      </w:r>
      <w:r>
        <w:rPr>
          <w:rFonts w:hint="eastAsia"/>
          <w:lang w:eastAsia="zh-CN"/>
        </w:rPr>
        <w:t>。</w:t>
      </w:r>
    </w:p>
    <w:p w14:paraId="4BE6E48B">
      <w:pPr>
        <w:spacing w:line="360" w:lineRule="auto"/>
        <w:ind w:firstLine="480" w:firstLineChars="200"/>
        <w:rPr>
          <w:rFonts w:hint="eastAsia" w:ascii="Times New Roman"/>
        </w:rPr>
      </w:pPr>
    </w:p>
    <w:p w14:paraId="1FAD00E4">
      <w:pPr>
        <w:pStyle w:val="27"/>
        <w:numPr>
          <w:ilvl w:val="0"/>
          <w:numId w:val="1"/>
        </w:numPr>
        <w:ind w:firstLineChars="0"/>
        <w:outlineLvl w:val="1"/>
        <w:rPr>
          <w:rFonts w:ascii="Times New Roman" w:hAnsi="Times New Roman"/>
          <w:b/>
          <w:sz w:val="24"/>
          <w:szCs w:val="24"/>
        </w:rPr>
      </w:pPr>
      <w:bookmarkStart w:id="20" w:name="_Toc27990841"/>
      <w:r>
        <w:rPr>
          <w:rFonts w:hint="eastAsia" w:ascii="Times New Roman" w:hAnsi="Times New Roman"/>
          <w:b/>
          <w:sz w:val="24"/>
          <w:szCs w:val="24"/>
        </w:rPr>
        <w:t>不可抗力</w:t>
      </w:r>
      <w:bookmarkEnd w:id="20"/>
    </w:p>
    <w:p w14:paraId="0A638AB1">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4021A65">
      <w:pPr>
        <w:spacing w:line="360" w:lineRule="auto"/>
        <w:ind w:firstLine="480" w:firstLineChars="200"/>
        <w:rPr>
          <w:rFonts w:ascii="Times New Roman"/>
        </w:rPr>
      </w:pPr>
    </w:p>
    <w:p w14:paraId="02500CB2">
      <w:pPr>
        <w:pStyle w:val="27"/>
        <w:numPr>
          <w:ilvl w:val="0"/>
          <w:numId w:val="1"/>
        </w:numPr>
        <w:ind w:firstLineChars="0"/>
        <w:outlineLvl w:val="1"/>
        <w:rPr>
          <w:rFonts w:ascii="Times New Roman" w:hAnsi="Times New Roman"/>
          <w:b/>
          <w:sz w:val="24"/>
          <w:szCs w:val="24"/>
        </w:rPr>
      </w:pPr>
      <w:bookmarkStart w:id="21" w:name="_Toc27990842"/>
      <w:r>
        <w:rPr>
          <w:rFonts w:hint="eastAsia" w:ascii="Times New Roman" w:hAnsi="Times New Roman"/>
          <w:b/>
          <w:sz w:val="24"/>
          <w:szCs w:val="24"/>
        </w:rPr>
        <w:t>承诺与保证</w:t>
      </w:r>
      <w:bookmarkEnd w:id="21"/>
    </w:p>
    <w:p w14:paraId="1D6AC80B">
      <w:pPr>
        <w:spacing w:line="360" w:lineRule="auto"/>
        <w:ind w:firstLine="480" w:firstLineChars="200"/>
        <w:rPr>
          <w:rFonts w:ascii="Times New Roman"/>
        </w:rPr>
      </w:pPr>
      <w:r>
        <w:rPr>
          <w:rFonts w:hint="eastAsia" w:ascii="Times New Roman"/>
        </w:rPr>
        <w:t>乙方保证对其销售的货物拥有完全的所有权</w:t>
      </w:r>
      <w:r>
        <w:rPr>
          <w:rFonts w:ascii="Times New Roman"/>
        </w:rPr>
        <w:t>/</w:t>
      </w:r>
      <w:r>
        <w:rPr>
          <w:rFonts w:hint="eastAsia" w:ascii="Times New Roman"/>
        </w:rPr>
        <w:t>处置权或取得相关授权，无任何著作权、商标权、专利权或其他知识产权方面的权利限制或瑕疵。乙方应保证提供货物及服务不侵犯第三方的合法权益，如第三方以本合同货物或服务侵权为由提起侵权主张，乙方须与第三方交涉并承担由此发生的一切责任、费用和经济赔偿。由于乙方提供的货物或服务的任何一部分不符合知识产权规定，由乙方承担因此给甲方造成的全部损失（包括但不限于甲方为维护自身权益所支付的律师费、诉讼费、调查取证费、鉴定费、差旅费、交通费以及甲方依法向第三方支付的赔偿款等全部费用）。</w:t>
      </w:r>
    </w:p>
    <w:p w14:paraId="53860647">
      <w:pPr>
        <w:spacing w:line="360" w:lineRule="auto"/>
        <w:ind w:firstLine="480" w:firstLineChars="200"/>
        <w:rPr>
          <w:rFonts w:ascii="Times New Roman"/>
        </w:rPr>
      </w:pPr>
    </w:p>
    <w:p w14:paraId="5A00B4C5">
      <w:pPr>
        <w:pStyle w:val="27"/>
        <w:numPr>
          <w:ilvl w:val="0"/>
          <w:numId w:val="1"/>
        </w:numPr>
        <w:ind w:firstLineChars="0"/>
        <w:outlineLvl w:val="1"/>
        <w:rPr>
          <w:rFonts w:ascii="Times New Roman" w:hAnsi="Times New Roman"/>
          <w:b/>
          <w:sz w:val="24"/>
          <w:szCs w:val="24"/>
        </w:rPr>
      </w:pPr>
      <w:bookmarkStart w:id="22" w:name="_Toc27990843"/>
      <w:r>
        <w:rPr>
          <w:rFonts w:hint="eastAsia" w:ascii="Times New Roman" w:hAnsi="Times New Roman"/>
          <w:b/>
          <w:sz w:val="24"/>
          <w:szCs w:val="24"/>
        </w:rPr>
        <w:t>合同争议的解决办法</w:t>
      </w:r>
      <w:bookmarkEnd w:id="22"/>
    </w:p>
    <w:p w14:paraId="329404E8">
      <w:pPr>
        <w:spacing w:line="360" w:lineRule="auto"/>
        <w:ind w:firstLine="403"/>
        <w:rPr>
          <w:rFonts w:hint="eastAsia" w:ascii="Times New Roman"/>
        </w:rPr>
      </w:pPr>
      <w:r>
        <w:rPr>
          <w:rFonts w:hint="eastAsia" w:ascii="Times New Roman"/>
          <w:lang w:val="en-US" w:eastAsia="zh-CN"/>
        </w:rPr>
        <w:t>1、</w:t>
      </w:r>
      <w:r>
        <w:rPr>
          <w:rFonts w:hint="eastAsia" w:ascii="Times New Roman"/>
        </w:rPr>
        <w:t>双方因本合同发生争议的，可协商解决。协商不成的，任何一方可向甲方住所地有管辖权的人民法院提起诉讼。</w:t>
      </w:r>
    </w:p>
    <w:p w14:paraId="67DFAF0F">
      <w:pPr>
        <w:spacing w:line="360" w:lineRule="auto"/>
        <w:ind w:firstLine="403"/>
        <w:rPr>
          <w:rFonts w:hint="eastAsia" w:ascii="Times New Roman"/>
          <w:lang w:val="en-US" w:eastAsia="zh-CN"/>
        </w:rPr>
      </w:pPr>
      <w:r>
        <w:rPr>
          <w:rFonts w:hint="eastAsia" w:ascii="Times New Roman"/>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A35FF9B">
      <w:pPr>
        <w:spacing w:line="360" w:lineRule="auto"/>
        <w:ind w:firstLine="403"/>
        <w:rPr>
          <w:rFonts w:ascii="Times New Roman"/>
        </w:rPr>
      </w:pPr>
    </w:p>
    <w:p w14:paraId="0902A67A">
      <w:pPr>
        <w:pStyle w:val="27"/>
        <w:numPr>
          <w:ilvl w:val="0"/>
          <w:numId w:val="1"/>
        </w:numPr>
        <w:ind w:firstLineChars="0"/>
        <w:outlineLvl w:val="1"/>
        <w:rPr>
          <w:rFonts w:ascii="Times New Roman" w:hAnsi="Times New Roman"/>
          <w:b/>
          <w:sz w:val="24"/>
          <w:szCs w:val="24"/>
        </w:rPr>
      </w:pPr>
      <w:bookmarkStart w:id="23" w:name="_Toc27990844"/>
      <w:r>
        <w:rPr>
          <w:rFonts w:hint="eastAsia" w:ascii="Times New Roman" w:hAnsi="Times New Roman"/>
          <w:b/>
          <w:sz w:val="24"/>
          <w:szCs w:val="24"/>
        </w:rPr>
        <w:t>其他</w:t>
      </w:r>
      <w:bookmarkEnd w:id="23"/>
    </w:p>
    <w:p w14:paraId="427A02DC">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lang w:val="en-US" w:eastAsia="zh-CN"/>
        </w:rPr>
        <w:t>日</w:t>
      </w:r>
      <w:r>
        <w:rPr>
          <w:rFonts w:hint="eastAsia" w:ascii="Times New Roman"/>
        </w:rPr>
        <w:t>后，即视为有效送达。乙方更换地址的，应该</w:t>
      </w:r>
      <w:r>
        <w:rPr>
          <w:rFonts w:hint="eastAsia" w:ascii="Times New Roman"/>
          <w:lang w:val="en-US" w:eastAsia="zh-CN"/>
        </w:rPr>
        <w:t>在</w:t>
      </w:r>
      <w:r>
        <w:rPr>
          <w:rFonts w:ascii="Times New Roman"/>
        </w:rPr>
        <w:t>3</w:t>
      </w:r>
      <w:r>
        <w:rPr>
          <w:rFonts w:hint="eastAsia" w:ascii="Times New Roman"/>
          <w:lang w:val="en-US" w:eastAsia="zh-CN"/>
        </w:rPr>
        <w:t>日</w:t>
      </w:r>
      <w:r>
        <w:rPr>
          <w:rFonts w:hint="eastAsia" w:ascii="Times New Roman"/>
        </w:rPr>
        <w:t>内书面告知甲方。如乙方更换联系方式或列明的联系方式有误而未及时书面通知甲方的，则甲方仍按合同中列明的乙方“地址”发出相关通知、函件等并视为有效送达。</w:t>
      </w:r>
    </w:p>
    <w:p w14:paraId="2CD63D0E">
      <w:pPr>
        <w:spacing w:line="360" w:lineRule="auto"/>
        <w:ind w:firstLine="566" w:firstLineChars="236"/>
        <w:rPr>
          <w:rFonts w:ascii="Times New Roman"/>
        </w:rPr>
      </w:pPr>
      <w:r>
        <w:rPr>
          <w:rFonts w:hint="eastAsia" w:ascii="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w:t>
      </w:r>
      <w:r>
        <w:rPr>
          <w:rFonts w:hint="eastAsia" w:ascii="Times New Roman"/>
          <w:lang w:val="en-US" w:eastAsia="zh-CN"/>
        </w:rPr>
        <w:t>货物及</w:t>
      </w:r>
      <w:r>
        <w:rPr>
          <w:rFonts w:hint="eastAsia" w:ascii="Times New Roman"/>
        </w:rPr>
        <w:t>服务的过程中，如因违反甲方相关规章制度、安全条例，或因不服从甲方监督而发生安全事故的，其结果与责任均由乙方负责，甲方无须承担任何结果与责任。</w:t>
      </w:r>
    </w:p>
    <w:p w14:paraId="5DBBFC04">
      <w:pPr>
        <w:spacing w:line="360" w:lineRule="auto"/>
        <w:ind w:firstLine="480" w:firstLineChars="200"/>
        <w:rPr>
          <w:rFonts w:ascii="Times New Roman"/>
        </w:rPr>
      </w:pPr>
      <w:r>
        <w:rPr>
          <w:rFonts w:ascii="Times New Roman"/>
        </w:rPr>
        <w:t>3</w:t>
      </w:r>
      <w:r>
        <w:rPr>
          <w:rFonts w:hint="eastAsia" w:ascii="Times New Roman"/>
        </w:rPr>
        <w:t>、本合同一式</w:t>
      </w:r>
      <w:r>
        <w:rPr>
          <w:rFonts w:ascii="Times New Roman"/>
          <w:u w:val="single"/>
        </w:rPr>
        <w:t xml:space="preserve"> </w:t>
      </w:r>
      <w:r>
        <w:rPr>
          <w:rFonts w:hint="eastAsia" w:ascii="Times New Roman"/>
          <w:u w:val="single"/>
          <w:lang w:val="en-US" w:eastAsia="zh-CN"/>
        </w:rPr>
        <w:t>肆</w:t>
      </w:r>
      <w:r>
        <w:rPr>
          <w:rFonts w:ascii="Times New Roman"/>
          <w:u w:val="single"/>
        </w:rPr>
        <w:t xml:space="preserve"> </w:t>
      </w:r>
      <w:r>
        <w:rPr>
          <w:rFonts w:hint="eastAsia" w:ascii="Times New Roman"/>
        </w:rPr>
        <w:t>份，其中甲方执</w:t>
      </w:r>
      <w:r>
        <w:rPr>
          <w:rFonts w:ascii="Times New Roman"/>
          <w:u w:val="single"/>
        </w:rPr>
        <w:t xml:space="preserve"> </w:t>
      </w:r>
      <w:r>
        <w:rPr>
          <w:rFonts w:hint="eastAsia" w:ascii="Times New Roman"/>
          <w:u w:val="single"/>
          <w:lang w:val="en-US" w:eastAsia="zh-CN"/>
        </w:rPr>
        <w:t>叁</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lang w:val="en-US" w:eastAsia="zh-CN"/>
        </w:rPr>
        <w:t>壹</w:t>
      </w:r>
      <w:r>
        <w:rPr>
          <w:rFonts w:ascii="Times New Roman"/>
          <w:u w:val="single"/>
        </w:rPr>
        <w:t xml:space="preserve"> </w:t>
      </w:r>
      <w:r>
        <w:rPr>
          <w:rFonts w:hint="eastAsia" w:ascii="Times New Roman"/>
        </w:rPr>
        <w:t>份，每份均具有同等法律效力。</w:t>
      </w:r>
    </w:p>
    <w:p w14:paraId="6637FF9C">
      <w:pPr>
        <w:spacing w:line="360" w:lineRule="auto"/>
        <w:ind w:firstLine="480" w:firstLineChars="200"/>
        <w:rPr>
          <w:rFonts w:ascii="Times New Roman"/>
        </w:rPr>
      </w:pPr>
      <w:r>
        <w:rPr>
          <w:rFonts w:ascii="Times New Roman"/>
        </w:rPr>
        <w:t>4</w:t>
      </w:r>
      <w:r>
        <w:rPr>
          <w:rFonts w:hint="eastAsia" w:ascii="Times New Roman"/>
        </w:rPr>
        <w:t>、本合同经双方盖章、并由双方法定代表人签字后生效。</w:t>
      </w:r>
    </w:p>
    <w:p w14:paraId="4F67B3D0">
      <w:pPr>
        <w:spacing w:line="360" w:lineRule="auto"/>
        <w:ind w:firstLine="480" w:firstLineChars="200"/>
        <w:rPr>
          <w:rFonts w:hint="eastAsia" w:ascii="Times New Roman"/>
          <w:lang w:val="en-US" w:eastAsia="zh-CN"/>
        </w:rPr>
      </w:pPr>
      <w:r>
        <w:rPr>
          <w:rFonts w:ascii="Times New Roman"/>
        </w:rPr>
        <w:t>5</w:t>
      </w:r>
      <w:r>
        <w:rPr>
          <w:rFonts w:hint="eastAsia" w:ascii="Times New Roman"/>
        </w:rPr>
        <w:t>、合同履约过程中，若发现同一种货物或服务存在有选择性的报价或不是固定的报价的</w:t>
      </w:r>
      <w:r>
        <w:rPr>
          <w:rFonts w:hint="eastAsia" w:ascii="Times New Roman"/>
          <w:lang w:eastAsia="zh-CN"/>
        </w:rPr>
        <w:t>，</w:t>
      </w:r>
      <w:r>
        <w:rPr>
          <w:rFonts w:hint="eastAsia" w:ascii="Times New Roman"/>
        </w:rPr>
        <w:t>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23DF4A4D">
      <w:pPr>
        <w:spacing w:line="360" w:lineRule="auto"/>
        <w:ind w:firstLine="480" w:firstLineChars="200"/>
        <w:rPr>
          <w:rFonts w:hint="default" w:ascii="Times New Roman" w:eastAsia="宋体"/>
          <w:lang w:val="en-US" w:eastAsia="zh-CN"/>
        </w:rPr>
      </w:pPr>
      <w:r>
        <w:rPr>
          <w:rFonts w:ascii="Times New Roman"/>
        </w:rPr>
        <w:t>附件</w:t>
      </w:r>
      <w:r>
        <w:rPr>
          <w:rFonts w:hint="eastAsia" w:ascii="Times New Roman"/>
          <w:lang w:val="en-US" w:eastAsia="zh-CN"/>
        </w:rPr>
        <w:t>一</w:t>
      </w:r>
      <w:r>
        <w:rPr>
          <w:rFonts w:ascii="Times New Roman"/>
        </w:rPr>
        <w:t>：</w:t>
      </w:r>
      <w:r>
        <w:rPr>
          <w:rFonts w:hint="eastAsia" w:ascii="Times New Roman"/>
        </w:rPr>
        <w:t>分项报价表</w:t>
      </w:r>
      <w:r>
        <w:rPr>
          <w:rFonts w:hint="eastAsia" w:ascii="Times New Roman"/>
          <w:lang w:eastAsia="zh-CN"/>
        </w:rPr>
        <w:t>；</w:t>
      </w:r>
      <w:r>
        <w:rPr>
          <w:rFonts w:hint="eastAsia" w:ascii="Times New Roman"/>
        </w:rPr>
        <w:t>附件</w:t>
      </w:r>
      <w:r>
        <w:rPr>
          <w:rFonts w:hint="eastAsia" w:ascii="Times New Roman"/>
          <w:lang w:val="en-US" w:eastAsia="zh-CN"/>
        </w:rPr>
        <w:t>二</w:t>
      </w:r>
      <w:r>
        <w:rPr>
          <w:rFonts w:hint="eastAsia" w:ascii="Times New Roman"/>
        </w:rPr>
        <w:t>：用户需求书</w:t>
      </w:r>
      <w:r>
        <w:rPr>
          <w:rFonts w:hint="eastAsia" w:ascii="Times New Roman"/>
          <w:lang w:eastAsia="zh-CN"/>
        </w:rPr>
        <w:t>；</w:t>
      </w:r>
      <w:r>
        <w:rPr>
          <w:rFonts w:hint="eastAsia" w:ascii="Times New Roman"/>
          <w:lang w:val="en-US" w:eastAsia="zh-CN"/>
        </w:rPr>
        <w:t>附件三：安全生产管理协议；附件四：阳光合作告知函</w:t>
      </w:r>
    </w:p>
    <w:p w14:paraId="406C6E4F">
      <w:pPr>
        <w:spacing w:line="360" w:lineRule="auto"/>
        <w:rPr>
          <w:rFonts w:ascii="Times New Roman"/>
          <w:b/>
        </w:rPr>
      </w:pPr>
      <w:r>
        <w:rPr>
          <w:rFonts w:hint="eastAsia" w:ascii="Times New Roman"/>
          <w:b w:val="0"/>
          <w:bCs/>
        </w:rPr>
        <w:t>（以下无正文）</w:t>
      </w:r>
    </w:p>
    <w:p w14:paraId="571E5C3E">
      <w:pPr>
        <w:spacing w:line="360" w:lineRule="auto"/>
        <w:rPr>
          <w:rFonts w:ascii="Times New Roman"/>
          <w:b/>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6A6A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4E1A357">
            <w:pPr>
              <w:spacing w:line="360" w:lineRule="auto"/>
              <w:jc w:val="both"/>
              <w:rPr>
                <w:rFonts w:hint="eastAsia" w:ascii="Times New Roman"/>
                <w:vertAlign w:val="baseline"/>
              </w:rPr>
            </w:pPr>
            <w:r>
              <w:rPr>
                <w:rFonts w:hint="eastAsia" w:ascii="Times New Roman"/>
                <w:vertAlign w:val="baseline"/>
              </w:rPr>
              <w:t>甲方（盖章）</w:t>
            </w:r>
            <w:r>
              <w:rPr>
                <w:rFonts w:hint="eastAsia" w:ascii="Times New Roman"/>
                <w:vertAlign w:val="baseline"/>
                <w:lang w:eastAsia="zh-CN"/>
              </w:rPr>
              <w:t>：</w:t>
            </w:r>
            <w:r>
              <w:rPr>
                <w:rFonts w:hint="eastAsia" w:ascii="Times New Roman"/>
                <w:vertAlign w:val="baseline"/>
                <w:lang w:val="en-US" w:eastAsia="zh-CN"/>
              </w:rPr>
              <w:t>东莞市石鼓净水有限公司</w:t>
            </w:r>
          </w:p>
        </w:tc>
        <w:tc>
          <w:tcPr>
            <w:tcW w:w="5102" w:type="dxa"/>
            <w:tcBorders>
              <w:tl2br w:val="nil"/>
              <w:tr2bl w:val="nil"/>
            </w:tcBorders>
            <w:tcMar>
              <w:top w:w="0" w:type="dxa"/>
              <w:left w:w="57" w:type="dxa"/>
              <w:bottom w:w="0" w:type="dxa"/>
              <w:right w:w="57" w:type="dxa"/>
            </w:tcMar>
            <w:vAlign w:val="top"/>
          </w:tcPr>
          <w:p w14:paraId="4ACDA9FB">
            <w:pPr>
              <w:spacing w:line="360" w:lineRule="auto"/>
              <w:jc w:val="both"/>
              <w:rPr>
                <w:rFonts w:hint="eastAsia" w:ascii="Times New Roman"/>
                <w:vertAlign w:val="baseline"/>
              </w:rPr>
            </w:pPr>
            <w:r>
              <w:rPr>
                <w:rFonts w:hint="eastAsia" w:ascii="Times New Roman"/>
                <w:vertAlign w:val="baseline"/>
              </w:rPr>
              <w:t>乙方（盖章）：</w:t>
            </w:r>
          </w:p>
        </w:tc>
      </w:tr>
      <w:tr w14:paraId="390E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DA961CD">
            <w:pPr>
              <w:spacing w:line="360" w:lineRule="auto"/>
              <w:jc w:val="both"/>
              <w:rPr>
                <w:rFonts w:hint="eastAsia" w:ascii="Times New Roman"/>
                <w:vertAlign w:val="baseline"/>
              </w:rPr>
            </w:pPr>
            <w:r>
              <w:rPr>
                <w:rFonts w:hint="eastAsia" w:ascii="Times New Roman"/>
                <w:vertAlign w:val="baseline"/>
              </w:rPr>
              <w:t>法定代表人：</w:t>
            </w:r>
          </w:p>
        </w:tc>
        <w:tc>
          <w:tcPr>
            <w:tcW w:w="5102" w:type="dxa"/>
            <w:tcBorders>
              <w:tl2br w:val="nil"/>
              <w:tr2bl w:val="nil"/>
            </w:tcBorders>
            <w:tcMar>
              <w:top w:w="0" w:type="dxa"/>
              <w:left w:w="57" w:type="dxa"/>
              <w:bottom w:w="0" w:type="dxa"/>
              <w:right w:w="57" w:type="dxa"/>
            </w:tcMar>
            <w:vAlign w:val="top"/>
          </w:tcPr>
          <w:p w14:paraId="7F49F4D0">
            <w:pPr>
              <w:spacing w:line="360" w:lineRule="auto"/>
              <w:jc w:val="both"/>
              <w:rPr>
                <w:rFonts w:hint="eastAsia" w:ascii="Times New Roman"/>
                <w:vertAlign w:val="baseline"/>
              </w:rPr>
            </w:pPr>
            <w:r>
              <w:rPr>
                <w:rFonts w:hint="eastAsia" w:ascii="Times New Roman"/>
                <w:vertAlign w:val="baseline"/>
              </w:rPr>
              <w:t>法定代表人：</w:t>
            </w:r>
          </w:p>
        </w:tc>
      </w:tr>
      <w:tr w14:paraId="1C12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12362187">
            <w:pPr>
              <w:spacing w:line="360" w:lineRule="auto"/>
              <w:jc w:val="both"/>
              <w:rPr>
                <w:rFonts w:hint="eastAsia" w:ascii="Times New Roman"/>
                <w:vertAlign w:val="baseline"/>
              </w:rPr>
            </w:pPr>
            <w:r>
              <w:rPr>
                <w:rFonts w:hint="eastAsia" w:ascii="Times New Roman"/>
                <w:vertAlign w:val="baseline"/>
              </w:rPr>
              <w:t>地址：广东省东莞市南城街道滨河路100号一期1号楼101室</w:t>
            </w:r>
          </w:p>
        </w:tc>
        <w:tc>
          <w:tcPr>
            <w:tcW w:w="5102" w:type="dxa"/>
            <w:tcBorders>
              <w:tl2br w:val="nil"/>
              <w:tr2bl w:val="nil"/>
            </w:tcBorders>
            <w:tcMar>
              <w:top w:w="0" w:type="dxa"/>
              <w:left w:w="57" w:type="dxa"/>
              <w:bottom w:w="0" w:type="dxa"/>
              <w:right w:w="57" w:type="dxa"/>
            </w:tcMar>
            <w:vAlign w:val="top"/>
          </w:tcPr>
          <w:p w14:paraId="10D8AFCD">
            <w:pPr>
              <w:spacing w:line="360" w:lineRule="auto"/>
              <w:ind w:left="720" w:hanging="720" w:hangingChars="300"/>
              <w:jc w:val="both"/>
              <w:rPr>
                <w:rFonts w:hint="eastAsia" w:ascii="Times New Roman"/>
                <w:vertAlign w:val="baseline"/>
              </w:rPr>
            </w:pPr>
            <w:r>
              <w:rPr>
                <w:rFonts w:hint="eastAsia" w:ascii="Times New Roman"/>
                <w:vertAlign w:val="baseline"/>
              </w:rPr>
              <w:t>地址：</w:t>
            </w:r>
          </w:p>
        </w:tc>
      </w:tr>
      <w:tr w14:paraId="6305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50D6CA8E">
            <w:pPr>
              <w:spacing w:line="360" w:lineRule="auto"/>
              <w:jc w:val="both"/>
              <w:rPr>
                <w:rFonts w:hint="eastAsia" w:ascii="Times New Roman" w:eastAsia="宋体"/>
                <w:vertAlign w:val="baseline"/>
                <w:lang w:val="en-US" w:eastAsia="zh-CN"/>
              </w:rPr>
            </w:pPr>
            <w:r>
              <w:rPr>
                <w:rFonts w:hint="eastAsia" w:ascii="Times New Roman"/>
                <w:vertAlign w:val="baseline"/>
              </w:rPr>
              <w:t>电话：</w:t>
            </w:r>
            <w:r>
              <w:rPr>
                <w:rFonts w:hint="eastAsia" w:ascii="Times New Roman"/>
                <w:vertAlign w:val="baseline"/>
                <w:lang w:val="en-US" w:eastAsia="zh-CN"/>
              </w:rPr>
              <w:t>/</w:t>
            </w:r>
          </w:p>
        </w:tc>
        <w:tc>
          <w:tcPr>
            <w:tcW w:w="5102" w:type="dxa"/>
            <w:tcBorders>
              <w:tl2br w:val="nil"/>
              <w:tr2bl w:val="nil"/>
            </w:tcBorders>
            <w:tcMar>
              <w:top w:w="0" w:type="dxa"/>
              <w:left w:w="57" w:type="dxa"/>
              <w:bottom w:w="0" w:type="dxa"/>
              <w:right w:w="57" w:type="dxa"/>
            </w:tcMar>
            <w:vAlign w:val="top"/>
          </w:tcPr>
          <w:p w14:paraId="1F9936F7">
            <w:pPr>
              <w:spacing w:line="360" w:lineRule="auto"/>
              <w:jc w:val="both"/>
              <w:rPr>
                <w:rFonts w:hint="eastAsia" w:ascii="Times New Roman"/>
                <w:vertAlign w:val="baseline"/>
              </w:rPr>
            </w:pPr>
            <w:r>
              <w:rPr>
                <w:rFonts w:hint="eastAsia" w:ascii="Times New Roman"/>
                <w:vertAlign w:val="baseline"/>
              </w:rPr>
              <w:t>电话：</w:t>
            </w:r>
          </w:p>
        </w:tc>
      </w:tr>
      <w:tr w14:paraId="7365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024CD331">
            <w:pPr>
              <w:spacing w:line="360" w:lineRule="auto"/>
              <w:jc w:val="both"/>
              <w:rPr>
                <w:rFonts w:hint="eastAsia" w:ascii="Times New Roman" w:eastAsia="宋体"/>
                <w:vertAlign w:val="baseline"/>
                <w:lang w:val="en-US" w:eastAsia="zh-CN"/>
              </w:rPr>
            </w:pPr>
            <w:r>
              <w:rPr>
                <w:rFonts w:hint="eastAsia" w:ascii="Times New Roman"/>
                <w:vertAlign w:val="baseline"/>
              </w:rPr>
              <w:t>名称：</w:t>
            </w:r>
            <w:r>
              <w:rPr>
                <w:rFonts w:hint="eastAsia" w:ascii="Times New Roman"/>
                <w:vertAlign w:val="baseline"/>
                <w:lang w:val="en-US" w:eastAsia="zh-CN"/>
              </w:rPr>
              <w:t>/</w:t>
            </w:r>
          </w:p>
        </w:tc>
        <w:tc>
          <w:tcPr>
            <w:tcW w:w="5102" w:type="dxa"/>
            <w:tcBorders>
              <w:tl2br w:val="nil"/>
              <w:tr2bl w:val="nil"/>
            </w:tcBorders>
            <w:tcMar>
              <w:top w:w="0" w:type="dxa"/>
              <w:left w:w="57" w:type="dxa"/>
              <w:bottom w:w="0" w:type="dxa"/>
              <w:right w:w="57" w:type="dxa"/>
            </w:tcMar>
            <w:vAlign w:val="top"/>
          </w:tcPr>
          <w:p w14:paraId="5313450B">
            <w:pPr>
              <w:spacing w:line="360" w:lineRule="auto"/>
              <w:jc w:val="both"/>
              <w:rPr>
                <w:rFonts w:hint="eastAsia" w:ascii="Times New Roman"/>
                <w:vertAlign w:val="baseline"/>
              </w:rPr>
            </w:pPr>
            <w:r>
              <w:rPr>
                <w:rFonts w:hint="eastAsia" w:ascii="Times New Roman"/>
                <w:vertAlign w:val="baseline"/>
              </w:rPr>
              <w:t>名称：</w:t>
            </w:r>
          </w:p>
        </w:tc>
      </w:tr>
      <w:tr w14:paraId="7D87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3D41CD9C">
            <w:pPr>
              <w:spacing w:line="360" w:lineRule="auto"/>
              <w:jc w:val="both"/>
              <w:rPr>
                <w:rFonts w:hint="eastAsia" w:ascii="Times New Roman" w:eastAsia="宋体"/>
                <w:vertAlign w:val="baseline"/>
                <w:lang w:val="en-US" w:eastAsia="zh-CN"/>
              </w:rPr>
            </w:pPr>
            <w:r>
              <w:rPr>
                <w:rFonts w:hint="eastAsia" w:ascii="Times New Roman"/>
                <w:vertAlign w:val="baseline"/>
              </w:rPr>
              <w:t>开户银行：</w:t>
            </w:r>
            <w:r>
              <w:rPr>
                <w:rFonts w:hint="eastAsia" w:ascii="Times New Roman"/>
                <w:vertAlign w:val="baseline"/>
                <w:lang w:val="en-US" w:eastAsia="zh-CN"/>
              </w:rPr>
              <w:t>/</w:t>
            </w:r>
          </w:p>
        </w:tc>
        <w:tc>
          <w:tcPr>
            <w:tcW w:w="5102" w:type="dxa"/>
            <w:tcBorders>
              <w:tl2br w:val="nil"/>
              <w:tr2bl w:val="nil"/>
            </w:tcBorders>
            <w:tcMar>
              <w:top w:w="0" w:type="dxa"/>
              <w:left w:w="57" w:type="dxa"/>
              <w:bottom w:w="0" w:type="dxa"/>
              <w:right w:w="57" w:type="dxa"/>
            </w:tcMar>
            <w:vAlign w:val="top"/>
          </w:tcPr>
          <w:p w14:paraId="5D4DD3BE">
            <w:pPr>
              <w:spacing w:line="360" w:lineRule="auto"/>
              <w:jc w:val="both"/>
              <w:rPr>
                <w:rFonts w:hint="eastAsia" w:ascii="Times New Roman"/>
                <w:vertAlign w:val="baseline"/>
              </w:rPr>
            </w:pPr>
            <w:r>
              <w:rPr>
                <w:rFonts w:hint="eastAsia" w:ascii="Times New Roman"/>
                <w:vertAlign w:val="baseline"/>
              </w:rPr>
              <w:t>开户银行：</w:t>
            </w:r>
          </w:p>
        </w:tc>
      </w:tr>
      <w:tr w14:paraId="02ED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3087DE94">
            <w:pPr>
              <w:spacing w:line="360" w:lineRule="auto"/>
              <w:jc w:val="both"/>
              <w:rPr>
                <w:rFonts w:hint="eastAsia" w:ascii="Times New Roman" w:eastAsia="宋体"/>
                <w:vertAlign w:val="baseline"/>
                <w:lang w:val="en-US" w:eastAsia="zh-CN"/>
              </w:rPr>
            </w:pPr>
            <w:r>
              <w:rPr>
                <w:rFonts w:hint="eastAsia" w:ascii="Times New Roman"/>
                <w:vertAlign w:val="baseline"/>
              </w:rPr>
              <w:t>银行账号：</w:t>
            </w:r>
            <w:r>
              <w:rPr>
                <w:rFonts w:hint="eastAsia" w:ascii="Times New Roman"/>
                <w:vertAlign w:val="baseline"/>
                <w:lang w:val="en-US" w:eastAsia="zh-CN"/>
              </w:rPr>
              <w:t>/</w:t>
            </w:r>
          </w:p>
        </w:tc>
        <w:tc>
          <w:tcPr>
            <w:tcW w:w="5102" w:type="dxa"/>
            <w:tcBorders>
              <w:tl2br w:val="nil"/>
              <w:tr2bl w:val="nil"/>
            </w:tcBorders>
            <w:tcMar>
              <w:top w:w="0" w:type="dxa"/>
              <w:left w:w="57" w:type="dxa"/>
              <w:bottom w:w="0" w:type="dxa"/>
              <w:right w:w="57" w:type="dxa"/>
            </w:tcMar>
            <w:vAlign w:val="top"/>
          </w:tcPr>
          <w:p w14:paraId="32FAF2E3">
            <w:pPr>
              <w:spacing w:line="360" w:lineRule="auto"/>
              <w:jc w:val="both"/>
              <w:rPr>
                <w:rFonts w:hint="eastAsia" w:ascii="Times New Roman"/>
                <w:vertAlign w:val="baseline"/>
              </w:rPr>
            </w:pPr>
            <w:r>
              <w:rPr>
                <w:rFonts w:hint="eastAsia" w:ascii="Times New Roman"/>
                <w:vertAlign w:val="baseline"/>
              </w:rPr>
              <w:t>银行账号：</w:t>
            </w:r>
          </w:p>
        </w:tc>
      </w:tr>
      <w:tr w14:paraId="103E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02" w:type="dxa"/>
            <w:tcBorders>
              <w:tl2br w:val="nil"/>
              <w:tr2bl w:val="nil"/>
            </w:tcBorders>
            <w:tcMar>
              <w:top w:w="0" w:type="dxa"/>
              <w:left w:w="57" w:type="dxa"/>
              <w:bottom w:w="0" w:type="dxa"/>
              <w:right w:w="57" w:type="dxa"/>
            </w:tcMar>
            <w:vAlign w:val="top"/>
          </w:tcPr>
          <w:p w14:paraId="4CB1463B">
            <w:pPr>
              <w:spacing w:line="360" w:lineRule="auto"/>
              <w:jc w:val="both"/>
              <w:rPr>
                <w:rFonts w:hint="eastAsia" w:ascii="Times New Roman" w:eastAsia="宋体"/>
                <w:vertAlign w:val="baseline"/>
                <w:lang w:val="en-US" w:eastAsia="zh-CN"/>
              </w:rPr>
            </w:pPr>
            <w:r>
              <w:rPr>
                <w:rFonts w:hint="eastAsia" w:ascii="Times New Roman"/>
                <w:vertAlign w:val="baseline"/>
              </w:rPr>
              <w:t>税号：</w:t>
            </w:r>
            <w:r>
              <w:rPr>
                <w:rFonts w:hint="eastAsia" w:ascii="Times New Roman"/>
                <w:vertAlign w:val="baseline"/>
                <w:lang w:val="en-US" w:eastAsia="zh-CN"/>
              </w:rPr>
              <w:t>/</w:t>
            </w:r>
          </w:p>
        </w:tc>
        <w:tc>
          <w:tcPr>
            <w:tcW w:w="5102" w:type="dxa"/>
            <w:tcBorders>
              <w:tl2br w:val="nil"/>
              <w:tr2bl w:val="nil"/>
            </w:tcBorders>
            <w:tcMar>
              <w:top w:w="0" w:type="dxa"/>
              <w:left w:w="57" w:type="dxa"/>
              <w:bottom w:w="0" w:type="dxa"/>
              <w:right w:w="57" w:type="dxa"/>
            </w:tcMar>
            <w:vAlign w:val="top"/>
          </w:tcPr>
          <w:p w14:paraId="142A356C">
            <w:pPr>
              <w:spacing w:line="360" w:lineRule="auto"/>
              <w:jc w:val="both"/>
              <w:rPr>
                <w:rFonts w:hint="eastAsia" w:ascii="Times New Roman"/>
                <w:vertAlign w:val="baseline"/>
              </w:rPr>
            </w:pPr>
            <w:r>
              <w:rPr>
                <w:rFonts w:hint="eastAsia" w:ascii="Times New Roman"/>
                <w:vertAlign w:val="baseline"/>
              </w:rPr>
              <w:t>税号：</w:t>
            </w:r>
          </w:p>
        </w:tc>
      </w:tr>
    </w:tbl>
    <w:p w14:paraId="54767567">
      <w:pPr>
        <w:spacing w:line="360" w:lineRule="auto"/>
        <w:rPr>
          <w:rFonts w:hint="default" w:eastAsia="宋体"/>
          <w:lang w:val="en-US" w:eastAsia="zh-CN"/>
        </w:rPr>
      </w:pPr>
      <w:r>
        <w:rPr>
          <w:rFonts w:hint="eastAsia"/>
        </w:rPr>
        <w:t xml:space="preserve">签订时间： </w:t>
      </w:r>
      <w:r>
        <w:rPr>
          <w:rFonts w:hint="eastAsia"/>
          <w:lang w:val="en-US" w:eastAsia="zh-CN"/>
        </w:rPr>
        <w:t>年   月    日</w:t>
      </w:r>
    </w:p>
    <w:p w14:paraId="646963C7">
      <w:pPr>
        <w:spacing w:line="360" w:lineRule="auto"/>
        <w:rPr>
          <w:rFonts w:hint="eastAsia"/>
        </w:rPr>
      </w:pPr>
      <w:r>
        <w:rPr>
          <w:rFonts w:hint="eastAsia"/>
        </w:rPr>
        <w:t>签订地点：广东省东莞市</w:t>
      </w:r>
    </w:p>
    <w:p w14:paraId="360B1D32">
      <w:pPr>
        <w:pStyle w:val="4"/>
        <w:rPr>
          <w:rFonts w:hint="eastAsia"/>
        </w:rPr>
      </w:pPr>
    </w:p>
    <w:p w14:paraId="2A4350A1">
      <w:pPr>
        <w:jc w:val="both"/>
        <w:rPr>
          <w:rFonts w:ascii="Times New Roman"/>
        </w:rPr>
      </w:pPr>
      <w:bookmarkStart w:id="24" w:name="_Hlk536084605"/>
    </w:p>
    <w:p w14:paraId="63687DAD">
      <w:pPr>
        <w:jc w:val="both"/>
        <w:rPr>
          <w:rFonts w:ascii="Times New Roman"/>
        </w:rPr>
      </w:pPr>
    </w:p>
    <w:bookmarkEnd w:id="24"/>
    <w:p w14:paraId="6752EB9B">
      <w:pPr>
        <w:rPr>
          <w:rFonts w:hint="eastAsia" w:ascii="仿宋_GB2312" w:hAnsi="仿宋_GB2312" w:eastAsia="仿宋_GB2312" w:cs="仿宋_GB2312"/>
          <w:b w:val="0"/>
          <w:bCs w:val="0"/>
        </w:rPr>
      </w:pPr>
      <w:r>
        <w:rPr>
          <w:rFonts w:hint="eastAsia" w:ascii="仿宋_GB2312" w:hAnsi="仿宋_GB2312" w:eastAsia="仿宋_GB2312" w:cs="仿宋_GB2312"/>
          <w:b w:val="0"/>
          <w:bCs w:val="0"/>
        </w:rPr>
        <w:br w:type="page"/>
      </w:r>
    </w:p>
    <w:p w14:paraId="72928612">
      <w:pPr>
        <w:spacing w:line="420" w:lineRule="exact"/>
        <w:rPr>
          <w:rFonts w:ascii="仿宋_GB2312" w:hAnsi="仿宋_GB2312" w:eastAsia="仿宋_GB2312" w:cs="仿宋_GB2312"/>
          <w:b w:val="0"/>
          <w:bCs w:val="0"/>
        </w:rPr>
      </w:pPr>
      <w:r>
        <w:rPr>
          <w:rFonts w:hint="eastAsia" w:ascii="仿宋_GB2312" w:hAnsi="仿宋_GB2312" w:eastAsia="仿宋_GB2312" w:cs="仿宋_GB2312"/>
          <w:b w:val="0"/>
          <w:bCs w:val="0"/>
        </w:rPr>
        <w:t>附件</w:t>
      </w:r>
      <w:r>
        <w:rPr>
          <w:rFonts w:hint="eastAsia" w:ascii="仿宋_GB2312" w:hAnsi="仿宋_GB2312" w:eastAsia="仿宋_GB2312" w:cs="仿宋_GB2312"/>
          <w:b w:val="0"/>
          <w:bCs w:val="0"/>
          <w:lang w:val="en-US" w:eastAsia="zh-CN"/>
        </w:rPr>
        <w:t>三</w:t>
      </w:r>
      <w:r>
        <w:rPr>
          <w:rFonts w:hint="eastAsia" w:ascii="仿宋_GB2312" w:hAnsi="仿宋_GB2312" w:eastAsia="仿宋_GB2312" w:cs="仿宋_GB2312"/>
          <w:b w:val="0"/>
          <w:bCs w:val="0"/>
        </w:rPr>
        <w:t>：安全生产管理协议</w:t>
      </w:r>
    </w:p>
    <w:p w14:paraId="0EC25F1F">
      <w:pPr>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                         </w:t>
      </w:r>
    </w:p>
    <w:p w14:paraId="7F3FE717">
      <w:pPr>
        <w:jc w:val="center"/>
        <w:rPr>
          <w:rFonts w:ascii="仿宋_GB2312" w:hAnsi="仿宋" w:eastAsia="仿宋_GB2312" w:cs="仿宋"/>
          <w:b/>
          <w:bCs/>
          <w:color w:val="000000" w:themeColor="text1"/>
          <w:sz w:val="36"/>
          <w:szCs w:val="36"/>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028DA772">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7BFF6CC7">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hint="eastAsia" w:ascii="仿宋_GB2312" w:hAnsi="仿宋" w:eastAsia="仿宋_GB2312" w:cs="仿宋"/>
          <w:color w:val="000000" w:themeColor="text1"/>
          <w:sz w:val="28"/>
          <w:szCs w:val="28"/>
          <w:u w:val="single"/>
          <w14:textFill>
            <w14:solidFill>
              <w14:schemeClr w14:val="tx1"/>
            </w14:solidFill>
          </w14:textFill>
        </w:rPr>
        <w:t>东莞市石鼓净水有限公司</w:t>
      </w:r>
    </w:p>
    <w:p w14:paraId="51EC6D87">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 xml:space="preserve">: </w:t>
      </w:r>
      <w:r>
        <w:rPr>
          <w:rFonts w:hint="eastAsia" w:ascii="仿宋_GB2312" w:hAnsi="仿宋" w:eastAsia="仿宋_GB2312" w:cs="仿宋"/>
          <w:color w:val="000000" w:themeColor="text1"/>
          <w:sz w:val="28"/>
          <w:szCs w:val="28"/>
          <w:u w:val="single"/>
          <w14:textFill>
            <w14:solidFill>
              <w14:schemeClr w14:val="tx1"/>
            </w14:solidFill>
          </w14:textFill>
        </w:rPr>
        <w:t>广东省东莞市南城街道滨河路100号一期1号楼101室</w:t>
      </w:r>
    </w:p>
    <w:p w14:paraId="7DBD212F">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电话：</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5E91AFB3">
      <w:pPr>
        <w:spacing w:line="360" w:lineRule="auto"/>
        <w:rPr>
          <w:rFonts w:ascii="仿宋_GB2312" w:hAnsi="仿宋" w:eastAsia="仿宋_GB2312" w:cs="仿宋"/>
          <w:color w:val="000000" w:themeColor="text1"/>
          <w:sz w:val="28"/>
          <w:szCs w:val="28"/>
          <w:u w:val="single"/>
          <w14:textFill>
            <w14:solidFill>
              <w14:schemeClr w14:val="tx1"/>
            </w14:solidFill>
          </w14:textFill>
        </w:rPr>
      </w:pPr>
    </w:p>
    <w:p w14:paraId="7311BA72">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p>
    <w:p w14:paraId="43D1C695">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w:t>
      </w:r>
      <w:r>
        <w:rPr>
          <w:rFonts w:ascii="仿宋_GB2312" w:hAnsi="仿宋" w:eastAsia="仿宋_GB2312" w:cs="仿宋"/>
          <w:color w:val="000000" w:themeColor="text1"/>
          <w:sz w:val="28"/>
          <w:szCs w:val="28"/>
          <w:u w:val="none"/>
          <w14:textFill>
            <w14:solidFill>
              <w14:schemeClr w14:val="tx1"/>
            </w14:solidFill>
          </w14:textFill>
        </w:rPr>
        <w:t xml:space="preserve"> </w:t>
      </w:r>
    </w:p>
    <w:p w14:paraId="20293397">
      <w:pPr>
        <w:spacing w:line="360" w:lineRule="auto"/>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电话：</w:t>
      </w:r>
    </w:p>
    <w:p w14:paraId="2C1AEF1C">
      <w:pPr>
        <w:spacing w:line="360" w:lineRule="auto"/>
        <w:rPr>
          <w:rFonts w:ascii="仿宋_GB2312" w:hAnsi="仿宋" w:eastAsia="仿宋_GB2312" w:cs="仿宋"/>
          <w:color w:val="000000" w:themeColor="text1"/>
          <w:sz w:val="28"/>
          <w:szCs w:val="28"/>
          <w14:textFill>
            <w14:solidFill>
              <w14:schemeClr w14:val="tx1"/>
            </w14:solidFill>
          </w14:textFill>
        </w:rPr>
      </w:pPr>
    </w:p>
    <w:p w14:paraId="74F5F71B">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0555FCFC">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项目名称：</w:t>
      </w:r>
      <w:r>
        <w:rPr>
          <w:rFonts w:hint="eastAsia" w:ascii="仿宋" w:hAnsi="仿宋" w:eastAsia="仿宋" w:cs="仿宋"/>
          <w:color w:val="000000" w:themeColor="text1"/>
          <w:kern w:val="0"/>
          <w:szCs w:val="28"/>
          <w:u w:val="single"/>
          <w14:textFill>
            <w14:solidFill>
              <w14:schemeClr w14:val="tx1"/>
            </w14:solidFill>
          </w14:textFill>
        </w:rPr>
        <w:t>东莞市石鼓净水有限公司市区水质净化厂提标提升泵叶轮采购项目</w:t>
      </w:r>
      <w:r>
        <w:rPr>
          <w:rFonts w:hint="eastAsia" w:ascii="仿宋" w:hAnsi="仿宋" w:eastAsia="仿宋" w:cs="仿宋"/>
          <w:color w:val="000000" w:themeColor="text1"/>
          <w:kern w:val="0"/>
          <w:szCs w:val="28"/>
          <w14:textFill>
            <w14:solidFill>
              <w14:schemeClr w14:val="tx1"/>
            </w14:solidFill>
          </w14:textFill>
        </w:rPr>
        <w:t xml:space="preserve">                                   </w:t>
      </w:r>
    </w:p>
    <w:p w14:paraId="399D808D">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项目地点：</w:t>
      </w:r>
      <w:r>
        <w:rPr>
          <w:rFonts w:hint="eastAsia" w:ascii="仿宋" w:hAnsi="仿宋" w:eastAsia="仿宋" w:cs="仿宋"/>
          <w:color w:val="000000" w:themeColor="text1"/>
          <w:kern w:val="0"/>
          <w:szCs w:val="28"/>
          <w:u w:val="single"/>
          <w14:textFill>
            <w14:solidFill>
              <w14:schemeClr w14:val="tx1"/>
            </w14:solidFill>
          </w14:textFill>
        </w:rPr>
        <w:t>东莞市市区水质净化厂厂内</w:t>
      </w:r>
      <w:r>
        <w:rPr>
          <w:rFonts w:hint="eastAsia" w:ascii="仿宋" w:hAnsi="仿宋" w:eastAsia="仿宋" w:cs="仿宋"/>
          <w:color w:val="000000" w:themeColor="text1"/>
          <w:kern w:val="0"/>
          <w:szCs w:val="28"/>
          <w14:textFill>
            <w14:solidFill>
              <w14:schemeClr w14:val="tx1"/>
            </w14:solidFill>
          </w14:textFill>
        </w:rPr>
        <w:t xml:space="preserve">                                                                                      </w:t>
      </w:r>
    </w:p>
    <w:p w14:paraId="370C6F93">
      <w:pPr>
        <w:pStyle w:val="9"/>
        <w:spacing w:line="276" w:lineRule="auto"/>
        <w:rPr>
          <w:rFonts w:hint="eastAsia" w:ascii="仿宋" w:hAnsi="仿宋" w:eastAsia="仿宋" w:cs="仿宋"/>
          <w:color w:val="000000" w:themeColor="text1"/>
          <w:kern w:val="0"/>
          <w:szCs w:val="28"/>
          <w:lang w:val="en-US" w:eastAsia="zh-CN"/>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项目时间：自本合同签订之日始至本合同权利义务履行完毕时</w:t>
      </w:r>
      <w:r>
        <w:rPr>
          <w:rFonts w:hint="eastAsia" w:ascii="仿宋" w:hAnsi="仿宋" w:eastAsia="仿宋" w:cs="仿宋"/>
          <w:color w:val="000000" w:themeColor="text1"/>
          <w:kern w:val="0"/>
          <w:szCs w:val="28"/>
          <w:lang w:val="en-US" w:eastAsia="zh-CN"/>
          <w14:textFill>
            <w14:solidFill>
              <w14:schemeClr w14:val="tx1"/>
            </w14:solidFill>
          </w14:textFill>
        </w:rPr>
        <w:t>止。</w:t>
      </w:r>
    </w:p>
    <w:p w14:paraId="61388278">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一、污水处理厂风险辨识</w:t>
      </w:r>
    </w:p>
    <w:p w14:paraId="1AAB8657">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CD32BDA">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2B945885">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二、危害因素分析</w:t>
      </w:r>
    </w:p>
    <w:p w14:paraId="15592959">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76AE71EA">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三、协议实施条款</w:t>
      </w:r>
    </w:p>
    <w:p w14:paraId="551983A5">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 xml:space="preserve">1．“相关方”是指：在公司从事与公司生产经营活动有关的、在公司内从事各种公务活动和进行业务往来的外部单位和个人（以下简称“相关方”）。主要包括： </w:t>
      </w:r>
    </w:p>
    <w:p w14:paraId="00845B3F">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（1）依照与公司订立的有关合同，在公司内从事基建、设</w:t>
      </w:r>
    </w:p>
    <w:p w14:paraId="34C9023E">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 xml:space="preserve">备安装、维修保养、运输、后勤服务、劳务输出以及其他承包各种项目的外来单位或个人。 </w:t>
      </w:r>
    </w:p>
    <w:p w14:paraId="195C3203">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（2）进入单位内进行商务洽谈、参观访问、工作检查、学习交流及其他各类公务活动的外来单位或个人。</w:t>
      </w:r>
    </w:p>
    <w:p w14:paraId="21E65150">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（3）目前我司相关方包括但不限于保安人员、绿化环卫人员、安装施工人员、配送人员、参观人员等。</w:t>
      </w:r>
    </w:p>
    <w:p w14:paraId="5EEA053D">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2．危险作业包括但不限于以下内容：临水作业、进入受限空间作业、临时用电作业、高处作业、断路作业、破土作业、吊装作业、盲板抽堵作业。（以下简称：危险作业）</w:t>
      </w:r>
    </w:p>
    <w:p w14:paraId="268781C8">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3．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0873705D">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4．安全交底。每次进行危险作业等其他可能存在危险的作业前需由乙方的带班人员对作业人员进行安全交底。</w:t>
      </w:r>
    </w:p>
    <w:p w14:paraId="078760D8">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5．乙方需完善并加强对相关方的的日常考勤管理，严格遵守厂区对进出人员的管理要求。</w:t>
      </w:r>
    </w:p>
    <w:p w14:paraId="34DAB025">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6．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6BDFCD31">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7．乙方使用被派遣劳动者的，应当将被派遣劳动者纳入本单位从业人员统一管理，对被派遣劳动者进行岗位安全操作规程和安全操作技能的教育和培训。</w:t>
      </w:r>
    </w:p>
    <w:p w14:paraId="03D49317">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8．乙方应制定与作业范围相适应的应急处置预案，并定期组织演练或者参加甲方组织的演练。</w:t>
      </w:r>
    </w:p>
    <w:p w14:paraId="3D0F746A">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9．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7B0F57D6">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10．乙方应当教育和督促从业人员严格执行本单位的安全生产规章制度和安全操作规程；并向从业人员如实告知作业场所和工作岗位存在的危险因素、防范措施以及事故应急措施。</w:t>
      </w:r>
    </w:p>
    <w:p w14:paraId="43979338">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11．乙方依法参加工伤保险，为从业人员缴纳保险费，并应当为从事危险作业的人员办理意外伤害保险。</w:t>
      </w:r>
    </w:p>
    <w:p w14:paraId="710F8575">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12．乙方应严格遵守国家、地方政府有关安全生产及劳动保护的法律法规、标准、规定，贯彻执行甲方的各项安全管理规章制度，严格按照生产场所操作规程制度。</w:t>
      </w:r>
    </w:p>
    <w:p w14:paraId="5CB9DCEB">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13．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3C572C62">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14．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783068D7">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15．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31E2205A">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16．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0E098CDE">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17．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61046C33">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18．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14:paraId="114DD365">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19．乙方作业人员未经许可不得随意到厂区区域以内的其它工作场所活动，活动内容包括不限于采摘水果、前往其他池体活动、攀爬构筑物等危险行为，出现人身损伤或伤亡的，由乙方自行负责一切责任。</w:t>
      </w:r>
    </w:p>
    <w:p w14:paraId="4F53F626">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20．在作业过程中，需要进行动土、动火、登高、吊装、断路、进入限制性空间等危险性较高的作业时，乙方的作业负责人、专职或兼职安全员必须现场确认，作业前报甲方。根据甲方的关于危险作业安全要求执行。</w:t>
      </w:r>
    </w:p>
    <w:p w14:paraId="47093CD4">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21．因乙方原因，造成乙方损失，由乙方自负，给甲方造成财产损失和人员伤害，乙方要负全部责任，并全额赔偿甲方。</w:t>
      </w:r>
    </w:p>
    <w:p w14:paraId="16ABDDB9">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22．非因甲方原因，造成乙方损失的，甲方不承担任何责任，由乙方自行承担全部责任。</w:t>
      </w:r>
    </w:p>
    <w:p w14:paraId="091E826F">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23．乙方应严格遵守法律法规以及甲方的安全管理要求，并接受甲方的安全生产工作协调和监督，积极消除安全隐患。安全管理的基本要求包括但不限于以下条款：</w:t>
      </w:r>
    </w:p>
    <w:p w14:paraId="7A01D8A8">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①禁火区内严禁吸烟、动火。有火灾危险的作业区域，乙方必须配置足够的灭火设施。</w:t>
      </w:r>
    </w:p>
    <w:p w14:paraId="74302425">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②焊接、气割作业时两瓶距离必须达到5M及以上，气瓶距可能产生火花的电器、设备和其它火源的间距必须达到10M及以上。</w:t>
      </w:r>
    </w:p>
    <w:p w14:paraId="027C9E14">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③严禁在厂内道路、消防通道内搭建临时建筑或堆放物资；</w:t>
      </w:r>
    </w:p>
    <w:p w14:paraId="786525A8">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严禁占用、堵塞、遮掩、挪用、损毁、破坏或因装修作业等工作或其他原因导致消防设施设备损坏。</w:t>
      </w:r>
    </w:p>
    <w:p w14:paraId="151FC21B">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④作业场所的电动工具、电焊机等须有漏电保护器和相应的安全防护装置。</w:t>
      </w:r>
    </w:p>
    <w:p w14:paraId="5B822573">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⑤作业现场及居住室、办公室内的用电设施必须符合要求，严禁电线乱接、乱拉，刀闸和开关无盖，在电器设施上堆放物品。</w:t>
      </w:r>
    </w:p>
    <w:p w14:paraId="629EB9F5">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⑥防雷、防静电设施及用电设施要有良好接地。</w:t>
      </w:r>
    </w:p>
    <w:p w14:paraId="505828B2">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⑦作业现场的危险区域，如临边、深坑、土方堆填区等，必须设置围栏和危险标志，夜间要设信号灯。</w:t>
      </w:r>
    </w:p>
    <w:p w14:paraId="31C05A21">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CCA2F88">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5F72433E">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171DEEE">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24．乙方应当定期排查并及时治理作业范围内的事故隐患，建立台账，做好相关记录，及时向甲方报告。乙方在发现重大事故隐患后不能立即治理的，应当采取必要的防范措施，并及时书面报告甲方，消除事故隐患。</w:t>
      </w:r>
    </w:p>
    <w:p w14:paraId="15C59D5E">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25．乙方必须接受甲方的检查与监督，并应主动配合，做好安全工作。乙方若有出现违反本协议“第三条，协议实施条款”任一情形的，甲方有权要求乙方立即整改，且甲方有权视情况从工程结算款/服务价款中扣除（1000-2000）元/次作为违约金。</w:t>
      </w:r>
    </w:p>
    <w:p w14:paraId="6200A06F">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26．若乙方有下列情形之一的或在整改后仍违反协议的，甲方有权单方解除合同，甲方有权要求乙方向甲方支付本合同总金额的10%作为违约金，同时甲方有权要求乙方承担第25条的违约金。造成甲方损失的，乙方需另行赔偿：</w:t>
      </w:r>
    </w:p>
    <w:p w14:paraId="762263CC">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①乙方不能提供与项目相匹配的营业执照、施工资质、安全生产许可证、技术人员、特种作业人员、安全员和设备设施的；</w:t>
      </w:r>
    </w:p>
    <w:p w14:paraId="72557276">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②乙方未对作业人员进行岗位安全操作规程和安全操作技能的教育和培训的；没有向作业人员提供劳动防护用品的；</w:t>
      </w:r>
    </w:p>
    <w:p w14:paraId="20E9E0F9">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③乙方未对所属员工定期开展安全教育培训的；</w:t>
      </w:r>
    </w:p>
    <w:p w14:paraId="0FB6E309">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④在开展涉及危险性较高的作业时，乙方未在作业前报甲方的；</w:t>
      </w:r>
    </w:p>
    <w:p w14:paraId="3C359250">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⑤乙方违章作业或违章指挥作业的；</w:t>
      </w:r>
    </w:p>
    <w:p w14:paraId="7E3D1CEF">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⑥乙方现场安全管理不到位或不服从甲方安全管理的；</w:t>
      </w:r>
    </w:p>
    <w:p w14:paraId="3E99512F">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⑦发生事故后，乙方未及时开展应急救援工作的；</w:t>
      </w:r>
    </w:p>
    <w:p w14:paraId="40A08EEA">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⑨未制定与作业范围相适应的应急处置预案；</w:t>
      </w:r>
    </w:p>
    <w:p w14:paraId="22992A9E">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⑩乙方不履行协议义务或者未按协议约定履行义务的其他情况。</w:t>
      </w:r>
    </w:p>
    <w:p w14:paraId="5DBFC7B0">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27．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1C534098">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（1）乙方在实施临水作业时，需设一名或以上监护人员；作业存在多种危险作业情况下，需严格落实2人或2人以上为一组协同作业或交替作业，不能单独作业。</w:t>
      </w:r>
    </w:p>
    <w:p w14:paraId="47F659E9">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（2）危险作业前，必须检查作业工具是否完好，做好交底工作。</w:t>
      </w:r>
    </w:p>
    <w:p w14:paraId="59989B61">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14:paraId="697B9488">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（4）如遇阴雨及大雾、雷暴雨、台风等恶劣天气，禁止危险作业。</w:t>
      </w:r>
    </w:p>
    <w:p w14:paraId="782E8272">
      <w:pPr>
        <w:pStyle w:val="9"/>
        <w:spacing w:line="276" w:lineRule="auto"/>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28．乙方对作业过程中潜在的安全风险不明确的，不可盲目作业，否则，造成的后果由乙方独自承担。</w:t>
      </w:r>
    </w:p>
    <w:p w14:paraId="26F9FE9D">
      <w:pPr>
        <w:pStyle w:val="9"/>
        <w:spacing w:line="276" w:lineRule="auto"/>
        <w:ind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29．本协议一式</w:t>
      </w:r>
      <w:r>
        <w:rPr>
          <w:rFonts w:hint="eastAsia" w:ascii="仿宋" w:hAnsi="仿宋" w:eastAsia="仿宋" w:cs="仿宋"/>
          <w:color w:val="000000" w:themeColor="text1"/>
          <w:kern w:val="0"/>
          <w:szCs w:val="28"/>
          <w:u w:val="single"/>
          <w:lang w:val="en-US" w:eastAsia="zh-CN"/>
          <w14:textFill>
            <w14:solidFill>
              <w14:schemeClr w14:val="tx1"/>
            </w14:solidFill>
          </w14:textFill>
        </w:rPr>
        <w:t>肆</w:t>
      </w:r>
      <w:r>
        <w:rPr>
          <w:rFonts w:hint="eastAsia" w:ascii="仿宋" w:hAnsi="仿宋" w:eastAsia="仿宋" w:cs="仿宋"/>
          <w:color w:val="000000" w:themeColor="text1"/>
          <w:kern w:val="0"/>
          <w:szCs w:val="28"/>
          <w14:textFill>
            <w14:solidFill>
              <w14:schemeClr w14:val="tx1"/>
            </w14:solidFill>
          </w14:textFill>
        </w:rPr>
        <w:t>份，甲方执</w:t>
      </w:r>
      <w:r>
        <w:rPr>
          <w:rFonts w:hint="eastAsia" w:ascii="仿宋" w:hAnsi="仿宋" w:eastAsia="仿宋" w:cs="仿宋"/>
          <w:color w:val="000000" w:themeColor="text1"/>
          <w:kern w:val="0"/>
          <w:szCs w:val="28"/>
          <w:u w:val="single"/>
          <w:lang w:val="en-US" w:eastAsia="zh-CN"/>
          <w14:textFill>
            <w14:solidFill>
              <w14:schemeClr w14:val="tx1"/>
            </w14:solidFill>
          </w14:textFill>
        </w:rPr>
        <w:t>叁</w:t>
      </w:r>
      <w:r>
        <w:rPr>
          <w:rFonts w:hint="eastAsia" w:ascii="仿宋" w:hAnsi="仿宋" w:eastAsia="仿宋" w:cs="仿宋"/>
          <w:color w:val="000000" w:themeColor="text1"/>
          <w:kern w:val="0"/>
          <w:szCs w:val="28"/>
          <w14:textFill>
            <w14:solidFill>
              <w14:schemeClr w14:val="tx1"/>
            </w14:solidFill>
          </w14:textFill>
        </w:rPr>
        <w:t>份，乙方执</w:t>
      </w:r>
      <w:r>
        <w:rPr>
          <w:rFonts w:hint="eastAsia" w:ascii="仿宋" w:hAnsi="仿宋" w:eastAsia="仿宋" w:cs="仿宋"/>
          <w:color w:val="000000" w:themeColor="text1"/>
          <w:kern w:val="0"/>
          <w:szCs w:val="28"/>
          <w:u w:val="single"/>
          <w14:textFill>
            <w14:solidFill>
              <w14:schemeClr w14:val="tx1"/>
            </w14:solidFill>
          </w14:textFill>
        </w:rPr>
        <w:t>壹</w:t>
      </w:r>
      <w:r>
        <w:rPr>
          <w:rFonts w:hint="eastAsia" w:ascii="仿宋" w:hAnsi="仿宋" w:eastAsia="仿宋" w:cs="仿宋"/>
          <w:color w:val="000000" w:themeColor="text1"/>
          <w:kern w:val="0"/>
          <w:szCs w:val="28"/>
          <w14:textFill>
            <w14:solidFill>
              <w14:schemeClr w14:val="tx1"/>
            </w14:solidFill>
          </w14:textFill>
        </w:rPr>
        <w:t>份，自双方盖章、并由双方法定代表人签字后生效。</w:t>
      </w:r>
    </w:p>
    <w:p w14:paraId="24AC0EBB">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p>
    <w:p w14:paraId="4EF8A36A">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6C268380">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53477323">
      <w:pPr>
        <w:rPr>
          <w:rFonts w:hint="eastAsia" w:ascii="仿宋" w:hAnsi="仿宋" w:eastAsia="仿宋" w:cs="仿宋"/>
          <w:color w:val="000000" w:themeColor="text1"/>
          <w:sz w:val="28"/>
          <w:szCs w:val="28"/>
          <w14:textFill>
            <w14:solidFill>
              <w14:schemeClr w14:val="tx1"/>
            </w14:solidFill>
          </w14:textFill>
        </w:rPr>
      </w:pPr>
    </w:p>
    <w:p w14:paraId="3AEF5518">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w:t>
      </w:r>
      <w:r>
        <w:rPr>
          <w:rFonts w:ascii="仿宋" w:hAnsi="仿宋" w:eastAsia="仿宋" w:cs="仿宋"/>
          <w:color w:val="000000" w:themeColor="text1"/>
          <w:sz w:val="28"/>
          <w:szCs w:val="28"/>
          <w14:textFill>
            <w14:solidFill>
              <w14:schemeClr w14:val="tx1"/>
            </w14:solidFill>
          </w14:textFill>
        </w:rPr>
        <w:t xml:space="preserve">                      乙方（盖章）： </w:t>
      </w:r>
    </w:p>
    <w:p w14:paraId="75423A2B">
      <w:pPr>
        <w:spacing w:line="360" w:lineRule="exact"/>
        <w:rPr>
          <w:rFonts w:hint="eastAsia" w:ascii="仿宋" w:hAnsi="仿宋" w:eastAsia="仿宋" w:cs="仿宋"/>
          <w:color w:val="000000" w:themeColor="text1"/>
          <w:sz w:val="28"/>
          <w:szCs w:val="28"/>
          <w14:textFill>
            <w14:solidFill>
              <w14:schemeClr w14:val="tx1"/>
            </w14:solidFill>
          </w14:textFill>
        </w:rPr>
      </w:pPr>
    </w:p>
    <w:p w14:paraId="254A2206">
      <w:pPr>
        <w:spacing w:line="3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法定代表人：</w:t>
      </w:r>
    </w:p>
    <w:p w14:paraId="6292F45C">
      <w:pPr>
        <w:spacing w:line="420" w:lineRule="exact"/>
        <w:rPr>
          <w:rFonts w:hint="eastAsia" w:ascii="仿宋" w:hAnsi="仿宋" w:eastAsia="仿宋" w:cs="仿宋"/>
          <w:color w:val="000000" w:themeColor="text1"/>
          <w:sz w:val="28"/>
          <w:szCs w:val="28"/>
          <w14:textFill>
            <w14:solidFill>
              <w14:schemeClr w14:val="tx1"/>
            </w14:solidFill>
          </w14:textFill>
        </w:rPr>
      </w:pPr>
    </w:p>
    <w:p w14:paraId="26A08353">
      <w:pPr>
        <w:spacing w:line="420" w:lineRule="exact"/>
        <w:rPr>
          <w:rFonts w:ascii="仿宋_GB2312" w:hAnsi="仿宋_GB2312" w:eastAsia="仿宋_GB2312" w:cs="仿宋_GB2312"/>
          <w:b/>
          <w:bCs/>
        </w:rPr>
      </w:pPr>
      <w:r>
        <w:rPr>
          <w:rFonts w:hint="eastAsia" w:ascii="仿宋" w:hAnsi="仿宋" w:eastAsia="仿宋" w:cs="仿宋"/>
          <w:color w:val="000000" w:themeColor="text1"/>
          <w:sz w:val="28"/>
          <w:szCs w:val="28"/>
          <w14:textFill>
            <w14:solidFill>
              <w14:schemeClr w14:val="tx1"/>
            </w14:solidFill>
          </w14:textFill>
        </w:rPr>
        <w:t>日期：</w:t>
      </w:r>
      <w:r>
        <w:rPr>
          <w:rFonts w:ascii="仿宋" w:hAnsi="仿宋" w:eastAsia="仿宋" w:cs="仿宋"/>
          <w:color w:val="000000" w:themeColor="text1"/>
          <w:sz w:val="28"/>
          <w:szCs w:val="28"/>
          <w14:textFill>
            <w14:solidFill>
              <w14:schemeClr w14:val="tx1"/>
            </w14:solidFill>
          </w14:textFill>
        </w:rPr>
        <w:t xml:space="preserve">                             </w:t>
      </w:r>
    </w:p>
    <w:p w14:paraId="269A17B9">
      <w:pPr>
        <w:spacing w:line="420" w:lineRule="exact"/>
        <w:rPr>
          <w:rFonts w:ascii="仿宋_GB2312" w:hAnsi="仿宋_GB2312" w:eastAsia="仿宋_GB2312" w:cs="仿宋_GB2312"/>
          <w:b/>
          <w:bCs/>
        </w:rPr>
      </w:pPr>
    </w:p>
    <w:p w14:paraId="340AD445">
      <w:pPr>
        <w:jc w:val="both"/>
        <w:rPr>
          <w:rFonts w:hint="eastAsia" w:hAnsi="宋体"/>
          <w:sz w:val="24"/>
          <w:szCs w:val="24"/>
          <w:lang w:val="en-US" w:eastAsia="zh-CN"/>
        </w:rPr>
      </w:pPr>
    </w:p>
    <w:p w14:paraId="503D7DA2">
      <w:pPr>
        <w:jc w:val="both"/>
        <w:rPr>
          <w:rFonts w:hint="eastAsia" w:hAnsi="宋体"/>
          <w:sz w:val="24"/>
          <w:szCs w:val="24"/>
          <w:lang w:val="en-US" w:eastAsia="zh-CN"/>
        </w:rPr>
      </w:pPr>
    </w:p>
    <w:p w14:paraId="4F42BBCA">
      <w:pPr>
        <w:jc w:val="both"/>
        <w:rPr>
          <w:rFonts w:hint="eastAsia" w:hAnsi="宋体"/>
          <w:sz w:val="24"/>
          <w:szCs w:val="24"/>
          <w:lang w:val="en-US" w:eastAsia="zh-CN"/>
        </w:rPr>
      </w:pPr>
    </w:p>
    <w:p w14:paraId="617D92E3">
      <w:pPr>
        <w:jc w:val="both"/>
        <w:rPr>
          <w:rFonts w:hint="eastAsia" w:hAnsi="宋体"/>
          <w:sz w:val="24"/>
          <w:szCs w:val="24"/>
          <w:lang w:val="en-US" w:eastAsia="zh-CN"/>
        </w:rPr>
      </w:pPr>
    </w:p>
    <w:p w14:paraId="72A7E6DC">
      <w:pPr>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14:paraId="1CC313C4">
      <w:pPr>
        <w:jc w:val="both"/>
        <w:rPr>
          <w:rFonts w:hint="default" w:ascii="宋体" w:hAnsi="宋体" w:eastAsia="宋体"/>
          <w:b w:val="0"/>
          <w:bCs/>
          <w:sz w:val="24"/>
          <w:szCs w:val="24"/>
          <w:lang w:val="en-US" w:eastAsia="zh-CN"/>
        </w:rPr>
      </w:pPr>
      <w:r>
        <w:rPr>
          <w:rFonts w:hint="eastAsia" w:ascii="宋体" w:hAnsi="宋体"/>
          <w:b w:val="0"/>
          <w:bCs/>
          <w:sz w:val="24"/>
          <w:szCs w:val="24"/>
          <w:lang w:val="en-US" w:eastAsia="zh-CN"/>
        </w:rPr>
        <w:t>附件</w:t>
      </w:r>
      <w:r>
        <w:rPr>
          <w:rFonts w:hint="eastAsia" w:hAnsi="宋体"/>
          <w:b w:val="0"/>
          <w:bCs/>
          <w:sz w:val="24"/>
          <w:szCs w:val="24"/>
          <w:lang w:val="en-US" w:eastAsia="zh-CN"/>
        </w:rPr>
        <w:t>四</w:t>
      </w:r>
      <w:r>
        <w:rPr>
          <w:rFonts w:hint="eastAsia" w:ascii="宋体" w:hAnsi="宋体"/>
          <w:b w:val="0"/>
          <w:bCs/>
          <w:sz w:val="24"/>
          <w:szCs w:val="24"/>
          <w:lang w:val="en-US" w:eastAsia="zh-CN"/>
        </w:rPr>
        <w:t>：阳光合作告知函</w:t>
      </w:r>
    </w:p>
    <w:p w14:paraId="2E44805F">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74B08B81">
      <w:pPr>
        <w:spacing w:line="560" w:lineRule="exact"/>
        <w:rPr>
          <w:rFonts w:ascii="Times New Roman" w:eastAsia="仿宋_GB2312"/>
          <w:b/>
          <w:bCs/>
          <w:sz w:val="32"/>
          <w:szCs w:val="32"/>
        </w:rPr>
      </w:pPr>
    </w:p>
    <w:p w14:paraId="59BD9CD2">
      <w:pPr>
        <w:spacing w:line="560" w:lineRule="exact"/>
        <w:rPr>
          <w:rFonts w:ascii="Times New Roman" w:eastAsia="仿宋_GB2312"/>
          <w:sz w:val="32"/>
          <w:szCs w:val="32"/>
        </w:rPr>
      </w:pPr>
      <w:r>
        <w:rPr>
          <w:rFonts w:ascii="Times New Roman" w:eastAsia="仿宋_GB2312"/>
          <w:b/>
          <w:bCs/>
          <w:sz w:val="32"/>
          <w:szCs w:val="32"/>
        </w:rPr>
        <w:t>项目名称：</w:t>
      </w:r>
      <w:r>
        <w:rPr>
          <w:rFonts w:hint="eastAsia" w:ascii="Times New Roman" w:eastAsia="仿宋_GB2312"/>
          <w:b w:val="0"/>
          <w:bCs w:val="0"/>
          <w:sz w:val="32"/>
          <w:szCs w:val="32"/>
          <w:u w:val="single"/>
        </w:rPr>
        <w:t>东莞市石鼓净水有限公司市区水质净化厂提标提升泵叶轮采购项目</w:t>
      </w:r>
      <w:r>
        <w:rPr>
          <w:rFonts w:ascii="Times New Roman" w:eastAsia="仿宋_GB2312"/>
          <w:sz w:val="32"/>
          <w:szCs w:val="32"/>
        </w:rPr>
        <w:t>（</w:t>
      </w:r>
      <w:r>
        <w:rPr>
          <w:rFonts w:hint="default" w:ascii="Times New Roman" w:eastAsia="仿宋_GB2312"/>
          <w:sz w:val="32"/>
          <w:szCs w:val="32"/>
        </w:rPr>
        <w:t>采购</w:t>
      </w:r>
      <w:r>
        <w:rPr>
          <w:rFonts w:ascii="Times New Roman" w:eastAsia="仿宋_GB2312"/>
          <w:sz w:val="32"/>
          <w:szCs w:val="32"/>
        </w:rPr>
        <w:t>编号：</w:t>
      </w:r>
      <w:r>
        <w:rPr>
          <w:rFonts w:hint="eastAsia" w:ascii="Times New Roman" w:eastAsia="仿宋_GB2312"/>
          <w:sz w:val="32"/>
          <w:szCs w:val="32"/>
        </w:rPr>
        <w:t>JS-2026-034</w:t>
      </w:r>
      <w:r>
        <w:rPr>
          <w:rFonts w:ascii="Times New Roman" w:eastAsia="仿宋_GB2312"/>
          <w:sz w:val="32"/>
          <w:szCs w:val="32"/>
        </w:rPr>
        <w:t>）</w:t>
      </w:r>
    </w:p>
    <w:p w14:paraId="2024B02F">
      <w:pPr>
        <w:pStyle w:val="55"/>
        <w:snapToGrid w:val="0"/>
        <w:spacing w:line="580" w:lineRule="exact"/>
        <w:ind w:firstLine="0" w:firstLineChars="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28F76699">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为保证我集团人员廉洁从业，规范和鼓励诚信交易行为，防止腐败和商业贿赂发生，推动双方建立阳光合作关系，现将我方推行阳光合作的相关管理规定函告如下：</w:t>
      </w:r>
    </w:p>
    <w:p w14:paraId="6ADAA81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316E8C8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4EAABA8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4154278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3AE8EFF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20EC5F7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53B2478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14E0CC2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5E3A75D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6FA4A9D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6C39D8E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56E57CE3">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0BAD26C8">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0E50572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7902C65A">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037EE76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26A75263">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25" w:name="OLE_LINK1"/>
      <w:r>
        <w:rPr>
          <w:rFonts w:hint="eastAsia" w:ascii="仿宋_GB2312" w:hAnsi="Times New Roman" w:eastAsia="仿宋_GB2312"/>
          <w:sz w:val="32"/>
          <w:szCs w:val="32"/>
        </w:rPr>
        <w:t>其他</w:t>
      </w:r>
    </w:p>
    <w:p w14:paraId="1F16CFE3">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25"/>
    <w:p w14:paraId="16451E26">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5DE73A31">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14:paraId="3BD29FB6">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23076092</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43FA161B">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东莞市南城街道宏北路16号水业大厦</w:t>
      </w:r>
      <w:r>
        <w:rPr>
          <w:rFonts w:hint="eastAsia" w:ascii="Times New Roman" w:hAnsi="Times New Roman" w:eastAsia="仿宋_GB2312"/>
          <w:sz w:val="32"/>
          <w:szCs w:val="32"/>
        </w:rPr>
        <w:t>；</w:t>
      </w:r>
    </w:p>
    <w:p w14:paraId="47EAE6BF">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2E84DBEF">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让我们共同为建立健康、公平的商业秩序和实现双赢而努力。</w:t>
      </w:r>
    </w:p>
    <w:p w14:paraId="7ABD90FF">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特此致函。</w:t>
      </w:r>
    </w:p>
    <w:p w14:paraId="37AA225E">
      <w:pPr>
        <w:pStyle w:val="55"/>
        <w:snapToGrid w:val="0"/>
        <w:spacing w:line="580" w:lineRule="exact"/>
        <w:ind w:firstLine="640" w:firstLineChars="200"/>
        <w:rPr>
          <w:rFonts w:ascii="仿宋_GB2312" w:hAnsi="Times New Roman" w:eastAsia="仿宋_GB2312"/>
          <w:sz w:val="32"/>
          <w:szCs w:val="32"/>
        </w:rPr>
      </w:pPr>
    </w:p>
    <w:p w14:paraId="0B53D054">
      <w:pPr>
        <w:pStyle w:val="55"/>
        <w:snapToGrid w:val="0"/>
        <w:spacing w:line="580" w:lineRule="exact"/>
        <w:ind w:firstLine="640" w:firstLineChars="200"/>
        <w:rPr>
          <w:rFonts w:ascii="仿宋_GB2312" w:hAnsi="Times New Roman" w:eastAsia="仿宋_GB2312"/>
          <w:sz w:val="32"/>
          <w:szCs w:val="32"/>
        </w:rPr>
      </w:pPr>
    </w:p>
    <w:p w14:paraId="0F0853A9">
      <w:pPr>
        <w:pStyle w:val="55"/>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rPr>
        <w:t xml:space="preserve"> 东莞市石鼓</w:t>
      </w:r>
      <w:r>
        <w:rPr>
          <w:rFonts w:hint="eastAsia" w:ascii="仿宋_GB2312" w:hAnsi="Times New Roman" w:eastAsia="仿宋_GB2312"/>
          <w:sz w:val="32"/>
          <w:szCs w:val="32"/>
          <w:lang w:val="en-US" w:eastAsia="zh-CN"/>
        </w:rPr>
        <w:t>净水</w:t>
      </w:r>
      <w:r>
        <w:rPr>
          <w:rFonts w:hint="eastAsia" w:ascii="仿宋_GB2312" w:hAnsi="Times New Roman" w:eastAsia="仿宋_GB2312"/>
          <w:sz w:val="32"/>
          <w:szCs w:val="32"/>
        </w:rPr>
        <w:t>有限公司</w:t>
      </w:r>
    </w:p>
    <w:p w14:paraId="0CA98E1E">
      <w:pPr>
        <w:pStyle w:val="55"/>
        <w:snapToGrid w:val="0"/>
        <w:spacing w:line="580" w:lineRule="exact"/>
        <w:ind w:firstLine="6080" w:firstLineChars="1900"/>
        <w:jc w:val="both"/>
        <w:rPr>
          <w:rFonts w:ascii="Times New Roman" w:hAnsi="Times New Roman" w:eastAsia="仿宋_GB2312"/>
          <w:sz w:val="32"/>
          <w:szCs w:val="32"/>
        </w:rPr>
      </w:pPr>
      <w:r>
        <w:rPr>
          <w:rFonts w:hint="eastAsia" w:ascii="Times New Roman" w:hAnsi="Times New Roman" w:eastAsia="仿宋_GB2312"/>
          <w:sz w:val="32"/>
          <w:szCs w:val="32"/>
        </w:rPr>
        <w:t xml:space="preserve">   </w:t>
      </w:r>
    </w:p>
    <w:p w14:paraId="0776B2F7">
      <w:pPr>
        <w:pStyle w:val="55"/>
        <w:snapToGrid w:val="0"/>
        <w:spacing w:line="580" w:lineRule="exact"/>
        <w:ind w:firstLine="6080" w:firstLineChars="1900"/>
        <w:jc w:val="both"/>
        <w:rPr>
          <w:rFonts w:ascii="仿宋_GB2312" w:hAnsi="Times New Roman" w:eastAsia="仿宋_GB2312"/>
          <w:sz w:val="32"/>
          <w:szCs w:val="32"/>
        </w:rPr>
      </w:pPr>
      <w:r>
        <w:rPr>
          <w:rFonts w:hint="eastAsia" w:ascii="Times New Roman" w:hAnsi="Times New Roman" w:eastAsia="仿宋_GB2312"/>
          <w:sz w:val="32"/>
          <w:szCs w:val="32"/>
        </w:rPr>
        <w:t xml:space="preserve">年   月  </w:t>
      </w:r>
      <w:r>
        <w:rPr>
          <w:rFonts w:hint="eastAsia" w:ascii="仿宋_GB2312" w:hAnsi="Times New Roman" w:eastAsia="仿宋_GB2312"/>
          <w:sz w:val="32"/>
          <w:szCs w:val="32"/>
        </w:rPr>
        <w:t>日</w:t>
      </w:r>
      <w:bookmarkStart w:id="26" w:name="现场签证通知单"/>
      <w:bookmarkEnd w:id="26"/>
      <w:bookmarkStart w:id="27" w:name="设计变更通知单"/>
      <w:bookmarkEnd w:id="27"/>
    </w:p>
    <w:p w14:paraId="75CA5E4A">
      <w:pPr>
        <w:pStyle w:val="55"/>
        <w:snapToGrid w:val="0"/>
        <w:spacing w:line="580" w:lineRule="exact"/>
        <w:ind w:firstLine="5932" w:firstLineChars="1854"/>
        <w:jc w:val="right"/>
        <w:rPr>
          <w:rFonts w:ascii="仿宋_GB2312" w:hAnsi="Times New Roman" w:eastAsia="仿宋_GB2312"/>
          <w:sz w:val="32"/>
          <w:szCs w:val="32"/>
        </w:rPr>
      </w:pPr>
    </w:p>
    <w:p w14:paraId="4C7AC736">
      <w:pPr>
        <w:pStyle w:val="55"/>
        <w:snapToGrid w:val="0"/>
        <w:spacing w:line="580" w:lineRule="exact"/>
        <w:ind w:firstLine="5932" w:firstLineChars="1854"/>
        <w:jc w:val="right"/>
        <w:rPr>
          <w:rFonts w:ascii="仿宋_GB2312" w:hAnsi="Times New Roman" w:eastAsia="仿宋_GB2312"/>
          <w:sz w:val="32"/>
          <w:szCs w:val="32"/>
        </w:rPr>
      </w:pPr>
    </w:p>
    <w:p w14:paraId="5750F6AC">
      <w:pPr>
        <w:pStyle w:val="55"/>
        <w:snapToGrid w:val="0"/>
        <w:spacing w:line="580" w:lineRule="exact"/>
        <w:ind w:firstLine="5932" w:firstLineChars="1854"/>
        <w:jc w:val="right"/>
        <w:rPr>
          <w:rFonts w:ascii="仿宋_GB2312" w:hAnsi="Times New Roman" w:eastAsia="仿宋_GB2312"/>
          <w:sz w:val="32"/>
          <w:szCs w:val="32"/>
        </w:rPr>
      </w:pPr>
    </w:p>
    <w:p w14:paraId="63262952">
      <w:pPr>
        <w:pStyle w:val="55"/>
        <w:snapToGrid w:val="0"/>
        <w:spacing w:line="580" w:lineRule="exact"/>
        <w:ind w:firstLine="5932" w:firstLineChars="1854"/>
        <w:jc w:val="right"/>
        <w:rPr>
          <w:rFonts w:ascii="仿宋_GB2312" w:hAnsi="Times New Roman" w:eastAsia="仿宋_GB2312"/>
          <w:sz w:val="32"/>
          <w:szCs w:val="32"/>
        </w:rPr>
      </w:pPr>
    </w:p>
    <w:p w14:paraId="182BAA44">
      <w:pPr>
        <w:pStyle w:val="55"/>
        <w:snapToGrid w:val="0"/>
        <w:spacing w:line="580" w:lineRule="exact"/>
        <w:ind w:firstLine="5932" w:firstLineChars="1854"/>
        <w:jc w:val="right"/>
        <w:rPr>
          <w:rFonts w:ascii="仿宋_GB2312" w:hAnsi="Times New Roman" w:eastAsia="仿宋_GB2312"/>
          <w:sz w:val="32"/>
          <w:szCs w:val="32"/>
        </w:rPr>
      </w:pPr>
    </w:p>
    <w:p w14:paraId="6E031846">
      <w:pPr>
        <w:pStyle w:val="55"/>
        <w:snapToGrid w:val="0"/>
        <w:spacing w:line="580" w:lineRule="exact"/>
        <w:ind w:firstLine="5932" w:firstLineChars="1854"/>
        <w:jc w:val="right"/>
        <w:rPr>
          <w:rFonts w:ascii="仿宋_GB2312" w:hAnsi="Times New Roman" w:eastAsia="仿宋_GB2312"/>
          <w:sz w:val="32"/>
          <w:szCs w:val="32"/>
        </w:rPr>
      </w:pPr>
    </w:p>
    <w:p w14:paraId="2EA903A7">
      <w:pPr>
        <w:pStyle w:val="55"/>
        <w:snapToGrid w:val="0"/>
        <w:spacing w:line="580" w:lineRule="exact"/>
        <w:ind w:firstLine="0"/>
        <w:jc w:val="both"/>
        <w:rPr>
          <w:rFonts w:ascii="Times New Roman" w:hAnsi="Times New Roman" w:eastAsia="黑体"/>
          <w:sz w:val="48"/>
          <w:szCs w:val="48"/>
          <w:lang w:val="zh-CN"/>
        </w:rPr>
      </w:pPr>
    </w:p>
    <w:p w14:paraId="32E1EEA9">
      <w:pPr>
        <w:rPr>
          <w:rFonts w:hint="eastAsia" w:ascii="Times New Roman" w:hAnsi="Times New Roman" w:eastAsia="黑体"/>
          <w:sz w:val="48"/>
          <w:szCs w:val="48"/>
          <w:lang w:val="zh-CN"/>
        </w:rPr>
      </w:pPr>
      <w:r>
        <w:rPr>
          <w:rFonts w:hint="eastAsia" w:ascii="Times New Roman" w:hAnsi="Times New Roman" w:eastAsia="黑体"/>
          <w:sz w:val="48"/>
          <w:szCs w:val="48"/>
          <w:lang w:val="zh-CN"/>
        </w:rPr>
        <w:br w:type="page"/>
      </w:r>
    </w:p>
    <w:p w14:paraId="679B8B31">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4F84034B">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26CA4C02">
      <w:pPr>
        <w:pStyle w:val="55"/>
        <w:snapToGrid w:val="0"/>
        <w:spacing w:line="580" w:lineRule="exact"/>
        <w:ind w:firstLine="0"/>
        <w:jc w:val="center"/>
        <w:rPr>
          <w:rFonts w:ascii="楷体_GB2312" w:hAnsi="Times New Roman" w:eastAsia="楷体_GB2312"/>
          <w:sz w:val="28"/>
          <w:szCs w:val="28"/>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编号：JS-2026-034</w:t>
      </w:r>
      <w:r>
        <w:rPr>
          <w:rFonts w:hint="eastAsia" w:ascii="楷体_GB2312" w:hAnsi="Times New Roman" w:eastAsia="楷体_GB2312"/>
          <w:sz w:val="28"/>
          <w:szCs w:val="28"/>
          <w:lang w:val="en-US" w:eastAsia="zh-CN"/>
        </w:rPr>
        <w:t xml:space="preserve">         </w:t>
      </w:r>
      <w:r>
        <w:rPr>
          <w:rFonts w:hint="eastAsia" w:ascii="Times New Roman" w:hAnsi="Times New Roman" w:eastAsia="楷体_GB2312"/>
          <w:sz w:val="28"/>
          <w:szCs w:val="28"/>
        </w:rPr>
        <w:t xml:space="preserve">   </w:t>
      </w:r>
    </w:p>
    <w:p w14:paraId="1B839B58">
      <w:pPr>
        <w:pStyle w:val="55"/>
        <w:snapToGrid w:val="0"/>
        <w:spacing w:line="580" w:lineRule="exact"/>
        <w:ind w:firstLine="0"/>
        <w:jc w:val="center"/>
        <w:rPr>
          <w:rFonts w:ascii="楷体_GB2312" w:hAnsi="Times New Roman" w:eastAsia="楷体_GB2312"/>
          <w:sz w:val="28"/>
          <w:szCs w:val="28"/>
          <w:lang w:val="zh-CN"/>
        </w:rPr>
      </w:pPr>
    </w:p>
    <w:p w14:paraId="383CFB61">
      <w:pPr>
        <w:spacing w:line="580" w:lineRule="exact"/>
        <w:ind w:firstLine="600" w:firstLineChars="250"/>
        <w:rPr>
          <w:lang w:val="zh-CN"/>
        </w:rPr>
      </w:pPr>
      <w:r>
        <w:rPr>
          <w:lang w:val="zh-CN"/>
        </w:rPr>
        <w:t>我单位于</w:t>
      </w:r>
      <w:r>
        <w:rPr>
          <w:u w:val="single"/>
          <w:lang w:val="zh-CN"/>
        </w:rPr>
        <w:t xml:space="preserve">       </w:t>
      </w:r>
      <w:r>
        <w:rPr>
          <w:lang w:val="zh-CN"/>
        </w:rPr>
        <w:t>年</w:t>
      </w:r>
      <w:r>
        <w:rPr>
          <w:u w:val="single"/>
          <w:lang w:val="zh-CN"/>
        </w:rPr>
        <w:t xml:space="preserve">    </w:t>
      </w:r>
      <w:r>
        <w:rPr>
          <w:lang w:val="zh-CN"/>
        </w:rPr>
        <w:t>月</w:t>
      </w:r>
      <w:r>
        <w:rPr>
          <w:u w:val="single"/>
          <w:lang w:val="zh-CN"/>
        </w:rPr>
        <w:t xml:space="preserve">    </w:t>
      </w:r>
      <w:r>
        <w:rPr>
          <w:lang w:val="zh-CN"/>
        </w:rPr>
        <w:t>日收到</w:t>
      </w:r>
      <w:r>
        <w:rPr>
          <w:u w:val="single"/>
        </w:rPr>
        <w:t xml:space="preserve"> </w:t>
      </w:r>
      <w:r>
        <w:rPr>
          <w:rFonts w:hint="eastAsia"/>
          <w:u w:val="single"/>
        </w:rPr>
        <w:t>东莞市石鼓</w:t>
      </w:r>
      <w:r>
        <w:rPr>
          <w:rFonts w:hint="eastAsia"/>
          <w:u w:val="single"/>
          <w:lang w:val="en-US" w:eastAsia="zh-CN"/>
        </w:rPr>
        <w:t>净水</w:t>
      </w:r>
      <w:r>
        <w:rPr>
          <w:rFonts w:hint="eastAsia"/>
          <w:u w:val="single"/>
        </w:rPr>
        <w:t xml:space="preserve">有限公司 </w:t>
      </w:r>
      <w:r>
        <w:rPr>
          <w:lang w:val="zh-CN"/>
        </w:rPr>
        <w:t>的《阳光合作告知函》，承诺理解函告内容并告知相关人员严格执行其中规定。</w:t>
      </w:r>
    </w:p>
    <w:p w14:paraId="5194F24C">
      <w:pPr>
        <w:snapToGrid w:val="0"/>
        <w:spacing w:line="580" w:lineRule="exact"/>
        <w:rPr>
          <w:lang w:val="zh-CN"/>
        </w:rPr>
      </w:pPr>
    </w:p>
    <w:p w14:paraId="6AF2710D">
      <w:pPr>
        <w:snapToGrid w:val="0"/>
        <w:spacing w:line="580" w:lineRule="exact"/>
        <w:rPr>
          <w:lang w:val="zh-CN"/>
        </w:rPr>
      </w:pPr>
      <w:r>
        <w:rPr>
          <w:lang w:val="zh-CN"/>
        </w:rPr>
        <w:t xml:space="preserve">                      </w:t>
      </w:r>
      <w:r>
        <w:rPr>
          <w:rFonts w:hint="eastAsia" w:ascii="仿宋_GB2312" w:hAnsi="仿宋" w:cs="仿宋"/>
          <w:bCs/>
          <w:szCs w:val="21"/>
        </w:rPr>
        <w:t xml:space="preserve">         </w:t>
      </w:r>
      <w:r>
        <w:rPr>
          <w:rFonts w:hint="eastAsia" w:ascii="仿宋_GB2312" w:hAnsi="仿宋" w:cs="仿宋"/>
          <w:bCs/>
          <w:szCs w:val="21"/>
          <w:lang w:val="en-US" w:eastAsia="zh-CN"/>
        </w:rPr>
        <w:t xml:space="preserve">                        </w:t>
      </w:r>
      <w:r>
        <w:rPr>
          <w:lang w:val="zh-CN"/>
        </w:rPr>
        <w:t>（盖章）</w:t>
      </w:r>
    </w:p>
    <w:p w14:paraId="28D9091E">
      <w:pPr>
        <w:snapToGrid w:val="0"/>
        <w:spacing w:line="580" w:lineRule="exact"/>
        <w:rPr>
          <w:lang w:val="zh-CN"/>
        </w:rPr>
      </w:pPr>
    </w:p>
    <w:p w14:paraId="25C0CD59">
      <w:pPr>
        <w:snapToGrid w:val="0"/>
        <w:spacing w:line="580" w:lineRule="exact"/>
        <w:ind w:right="1280" w:firstLine="3840" w:firstLineChars="1600"/>
      </w:pPr>
      <w:r>
        <w:rPr>
          <w:rFonts w:hint="eastAsia"/>
        </w:rPr>
        <w:t xml:space="preserve"> </w:t>
      </w:r>
      <w:r>
        <w:t xml:space="preserve">法定代表人：           </w:t>
      </w:r>
    </w:p>
    <w:p w14:paraId="6698026D">
      <w:pPr>
        <w:wordWrap w:val="0"/>
        <w:snapToGrid w:val="0"/>
        <w:spacing w:line="580" w:lineRule="exact"/>
        <w:jc w:val="right"/>
      </w:pPr>
      <w:r>
        <w:rPr>
          <w:rFonts w:hint="eastAsia"/>
        </w:rPr>
        <w:t xml:space="preserve"> </w:t>
      </w:r>
    </w:p>
    <w:p w14:paraId="4F185B84">
      <w:pPr>
        <w:snapToGrid w:val="0"/>
        <w:spacing w:line="580" w:lineRule="exact"/>
        <w:jc w:val="right"/>
      </w:pPr>
      <w:r>
        <w:t>年    月    日</w:t>
      </w:r>
    </w:p>
    <w:p w14:paraId="6BA0E9BD">
      <w:pPr>
        <w:widowControl/>
        <w:spacing w:line="360" w:lineRule="auto"/>
        <w:ind w:left="648" w:leftChars="270" w:right="646" w:rightChars="269" w:firstLine="480" w:firstLineChars="200"/>
        <w:rPr>
          <w:szCs w:val="21"/>
        </w:rPr>
      </w:pPr>
    </w:p>
    <w:p w14:paraId="086BB340">
      <w:pPr>
        <w:jc w:val="both"/>
        <w:rPr>
          <w:rFonts w:hint="eastAsia" w:hAnsi="宋体"/>
          <w:sz w:val="24"/>
          <w:szCs w:val="24"/>
          <w:lang w:val="en-US" w:eastAsia="zh-CN"/>
        </w:rPr>
      </w:pPr>
    </w:p>
    <w:p w14:paraId="5B8BB959">
      <w:pPr>
        <w:spacing w:line="360" w:lineRule="auto"/>
        <w:jc w:val="center"/>
        <w:rPr>
          <w:b/>
          <w:color w:val="000000" w:themeColor="text1"/>
          <w14:textFill>
            <w14:solidFill>
              <w14:schemeClr w14:val="tx1"/>
            </w14:solidFill>
          </w14:textFill>
        </w:rPr>
      </w:pPr>
    </w:p>
    <w:p w14:paraId="01D3BFB8">
      <w:pPr>
        <w:spacing w:line="360" w:lineRule="auto"/>
        <w:rPr>
          <w:b/>
          <w:color w:val="000000" w:themeColor="text1"/>
          <w14:textFill>
            <w14:solidFill>
              <w14:schemeClr w14:val="tx1"/>
            </w14:solidFill>
          </w14:textFill>
        </w:rPr>
      </w:pPr>
    </w:p>
    <w:p w14:paraId="47103A24">
      <w:pPr>
        <w:spacing w:line="360" w:lineRule="auto"/>
        <w:rPr>
          <w:b/>
          <w:color w:val="000000" w:themeColor="text1"/>
          <w14:textFill>
            <w14:solidFill>
              <w14:schemeClr w14:val="tx1"/>
            </w14:solidFill>
          </w14:textFill>
        </w:rPr>
      </w:pPr>
    </w:p>
    <w:p w14:paraId="2B78417E">
      <w:pPr>
        <w:spacing w:line="360" w:lineRule="auto"/>
        <w:rPr>
          <w:b/>
          <w:color w:val="000000" w:themeColor="text1"/>
          <w14:textFill>
            <w14:solidFill>
              <w14:schemeClr w14:val="tx1"/>
            </w14:solidFill>
          </w14:textFill>
        </w:rPr>
      </w:pPr>
    </w:p>
    <w:p w14:paraId="1A5F1FC4">
      <w:pPr>
        <w:spacing w:line="360" w:lineRule="auto"/>
        <w:rPr>
          <w:b/>
          <w:color w:val="000000" w:themeColor="text1"/>
          <w14:textFill>
            <w14:solidFill>
              <w14:schemeClr w14:val="tx1"/>
            </w14:solidFill>
          </w14:textFill>
        </w:rPr>
      </w:pPr>
    </w:p>
    <w:p w14:paraId="2EA18F71">
      <w:pPr>
        <w:spacing w:line="360" w:lineRule="auto"/>
        <w:rPr>
          <w:b/>
          <w:color w:val="000000" w:themeColor="text1"/>
          <w14:textFill>
            <w14:solidFill>
              <w14:schemeClr w14:val="tx1"/>
            </w14:solidFill>
          </w14:textFill>
        </w:rPr>
      </w:pPr>
    </w:p>
    <w:p w14:paraId="583E2843">
      <w:pPr>
        <w:spacing w:line="360" w:lineRule="auto"/>
        <w:rPr>
          <w:b/>
          <w:color w:val="000000" w:themeColor="text1"/>
          <w14:textFill>
            <w14:solidFill>
              <w14:schemeClr w14:val="tx1"/>
            </w14:solidFill>
          </w14:textFill>
        </w:rPr>
      </w:pPr>
    </w:p>
    <w:p w14:paraId="68AC4591">
      <w:pPr>
        <w:spacing w:line="360" w:lineRule="auto"/>
        <w:rPr>
          <w:b/>
          <w:color w:val="000000" w:themeColor="text1"/>
          <w14:textFill>
            <w14:solidFill>
              <w14:schemeClr w14:val="tx1"/>
            </w14:solidFill>
          </w14:textFill>
        </w:rPr>
      </w:pPr>
    </w:p>
    <w:p w14:paraId="3D6E351B">
      <w:pPr>
        <w:spacing w:line="360" w:lineRule="auto"/>
        <w:rPr>
          <w:b/>
          <w:color w:val="000000" w:themeColor="text1"/>
          <w14:textFill>
            <w14:solidFill>
              <w14:schemeClr w14:val="tx1"/>
            </w14:solidFill>
          </w14:textFill>
        </w:rPr>
      </w:pPr>
    </w:p>
    <w:p w14:paraId="66E43524">
      <w:pPr>
        <w:spacing w:line="360" w:lineRule="auto"/>
        <w:rPr>
          <w:b/>
          <w:color w:val="000000" w:themeColor="text1"/>
          <w14:textFill>
            <w14:solidFill>
              <w14:schemeClr w14:val="tx1"/>
            </w14:solidFill>
          </w14:textFill>
        </w:rPr>
      </w:pPr>
    </w:p>
    <w:p w14:paraId="7C3D14D6">
      <w:pPr>
        <w:spacing w:line="360" w:lineRule="auto"/>
        <w:rPr>
          <w:b/>
          <w:color w:val="000000" w:themeColor="text1"/>
          <w14:textFill>
            <w14:solidFill>
              <w14:schemeClr w14:val="tx1"/>
            </w14:solidFill>
          </w14:textFill>
        </w:rPr>
      </w:pPr>
    </w:p>
    <w:p w14:paraId="6B2A11E0">
      <w:pPr>
        <w:spacing w:line="360" w:lineRule="auto"/>
        <w:rPr>
          <w:b/>
          <w:color w:val="000000" w:themeColor="text1"/>
          <w14:textFill>
            <w14:solidFill>
              <w14:schemeClr w14:val="tx1"/>
            </w14:solidFill>
          </w14:textFill>
        </w:rPr>
      </w:pPr>
    </w:p>
    <w:p w14:paraId="39B45ECF">
      <w:pPr>
        <w:pStyle w:val="3"/>
        <w:spacing w:before="0" w:after="0"/>
        <w:jc w:val="center"/>
        <w:rPr>
          <w:rFonts w:hAnsi="宋体" w:cs="宋体"/>
          <w:szCs w:val="32"/>
        </w:rPr>
      </w:pPr>
      <w:bookmarkStart w:id="28" w:name="_Toc29476707"/>
      <w:r>
        <w:rPr>
          <w:rFonts w:hint="eastAsia" w:hAnsi="宋体" w:cs="宋体"/>
          <w:szCs w:val="32"/>
        </w:rPr>
        <w:t>第四章 报价须知</w:t>
      </w:r>
      <w:bookmarkEnd w:id="28"/>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含分项报价表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叶轮供货</w:t>
      </w:r>
      <w:r>
        <w:rPr>
          <w:rFonts w:hint="eastAsia" w:hAnsi="宋体" w:cs="宋体"/>
          <w:color w:val="auto"/>
          <w:highlight w:val="none"/>
          <w:u w:val="none"/>
          <w:lang w:val="en-US" w:eastAsia="zh-CN"/>
        </w:rPr>
        <w:t>相关</w:t>
      </w:r>
      <w:r>
        <w:rPr>
          <w:rFonts w:ascii="Times New Roman"/>
          <w:color w:val="auto"/>
          <w:highlight w:val="none"/>
        </w:rPr>
        <w:t>业绩（合同签订日期为</w:t>
      </w:r>
      <w:r>
        <w:rPr>
          <w:rFonts w:hint="eastAsia" w:ascii="Times New Roman"/>
          <w:color w:val="auto"/>
          <w:highlight w:val="none"/>
          <w:lang w:eastAsia="zh-CN"/>
        </w:rPr>
        <w:t>2023年1月1日</w:t>
      </w:r>
      <w:r>
        <w:rPr>
          <w:rFonts w:ascii="Times New Roman"/>
          <w:color w:val="auto"/>
          <w:highlight w:val="none"/>
        </w:rPr>
        <w:t>或以后）</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hint="eastAsia" w:ascii="Times New Roman" w:cs="宋体"/>
          <w:b/>
          <w:bCs/>
          <w:lang w:val="en-US" w:eastAsia="zh-CN"/>
        </w:rPr>
        <w:t>8</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29" w:name="_Toc29476708"/>
      <w:r>
        <w:rPr>
          <w:rFonts w:hint="eastAsia" w:hAnsi="宋体" w:cs="宋体"/>
          <w:szCs w:val="32"/>
        </w:rPr>
        <w:t>第五章 报价文件（格式）</w:t>
      </w:r>
      <w:bookmarkEnd w:id="29"/>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lang w:eastAsia="zh-CN"/>
              </w:rPr>
              <w:t>东莞市石鼓净水有限公司市区水质净化厂提标提升泵叶轮采购项目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C56D7CA">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4"/>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4"/>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cs="宋体"/>
                <w:b/>
                <w:bCs/>
                <w:color w:val="auto"/>
                <w:kern w:val="2"/>
                <w:sz w:val="24"/>
                <w:szCs w:val="24"/>
                <w:highlight w:val="none"/>
                <w:lang w:val="en-US" w:eastAsia="zh-CN"/>
              </w:rPr>
              <w:t>166,460.17</w:t>
            </w:r>
            <w:r>
              <w:rPr>
                <w:rFonts w:hint="eastAsia" w:ascii="Times New Roman"/>
                <w:b/>
                <w:bCs/>
              </w:rPr>
              <w:t>元），</w:t>
            </w:r>
            <w:r>
              <w:rPr>
                <w:rFonts w:ascii="Times New Roman"/>
                <w:b/>
                <w:bCs/>
              </w:rPr>
              <w:t>否则视为无效报价。</w:t>
            </w:r>
          </w:p>
          <w:p w14:paraId="493D6F2E">
            <w:pPr>
              <w:numPr>
                <w:ilvl w:val="0"/>
                <w:numId w:val="4"/>
              </w:numPr>
              <w:autoSpaceDE/>
              <w:autoSpaceDN/>
              <w:adjustRightInd/>
              <w:jc w:val="both"/>
              <w:rPr>
                <w:rFonts w:ascii="Times New Roman"/>
                <w:b/>
                <w:bCs/>
              </w:rPr>
            </w:pPr>
            <w:bookmarkStart w:id="34" w:name="_GoBack"/>
            <w:bookmarkEnd w:id="34"/>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footerReference r:id="rId5"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30" w:name="_Hlk26973180"/>
      <w:r>
        <w:rPr>
          <w:rFonts w:hint="eastAsia" w:hAnsi="宋体" w:cs="宋体"/>
          <w:b/>
          <w:color w:val="000000"/>
          <w:sz w:val="28"/>
          <w:szCs w:val="28"/>
        </w:rPr>
        <w:t>响应声明</w:t>
      </w:r>
    </w:p>
    <w:bookmarkEnd w:id="30"/>
    <w:p w14:paraId="00145D58">
      <w:pPr>
        <w:spacing w:line="360" w:lineRule="auto"/>
        <w:ind w:firstLine="480" w:firstLineChars="200"/>
        <w:rPr>
          <w:rFonts w:hAnsi="宋体" w:cs="宋体"/>
        </w:rPr>
      </w:pPr>
      <w:bookmarkStart w:id="31" w:name="_Toc513226437"/>
      <w:bookmarkStart w:id="32" w:name="_Toc534278252"/>
      <w:bookmarkStart w:id="33" w:name="_Toc534701786"/>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31FA6062">
      <w:pPr>
        <w:spacing w:line="360" w:lineRule="auto"/>
        <w:rPr>
          <w:rFonts w:hint="eastAsia" w:ascii="Times New Roman" w:eastAsia="宋体"/>
          <w:b/>
          <w:color w:val="000000" w:themeColor="text1"/>
          <w:sz w:val="28"/>
          <w:szCs w:val="28"/>
          <w14:textFill>
            <w14:solidFill>
              <w14:schemeClr w14:val="tx1"/>
            </w14:solidFill>
          </w14:textFill>
        </w:rPr>
      </w:pPr>
      <w:r>
        <w:rPr>
          <w:rFonts w:hint="eastAsia" w:ascii="Times New Roman" w:eastAsia="宋体"/>
          <w:b/>
          <w:color w:val="000000" w:themeColor="text1"/>
          <w:sz w:val="28"/>
          <w:szCs w:val="28"/>
          <w14:textFill>
            <w14:solidFill>
              <w14:schemeClr w14:val="tx1"/>
            </w14:solidFill>
          </w14:textFill>
        </w:rPr>
        <w:t>4.</w:t>
      </w:r>
      <w:r>
        <w:rPr>
          <w:rFonts w:hint="eastAsia" w:ascii="Times New Roman" w:eastAsia="宋体"/>
          <w:b/>
          <w:color w:val="000000" w:themeColor="text1"/>
          <w:sz w:val="28"/>
          <w:szCs w:val="28"/>
          <w:lang w:val="en-US" w:eastAsia="zh-CN"/>
          <w14:textFill>
            <w14:solidFill>
              <w14:schemeClr w14:val="tx1"/>
            </w14:solidFill>
          </w14:textFill>
        </w:rPr>
        <w:t>报价人提供</w:t>
      </w:r>
      <w:r>
        <w:rPr>
          <w:rFonts w:hint="eastAsia" w:ascii="Times New Roman" w:eastAsia="宋体"/>
          <w:b/>
          <w:color w:val="000000" w:themeColor="text1"/>
          <w:sz w:val="28"/>
          <w:szCs w:val="28"/>
          <w14:textFill>
            <w14:solidFill>
              <w14:schemeClr w14:val="tx1"/>
            </w14:solidFill>
          </w14:textFill>
        </w:rPr>
        <w:t>一</w:t>
      </w:r>
      <w:r>
        <w:rPr>
          <w:rFonts w:hint="eastAsia" w:ascii="Times New Roman" w:eastAsia="宋体"/>
          <w:b/>
          <w:color w:val="000000" w:themeColor="text1"/>
          <w:sz w:val="28"/>
          <w:szCs w:val="28"/>
          <w:lang w:val="en-US" w:eastAsia="zh-CN"/>
          <w14:textFill>
            <w14:solidFill>
              <w14:schemeClr w14:val="tx1"/>
            </w14:solidFill>
          </w14:textFill>
        </w:rPr>
        <w:t>份叶轮供货相关</w:t>
      </w:r>
      <w:r>
        <w:rPr>
          <w:rFonts w:hint="eastAsia" w:ascii="Times New Roman" w:eastAsia="宋体"/>
          <w:b/>
          <w:color w:val="000000" w:themeColor="text1"/>
          <w:sz w:val="28"/>
          <w:szCs w:val="28"/>
          <w14:textFill>
            <w14:solidFill>
              <w14:schemeClr w14:val="tx1"/>
            </w14:solidFill>
          </w14:textFill>
        </w:rPr>
        <w:t>业绩（合同签订日期为</w:t>
      </w:r>
      <w:r>
        <w:rPr>
          <w:rFonts w:hint="eastAsia" w:ascii="Times New Roman" w:eastAsia="宋体"/>
          <w:b/>
          <w:color w:val="000000" w:themeColor="text1"/>
          <w:sz w:val="28"/>
          <w:szCs w:val="28"/>
          <w:lang w:eastAsia="zh-CN"/>
          <w14:textFill>
            <w14:solidFill>
              <w14:schemeClr w14:val="tx1"/>
            </w14:solidFill>
          </w14:textFill>
        </w:rPr>
        <w:t>2023年1月1日</w:t>
      </w:r>
      <w:r>
        <w:rPr>
          <w:rFonts w:hint="eastAsia" w:ascii="Times New Roman" w:eastAsia="宋体"/>
          <w:b/>
          <w:color w:val="000000" w:themeColor="text1"/>
          <w:sz w:val="28"/>
          <w:szCs w:val="28"/>
          <w14:textFill>
            <w14:solidFill>
              <w14:schemeClr w14:val="tx1"/>
            </w14:solidFill>
          </w14:textFill>
        </w:rPr>
        <w:t>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30B2AA4">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lang w:eastAsia="zh-CN"/>
        </w:rPr>
        <w:t>东莞市石鼓净水有限公司市区水质净化厂提标提升泵叶轮采购项目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31"/>
    <w:bookmarkEnd w:id="32"/>
    <w:bookmarkEnd w:id="33"/>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abstractNum w:abstractNumId="1">
    <w:nsid w:val="2D25646E"/>
    <w:multiLevelType w:val="singleLevel"/>
    <w:tmpl w:val="2D25646E"/>
    <w:lvl w:ilvl="0" w:tentative="0">
      <w:start w:val="1"/>
      <w:numFmt w:val="decimal"/>
      <w:suff w:val="nothing"/>
      <w:lvlText w:val="%1、"/>
      <w:lvlJc w:val="left"/>
    </w:lvl>
  </w:abstractNum>
  <w:abstractNum w:abstractNumId="2">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2A8538D"/>
    <w:multiLevelType w:val="singleLevel"/>
    <w:tmpl w:val="62A8538D"/>
    <w:lvl w:ilvl="0" w:tentative="0">
      <w:start w:val="4"/>
      <w:numFmt w:val="decimal"/>
      <w:suff w:val="nothing"/>
      <w:lvlText w:val="%1、"/>
      <w:lvlJc w:val="left"/>
      <w:pPr>
        <w:ind w:left="480" w:leftChars="0" w:firstLine="0" w:firstLineChars="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43E18CA"/>
    <w:rsid w:val="06E27ADA"/>
    <w:rsid w:val="07440B95"/>
    <w:rsid w:val="08B1198F"/>
    <w:rsid w:val="0A6C3DC0"/>
    <w:rsid w:val="11714165"/>
    <w:rsid w:val="12567973"/>
    <w:rsid w:val="166C3E5C"/>
    <w:rsid w:val="1719707D"/>
    <w:rsid w:val="1CFF214E"/>
    <w:rsid w:val="1E190503"/>
    <w:rsid w:val="21217D8A"/>
    <w:rsid w:val="2386555D"/>
    <w:rsid w:val="24435D01"/>
    <w:rsid w:val="250F1AC0"/>
    <w:rsid w:val="262A4E03"/>
    <w:rsid w:val="27E162AD"/>
    <w:rsid w:val="282E038C"/>
    <w:rsid w:val="29E140BF"/>
    <w:rsid w:val="2A631000"/>
    <w:rsid w:val="2BCE6231"/>
    <w:rsid w:val="2C3562B0"/>
    <w:rsid w:val="2CCD3838"/>
    <w:rsid w:val="308F7574"/>
    <w:rsid w:val="326B64DD"/>
    <w:rsid w:val="45120AE5"/>
    <w:rsid w:val="462E7BA0"/>
    <w:rsid w:val="4DC81F78"/>
    <w:rsid w:val="4F7244C4"/>
    <w:rsid w:val="500501A6"/>
    <w:rsid w:val="51492FE2"/>
    <w:rsid w:val="54AF4891"/>
    <w:rsid w:val="5A313B60"/>
    <w:rsid w:val="5B02162B"/>
    <w:rsid w:val="5BED3CEF"/>
    <w:rsid w:val="5C6F4617"/>
    <w:rsid w:val="5D9600A9"/>
    <w:rsid w:val="5F9D2B92"/>
    <w:rsid w:val="60A60CCB"/>
    <w:rsid w:val="62F85366"/>
    <w:rsid w:val="63143EF4"/>
    <w:rsid w:val="639579B5"/>
    <w:rsid w:val="65316E3C"/>
    <w:rsid w:val="6AED5C1F"/>
    <w:rsid w:val="6F420807"/>
    <w:rsid w:val="70714B0F"/>
    <w:rsid w:val="7288319E"/>
    <w:rsid w:val="7A3E58FC"/>
    <w:rsid w:val="7ACB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2"/>
    <w:qFormat/>
    <w:uiPriority w:val="0"/>
  </w:style>
  <w:style w:type="paragraph" w:styleId="8">
    <w:name w:val="Body Text"/>
    <w:basedOn w:val="1"/>
    <w:next w:val="9"/>
    <w:link w:val="34"/>
    <w:qFormat/>
    <w:uiPriority w:val="99"/>
    <w:pPr>
      <w:spacing w:after="120"/>
    </w:pPr>
    <w:rPr>
      <w:rFonts w:ascii="Times New Roman"/>
    </w:rPr>
  </w:style>
  <w:style w:type="paragraph" w:styleId="9">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0"/>
    <w:qFormat/>
    <w:uiPriority w:val="0"/>
    <w:pPr>
      <w:autoSpaceDE/>
      <w:autoSpaceDN/>
      <w:adjustRightInd/>
      <w:jc w:val="both"/>
    </w:pPr>
    <w:rPr>
      <w:rFonts w:hAnsi="Courier New"/>
      <w:kern w:val="2"/>
      <w:sz w:val="21"/>
      <w:szCs w:val="20"/>
    </w:rPr>
  </w:style>
  <w:style w:type="paragraph" w:styleId="11">
    <w:name w:val="Balloon Text"/>
    <w:basedOn w:val="1"/>
    <w:link w:val="31"/>
    <w:qFormat/>
    <w:uiPriority w:val="99"/>
    <w:rPr>
      <w:sz w:val="18"/>
      <w:szCs w:val="18"/>
    </w:rPr>
  </w:style>
  <w:style w:type="paragraph" w:styleId="12">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7"/>
    <w:next w:val="7"/>
    <w:link w:val="33"/>
    <w:qFormat/>
    <w:uiPriority w:val="99"/>
    <w:rPr>
      <w:b/>
      <w:bCs/>
    </w:rPr>
  </w:style>
  <w:style w:type="paragraph" w:styleId="18">
    <w:name w:val="Body Text First Indent"/>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9"/>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1"/>
    <w:qFormat/>
    <w:uiPriority w:val="99"/>
    <w:rPr>
      <w:rFonts w:ascii="宋体"/>
      <w:sz w:val="18"/>
      <w:szCs w:val="18"/>
    </w:rPr>
  </w:style>
  <w:style w:type="character" w:customStyle="1" w:styleId="32">
    <w:name w:val="批注文字 字符"/>
    <w:basedOn w:val="22"/>
    <w:link w:val="7"/>
    <w:qFormat/>
    <w:uiPriority w:val="99"/>
    <w:rPr>
      <w:rFonts w:ascii="宋体"/>
      <w:sz w:val="24"/>
      <w:szCs w:val="24"/>
    </w:rPr>
  </w:style>
  <w:style w:type="character" w:customStyle="1" w:styleId="33">
    <w:name w:val="批注主题 字符"/>
    <w:basedOn w:val="32"/>
    <w:link w:val="17"/>
    <w:qFormat/>
    <w:uiPriority w:val="99"/>
    <w:rPr>
      <w:rFonts w:ascii="宋体"/>
      <w:b/>
      <w:bCs/>
      <w:sz w:val="24"/>
      <w:szCs w:val="24"/>
    </w:rPr>
  </w:style>
  <w:style w:type="character" w:customStyle="1" w:styleId="34">
    <w:name w:val="正文文本 字符"/>
    <w:basedOn w:val="22"/>
    <w:link w:val="8"/>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5"/>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0"/>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2"/>
    <w:qFormat/>
    <w:uiPriority w:val="99"/>
    <w:rPr>
      <w:rFonts w:asciiTheme="minorHAnsi" w:hAnsiTheme="minorHAnsi" w:eastAsiaTheme="minorEastAsia" w:cstheme="minorBidi"/>
      <w:kern w:val="2"/>
      <w:sz w:val="18"/>
      <w:szCs w:val="18"/>
    </w:rPr>
  </w:style>
  <w:style w:type="character" w:customStyle="1" w:styleId="43">
    <w:name w:val="页眉 字符"/>
    <w:link w:val="13"/>
    <w:qFormat/>
    <w:uiPriority w:val="99"/>
    <w:rPr>
      <w:rFonts w:ascii="宋体"/>
      <w:sz w:val="18"/>
      <w:szCs w:val="24"/>
    </w:rPr>
  </w:style>
  <w:style w:type="character" w:customStyle="1" w:styleId="44">
    <w:name w:val="HTML 预设格式 字符"/>
    <w:basedOn w:val="22"/>
    <w:link w:val="16"/>
    <w:qFormat/>
    <w:uiPriority w:val="0"/>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9"/>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2"/>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 w:type="character" w:customStyle="1" w:styleId="57">
    <w:name w:val="font11"/>
    <w:basedOn w:val="22"/>
    <w:qFormat/>
    <w:uiPriority w:val="0"/>
    <w:rPr>
      <w:rFonts w:hint="eastAsia" w:ascii="宋体" w:hAnsi="宋体" w:eastAsia="宋体" w:cs="宋体"/>
      <w:color w:val="000000"/>
      <w:sz w:val="22"/>
      <w:szCs w:val="22"/>
      <w:u w:val="none"/>
    </w:rPr>
  </w:style>
  <w:style w:type="character" w:customStyle="1" w:styleId="58">
    <w:name w:val="font41"/>
    <w:basedOn w:val="22"/>
    <w:qFormat/>
    <w:uiPriority w:val="0"/>
    <w:rPr>
      <w:rFonts w:hint="eastAsia" w:ascii="宋体" w:hAnsi="宋体" w:eastAsia="宋体" w:cs="宋体"/>
      <w:color w:val="000000"/>
      <w:sz w:val="20"/>
      <w:szCs w:val="20"/>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3 字符"/>
    <w:basedOn w:val="22"/>
    <w:link w:val="4"/>
    <w:semiHidden/>
    <w:qFormat/>
    <w:uiPriority w:val="0"/>
    <w:rPr>
      <w:rFonts w:ascii="宋体"/>
      <w:b/>
      <w:bCs/>
      <w:sz w:val="32"/>
      <w:szCs w:val="32"/>
    </w:rPr>
  </w:style>
  <w:style w:type="paragraph" w:customStyle="1" w:styleId="63">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4">
    <w:name w:val="Table Text"/>
    <w:basedOn w:val="1"/>
    <w:semiHidden/>
    <w:qFormat/>
    <w:uiPriority w:val="0"/>
    <w:rPr>
      <w:rFonts w:hAnsi="宋体" w:cs="宋体"/>
      <w:lang w:eastAsia="en-US"/>
    </w:rPr>
  </w:style>
  <w:style w:type="character" w:customStyle="1" w:styleId="65">
    <w:name w:val="font21"/>
    <w:qFormat/>
    <w:uiPriority w:val="0"/>
    <w:rPr>
      <w:rFonts w:hint="eastAsia" w:ascii="宋体" w:hAnsi="宋体" w:eastAsia="宋体" w:cs="宋体"/>
      <w:color w:val="000000"/>
      <w:sz w:val="22"/>
      <w:szCs w:val="22"/>
      <w:u w:val="none"/>
    </w:rPr>
  </w:style>
  <w:style w:type="paragraph" w:customStyle="1" w:styleId="66">
    <w:name w:val="样式 宋体 行距: 1.5 倍行距"/>
    <w:basedOn w:val="1"/>
    <w:autoRedefine/>
    <w:qFormat/>
    <w:uiPriority w:val="0"/>
    <w:pPr>
      <w:jc w:val="center"/>
    </w:pPr>
    <w:rPr>
      <w:rFonts w:ascii="Times New Roman"/>
      <w:b/>
    </w:rPr>
  </w:style>
  <w:style w:type="table" w:customStyle="1" w:styleId="67">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42</Pages>
  <Words>12457</Words>
  <Characters>12767</Characters>
  <Lines>138</Lines>
  <Paragraphs>39</Paragraphs>
  <TotalTime>0</TotalTime>
  <ScaleCrop>false</ScaleCrop>
  <LinksUpToDate>false</LinksUpToDate>
  <CharactersWithSpaces>13288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2020-10-15T06:52:00Z</cp:lastPrinted>
  <dcterms:modified xsi:type="dcterms:W3CDTF">2026-04-14T09:08:47Z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5B6846DA1C80446FBB5157F377B7C319_12</vt:lpwstr>
  </property>
</Properties>
</file>