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6483C27">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东莞市污泥集中处理处置项目膜系统等相关药剂采购项目</w:t>
      </w:r>
    </w:p>
    <w:p w14:paraId="78EAFC53">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13</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13</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“东莞市污泥集中处理处置项目膜系统等相关药剂采购项目”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36</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东莞市污泥集中处理处置项目膜系统等相关药剂采购项目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hAnsi="Times New Roman" w:eastAsia="宋体" w:cs="宋体"/>
          <w:color w:val="auto"/>
          <w:kern w:val="2"/>
          <w:sz w:val="24"/>
          <w:szCs w:val="24"/>
          <w:highlight w:val="none"/>
          <w:lang w:val="en-US" w:eastAsia="zh-CN"/>
        </w:rPr>
        <w:t>188,023.89</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膜系统等相关药剂</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w:t>
      </w:r>
      <w:r>
        <w:rPr>
          <w:rFonts w:hint="eastAsia" w:ascii="Times New Roman"/>
          <w:lang w:val="en-US" w:eastAsia="zh-CN"/>
        </w:rPr>
        <w:t>液体</w:t>
      </w:r>
      <w:r>
        <w:rPr>
          <w:rFonts w:hint="eastAsia" w:ascii="Times New Roman" w:hAnsi="Times New Roman" w:eastAsia="宋体" w:cs="宋体"/>
          <w:color w:val="auto"/>
          <w:sz w:val="24"/>
          <w:szCs w:val="24"/>
          <w:highlight w:val="none"/>
        </w:rPr>
        <w:t>阻垢缓蚀剂</w:t>
      </w:r>
      <w:r>
        <w:rPr>
          <w:rFonts w:hint="eastAsia" w:asci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rPr>
        <w:t>固体亚硫酸氢钠</w:t>
      </w:r>
      <w:r>
        <w:rPr>
          <w:rFonts w:hint="eastAsia" w:asci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bidi="ar"/>
        </w:rPr>
        <w:t>固体柠檬酸</w:t>
      </w:r>
      <w:r>
        <w:rPr>
          <w:rFonts w:hint="eastAsia" w:ascii="Times New Roman"/>
        </w:rPr>
        <w:t>供货业绩</w:t>
      </w:r>
      <w:r>
        <w:rPr>
          <w:rFonts w:hint="eastAsia" w:ascii="Times New Roman"/>
          <w:lang w:eastAsia="zh-CN"/>
        </w:rPr>
        <w:t>，业绩可为一份或多份，种类涵盖前述药剂。</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bookmarkStart w:id="32" w:name="_GoBack"/>
      <w:bookmarkEnd w:id="32"/>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13</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5087"/>
      <w:bookmarkStart w:id="7" w:name="_Toc447044476"/>
      <w:bookmarkStart w:id="8" w:name="_Toc447044600"/>
    </w:p>
    <w:p w14:paraId="64CFB162">
      <w:pPr>
        <w:autoSpaceDE/>
        <w:autoSpaceDN/>
        <w:adjustRightInd/>
        <w:spacing w:line="360" w:lineRule="auto"/>
        <w:ind w:firstLine="482"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b/>
          <w:bCs/>
          <w:color w:val="auto"/>
          <w:kern w:val="2"/>
          <w:sz w:val="24"/>
          <w:szCs w:val="24"/>
          <w:highlight w:val="none"/>
        </w:rPr>
        <w:t>一、总体要求</w:t>
      </w:r>
    </w:p>
    <w:p w14:paraId="0649B668">
      <w:pPr>
        <w:autoSpaceDE/>
        <w:autoSpaceDN/>
        <w:adjustRightInd/>
        <w:spacing w:before="50" w:after="6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rPr>
        <w:t>供货单位所供相关化学药剂适用于循环冷却水、除盐水、废水处理系统，满足相关系统的正常运行</w:t>
      </w:r>
      <w:r>
        <w:rPr>
          <w:rFonts w:ascii="Times New Roman" w:hAnsi="Times New Roman" w:eastAsia="宋体" w:cs="宋体"/>
          <w:color w:val="auto"/>
          <w:sz w:val="24"/>
          <w:szCs w:val="24"/>
          <w:highlight w:val="none"/>
        </w:rPr>
        <w:t>。</w:t>
      </w:r>
    </w:p>
    <w:p w14:paraId="32273D72">
      <w:pPr>
        <w:autoSpaceDE/>
        <w:autoSpaceDN/>
        <w:adjustRightInd/>
        <w:spacing w:before="50" w:after="6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b/>
          <w:bCs/>
          <w:color w:val="auto"/>
          <w:sz w:val="24"/>
          <w:szCs w:val="24"/>
          <w:highlight w:val="none"/>
        </w:rPr>
        <w:t>具体供货量根据实际运营需求，并结合采购人使用成交单位提供的药剂样品所做的小试及实际使用后的情况确定。</w:t>
      </w:r>
    </w:p>
    <w:p w14:paraId="36956C57">
      <w:pPr>
        <w:autoSpaceDE/>
        <w:autoSpaceDN/>
        <w:adjustRightInd/>
        <w:spacing w:line="360" w:lineRule="auto"/>
        <w:ind w:firstLine="480" w:firstLineChars="200"/>
        <w:jc w:val="both"/>
        <w:rPr>
          <w:rFonts w:hint="eastAsia" w:ascii="Times New Roman" w:hAnsi="Times New Roman" w:eastAsia="宋体" w:cs="宋体"/>
          <w:color w:val="auto"/>
          <w:kern w:val="2"/>
          <w:sz w:val="24"/>
          <w:szCs w:val="24"/>
          <w:highlight w:val="none"/>
        </w:rPr>
      </w:pPr>
      <w:r>
        <w:rPr>
          <w:rFonts w:hint="eastAsia" w:ascii="Times New Roman" w:hAnsi="Times New Roman" w:eastAsia="宋体" w:cs="宋体"/>
          <w:color w:val="auto"/>
          <w:sz w:val="24"/>
          <w:szCs w:val="24"/>
          <w:highlight w:val="none"/>
        </w:rPr>
        <w:t>3.供货期：自合同签订之日至2026年12月31日</w:t>
      </w:r>
      <w:r>
        <w:rPr>
          <w:rFonts w:hint="eastAsia" w:ascii="Times New Roman" w:hAnsi="Times New Roman" w:eastAsia="宋体" w:cs="宋体"/>
          <w:color w:val="auto"/>
          <w:kern w:val="2"/>
          <w:sz w:val="24"/>
          <w:szCs w:val="24"/>
          <w:highlight w:val="none"/>
        </w:rPr>
        <w:t>，具体供货产品及供货起始日期以采购人书面通知为准，供货单位收到采购人通知后必须无条件按照采购人的要求开始供货。</w:t>
      </w:r>
    </w:p>
    <w:p w14:paraId="10A0772A">
      <w:pPr>
        <w:autoSpaceDE/>
        <w:autoSpaceDN/>
        <w:adjustRightInd/>
        <w:spacing w:line="360" w:lineRule="auto"/>
        <w:ind w:firstLine="480" w:firstLineChars="200"/>
        <w:jc w:val="both"/>
        <w:rPr>
          <w:rFonts w:hint="default" w:ascii="Times New Roman" w:hAnsi="Times New Roman" w:eastAsia="宋体" w:cs="宋体"/>
          <w:color w:val="auto"/>
          <w:kern w:val="2"/>
          <w:sz w:val="24"/>
          <w:szCs w:val="24"/>
          <w:highlight w:val="none"/>
          <w:lang w:val="en-US" w:eastAsia="zh-CN"/>
        </w:rPr>
      </w:pPr>
      <w:r>
        <w:rPr>
          <w:rFonts w:hint="eastAsia" w:ascii="Times New Roman" w:hAnsi="Times New Roman" w:eastAsia="宋体" w:cs="宋体"/>
          <w:color w:val="auto"/>
          <w:kern w:val="2"/>
          <w:sz w:val="24"/>
          <w:szCs w:val="24"/>
          <w:highlight w:val="none"/>
          <w:lang w:val="en-US" w:eastAsia="zh-CN"/>
        </w:rPr>
        <w:t>4.采购预算：188,023.89元（不含税）</w:t>
      </w:r>
    </w:p>
    <w:p w14:paraId="5A0144D9">
      <w:pPr>
        <w:autoSpaceDE/>
        <w:autoSpaceDN/>
        <w:adjustRightInd/>
        <w:spacing w:line="360" w:lineRule="auto"/>
        <w:ind w:firstLine="482" w:firstLineChars="200"/>
        <w:jc w:val="both"/>
        <w:rPr>
          <w:rFonts w:ascii="Times New Roman" w:hAnsi="Times New Roman" w:eastAsia="宋体" w:cs="宋体"/>
          <w:b/>
          <w:bCs/>
          <w:color w:val="auto"/>
          <w:kern w:val="2"/>
          <w:sz w:val="24"/>
          <w:szCs w:val="24"/>
          <w:highlight w:val="none"/>
        </w:rPr>
      </w:pPr>
      <w:r>
        <w:rPr>
          <w:rFonts w:hint="eastAsia" w:ascii="Times New Roman" w:hAnsi="Times New Roman" w:eastAsia="宋体" w:cs="宋体"/>
          <w:b/>
          <w:bCs/>
          <w:color w:val="auto"/>
          <w:kern w:val="2"/>
          <w:sz w:val="24"/>
          <w:szCs w:val="24"/>
          <w:highlight w:val="none"/>
        </w:rPr>
        <w:t>二、药剂要求</w:t>
      </w:r>
    </w:p>
    <w:p w14:paraId="7B2AC7CB">
      <w:pPr>
        <w:spacing w:line="360" w:lineRule="auto"/>
        <w:ind w:firstLine="480"/>
        <w:jc w:val="both"/>
        <w:rPr>
          <w:rFonts w:ascii="Times New Roman" w:hAnsi="Times New Roman" w:eastAsia="宋体" w:cstheme="minorBidi"/>
          <w:color w:val="auto"/>
          <w:kern w:val="2"/>
          <w:sz w:val="24"/>
          <w:szCs w:val="24"/>
          <w:highlight w:val="none"/>
        </w:rPr>
      </w:pPr>
      <w:r>
        <w:rPr>
          <w:rFonts w:hint="eastAsia" w:ascii="Times New Roman" w:hAnsi="Times New Roman" w:eastAsia="宋体" w:cstheme="minorBidi"/>
          <w:color w:val="auto"/>
          <w:kern w:val="2"/>
          <w:sz w:val="24"/>
          <w:szCs w:val="24"/>
          <w:highlight w:val="none"/>
        </w:rPr>
        <w:t>1</w:t>
      </w:r>
      <w:r>
        <w:rPr>
          <w:rFonts w:hint="eastAsia" w:ascii="Times New Roman" w:hAnsi="Times New Roman" w:eastAsia="宋体" w:cstheme="minorBidi"/>
          <w:color w:val="auto"/>
          <w:kern w:val="2"/>
          <w:sz w:val="24"/>
          <w:szCs w:val="24"/>
          <w:highlight w:val="none"/>
          <w:lang w:val="en-US" w:eastAsia="zh-CN"/>
        </w:rPr>
        <w:t>.</w:t>
      </w:r>
      <w:r>
        <w:rPr>
          <w:rFonts w:hint="eastAsia" w:ascii="Times New Roman" w:hAnsi="Times New Roman" w:eastAsia="宋体" w:cstheme="minorBidi"/>
          <w:color w:val="auto"/>
          <w:kern w:val="2"/>
          <w:sz w:val="24"/>
          <w:szCs w:val="24"/>
          <w:highlight w:val="none"/>
        </w:rPr>
        <w:t>药剂基本信息及要求</w:t>
      </w:r>
    </w:p>
    <w:tbl>
      <w:tblPr>
        <w:tblStyle w:val="21"/>
        <w:tblW w:w="9745"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587"/>
        <w:gridCol w:w="1316"/>
        <w:gridCol w:w="937"/>
        <w:gridCol w:w="2319"/>
        <w:gridCol w:w="732"/>
        <w:gridCol w:w="1239"/>
        <w:gridCol w:w="1105"/>
      </w:tblGrid>
      <w:tr w14:paraId="5AB2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10" w:type="dxa"/>
            <w:vAlign w:val="center"/>
          </w:tcPr>
          <w:p w14:paraId="1FAF27B4">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序号</w:t>
            </w:r>
          </w:p>
        </w:tc>
        <w:tc>
          <w:tcPr>
            <w:tcW w:w="1587" w:type="dxa"/>
            <w:vAlign w:val="center"/>
          </w:tcPr>
          <w:p w14:paraId="6109FD97">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药剂名称</w:t>
            </w:r>
          </w:p>
        </w:tc>
        <w:tc>
          <w:tcPr>
            <w:tcW w:w="1316" w:type="dxa"/>
            <w:vAlign w:val="center"/>
          </w:tcPr>
          <w:p w14:paraId="127EE74C">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使用系统</w:t>
            </w:r>
          </w:p>
        </w:tc>
        <w:tc>
          <w:tcPr>
            <w:tcW w:w="937" w:type="dxa"/>
            <w:vAlign w:val="center"/>
          </w:tcPr>
          <w:p w14:paraId="0F035C1E">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性状</w:t>
            </w:r>
          </w:p>
        </w:tc>
        <w:tc>
          <w:tcPr>
            <w:tcW w:w="2319" w:type="dxa"/>
            <w:vAlign w:val="center"/>
          </w:tcPr>
          <w:p w14:paraId="6A7862B9">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药剂储运方案</w:t>
            </w:r>
          </w:p>
        </w:tc>
        <w:tc>
          <w:tcPr>
            <w:tcW w:w="732" w:type="dxa"/>
            <w:vAlign w:val="center"/>
          </w:tcPr>
          <w:p w14:paraId="73CAAA92">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包装形式</w:t>
            </w:r>
          </w:p>
        </w:tc>
        <w:tc>
          <w:tcPr>
            <w:tcW w:w="1239" w:type="dxa"/>
            <w:vAlign w:val="center"/>
          </w:tcPr>
          <w:p w14:paraId="3DB605B1">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暂定用量</w:t>
            </w:r>
          </w:p>
          <w:p w14:paraId="1FCEA95A">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（T）</w:t>
            </w:r>
          </w:p>
        </w:tc>
        <w:tc>
          <w:tcPr>
            <w:tcW w:w="1105" w:type="dxa"/>
            <w:vAlign w:val="center"/>
          </w:tcPr>
          <w:p w14:paraId="690E28EC">
            <w:pPr>
              <w:pStyle w:val="8"/>
              <w:jc w:val="center"/>
              <w:rPr>
                <w:rFonts w:ascii="Times New Roman" w:hAnsi="Times New Roman" w:eastAsia="宋体" w:cs="宋体"/>
                <w:b w:val="0"/>
                <w:bCs w:val="0"/>
                <w:color w:val="auto"/>
                <w:sz w:val="24"/>
                <w:szCs w:val="24"/>
                <w:highlight w:val="none"/>
                <w:lang w:val="en-US" w:bidi="ar"/>
              </w:rPr>
            </w:pPr>
            <w:r>
              <w:rPr>
                <w:rFonts w:hint="eastAsia" w:ascii="Times New Roman" w:hAnsi="Times New Roman" w:eastAsia="宋体" w:cs="宋体"/>
                <w:b w:val="0"/>
                <w:bCs w:val="0"/>
                <w:color w:val="auto"/>
                <w:sz w:val="24"/>
                <w:szCs w:val="24"/>
                <w:highlight w:val="none"/>
                <w:lang w:val="en-US" w:bidi="ar"/>
              </w:rPr>
              <w:t>备注</w:t>
            </w:r>
          </w:p>
        </w:tc>
      </w:tr>
      <w:tr w14:paraId="571F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10" w:type="dxa"/>
            <w:vAlign w:val="center"/>
          </w:tcPr>
          <w:p w14:paraId="11DCB909">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lang w:bidi="ar"/>
              </w:rPr>
              <w:t>1</w:t>
            </w:r>
          </w:p>
        </w:tc>
        <w:tc>
          <w:tcPr>
            <w:tcW w:w="1587" w:type="dxa"/>
            <w:vAlign w:val="center"/>
          </w:tcPr>
          <w:p w14:paraId="77C93300">
            <w:pPr>
              <w:widowControl/>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阻垢缓蚀剂</w:t>
            </w:r>
          </w:p>
        </w:tc>
        <w:tc>
          <w:tcPr>
            <w:tcW w:w="1316" w:type="dxa"/>
            <w:vAlign w:val="center"/>
          </w:tcPr>
          <w:p w14:paraId="76688CDB">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循环水</w:t>
            </w:r>
          </w:p>
        </w:tc>
        <w:tc>
          <w:tcPr>
            <w:tcW w:w="937" w:type="dxa"/>
            <w:vAlign w:val="center"/>
          </w:tcPr>
          <w:p w14:paraId="7D7A6637">
            <w:pPr>
              <w:widowControl/>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液体</w:t>
            </w:r>
          </w:p>
        </w:tc>
        <w:tc>
          <w:tcPr>
            <w:tcW w:w="2319" w:type="dxa"/>
            <w:vAlign w:val="center"/>
          </w:tcPr>
          <w:p w14:paraId="0AF4948C">
            <w:pPr>
              <w:widowControl/>
              <w:jc w:val="center"/>
              <w:textAlignment w:val="center"/>
              <w:rPr>
                <w:rFonts w:hint="eastAsia" w:ascii="Times New Roman" w:hAnsi="Times New Roman" w:eastAsia="宋体" w:cs="宋体"/>
                <w:color w:val="auto"/>
                <w:sz w:val="22"/>
                <w:szCs w:val="22"/>
                <w:highlight w:val="none"/>
                <w:lang w:bidi="ar"/>
              </w:rPr>
            </w:pPr>
            <w:r>
              <w:rPr>
                <w:rFonts w:hint="eastAsia" w:ascii="Times New Roman" w:hAnsi="Times New Roman" w:eastAsia="宋体" w:cs="宋体"/>
                <w:color w:val="auto"/>
                <w:sz w:val="22"/>
                <w:szCs w:val="22"/>
                <w:highlight w:val="none"/>
                <w:lang w:bidi="ar"/>
              </w:rPr>
              <w:t>1</w:t>
            </w:r>
            <w:r>
              <w:rPr>
                <w:rFonts w:hint="eastAsia" w:ascii="Times New Roman" w:hAnsi="Times New Roman" w:eastAsia="宋体" w:cs="宋体"/>
                <w:color w:val="auto"/>
                <w:sz w:val="22"/>
                <w:szCs w:val="22"/>
                <w:highlight w:val="none"/>
                <w:lang w:val="en-US" w:eastAsia="zh-CN" w:bidi="ar"/>
              </w:rPr>
              <w:t>m³配制罐</w:t>
            </w:r>
          </w:p>
        </w:tc>
        <w:tc>
          <w:tcPr>
            <w:tcW w:w="732" w:type="dxa"/>
            <w:vAlign w:val="center"/>
          </w:tcPr>
          <w:p w14:paraId="3855DB31">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bidi="ar"/>
              </w:rPr>
              <w:t>桶</w:t>
            </w:r>
            <w:r>
              <w:rPr>
                <w:rFonts w:hint="eastAsia" w:ascii="Times New Roman" w:hAnsi="Times New Roman" w:eastAsia="宋体" w:cs="宋体"/>
                <w:color w:val="auto"/>
                <w:sz w:val="24"/>
                <w:szCs w:val="24"/>
                <w:highlight w:val="none"/>
                <w:lang w:bidi="ar"/>
              </w:rPr>
              <w:t>装</w:t>
            </w:r>
          </w:p>
        </w:tc>
        <w:tc>
          <w:tcPr>
            <w:tcW w:w="1239" w:type="dxa"/>
            <w:vAlign w:val="center"/>
          </w:tcPr>
          <w:p w14:paraId="17F90DDD">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bidi="ar"/>
              </w:rPr>
              <w:t xml:space="preserve">15.8 </w:t>
            </w:r>
          </w:p>
        </w:tc>
        <w:tc>
          <w:tcPr>
            <w:tcW w:w="1105" w:type="dxa"/>
            <w:vAlign w:val="center"/>
          </w:tcPr>
          <w:p w14:paraId="470FE400">
            <w:pPr>
              <w:widowControl/>
              <w:jc w:val="center"/>
              <w:textAlignment w:val="center"/>
              <w:rPr>
                <w:rFonts w:ascii="Times New Roman" w:hAnsi="Times New Roman" w:eastAsia="宋体" w:cs="宋体"/>
                <w:color w:val="auto"/>
                <w:sz w:val="24"/>
                <w:szCs w:val="24"/>
                <w:highlight w:val="none"/>
                <w:lang w:bidi="ar"/>
              </w:rPr>
            </w:pPr>
          </w:p>
        </w:tc>
      </w:tr>
      <w:tr w14:paraId="766B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CFCFECB">
            <w:pPr>
              <w:widowControl/>
              <w:jc w:val="center"/>
              <w:textAlignment w:val="center"/>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
                <w:bCs/>
                <w:color w:val="auto"/>
                <w:sz w:val="24"/>
                <w:szCs w:val="24"/>
                <w:highlight w:val="none"/>
                <w:lang w:val="en-US" w:eastAsia="zh-CN" w:bidi="ar"/>
              </w:rPr>
              <w:t>2</w:t>
            </w:r>
          </w:p>
        </w:tc>
        <w:tc>
          <w:tcPr>
            <w:tcW w:w="1587" w:type="dxa"/>
            <w:vAlign w:val="center"/>
          </w:tcPr>
          <w:p w14:paraId="24382A60">
            <w:pPr>
              <w:widowControl/>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亚硫酸氢钠</w:t>
            </w:r>
          </w:p>
        </w:tc>
        <w:tc>
          <w:tcPr>
            <w:tcW w:w="1316" w:type="dxa"/>
            <w:vAlign w:val="center"/>
          </w:tcPr>
          <w:p w14:paraId="30F5F713">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除盐水、废水</w:t>
            </w:r>
          </w:p>
        </w:tc>
        <w:tc>
          <w:tcPr>
            <w:tcW w:w="937" w:type="dxa"/>
            <w:vAlign w:val="center"/>
          </w:tcPr>
          <w:p w14:paraId="334B5394">
            <w:pPr>
              <w:widowControl/>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固体</w:t>
            </w:r>
          </w:p>
        </w:tc>
        <w:tc>
          <w:tcPr>
            <w:tcW w:w="2319" w:type="dxa"/>
            <w:vAlign w:val="center"/>
          </w:tcPr>
          <w:p w14:paraId="3EF90C70">
            <w:pPr>
              <w:widowControl/>
              <w:jc w:val="center"/>
              <w:textAlignment w:val="center"/>
              <w:rPr>
                <w:rFonts w:hint="eastAsia" w:ascii="Times New Roman" w:hAnsi="Times New Roman" w:eastAsia="宋体" w:cs="宋体"/>
                <w:color w:val="auto"/>
                <w:sz w:val="22"/>
                <w:szCs w:val="22"/>
                <w:highlight w:val="none"/>
                <w:lang w:val="en-US" w:eastAsia="zh-CN" w:bidi="ar"/>
              </w:rPr>
            </w:pPr>
            <w:r>
              <w:rPr>
                <w:rFonts w:hint="eastAsia" w:ascii="Times New Roman" w:hAnsi="Times New Roman" w:eastAsia="宋体" w:cs="宋体"/>
                <w:color w:val="auto"/>
                <w:sz w:val="22"/>
                <w:szCs w:val="22"/>
                <w:highlight w:val="none"/>
                <w:lang w:bidi="ar"/>
              </w:rPr>
              <w:t>200L配置罐</w:t>
            </w:r>
            <w:r>
              <w:rPr>
                <w:rFonts w:hint="eastAsia" w:ascii="Times New Roman" w:hAnsi="Times New Roman" w:eastAsia="宋体" w:cs="宋体"/>
                <w:color w:val="auto"/>
                <w:sz w:val="22"/>
                <w:szCs w:val="22"/>
                <w:highlight w:val="none"/>
                <w:lang w:eastAsia="zh-CN" w:bidi="ar"/>
              </w:rPr>
              <w:t>（</w:t>
            </w:r>
            <w:r>
              <w:rPr>
                <w:rFonts w:hint="eastAsia" w:ascii="Times New Roman" w:hAnsi="Times New Roman" w:eastAsia="宋体" w:cs="宋体"/>
                <w:color w:val="auto"/>
                <w:sz w:val="22"/>
                <w:szCs w:val="22"/>
                <w:highlight w:val="none"/>
                <w:lang w:val="en-US" w:eastAsia="zh-CN" w:bidi="ar"/>
              </w:rPr>
              <w:t>除盐水</w:t>
            </w:r>
            <w:r>
              <w:rPr>
                <w:rFonts w:hint="eastAsia" w:ascii="Times New Roman" w:hAnsi="Times New Roman" w:eastAsia="宋体" w:cs="宋体"/>
                <w:color w:val="auto"/>
                <w:sz w:val="22"/>
                <w:szCs w:val="22"/>
                <w:highlight w:val="none"/>
                <w:lang w:eastAsia="zh-CN" w:bidi="ar"/>
              </w:rPr>
              <w:t>），</w:t>
            </w:r>
            <w:r>
              <w:rPr>
                <w:rFonts w:hint="eastAsia" w:ascii="Times New Roman" w:hAnsi="Times New Roman" w:eastAsia="宋体" w:cs="宋体"/>
                <w:color w:val="auto"/>
                <w:sz w:val="22"/>
                <w:szCs w:val="22"/>
                <w:highlight w:val="none"/>
                <w:lang w:val="en-US" w:eastAsia="zh-CN" w:bidi="ar"/>
              </w:rPr>
              <w:t>1m³配制罐（废水）</w:t>
            </w:r>
          </w:p>
        </w:tc>
        <w:tc>
          <w:tcPr>
            <w:tcW w:w="732" w:type="dxa"/>
            <w:vAlign w:val="center"/>
          </w:tcPr>
          <w:p w14:paraId="3DBFB27B">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bidi="ar"/>
              </w:rPr>
              <w:t>袋装</w:t>
            </w:r>
          </w:p>
        </w:tc>
        <w:tc>
          <w:tcPr>
            <w:tcW w:w="1239" w:type="dxa"/>
            <w:vAlign w:val="center"/>
          </w:tcPr>
          <w:p w14:paraId="2D1DF116">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bidi="ar"/>
              </w:rPr>
              <w:t xml:space="preserve">2.4 </w:t>
            </w:r>
          </w:p>
        </w:tc>
        <w:tc>
          <w:tcPr>
            <w:tcW w:w="1105" w:type="dxa"/>
            <w:vAlign w:val="center"/>
          </w:tcPr>
          <w:p w14:paraId="57E0BCAB">
            <w:pPr>
              <w:widowControl/>
              <w:jc w:val="center"/>
              <w:textAlignment w:val="center"/>
              <w:rPr>
                <w:rFonts w:ascii="Times New Roman" w:hAnsi="Times New Roman" w:eastAsia="宋体" w:cs="宋体"/>
                <w:color w:val="auto"/>
                <w:sz w:val="24"/>
                <w:szCs w:val="24"/>
                <w:highlight w:val="none"/>
                <w:lang w:bidi="ar"/>
              </w:rPr>
            </w:pPr>
          </w:p>
        </w:tc>
      </w:tr>
      <w:tr w14:paraId="4FAE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10" w:type="dxa"/>
            <w:vAlign w:val="center"/>
          </w:tcPr>
          <w:p w14:paraId="2E6E9C29">
            <w:pPr>
              <w:widowControl/>
              <w:jc w:val="center"/>
              <w:textAlignment w:val="center"/>
              <w:rPr>
                <w:rFonts w:hint="default"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3</w:t>
            </w:r>
          </w:p>
        </w:tc>
        <w:tc>
          <w:tcPr>
            <w:tcW w:w="1587" w:type="dxa"/>
            <w:vAlign w:val="center"/>
          </w:tcPr>
          <w:p w14:paraId="73912B60">
            <w:pPr>
              <w:widowControl/>
              <w:jc w:val="both"/>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固体柠檬酸</w:t>
            </w:r>
          </w:p>
        </w:tc>
        <w:tc>
          <w:tcPr>
            <w:tcW w:w="1316" w:type="dxa"/>
            <w:vAlign w:val="center"/>
          </w:tcPr>
          <w:p w14:paraId="44F7E09B">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除盐水</w:t>
            </w:r>
          </w:p>
        </w:tc>
        <w:tc>
          <w:tcPr>
            <w:tcW w:w="937" w:type="dxa"/>
            <w:vAlign w:val="center"/>
          </w:tcPr>
          <w:p w14:paraId="14F0F12B">
            <w:pPr>
              <w:widowControl/>
              <w:jc w:val="center"/>
              <w:textAlignment w:val="center"/>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val="en-US" w:eastAsia="zh-CN"/>
              </w:rPr>
              <w:t>固体</w:t>
            </w:r>
          </w:p>
        </w:tc>
        <w:tc>
          <w:tcPr>
            <w:tcW w:w="2319" w:type="dxa"/>
            <w:vAlign w:val="center"/>
          </w:tcPr>
          <w:p w14:paraId="5D07B701">
            <w:pPr>
              <w:widowControl/>
              <w:jc w:val="center"/>
              <w:textAlignment w:val="center"/>
              <w:rPr>
                <w:rFonts w:hint="eastAsia" w:ascii="Times New Roman" w:hAnsi="Times New Roman" w:eastAsia="宋体" w:cs="宋体"/>
                <w:color w:val="auto"/>
                <w:sz w:val="22"/>
                <w:szCs w:val="22"/>
                <w:highlight w:val="none"/>
                <w:lang w:bidi="ar"/>
              </w:rPr>
            </w:pPr>
            <w:r>
              <w:rPr>
                <w:rFonts w:hint="eastAsia" w:ascii="Times New Roman" w:hAnsi="Times New Roman" w:eastAsia="宋体" w:cs="宋体"/>
                <w:color w:val="auto"/>
                <w:sz w:val="22"/>
                <w:szCs w:val="22"/>
                <w:highlight w:val="none"/>
                <w:lang w:val="en-US" w:eastAsia="zh-CN" w:bidi="ar"/>
              </w:rPr>
              <w:t>/</w:t>
            </w:r>
          </w:p>
        </w:tc>
        <w:tc>
          <w:tcPr>
            <w:tcW w:w="732" w:type="dxa"/>
            <w:vAlign w:val="center"/>
          </w:tcPr>
          <w:p w14:paraId="1F5A0E4A">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袋装</w:t>
            </w:r>
          </w:p>
        </w:tc>
        <w:tc>
          <w:tcPr>
            <w:tcW w:w="1239" w:type="dxa"/>
            <w:vAlign w:val="center"/>
          </w:tcPr>
          <w:p w14:paraId="5A8E340F">
            <w:pPr>
              <w:widowControl/>
              <w:jc w:val="center"/>
              <w:textAlignment w:val="center"/>
              <w:rPr>
                <w:rFonts w:hint="default"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3.5</w:t>
            </w:r>
          </w:p>
        </w:tc>
        <w:tc>
          <w:tcPr>
            <w:tcW w:w="1105" w:type="dxa"/>
            <w:vAlign w:val="center"/>
          </w:tcPr>
          <w:p w14:paraId="12322B73">
            <w:pPr>
              <w:widowControl/>
              <w:jc w:val="center"/>
              <w:textAlignment w:val="center"/>
              <w:rPr>
                <w:rFonts w:ascii="Times New Roman" w:hAnsi="Times New Roman" w:eastAsia="宋体" w:cs="宋体"/>
                <w:color w:val="auto"/>
                <w:sz w:val="24"/>
                <w:szCs w:val="24"/>
                <w:highlight w:val="none"/>
                <w:lang w:bidi="ar"/>
              </w:rPr>
            </w:pPr>
          </w:p>
        </w:tc>
      </w:tr>
      <w:tr w14:paraId="0BC6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gridSpan w:val="6"/>
            <w:vAlign w:val="bottom"/>
          </w:tcPr>
          <w:p w14:paraId="07F1C0A0">
            <w:pPr>
              <w:keepNext w:val="0"/>
              <w:keepLines w:val="0"/>
              <w:pageBreakBefore w:val="0"/>
              <w:widowControl w:val="0"/>
              <w:kinsoku/>
              <w:wordWrap/>
              <w:overflowPunct/>
              <w:topLinePunct w:val="0"/>
              <w:autoSpaceDE w:val="0"/>
              <w:autoSpaceDN w:val="0"/>
              <w:bidi w:val="0"/>
              <w:adjustRightInd w:val="0"/>
              <w:snapToGrid/>
              <w:spacing w:before="100" w:line="360" w:lineRule="auto"/>
              <w:jc w:val="center"/>
              <w:textAlignment w:val="auto"/>
              <w:rPr>
                <w:rFonts w:ascii="Times New Roman" w:hAnsi="Times New Roman" w:eastAsia="宋体" w:cs="宋体"/>
                <w:color w:val="auto"/>
                <w:sz w:val="24"/>
                <w:szCs w:val="24"/>
                <w:highlight w:val="none"/>
              </w:rPr>
            </w:pPr>
            <w:r>
              <w:rPr>
                <w:rStyle w:val="59"/>
                <w:rFonts w:hint="default" w:ascii="Times New Roman" w:hAnsi="Times New Roman" w:eastAsia="宋体"/>
                <w:color w:val="auto"/>
                <w:sz w:val="24"/>
                <w:szCs w:val="24"/>
                <w:highlight w:val="none"/>
                <w:lang w:bidi="ar"/>
              </w:rPr>
              <w:t>合计</w:t>
            </w:r>
          </w:p>
        </w:tc>
        <w:tc>
          <w:tcPr>
            <w:tcW w:w="1239" w:type="dxa"/>
            <w:vAlign w:val="center"/>
          </w:tcPr>
          <w:p w14:paraId="1A4F1723">
            <w:pPr>
              <w:widowControl/>
              <w:jc w:val="center"/>
              <w:textAlignment w:val="center"/>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21.7</w:t>
            </w:r>
          </w:p>
        </w:tc>
        <w:tc>
          <w:tcPr>
            <w:tcW w:w="1105" w:type="dxa"/>
            <w:vAlign w:val="center"/>
          </w:tcPr>
          <w:p w14:paraId="4A72C7FF">
            <w:pPr>
              <w:widowControl/>
              <w:jc w:val="center"/>
              <w:textAlignment w:val="center"/>
              <w:rPr>
                <w:rFonts w:ascii="Times New Roman" w:hAnsi="Times New Roman" w:eastAsia="宋体" w:cs="宋体"/>
                <w:color w:val="auto"/>
                <w:sz w:val="24"/>
                <w:szCs w:val="24"/>
                <w:highlight w:val="none"/>
                <w:lang w:bidi="ar"/>
              </w:rPr>
            </w:pPr>
          </w:p>
        </w:tc>
      </w:tr>
    </w:tbl>
    <w:p w14:paraId="7B61C3FA">
      <w:pPr>
        <w:spacing w:line="360" w:lineRule="auto"/>
        <w:ind w:firstLine="48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2.主要技术指标</w:t>
      </w:r>
    </w:p>
    <w:p w14:paraId="512491F7">
      <w:pPr>
        <w:autoSpaceDE/>
        <w:autoSpaceDN/>
        <w:adjustRightInd/>
        <w:spacing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（1）阻垢缓蚀剂</w:t>
      </w:r>
    </w:p>
    <w:p w14:paraId="6A39A715">
      <w:pPr>
        <w:spacing w:line="360" w:lineRule="auto"/>
        <w:ind w:firstLine="480" w:firstLineChars="200"/>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kern w:val="2"/>
          <w:sz w:val="24"/>
          <w:szCs w:val="24"/>
          <w:highlight w:val="none"/>
          <w:lang w:val="en-US" w:eastAsia="zh-CN"/>
        </w:rPr>
        <w:t>阻</w:t>
      </w:r>
      <w:r>
        <w:rPr>
          <w:rFonts w:hint="eastAsia" w:ascii="Times New Roman" w:hAnsi="Times New Roman" w:eastAsia="宋体" w:cs="宋体"/>
          <w:bCs/>
          <w:color w:val="auto"/>
          <w:kern w:val="2"/>
          <w:sz w:val="24"/>
          <w:szCs w:val="24"/>
          <w:highlight w:val="none"/>
        </w:rPr>
        <w:t>垢缓蚀剂须选用无磷配方，且符合《水处理药剂阻垢缓蚀剂II》（HG/T2430-2018）产品质量及检测标准：</w:t>
      </w:r>
    </w:p>
    <w:p w14:paraId="70421B68">
      <w:pPr>
        <w:spacing w:line="360" w:lineRule="auto"/>
        <w:ind w:firstLine="314" w:firstLineChars="131"/>
        <w:jc w:val="center"/>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表1  阻垢缓蚀剂主要技术指标</w:t>
      </w:r>
    </w:p>
    <w:p w14:paraId="7A6AD8B5">
      <w:pPr>
        <w:rPr>
          <w:rFonts w:ascii="Times New Roman" w:hAnsi="Times New Roman" w:eastAsia="宋体" w:cs="宋体"/>
          <w:bCs/>
          <w:color w:val="auto"/>
          <w:sz w:val="24"/>
          <w:szCs w:val="24"/>
          <w:highlight w:val="none"/>
        </w:rPr>
      </w:pPr>
      <w:r>
        <w:rPr>
          <w:rFonts w:ascii="Times New Roman" w:hAnsi="Times New Roman" w:eastAsia="宋体"/>
          <w:color w:val="auto"/>
          <w:sz w:val="24"/>
          <w:szCs w:val="24"/>
          <w:highlight w:val="none"/>
        </w:rPr>
        <w:drawing>
          <wp:anchor distT="0" distB="0" distL="0" distR="0" simplePos="0" relativeHeight="251663360" behindDoc="0" locked="0" layoutInCell="1" allowOverlap="1">
            <wp:simplePos x="0" y="0"/>
            <wp:positionH relativeFrom="column">
              <wp:posOffset>293370</wp:posOffset>
            </wp:positionH>
            <wp:positionV relativeFrom="paragraph">
              <wp:posOffset>29845</wp:posOffset>
            </wp:positionV>
            <wp:extent cx="5668645" cy="2420620"/>
            <wp:effectExtent l="0" t="0" r="8255" b="17780"/>
            <wp:wrapSquare wrapText="bothSides"/>
            <wp:docPr id="6"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close-up of a document&#10;&#10;AI-generated content may be incorrect."/>
                    <pic:cNvPicPr>
                      <a:picLocks noChangeAspect="1"/>
                    </pic:cNvPicPr>
                  </pic:nvPicPr>
                  <pic:blipFill>
                    <a:blip r:embed="rId14"/>
                    <a:stretch>
                      <a:fillRect/>
                    </a:stretch>
                  </pic:blipFill>
                  <pic:spPr>
                    <a:xfrm>
                      <a:off x="0" y="0"/>
                      <a:ext cx="5668645" cy="2420620"/>
                    </a:xfrm>
                    <a:prstGeom prst="rect">
                      <a:avLst/>
                    </a:prstGeom>
                  </pic:spPr>
                </pic:pic>
              </a:graphicData>
            </a:graphic>
          </wp:anchor>
        </w:drawing>
      </w:r>
    </w:p>
    <w:p w14:paraId="4EFC1CA7">
      <w:pPr>
        <w:rPr>
          <w:rFonts w:ascii="Times New Roman" w:hAnsi="Times New Roman" w:eastAsia="宋体"/>
          <w:color w:val="auto"/>
          <w:sz w:val="24"/>
          <w:szCs w:val="24"/>
          <w:highlight w:val="none"/>
        </w:rPr>
      </w:pPr>
    </w:p>
    <w:p w14:paraId="566726A1">
      <w:pPr>
        <w:pStyle w:val="27"/>
        <w:spacing w:line="420" w:lineRule="exact"/>
        <w:jc w:val="center"/>
        <w:rPr>
          <w:rFonts w:ascii="Times New Roman" w:hAnsi="Times New Roman" w:eastAsia="宋体" w:cs="宋体"/>
          <w:color w:val="auto"/>
          <w:sz w:val="24"/>
          <w:szCs w:val="24"/>
          <w:highlight w:val="none"/>
        </w:rPr>
      </w:pPr>
    </w:p>
    <w:p w14:paraId="033BB4CD">
      <w:pPr>
        <w:pStyle w:val="27"/>
        <w:spacing w:line="420" w:lineRule="exact"/>
        <w:ind w:firstLine="0" w:firstLineChars="0"/>
        <w:jc w:val="left"/>
        <w:rPr>
          <w:rFonts w:ascii="Times New Roman" w:hAnsi="Times New Roman" w:eastAsia="宋体" w:cs="宋体"/>
          <w:color w:val="auto"/>
          <w:sz w:val="24"/>
          <w:szCs w:val="24"/>
          <w:highlight w:val="none"/>
        </w:rPr>
      </w:pPr>
    </w:p>
    <w:p w14:paraId="7D1C1C14">
      <w:pPr>
        <w:pStyle w:val="27"/>
        <w:spacing w:line="420" w:lineRule="exact"/>
        <w:ind w:firstLine="0" w:firstLineChars="0"/>
        <w:jc w:val="left"/>
        <w:rPr>
          <w:rFonts w:ascii="Times New Roman" w:hAnsi="Times New Roman" w:eastAsia="宋体" w:cs="宋体"/>
          <w:color w:val="auto"/>
          <w:sz w:val="24"/>
          <w:szCs w:val="24"/>
          <w:highlight w:val="none"/>
        </w:rPr>
      </w:pPr>
    </w:p>
    <w:p w14:paraId="28DEB0A9">
      <w:pPr>
        <w:pStyle w:val="27"/>
        <w:spacing w:line="420" w:lineRule="exact"/>
        <w:ind w:firstLine="0" w:firstLineChars="0"/>
        <w:jc w:val="left"/>
        <w:rPr>
          <w:rFonts w:ascii="Times New Roman" w:hAnsi="Times New Roman" w:eastAsia="宋体" w:cs="宋体"/>
          <w:color w:val="auto"/>
          <w:sz w:val="24"/>
          <w:szCs w:val="24"/>
          <w:highlight w:val="none"/>
        </w:rPr>
      </w:pPr>
    </w:p>
    <w:p w14:paraId="0A605BEF">
      <w:pPr>
        <w:pStyle w:val="27"/>
        <w:spacing w:line="420" w:lineRule="exact"/>
        <w:ind w:firstLine="0" w:firstLineChars="0"/>
        <w:jc w:val="left"/>
        <w:rPr>
          <w:rFonts w:ascii="Times New Roman" w:hAnsi="Times New Roman" w:eastAsia="宋体" w:cs="宋体"/>
          <w:color w:val="auto"/>
          <w:sz w:val="24"/>
          <w:szCs w:val="24"/>
          <w:highlight w:val="none"/>
        </w:rPr>
      </w:pPr>
    </w:p>
    <w:p w14:paraId="7DB657F8">
      <w:pPr>
        <w:pStyle w:val="27"/>
        <w:spacing w:line="420" w:lineRule="exact"/>
        <w:ind w:firstLine="0" w:firstLineChars="0"/>
        <w:jc w:val="left"/>
        <w:rPr>
          <w:rFonts w:ascii="Times New Roman" w:hAnsi="Times New Roman" w:eastAsia="宋体" w:cs="宋体"/>
          <w:color w:val="auto"/>
          <w:sz w:val="24"/>
          <w:szCs w:val="24"/>
          <w:highlight w:val="none"/>
        </w:rPr>
      </w:pPr>
    </w:p>
    <w:p w14:paraId="73005485">
      <w:pPr>
        <w:pStyle w:val="27"/>
        <w:spacing w:line="420" w:lineRule="exact"/>
        <w:jc w:val="left"/>
        <w:rPr>
          <w:rFonts w:hint="eastAsia" w:ascii="Times New Roman" w:hAnsi="Times New Roman" w:eastAsia="宋体" w:cs="宋体"/>
          <w:color w:val="auto"/>
          <w:sz w:val="24"/>
          <w:szCs w:val="24"/>
          <w:highlight w:val="none"/>
          <w:lang w:val="zh-CN"/>
        </w:rPr>
      </w:pPr>
    </w:p>
    <w:p w14:paraId="015911D9">
      <w:pPr>
        <w:pStyle w:val="27"/>
        <w:spacing w:line="420" w:lineRule="exact"/>
        <w:jc w:val="left"/>
        <w:rPr>
          <w:rFonts w:hint="eastAsia" w:ascii="Times New Roman" w:hAnsi="Times New Roman" w:eastAsia="宋体" w:cs="宋体"/>
          <w:color w:val="auto"/>
          <w:sz w:val="24"/>
          <w:szCs w:val="24"/>
          <w:highlight w:val="none"/>
          <w:lang w:val="zh-CN"/>
        </w:rPr>
      </w:pPr>
    </w:p>
    <w:p w14:paraId="08CABD51">
      <w:pPr>
        <w:pStyle w:val="27"/>
        <w:spacing w:line="420" w:lineRule="exact"/>
        <w:jc w:val="left"/>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lang w:val="zh-CN"/>
        </w:rPr>
        <w:t>）</w:t>
      </w:r>
      <w:r>
        <w:rPr>
          <w:rFonts w:hint="eastAsia" w:ascii="Times New Roman" w:hAnsi="Times New Roman" w:eastAsia="宋体" w:cs="宋体"/>
          <w:color w:val="auto"/>
          <w:sz w:val="24"/>
          <w:szCs w:val="24"/>
          <w:highlight w:val="none"/>
        </w:rPr>
        <w:t>亚硫酸氢钠（还原剂）</w:t>
      </w:r>
    </w:p>
    <w:p w14:paraId="3743D433">
      <w:pPr>
        <w:autoSpaceDE/>
        <w:autoSpaceDN/>
        <w:adjustRightInd/>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亚硫酸氢钠应符合下表《水处理剂 亚硫酸氢钠》（HG/T 3492-2003）质量及检测标准并且达到以下标准要求：</w:t>
      </w:r>
    </w:p>
    <w:p w14:paraId="08CC4205">
      <w:pPr>
        <w:autoSpaceDE/>
        <w:autoSpaceDN/>
        <w:adjustRightInd/>
        <w:spacing w:line="360" w:lineRule="auto"/>
        <w:ind w:firstLine="480" w:firstLineChars="200"/>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表</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rPr>
        <w:t xml:space="preserve">  亚硫酸氢钠主要技术指标</w:t>
      </w:r>
    </w:p>
    <w:tbl>
      <w:tblPr>
        <w:tblStyle w:val="67"/>
        <w:tblW w:w="9566"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0"/>
        <w:gridCol w:w="1185"/>
        <w:gridCol w:w="2987"/>
        <w:gridCol w:w="2774"/>
      </w:tblGrid>
      <w:tr w14:paraId="505E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5" w:type="dxa"/>
            <w:gridSpan w:val="2"/>
            <w:vAlign w:val="center"/>
          </w:tcPr>
          <w:p w14:paraId="472FEE30">
            <w:pPr>
              <w:pStyle w:val="64"/>
              <w:keepNext w:val="0"/>
              <w:keepLines w:val="0"/>
              <w:pageBreakBefore w:val="0"/>
              <w:widowControl w:val="0"/>
              <w:kinsoku/>
              <w:wordWrap/>
              <w:overflowPunct/>
              <w:topLinePunct w:val="0"/>
              <w:autoSpaceDE w:val="0"/>
              <w:autoSpaceDN w:val="0"/>
              <w:bidi w:val="0"/>
              <w:adjustRightInd w:val="0"/>
              <w:snapToGrid/>
              <w:spacing w:before="100" w:line="220"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项目</w:t>
            </w:r>
          </w:p>
        </w:tc>
        <w:tc>
          <w:tcPr>
            <w:tcW w:w="2987" w:type="dxa"/>
            <w:vAlign w:val="center"/>
          </w:tcPr>
          <w:p w14:paraId="7580766A">
            <w:pPr>
              <w:pStyle w:val="64"/>
              <w:keepNext w:val="0"/>
              <w:keepLines w:val="0"/>
              <w:pageBreakBefore w:val="0"/>
              <w:widowControl w:val="0"/>
              <w:kinsoku/>
              <w:wordWrap/>
              <w:overflowPunct/>
              <w:topLinePunct w:val="0"/>
              <w:autoSpaceDE w:val="0"/>
              <w:autoSpaceDN w:val="0"/>
              <w:bidi w:val="0"/>
              <w:adjustRightInd w:val="0"/>
              <w:snapToGrid/>
              <w:spacing w:before="100" w:line="220"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分析纯</w:t>
            </w:r>
          </w:p>
        </w:tc>
        <w:tc>
          <w:tcPr>
            <w:tcW w:w="2774" w:type="dxa"/>
            <w:vAlign w:val="center"/>
          </w:tcPr>
          <w:p w14:paraId="0404F5E8">
            <w:pPr>
              <w:pStyle w:val="64"/>
              <w:keepNext w:val="0"/>
              <w:keepLines w:val="0"/>
              <w:pageBreakBefore w:val="0"/>
              <w:widowControl w:val="0"/>
              <w:kinsoku/>
              <w:wordWrap/>
              <w:overflowPunct/>
              <w:topLinePunct w:val="0"/>
              <w:autoSpaceDE w:val="0"/>
              <w:autoSpaceDN w:val="0"/>
              <w:bidi w:val="0"/>
              <w:adjustRightInd w:val="0"/>
              <w:snapToGrid/>
              <w:spacing w:before="100" w:line="221"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化学纯</w:t>
            </w:r>
          </w:p>
        </w:tc>
      </w:tr>
      <w:tr w14:paraId="0190F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620" w:type="dxa"/>
            <w:tcBorders>
              <w:right w:val="nil"/>
            </w:tcBorders>
            <w:vAlign w:val="center"/>
          </w:tcPr>
          <w:p w14:paraId="02BA82DE">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含量(以SO₂计)，%</w:t>
            </w:r>
          </w:p>
        </w:tc>
        <w:tc>
          <w:tcPr>
            <w:tcW w:w="1185" w:type="dxa"/>
            <w:tcBorders>
              <w:left w:val="nil"/>
            </w:tcBorders>
            <w:vAlign w:val="center"/>
          </w:tcPr>
          <w:p w14:paraId="5C81B151">
            <w:pPr>
              <w:pStyle w:val="64"/>
              <w:keepNext w:val="0"/>
              <w:keepLines w:val="0"/>
              <w:pageBreakBefore w:val="0"/>
              <w:widowControl w:val="0"/>
              <w:kinsoku/>
              <w:wordWrap/>
              <w:overflowPunct/>
              <w:topLinePunct w:val="0"/>
              <w:autoSpaceDE w:val="0"/>
              <w:autoSpaceDN w:val="0"/>
              <w:bidi w:val="0"/>
              <w:adjustRightInd w:val="0"/>
              <w:snapToGrid/>
              <w:spacing w:before="100" w:line="183"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32801472">
            <w:pPr>
              <w:pStyle w:val="64"/>
              <w:keepNext w:val="0"/>
              <w:keepLines w:val="0"/>
              <w:pageBreakBefore w:val="0"/>
              <w:widowControl w:val="0"/>
              <w:kinsoku/>
              <w:wordWrap/>
              <w:overflowPunct/>
              <w:topLinePunct w:val="0"/>
              <w:autoSpaceDE w:val="0"/>
              <w:autoSpaceDN w:val="0"/>
              <w:bidi w:val="0"/>
              <w:adjustRightInd w:val="0"/>
              <w:snapToGrid/>
              <w:spacing w:before="100" w:line="19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58.5</w:t>
            </w:r>
          </w:p>
        </w:tc>
        <w:tc>
          <w:tcPr>
            <w:tcW w:w="2774" w:type="dxa"/>
            <w:vAlign w:val="center"/>
          </w:tcPr>
          <w:p w14:paraId="391D7799">
            <w:pPr>
              <w:pStyle w:val="64"/>
              <w:keepNext w:val="0"/>
              <w:keepLines w:val="0"/>
              <w:pageBreakBefore w:val="0"/>
              <w:widowControl w:val="0"/>
              <w:kinsoku/>
              <w:wordWrap/>
              <w:overflowPunct/>
              <w:topLinePunct w:val="0"/>
              <w:autoSpaceDE w:val="0"/>
              <w:autoSpaceDN w:val="0"/>
              <w:bidi w:val="0"/>
              <w:adjustRightInd w:val="0"/>
              <w:snapToGrid/>
              <w:spacing w:before="100" w:line="19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58.5</w:t>
            </w:r>
          </w:p>
        </w:tc>
      </w:tr>
      <w:tr w14:paraId="7266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620" w:type="dxa"/>
            <w:tcBorders>
              <w:right w:val="nil"/>
            </w:tcBorders>
            <w:vAlign w:val="center"/>
          </w:tcPr>
          <w:p w14:paraId="319E9E18">
            <w:pPr>
              <w:pStyle w:val="64"/>
              <w:keepNext w:val="0"/>
              <w:keepLines w:val="0"/>
              <w:pageBreakBefore w:val="0"/>
              <w:widowControl w:val="0"/>
              <w:kinsoku/>
              <w:wordWrap/>
              <w:overflowPunct/>
              <w:topLinePunct w:val="0"/>
              <w:autoSpaceDE w:val="0"/>
              <w:autoSpaceDN w:val="0"/>
              <w:bidi w:val="0"/>
              <w:adjustRightInd w:val="0"/>
              <w:snapToGrid/>
              <w:spacing w:before="100" w:line="220"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澄清度试验</w:t>
            </w:r>
          </w:p>
        </w:tc>
        <w:tc>
          <w:tcPr>
            <w:tcW w:w="1185" w:type="dxa"/>
            <w:tcBorders>
              <w:left w:val="nil"/>
            </w:tcBorders>
            <w:vAlign w:val="center"/>
          </w:tcPr>
          <w:p w14:paraId="4713ADD9">
            <w:pPr>
              <w:keepNext w:val="0"/>
              <w:keepLines w:val="0"/>
              <w:pageBreakBefore w:val="0"/>
              <w:widowControl w:val="0"/>
              <w:kinsoku/>
              <w:wordWrap/>
              <w:overflowPunct/>
              <w:topLinePunct w:val="0"/>
              <w:autoSpaceDE w:val="0"/>
              <w:autoSpaceDN w:val="0"/>
              <w:bidi w:val="0"/>
              <w:adjustRightInd w:val="0"/>
              <w:snapToGrid/>
              <w:spacing w:before="100" w:line="208" w:lineRule="exact"/>
              <w:jc w:val="right"/>
              <w:textAlignment w:val="auto"/>
              <w:rPr>
                <w:rFonts w:hint="eastAsia" w:ascii="Times New Roman" w:hAnsi="Times New Roman" w:eastAsia="宋体" w:cs="宋体"/>
                <w:color w:val="auto"/>
                <w:kern w:val="2"/>
                <w:sz w:val="24"/>
                <w:szCs w:val="24"/>
                <w:highlight w:val="none"/>
              </w:rPr>
            </w:pPr>
          </w:p>
        </w:tc>
        <w:tc>
          <w:tcPr>
            <w:tcW w:w="2987" w:type="dxa"/>
            <w:vAlign w:val="center"/>
          </w:tcPr>
          <w:p w14:paraId="7B38B011">
            <w:pPr>
              <w:pStyle w:val="64"/>
              <w:keepNext w:val="0"/>
              <w:keepLines w:val="0"/>
              <w:pageBreakBefore w:val="0"/>
              <w:widowControl w:val="0"/>
              <w:kinsoku/>
              <w:wordWrap/>
              <w:overflowPunct/>
              <w:topLinePunct w:val="0"/>
              <w:autoSpaceDE w:val="0"/>
              <w:autoSpaceDN w:val="0"/>
              <w:bidi w:val="0"/>
              <w:adjustRightInd w:val="0"/>
              <w:snapToGrid/>
              <w:spacing w:before="100" w:line="219"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合格</w:t>
            </w:r>
          </w:p>
        </w:tc>
        <w:tc>
          <w:tcPr>
            <w:tcW w:w="2774" w:type="dxa"/>
            <w:vAlign w:val="center"/>
          </w:tcPr>
          <w:p w14:paraId="7130787F">
            <w:pPr>
              <w:pStyle w:val="64"/>
              <w:keepNext w:val="0"/>
              <w:keepLines w:val="0"/>
              <w:pageBreakBefore w:val="0"/>
              <w:widowControl w:val="0"/>
              <w:kinsoku/>
              <w:wordWrap/>
              <w:overflowPunct/>
              <w:topLinePunct w:val="0"/>
              <w:autoSpaceDE w:val="0"/>
              <w:autoSpaceDN w:val="0"/>
              <w:bidi w:val="0"/>
              <w:adjustRightInd w:val="0"/>
              <w:snapToGrid/>
              <w:spacing w:before="100" w:line="219"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合格</w:t>
            </w:r>
          </w:p>
        </w:tc>
      </w:tr>
      <w:tr w14:paraId="2C6E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20" w:type="dxa"/>
            <w:tcBorders>
              <w:right w:val="nil"/>
            </w:tcBorders>
            <w:vAlign w:val="center"/>
          </w:tcPr>
          <w:p w14:paraId="1CAC9B26">
            <w:pPr>
              <w:pStyle w:val="64"/>
              <w:keepNext w:val="0"/>
              <w:keepLines w:val="0"/>
              <w:pageBreakBefore w:val="0"/>
              <w:widowControl w:val="0"/>
              <w:kinsoku/>
              <w:wordWrap/>
              <w:overflowPunct/>
              <w:topLinePunct w:val="0"/>
              <w:autoSpaceDE w:val="0"/>
              <w:autoSpaceDN w:val="0"/>
              <w:bidi w:val="0"/>
              <w:adjustRightInd w:val="0"/>
              <w:snapToGrid/>
              <w:spacing w:before="100" w:line="213"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水不溶物，%</w:t>
            </w:r>
          </w:p>
        </w:tc>
        <w:tc>
          <w:tcPr>
            <w:tcW w:w="1185" w:type="dxa"/>
            <w:tcBorders>
              <w:left w:val="nil"/>
            </w:tcBorders>
            <w:vAlign w:val="center"/>
          </w:tcPr>
          <w:p w14:paraId="7EEC34C7">
            <w:pPr>
              <w:pStyle w:val="64"/>
              <w:keepNext w:val="0"/>
              <w:keepLines w:val="0"/>
              <w:pageBreakBefore w:val="0"/>
              <w:widowControl w:val="0"/>
              <w:kinsoku/>
              <w:wordWrap/>
              <w:overflowPunct/>
              <w:topLinePunct w:val="0"/>
              <w:autoSpaceDE w:val="0"/>
              <w:autoSpaceDN w:val="0"/>
              <w:bidi w:val="0"/>
              <w:adjustRightInd w:val="0"/>
              <w:snapToGrid/>
              <w:spacing w:before="100" w:line="210"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63838614">
            <w:pPr>
              <w:pStyle w:val="64"/>
              <w:keepNext w:val="0"/>
              <w:keepLines w:val="0"/>
              <w:pageBreakBefore w:val="0"/>
              <w:widowControl w:val="0"/>
              <w:kinsoku/>
              <w:wordWrap/>
              <w:overflowPunct/>
              <w:topLinePunct w:val="0"/>
              <w:autoSpaceDE w:val="0"/>
              <w:autoSpaceDN w:val="0"/>
              <w:bidi w:val="0"/>
              <w:adjustRightInd w:val="0"/>
              <w:snapToGrid/>
              <w:spacing w:before="100" w:line="208"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0.005</w:t>
            </w:r>
          </w:p>
        </w:tc>
        <w:tc>
          <w:tcPr>
            <w:tcW w:w="2774" w:type="dxa"/>
            <w:vAlign w:val="center"/>
          </w:tcPr>
          <w:p w14:paraId="3EAF243C">
            <w:pPr>
              <w:pStyle w:val="64"/>
              <w:keepNext w:val="0"/>
              <w:keepLines w:val="0"/>
              <w:pageBreakBefore w:val="0"/>
              <w:widowControl w:val="0"/>
              <w:kinsoku/>
              <w:wordWrap/>
              <w:overflowPunct/>
              <w:topLinePunct w:val="0"/>
              <w:autoSpaceDE w:val="0"/>
              <w:autoSpaceDN w:val="0"/>
              <w:bidi w:val="0"/>
              <w:adjustRightInd w:val="0"/>
              <w:snapToGrid/>
              <w:spacing w:before="100" w:line="208"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0.01</w:t>
            </w:r>
          </w:p>
        </w:tc>
      </w:tr>
      <w:tr w14:paraId="55E3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620" w:type="dxa"/>
            <w:tcBorders>
              <w:right w:val="nil"/>
            </w:tcBorders>
            <w:vAlign w:val="center"/>
          </w:tcPr>
          <w:p w14:paraId="41A6AF6B">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氧化物(CI)，%</w:t>
            </w:r>
          </w:p>
        </w:tc>
        <w:tc>
          <w:tcPr>
            <w:tcW w:w="1185" w:type="dxa"/>
            <w:tcBorders>
              <w:left w:val="nil"/>
            </w:tcBorders>
            <w:vAlign w:val="center"/>
          </w:tcPr>
          <w:p w14:paraId="2ED8974F">
            <w:pPr>
              <w:pStyle w:val="64"/>
              <w:keepNext w:val="0"/>
              <w:keepLines w:val="0"/>
              <w:pageBreakBefore w:val="0"/>
              <w:widowControl w:val="0"/>
              <w:kinsoku/>
              <w:wordWrap/>
              <w:overflowPunct/>
              <w:topLinePunct w:val="0"/>
              <w:autoSpaceDE w:val="0"/>
              <w:autoSpaceDN w:val="0"/>
              <w:bidi w:val="0"/>
              <w:adjustRightInd w:val="0"/>
              <w:snapToGrid/>
              <w:spacing w:before="100" w:line="195"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597B1DFF">
            <w:pPr>
              <w:pStyle w:val="64"/>
              <w:keepNext w:val="0"/>
              <w:keepLines w:val="0"/>
              <w:pageBreakBefore w:val="0"/>
              <w:widowControl w:val="0"/>
              <w:kinsoku/>
              <w:wordWrap/>
              <w:overflowPunct/>
              <w:topLinePunct w:val="0"/>
              <w:autoSpaceDE w:val="0"/>
              <w:autoSpaceDN w:val="0"/>
              <w:bidi w:val="0"/>
              <w:adjustRightInd w:val="0"/>
              <w:snapToGrid/>
              <w:spacing w:before="100" w:line="20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0.01</w:t>
            </w:r>
          </w:p>
        </w:tc>
        <w:tc>
          <w:tcPr>
            <w:tcW w:w="2774" w:type="dxa"/>
            <w:vAlign w:val="center"/>
          </w:tcPr>
          <w:p w14:paraId="7AF50314">
            <w:pPr>
              <w:pStyle w:val="64"/>
              <w:keepNext w:val="0"/>
              <w:keepLines w:val="0"/>
              <w:pageBreakBefore w:val="0"/>
              <w:widowControl w:val="0"/>
              <w:kinsoku/>
              <w:wordWrap/>
              <w:overflowPunct/>
              <w:topLinePunct w:val="0"/>
              <w:autoSpaceDE w:val="0"/>
              <w:autoSpaceDN w:val="0"/>
              <w:bidi w:val="0"/>
              <w:adjustRightInd w:val="0"/>
              <w:snapToGrid/>
              <w:spacing w:before="100" w:line="20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0.02</w:t>
            </w:r>
          </w:p>
        </w:tc>
      </w:tr>
      <w:tr w14:paraId="25C91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620" w:type="dxa"/>
            <w:tcBorders>
              <w:right w:val="nil"/>
            </w:tcBorders>
            <w:vAlign w:val="center"/>
          </w:tcPr>
          <w:p w14:paraId="686A41DD">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铁(Fe)，%</w:t>
            </w:r>
          </w:p>
        </w:tc>
        <w:tc>
          <w:tcPr>
            <w:tcW w:w="1185" w:type="dxa"/>
            <w:tcBorders>
              <w:left w:val="nil"/>
            </w:tcBorders>
            <w:vAlign w:val="center"/>
          </w:tcPr>
          <w:p w14:paraId="2461ECDD">
            <w:pPr>
              <w:pStyle w:val="64"/>
              <w:keepNext w:val="0"/>
              <w:keepLines w:val="0"/>
              <w:pageBreakBefore w:val="0"/>
              <w:widowControl w:val="0"/>
              <w:kinsoku/>
              <w:wordWrap/>
              <w:overflowPunct/>
              <w:topLinePunct w:val="0"/>
              <w:autoSpaceDE w:val="0"/>
              <w:autoSpaceDN w:val="0"/>
              <w:bidi w:val="0"/>
              <w:adjustRightInd w:val="0"/>
              <w:snapToGrid/>
              <w:spacing w:before="100" w:line="222"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28A28E0D">
            <w:pPr>
              <w:pStyle w:val="64"/>
              <w:keepNext w:val="0"/>
              <w:keepLines w:val="0"/>
              <w:pageBreakBefore w:val="0"/>
              <w:widowControl w:val="0"/>
              <w:kinsoku/>
              <w:wordWrap/>
              <w:overflowPunct/>
              <w:topLinePunct w:val="0"/>
              <w:autoSpaceDE w:val="0"/>
              <w:autoSpaceDN w:val="0"/>
              <w:bidi w:val="0"/>
              <w:adjustRightInd w:val="0"/>
              <w:snapToGrid/>
              <w:spacing w:before="100" w:line="205"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0.001</w:t>
            </w:r>
          </w:p>
        </w:tc>
        <w:tc>
          <w:tcPr>
            <w:tcW w:w="2774" w:type="dxa"/>
            <w:vAlign w:val="center"/>
          </w:tcPr>
          <w:p w14:paraId="36B48FA5">
            <w:pPr>
              <w:pStyle w:val="64"/>
              <w:keepNext w:val="0"/>
              <w:keepLines w:val="0"/>
              <w:pageBreakBefore w:val="0"/>
              <w:widowControl w:val="0"/>
              <w:kinsoku/>
              <w:wordWrap/>
              <w:overflowPunct/>
              <w:topLinePunct w:val="0"/>
              <w:autoSpaceDE w:val="0"/>
              <w:autoSpaceDN w:val="0"/>
              <w:bidi w:val="0"/>
              <w:adjustRightInd w:val="0"/>
              <w:snapToGrid/>
              <w:spacing w:before="100" w:line="205"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0.002</w:t>
            </w:r>
          </w:p>
        </w:tc>
      </w:tr>
      <w:tr w14:paraId="611B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620" w:type="dxa"/>
            <w:tcBorders>
              <w:right w:val="nil"/>
            </w:tcBorders>
            <w:vAlign w:val="center"/>
          </w:tcPr>
          <w:p w14:paraId="0F54D4FB">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砷(As)，%</w:t>
            </w:r>
          </w:p>
        </w:tc>
        <w:tc>
          <w:tcPr>
            <w:tcW w:w="1185" w:type="dxa"/>
            <w:tcBorders>
              <w:left w:val="nil"/>
            </w:tcBorders>
            <w:vAlign w:val="center"/>
          </w:tcPr>
          <w:p w14:paraId="486B9000">
            <w:pPr>
              <w:pStyle w:val="64"/>
              <w:keepNext w:val="0"/>
              <w:keepLines w:val="0"/>
              <w:pageBreakBefore w:val="0"/>
              <w:widowControl w:val="0"/>
              <w:kinsoku/>
              <w:wordWrap/>
              <w:overflowPunct/>
              <w:topLinePunct w:val="0"/>
              <w:autoSpaceDE w:val="0"/>
              <w:autoSpaceDN w:val="0"/>
              <w:bidi w:val="0"/>
              <w:adjustRightInd w:val="0"/>
              <w:snapToGrid/>
              <w:spacing w:before="100" w:line="192"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7A76EB02">
            <w:pPr>
              <w:pStyle w:val="64"/>
              <w:keepNext w:val="0"/>
              <w:keepLines w:val="0"/>
              <w:pageBreakBefore w:val="0"/>
              <w:widowControl w:val="0"/>
              <w:kinsoku/>
              <w:wordWrap/>
              <w:overflowPunct/>
              <w:topLinePunct w:val="0"/>
              <w:autoSpaceDE w:val="0"/>
              <w:autoSpaceDN w:val="0"/>
              <w:bidi w:val="0"/>
              <w:adjustRightInd w:val="0"/>
              <w:snapToGrid/>
              <w:spacing w:before="100" w:line="204"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0.0001</w:t>
            </w:r>
          </w:p>
        </w:tc>
        <w:tc>
          <w:tcPr>
            <w:tcW w:w="2774" w:type="dxa"/>
            <w:vAlign w:val="center"/>
          </w:tcPr>
          <w:p w14:paraId="24FE7D2C">
            <w:pPr>
              <w:pStyle w:val="64"/>
              <w:keepNext w:val="0"/>
              <w:keepLines w:val="0"/>
              <w:pageBreakBefore w:val="0"/>
              <w:widowControl w:val="0"/>
              <w:kinsoku/>
              <w:wordWrap/>
              <w:overflowPunct/>
              <w:topLinePunct w:val="0"/>
              <w:autoSpaceDE w:val="0"/>
              <w:autoSpaceDN w:val="0"/>
              <w:bidi w:val="0"/>
              <w:adjustRightInd w:val="0"/>
              <w:snapToGrid/>
              <w:spacing w:before="100" w:line="204"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0.0002</w:t>
            </w:r>
          </w:p>
        </w:tc>
      </w:tr>
      <w:tr w14:paraId="77E5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20" w:type="dxa"/>
            <w:tcBorders>
              <w:right w:val="nil"/>
            </w:tcBorders>
            <w:vAlign w:val="center"/>
          </w:tcPr>
          <w:p w14:paraId="4DE42956">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重金属(以Pb计)，%</w:t>
            </w:r>
          </w:p>
        </w:tc>
        <w:tc>
          <w:tcPr>
            <w:tcW w:w="1185" w:type="dxa"/>
            <w:tcBorders>
              <w:left w:val="nil"/>
            </w:tcBorders>
            <w:vAlign w:val="center"/>
          </w:tcPr>
          <w:p w14:paraId="479DF801">
            <w:pPr>
              <w:pStyle w:val="64"/>
              <w:keepNext w:val="0"/>
              <w:keepLines w:val="0"/>
              <w:pageBreakBefore w:val="0"/>
              <w:widowControl w:val="0"/>
              <w:kinsoku/>
              <w:wordWrap/>
              <w:overflowPunct/>
              <w:topLinePunct w:val="0"/>
              <w:autoSpaceDE w:val="0"/>
              <w:autoSpaceDN w:val="0"/>
              <w:bidi w:val="0"/>
              <w:adjustRightInd w:val="0"/>
              <w:snapToGrid/>
              <w:spacing w:before="100" w:line="176"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64EB462B">
            <w:pPr>
              <w:pStyle w:val="64"/>
              <w:keepNext w:val="0"/>
              <w:keepLines w:val="0"/>
              <w:pageBreakBefore w:val="0"/>
              <w:widowControl w:val="0"/>
              <w:kinsoku/>
              <w:wordWrap/>
              <w:overflowPunct/>
              <w:topLinePunct w:val="0"/>
              <w:autoSpaceDE w:val="0"/>
              <w:autoSpaceDN w:val="0"/>
              <w:bidi w:val="0"/>
              <w:adjustRightInd w:val="0"/>
              <w:snapToGrid/>
              <w:spacing w:before="100" w:line="203"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0.001</w:t>
            </w:r>
          </w:p>
        </w:tc>
        <w:tc>
          <w:tcPr>
            <w:tcW w:w="2774" w:type="dxa"/>
            <w:vAlign w:val="center"/>
          </w:tcPr>
          <w:p w14:paraId="7EAA20A2">
            <w:pPr>
              <w:pStyle w:val="64"/>
              <w:keepNext w:val="0"/>
              <w:keepLines w:val="0"/>
              <w:pageBreakBefore w:val="0"/>
              <w:widowControl w:val="0"/>
              <w:kinsoku/>
              <w:wordWrap/>
              <w:overflowPunct/>
              <w:topLinePunct w:val="0"/>
              <w:autoSpaceDE w:val="0"/>
              <w:autoSpaceDN w:val="0"/>
              <w:bidi w:val="0"/>
              <w:adjustRightInd w:val="0"/>
              <w:snapToGrid/>
              <w:spacing w:before="100" w:line="203"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0.002</w:t>
            </w:r>
          </w:p>
        </w:tc>
      </w:tr>
      <w:tr w14:paraId="507B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66" w:type="dxa"/>
            <w:gridSpan w:val="4"/>
            <w:vAlign w:val="center"/>
          </w:tcPr>
          <w:p w14:paraId="671A166C">
            <w:pPr>
              <w:pStyle w:val="64"/>
              <w:keepNext w:val="0"/>
              <w:keepLines w:val="0"/>
              <w:pageBreakBefore w:val="0"/>
              <w:widowControl w:val="0"/>
              <w:kinsoku/>
              <w:wordWrap/>
              <w:overflowPunct/>
              <w:topLinePunct w:val="0"/>
              <w:autoSpaceDE w:val="0"/>
              <w:autoSpaceDN w:val="0"/>
              <w:bidi w:val="0"/>
              <w:adjustRightInd w:val="0"/>
              <w:snapToGrid/>
              <w:spacing w:before="100" w:line="219" w:lineRule="auto"/>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注：表中“%”指质量分数。</w:t>
            </w:r>
          </w:p>
        </w:tc>
      </w:tr>
    </w:tbl>
    <w:p w14:paraId="1D42D0D9">
      <w:pPr>
        <w:autoSpaceDE/>
        <w:autoSpaceDN/>
        <w:adjustRightInd/>
        <w:spacing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2"/>
          <w:sz w:val="24"/>
          <w:szCs w:val="24"/>
          <w:highlight w:val="none"/>
        </w:rPr>
        <w:t>（</w:t>
      </w:r>
      <w:r>
        <w:rPr>
          <w:rFonts w:hint="eastAsia" w:ascii="Times New Roman" w:hAnsi="Times New Roman" w:eastAsia="宋体" w:cs="宋体"/>
          <w:color w:val="auto"/>
          <w:kern w:val="2"/>
          <w:sz w:val="24"/>
          <w:szCs w:val="24"/>
          <w:highlight w:val="none"/>
          <w:lang w:val="en-US" w:eastAsia="zh-CN"/>
        </w:rPr>
        <w:t>3</w:t>
      </w:r>
      <w:r>
        <w:rPr>
          <w:rFonts w:hint="eastAsia" w:ascii="Times New Roman" w:hAnsi="Times New Roman" w:eastAsia="宋体" w:cs="宋体"/>
          <w:color w:val="auto"/>
          <w:kern w:val="2"/>
          <w:sz w:val="24"/>
          <w:szCs w:val="24"/>
          <w:highlight w:val="none"/>
        </w:rPr>
        <w:t>）固体柠檬酸</w:t>
      </w:r>
    </w:p>
    <w:p w14:paraId="22EA363D">
      <w:pPr>
        <w:spacing w:line="360" w:lineRule="auto"/>
        <w:ind w:firstLine="480"/>
        <w:jc w:val="both"/>
        <w:rPr>
          <w:rFonts w:ascii="Times New Roman" w:hAnsi="Times New Roman" w:eastAsia="宋体" w:cstheme="minorBidi"/>
          <w:color w:val="auto"/>
          <w:kern w:val="2"/>
          <w:sz w:val="24"/>
          <w:szCs w:val="24"/>
          <w:highlight w:val="none"/>
        </w:rPr>
      </w:pPr>
      <w:r>
        <w:rPr>
          <w:rFonts w:hint="eastAsia" w:ascii="Times New Roman" w:hAnsi="Times New Roman" w:eastAsia="宋体" w:cstheme="minorBidi"/>
          <w:color w:val="auto"/>
          <w:kern w:val="2"/>
          <w:sz w:val="24"/>
          <w:szCs w:val="24"/>
          <w:highlight w:val="none"/>
        </w:rPr>
        <w:t>产品为固体，用于除盐水系统的化学清洗。产品必须符合《柠檬酸》（GB/T 8269</w:t>
      </w:r>
      <w:r>
        <w:rPr>
          <w:rFonts w:hint="eastAsia" w:ascii="Times New Roman" w:hAnsi="Times New Roman" w:eastAsia="宋体" w:cstheme="minorBidi"/>
          <w:color w:val="auto"/>
          <w:kern w:val="2"/>
          <w:sz w:val="24"/>
          <w:szCs w:val="24"/>
          <w:highlight w:val="none"/>
          <w:lang w:val="en-US" w:eastAsia="zh-CN"/>
        </w:rPr>
        <w:t>.1</w:t>
      </w:r>
      <w:r>
        <w:rPr>
          <w:rFonts w:hint="eastAsia" w:ascii="Times New Roman" w:hAnsi="Times New Roman" w:eastAsia="宋体" w:cstheme="minorBidi"/>
          <w:color w:val="auto"/>
          <w:kern w:val="2"/>
          <w:sz w:val="24"/>
          <w:szCs w:val="24"/>
          <w:highlight w:val="none"/>
        </w:rPr>
        <w:t>-20</w:t>
      </w:r>
      <w:r>
        <w:rPr>
          <w:rFonts w:hint="eastAsia" w:ascii="Times New Roman" w:hAnsi="Times New Roman" w:eastAsia="宋体" w:cstheme="minorBidi"/>
          <w:color w:val="auto"/>
          <w:kern w:val="2"/>
          <w:sz w:val="24"/>
          <w:szCs w:val="24"/>
          <w:highlight w:val="none"/>
          <w:lang w:val="en-US" w:eastAsia="zh-CN"/>
        </w:rPr>
        <w:t>25</w:t>
      </w:r>
      <w:r>
        <w:rPr>
          <w:rFonts w:hint="eastAsia" w:ascii="Times New Roman" w:hAnsi="Times New Roman" w:eastAsia="宋体" w:cstheme="minorBidi"/>
          <w:color w:val="auto"/>
          <w:kern w:val="2"/>
          <w:sz w:val="24"/>
          <w:szCs w:val="24"/>
          <w:highlight w:val="none"/>
        </w:rPr>
        <w:t>）一水柠檬酸二级的质量及检测标准，其中主要技术指标要求如下：</w:t>
      </w:r>
    </w:p>
    <w:p w14:paraId="3C7EF986">
      <w:pPr>
        <w:spacing w:line="360" w:lineRule="auto"/>
        <w:ind w:firstLine="314" w:firstLineChars="131"/>
        <w:jc w:val="center"/>
        <w:rPr>
          <w:rFonts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表</w:t>
      </w:r>
      <w:r>
        <w:rPr>
          <w:rFonts w:hint="eastAsia" w:ascii="Times New Roman" w:hAnsi="Times New Roman" w:eastAsia="宋体"/>
          <w:bCs/>
          <w:color w:val="auto"/>
          <w:sz w:val="24"/>
          <w:szCs w:val="24"/>
          <w:highlight w:val="none"/>
          <w:lang w:val="en-US" w:eastAsia="zh-CN"/>
        </w:rPr>
        <w:t>3</w:t>
      </w:r>
      <w:r>
        <w:rPr>
          <w:rFonts w:ascii="Times New Roman" w:hAnsi="Times New Roman" w:eastAsia="宋体"/>
          <w:bCs/>
          <w:color w:val="auto"/>
          <w:sz w:val="24"/>
          <w:szCs w:val="24"/>
          <w:highlight w:val="none"/>
        </w:rPr>
        <w:t xml:space="preserve">  </w:t>
      </w:r>
      <w:r>
        <w:rPr>
          <w:rFonts w:hint="eastAsia" w:ascii="Times New Roman" w:hAnsi="Times New Roman" w:eastAsia="宋体"/>
          <w:bCs/>
          <w:color w:val="auto"/>
          <w:sz w:val="24"/>
          <w:szCs w:val="24"/>
          <w:highlight w:val="none"/>
        </w:rPr>
        <w:t>固体柠檬酸</w:t>
      </w:r>
      <w:r>
        <w:rPr>
          <w:rFonts w:ascii="Times New Roman" w:hAnsi="Times New Roman" w:eastAsia="宋体"/>
          <w:bCs/>
          <w:color w:val="auto"/>
          <w:sz w:val="24"/>
          <w:szCs w:val="24"/>
          <w:highlight w:val="none"/>
        </w:rPr>
        <w:t>主要技术指标</w:t>
      </w:r>
    </w:p>
    <w:tbl>
      <w:tblPr>
        <w:tblStyle w:val="2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1160"/>
        <w:gridCol w:w="4530"/>
      </w:tblGrid>
      <w:tr w14:paraId="6D42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038" w:type="dxa"/>
            <w:gridSpan w:val="2"/>
            <w:vAlign w:val="center"/>
          </w:tcPr>
          <w:p w14:paraId="1F1BBA4B">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指标项目</w:t>
            </w:r>
          </w:p>
        </w:tc>
        <w:tc>
          <w:tcPr>
            <w:tcW w:w="4530" w:type="dxa"/>
            <w:vAlign w:val="center"/>
          </w:tcPr>
          <w:p w14:paraId="74D71EAA">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指标</w:t>
            </w:r>
          </w:p>
        </w:tc>
      </w:tr>
      <w:tr w14:paraId="196F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8" w:type="dxa"/>
            <w:gridSpan w:val="2"/>
            <w:vAlign w:val="center"/>
          </w:tcPr>
          <w:p w14:paraId="0654D33A">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hint="eastAsia"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柠檬酸含量/(g/100g)</w:t>
            </w:r>
          </w:p>
        </w:tc>
        <w:tc>
          <w:tcPr>
            <w:tcW w:w="4530" w:type="dxa"/>
          </w:tcPr>
          <w:p w14:paraId="70AAEE96">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99.0~100.5</w:t>
            </w:r>
          </w:p>
        </w:tc>
      </w:tr>
      <w:tr w14:paraId="0A5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8" w:type="dxa"/>
            <w:tcBorders>
              <w:right w:val="nil"/>
            </w:tcBorders>
            <w:vAlign w:val="center"/>
          </w:tcPr>
          <w:p w14:paraId="09CBD354">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hint="default" w:ascii="Times New Roman" w:hAnsi="Times New Roman" w:eastAsia="宋体"/>
                <w:bCs/>
                <w:color w:val="auto"/>
                <w:sz w:val="24"/>
                <w:szCs w:val="24"/>
                <w:highlight w:val="none"/>
                <w:lang w:val="en-US" w:eastAsia="zh-CN"/>
              </w:rPr>
            </w:pPr>
            <w:r>
              <w:rPr>
                <w:rFonts w:hint="eastAsia" w:ascii="Times New Roman" w:hAnsi="Times New Roman" w:eastAsia="宋体"/>
                <w:bCs/>
                <w:color w:val="auto"/>
                <w:sz w:val="24"/>
                <w:szCs w:val="24"/>
                <w:highlight w:val="none"/>
              </w:rPr>
              <w:t>硫酸灰分/(g/100g)</w:t>
            </w:r>
          </w:p>
        </w:tc>
        <w:tc>
          <w:tcPr>
            <w:tcW w:w="1160" w:type="dxa"/>
            <w:tcBorders>
              <w:left w:val="nil"/>
            </w:tcBorders>
            <w:vAlign w:val="top"/>
          </w:tcPr>
          <w:p w14:paraId="2F7F73EE">
            <w:pPr>
              <w:keepNext w:val="0"/>
              <w:keepLines w:val="0"/>
              <w:pageBreakBefore w:val="0"/>
              <w:widowControl w:val="0"/>
              <w:kinsoku/>
              <w:wordWrap/>
              <w:overflowPunct/>
              <w:topLinePunct w:val="0"/>
              <w:autoSpaceDE w:val="0"/>
              <w:autoSpaceDN w:val="0"/>
              <w:bidi w:val="0"/>
              <w:adjustRightInd w:val="0"/>
              <w:snapToGrid/>
              <w:spacing w:before="100" w:line="360" w:lineRule="auto"/>
              <w:jc w:val="right"/>
              <w:textAlignment w:val="auto"/>
              <w:rPr>
                <w:rFonts w:hint="eastAsia"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w:t>
            </w:r>
          </w:p>
        </w:tc>
        <w:tc>
          <w:tcPr>
            <w:tcW w:w="4530" w:type="dxa"/>
          </w:tcPr>
          <w:p w14:paraId="5F906D51">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0.1</w:t>
            </w:r>
          </w:p>
        </w:tc>
      </w:tr>
      <w:tr w14:paraId="5AE3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878" w:type="dxa"/>
            <w:tcBorders>
              <w:right w:val="nil"/>
            </w:tcBorders>
            <w:vAlign w:val="center"/>
          </w:tcPr>
          <w:p w14:paraId="1753977F">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氯化物/(g/100g)</w:t>
            </w:r>
            <w:r>
              <w:rPr>
                <w:rFonts w:hint="eastAsia" w:ascii="Times New Roman" w:hAnsi="Times New Roman" w:eastAsia="宋体"/>
                <w:bCs/>
                <w:color w:val="auto"/>
                <w:sz w:val="24"/>
                <w:szCs w:val="24"/>
                <w:highlight w:val="none"/>
                <w:lang w:val="en-US" w:eastAsia="zh-CN"/>
              </w:rPr>
              <w:t xml:space="preserve">             </w:t>
            </w:r>
          </w:p>
        </w:tc>
        <w:tc>
          <w:tcPr>
            <w:tcW w:w="1160" w:type="dxa"/>
            <w:tcBorders>
              <w:left w:val="nil"/>
            </w:tcBorders>
            <w:vAlign w:val="top"/>
          </w:tcPr>
          <w:p w14:paraId="664A3555">
            <w:pPr>
              <w:keepNext w:val="0"/>
              <w:keepLines w:val="0"/>
              <w:pageBreakBefore w:val="0"/>
              <w:widowControl w:val="0"/>
              <w:kinsoku/>
              <w:wordWrap/>
              <w:overflowPunct/>
              <w:topLinePunct w:val="0"/>
              <w:autoSpaceDE w:val="0"/>
              <w:autoSpaceDN w:val="0"/>
              <w:bidi w:val="0"/>
              <w:adjustRightInd w:val="0"/>
              <w:snapToGrid/>
              <w:spacing w:before="100" w:line="360" w:lineRule="auto"/>
              <w:jc w:val="right"/>
              <w:textAlignment w:val="auto"/>
              <w:rPr>
                <w:rFonts w:hint="eastAsia"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w:t>
            </w:r>
          </w:p>
        </w:tc>
        <w:tc>
          <w:tcPr>
            <w:tcW w:w="4530" w:type="dxa"/>
          </w:tcPr>
          <w:p w14:paraId="0550A799">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0.01</w:t>
            </w:r>
          </w:p>
        </w:tc>
      </w:tr>
      <w:tr w14:paraId="0155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878" w:type="dxa"/>
            <w:tcBorders>
              <w:right w:val="nil"/>
            </w:tcBorders>
            <w:vAlign w:val="center"/>
          </w:tcPr>
          <w:p w14:paraId="149F5A62">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hint="eastAsia" w:ascii="Times New Roman" w:hAnsi="Times New Roman" w:eastAsia="宋体"/>
                <w:bCs/>
                <w:color w:val="auto"/>
                <w:sz w:val="24"/>
                <w:szCs w:val="24"/>
                <w:highlight w:val="none"/>
                <w:lang w:val="en-US" w:eastAsia="zh-CN"/>
              </w:rPr>
            </w:pPr>
            <w:r>
              <w:rPr>
                <w:rFonts w:hint="eastAsia" w:ascii="Times New Roman" w:hAnsi="Times New Roman" w:eastAsia="宋体"/>
                <w:bCs/>
                <w:color w:val="auto"/>
                <w:sz w:val="24"/>
                <w:szCs w:val="24"/>
                <w:highlight w:val="none"/>
              </w:rPr>
              <w:t>硫酸盐/(g/100g)</w:t>
            </w:r>
            <w:r>
              <w:rPr>
                <w:rFonts w:hint="eastAsia" w:ascii="Times New Roman" w:hAnsi="Times New Roman" w:eastAsia="宋体"/>
                <w:bCs/>
                <w:color w:val="auto"/>
                <w:sz w:val="24"/>
                <w:szCs w:val="24"/>
                <w:highlight w:val="none"/>
                <w:lang w:val="en-US" w:eastAsia="zh-CN"/>
              </w:rPr>
              <w:t xml:space="preserve">             </w:t>
            </w:r>
          </w:p>
        </w:tc>
        <w:tc>
          <w:tcPr>
            <w:tcW w:w="1160" w:type="dxa"/>
            <w:tcBorders>
              <w:left w:val="nil"/>
            </w:tcBorders>
            <w:vAlign w:val="top"/>
          </w:tcPr>
          <w:p w14:paraId="60FD967F">
            <w:pPr>
              <w:keepNext w:val="0"/>
              <w:keepLines w:val="0"/>
              <w:pageBreakBefore w:val="0"/>
              <w:widowControl w:val="0"/>
              <w:kinsoku/>
              <w:wordWrap/>
              <w:overflowPunct/>
              <w:topLinePunct w:val="0"/>
              <w:autoSpaceDE w:val="0"/>
              <w:autoSpaceDN w:val="0"/>
              <w:bidi w:val="0"/>
              <w:adjustRightInd w:val="0"/>
              <w:snapToGrid/>
              <w:spacing w:before="100" w:line="360" w:lineRule="auto"/>
              <w:jc w:val="right"/>
              <w:textAlignment w:val="auto"/>
              <w:rPr>
                <w:rFonts w:hint="eastAsia"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w:t>
            </w:r>
          </w:p>
        </w:tc>
        <w:tc>
          <w:tcPr>
            <w:tcW w:w="4530" w:type="dxa"/>
          </w:tcPr>
          <w:p w14:paraId="7DF0CC59">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0.05</w:t>
            </w:r>
          </w:p>
        </w:tc>
      </w:tr>
    </w:tbl>
    <w:p w14:paraId="2AB079FC">
      <w:pPr>
        <w:pStyle w:val="27"/>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4</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供货期间，如有发布最新的行业标准或国家标准，采购人有权根据项目实际情况及有关行业标准或国家标准对合同的主要技术指标进行变更调整，供货单位应无条件接受。</w:t>
      </w:r>
    </w:p>
    <w:p w14:paraId="35FE5858">
      <w:pPr>
        <w:pStyle w:val="27"/>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5</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供货单位所供产品的真实质量，必须满足本用户需求书的所有技术指标。</w:t>
      </w:r>
    </w:p>
    <w:p w14:paraId="1F7CF2BB">
      <w:pPr>
        <w:pStyle w:val="27"/>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6</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供货单位须根据采购人的情况，提供满足厂区正常生产运营的产品</w:t>
      </w:r>
      <w:r>
        <w:rPr>
          <w:rFonts w:hint="eastAsia" w:ascii="Times New Roman" w:hAnsi="Times New Roman" w:eastAsia="宋体" w:cs="宋体"/>
          <w:color w:val="auto"/>
          <w:sz w:val="24"/>
          <w:szCs w:val="24"/>
          <w:highlight w:val="none"/>
          <w:lang w:val="en-US" w:eastAsia="zh-CN"/>
        </w:rPr>
        <w:t>及相应数量</w:t>
      </w:r>
      <w:r>
        <w:rPr>
          <w:rFonts w:hint="eastAsia" w:ascii="Times New Roman" w:hAnsi="Times New Roman" w:eastAsia="宋体" w:cs="宋体"/>
          <w:color w:val="auto"/>
          <w:sz w:val="24"/>
          <w:szCs w:val="24"/>
          <w:highlight w:val="none"/>
        </w:rPr>
        <w:t>。</w:t>
      </w:r>
    </w:p>
    <w:p w14:paraId="1D504318">
      <w:pPr>
        <w:autoSpaceDE/>
        <w:autoSpaceDN/>
        <w:adjustRightInd/>
        <w:spacing w:line="360" w:lineRule="auto"/>
        <w:ind w:firstLine="482" w:firstLineChars="200"/>
        <w:jc w:val="both"/>
        <w:rPr>
          <w:rFonts w:ascii="Times New Roman" w:hAnsi="Times New Roman" w:eastAsia="宋体" w:cs="宋体"/>
          <w:b/>
          <w:bCs/>
          <w:color w:val="auto"/>
          <w:kern w:val="2"/>
          <w:sz w:val="24"/>
          <w:szCs w:val="24"/>
          <w:highlight w:val="none"/>
        </w:rPr>
      </w:pPr>
      <w:r>
        <w:rPr>
          <w:rFonts w:hint="eastAsia" w:ascii="Times New Roman" w:hAnsi="Times New Roman" w:eastAsia="宋体" w:cs="宋体"/>
          <w:b/>
          <w:bCs/>
          <w:color w:val="auto"/>
          <w:kern w:val="2"/>
          <w:sz w:val="24"/>
          <w:szCs w:val="24"/>
          <w:highlight w:val="none"/>
        </w:rPr>
        <w:t>三、供货要求</w:t>
      </w:r>
    </w:p>
    <w:p w14:paraId="7235C5FA">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交货地点：东莞市污泥集中处理处置项目现场（广东省东莞市沙田镇立沙中路）。</w:t>
      </w:r>
    </w:p>
    <w:p w14:paraId="7D4FEFB6">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供货单位与采购人签订合同后，供货单位按采购人供货计划进行供货；供货单位接到采购人的供货通知后须</w:t>
      </w:r>
      <w:r>
        <w:rPr>
          <w:rFonts w:hint="eastAsia" w:ascii="Times New Roman" w:hAnsi="Times New Roman" w:eastAsia="宋体" w:cs="宋体"/>
          <w:color w:val="auto"/>
          <w:kern w:val="2"/>
          <w:sz w:val="24"/>
          <w:szCs w:val="24"/>
          <w:highlight w:val="none"/>
          <w:lang w:val="en-US" w:eastAsia="zh-CN"/>
        </w:rPr>
        <w:t>72小时</w:t>
      </w:r>
      <w:r>
        <w:rPr>
          <w:rFonts w:hint="eastAsia" w:ascii="Times New Roman" w:hAnsi="Times New Roman" w:eastAsia="宋体" w:cs="宋体"/>
          <w:color w:val="auto"/>
          <w:kern w:val="2"/>
          <w:sz w:val="24"/>
          <w:szCs w:val="24"/>
          <w:highlight w:val="none"/>
        </w:rPr>
        <w:t>内送达，并负责送至储药间或储罐。如采购人要求加急供货，供货单位应在</w:t>
      </w:r>
      <w:r>
        <w:rPr>
          <w:rFonts w:hint="eastAsia" w:ascii="Times New Roman" w:hAnsi="Times New Roman" w:eastAsia="宋体" w:cs="宋体"/>
          <w:color w:val="auto"/>
          <w:kern w:val="2"/>
          <w:sz w:val="24"/>
          <w:szCs w:val="24"/>
          <w:highlight w:val="none"/>
          <w:lang w:val="en-US" w:eastAsia="zh-CN"/>
        </w:rPr>
        <w:t>48</w:t>
      </w:r>
      <w:r>
        <w:rPr>
          <w:rFonts w:hint="eastAsia" w:ascii="Times New Roman" w:hAnsi="Times New Roman" w:eastAsia="宋体" w:cs="宋体"/>
          <w:color w:val="auto"/>
          <w:kern w:val="2"/>
          <w:sz w:val="24"/>
          <w:szCs w:val="24"/>
          <w:highlight w:val="none"/>
        </w:rPr>
        <w:t>小时内将货物送达采购人指定地点，且采购人无需因加急供货而额外支付任何费用。</w:t>
      </w:r>
    </w:p>
    <w:p w14:paraId="2A796161">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3</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供货单位自行负责将药剂运送至指定位置（储药间或储罐），并承担相应的运输、装卸、二次搬运等费用，运输人员应配备足够防护器具。如在运输及装卸过程中，</w:t>
      </w:r>
      <w:r>
        <w:rPr>
          <w:rFonts w:hint="eastAsia" w:ascii="Times New Roman" w:hAnsi="Times New Roman" w:eastAsia="宋体" w:cs="宋体"/>
          <w:color w:val="auto"/>
          <w:kern w:val="2"/>
          <w:sz w:val="24"/>
          <w:szCs w:val="24"/>
          <w:highlight w:val="none"/>
          <w:lang w:val="en-US" w:eastAsia="zh-CN"/>
        </w:rPr>
        <w:t>生产药剂</w:t>
      </w:r>
      <w:r>
        <w:rPr>
          <w:rFonts w:hint="eastAsia" w:ascii="Times New Roman" w:hAnsi="Times New Roman" w:eastAsia="宋体" w:cs="宋体"/>
          <w:color w:val="auto"/>
          <w:kern w:val="2"/>
          <w:sz w:val="24"/>
          <w:szCs w:val="24"/>
          <w:highlight w:val="none"/>
        </w:rPr>
        <w:t>发生泄漏，应由供货单位负责清理收集，避免造成人员伤害或环境污染。</w:t>
      </w:r>
    </w:p>
    <w:p w14:paraId="4BC48CB5">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4</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每次送货到交货地方和卸货离开后，须经过污泥项目厂内的电子地磅进行称重，实际供货数量以污泥项目电子地磅出具的称重单为准。</w:t>
      </w:r>
    </w:p>
    <w:p w14:paraId="2FC0338C">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5</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14:paraId="668AF883">
      <w:pPr>
        <w:spacing w:line="360" w:lineRule="auto"/>
        <w:ind w:firstLine="480" w:firstLineChars="200"/>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6</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供货期间，在收到采购人供货通知前，供货单位无需为合同履行准备工作，因此造成的损失采购人不负任何责任。</w:t>
      </w:r>
    </w:p>
    <w:p w14:paraId="5503684D">
      <w:pPr>
        <w:spacing w:line="360" w:lineRule="auto"/>
        <w:ind w:firstLine="480" w:firstLineChars="200"/>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7</w:t>
      </w:r>
      <w:r>
        <w:rPr>
          <w:rFonts w:hint="eastAsia" w:ascii="Times New Roman" w:hAnsi="Times New Roman" w:eastAsia="宋体" w:cs="宋体"/>
          <w:color w:val="auto"/>
          <w:kern w:val="2"/>
          <w:sz w:val="24"/>
          <w:szCs w:val="24"/>
          <w:highlight w:val="none"/>
          <w:lang w:val="en-US" w:eastAsia="zh-CN"/>
        </w:rPr>
        <w:t>.</w:t>
      </w:r>
      <w:r>
        <w:rPr>
          <w:rFonts w:ascii="Times New Roman" w:hAnsi="Times New Roman" w:eastAsia="宋体" w:cs="宋体"/>
          <w:color w:val="auto"/>
          <w:kern w:val="2"/>
          <w:sz w:val="24"/>
          <w:szCs w:val="24"/>
          <w:highlight w:val="none"/>
        </w:rPr>
        <w:t>药剂的运送及输送方式应符合国家或行业规范标准</w:t>
      </w:r>
      <w:r>
        <w:rPr>
          <w:rFonts w:hint="eastAsia" w:ascii="Times New Roman" w:hAnsi="Times New Roman" w:eastAsia="宋体" w:cs="宋体"/>
          <w:color w:val="auto"/>
          <w:kern w:val="2"/>
          <w:sz w:val="24"/>
          <w:szCs w:val="24"/>
          <w:highlight w:val="none"/>
        </w:rPr>
        <w:t>。</w:t>
      </w:r>
    </w:p>
    <w:p w14:paraId="0FDF8F0A">
      <w:pPr>
        <w:autoSpaceDE/>
        <w:autoSpaceDN/>
        <w:adjustRightInd/>
        <w:spacing w:line="360" w:lineRule="auto"/>
        <w:ind w:firstLine="480" w:firstLineChars="200"/>
        <w:jc w:val="both"/>
        <w:rPr>
          <w:rFonts w:ascii="Times New Roman" w:hAnsi="Times New Roman" w:eastAsia="宋体"/>
          <w:color w:val="auto"/>
          <w:sz w:val="24"/>
          <w:szCs w:val="24"/>
          <w:highlight w:val="none"/>
        </w:rPr>
      </w:pPr>
      <w:r>
        <w:rPr>
          <w:rFonts w:hint="eastAsia" w:ascii="Times New Roman" w:hAnsi="Times New Roman" w:eastAsia="宋体" w:cs="宋体"/>
          <w:color w:val="auto"/>
          <w:kern w:val="2"/>
          <w:sz w:val="24"/>
          <w:szCs w:val="24"/>
          <w:highlight w:val="none"/>
        </w:rPr>
        <w:t>8</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期间，采购人有权根据项目实际情况及有关法律法规、政策的规定进行合法变更调整。在变更调整后，供货单位应遵照执行。采购人的实际需求数量以采购人每次的供货通知为准，在供货期内供货单位不得因采购人实际采购数量的减少或增加而要求提供任何形式的补偿或赔偿，或要求采购人按暂定数量采购相应货物。</w:t>
      </w:r>
    </w:p>
    <w:p w14:paraId="7CE82802">
      <w:pPr>
        <w:autoSpaceDE/>
        <w:autoSpaceDN/>
        <w:adjustRightInd/>
        <w:spacing w:line="360" w:lineRule="auto"/>
        <w:ind w:firstLine="482" w:firstLineChars="200"/>
        <w:jc w:val="both"/>
        <w:rPr>
          <w:rFonts w:ascii="Times New Roman" w:hAnsi="Times New Roman" w:eastAsia="宋体" w:cs="宋体"/>
          <w:b/>
          <w:color w:val="auto"/>
          <w:kern w:val="2"/>
          <w:sz w:val="24"/>
          <w:szCs w:val="24"/>
          <w:highlight w:val="none"/>
        </w:rPr>
      </w:pPr>
      <w:r>
        <w:rPr>
          <w:rFonts w:hint="eastAsia" w:ascii="Times New Roman" w:hAnsi="Times New Roman" w:eastAsia="宋体" w:cs="宋体"/>
          <w:b/>
          <w:color w:val="auto"/>
          <w:kern w:val="2"/>
          <w:sz w:val="24"/>
          <w:szCs w:val="24"/>
          <w:highlight w:val="none"/>
        </w:rPr>
        <w:t>四、验收要求</w:t>
      </w:r>
    </w:p>
    <w:p w14:paraId="7C28252E">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验收分为货到交货地点的初步验收和货物检验合格后的最终验收。</w:t>
      </w:r>
    </w:p>
    <w:p w14:paraId="610F7010">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（1）初步验收：</w:t>
      </w:r>
    </w:p>
    <w:p w14:paraId="27D61D17">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1）货物运抵交货地点，采购人、供货单位共同验货。采购人按照本项目合同及用户需求书，对货物的数量、品种、随车产品质量检验报告</w:t>
      </w:r>
      <w:r>
        <w:rPr>
          <w:rFonts w:hint="eastAsia" w:ascii="Times New Roman" w:hAnsi="Times New Roman" w:eastAsia="宋体" w:cs="宋体"/>
          <w:color w:val="auto"/>
          <w:sz w:val="24"/>
          <w:szCs w:val="24"/>
          <w:highlight w:val="none"/>
        </w:rPr>
        <w:t>（包含本需求书表1至表</w:t>
      </w:r>
      <w:r>
        <w:rPr>
          <w:rFonts w:hint="eastAsia" w:ascii="Times New Roman" w:hAnsi="Times New Roman" w:eastAsia="宋体"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对应药剂的全部技术指标）</w:t>
      </w:r>
      <w:r>
        <w:rPr>
          <w:rFonts w:hint="eastAsia" w:ascii="Times New Roman" w:hAnsi="Times New Roman" w:eastAsia="宋体" w:cs="宋体"/>
          <w:color w:val="auto"/>
          <w:kern w:val="2"/>
          <w:sz w:val="24"/>
          <w:szCs w:val="24"/>
          <w:highlight w:val="none"/>
        </w:rPr>
        <w:t>、产品合格证、供货单据等进行核对。</w:t>
      </w:r>
    </w:p>
    <w:p w14:paraId="25E1FD26">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2）核对完成后，采购人、供货单位双方对随车产品质量检验报告、供货单据进行签收手续视为完成初步验收，初步验收仅限于双方共同对</w:t>
      </w:r>
      <w:r>
        <w:rPr>
          <w:rFonts w:hint="eastAsia" w:ascii="Times New Roman" w:hAnsi="Times New Roman" w:eastAsia="宋体" w:cs="宋体"/>
          <w:color w:val="auto"/>
          <w:kern w:val="2"/>
          <w:sz w:val="24"/>
          <w:szCs w:val="24"/>
          <w:highlight w:val="none"/>
          <w:lang w:eastAsia="zh-CN"/>
        </w:rPr>
        <w:t>供货单位</w:t>
      </w:r>
      <w:r>
        <w:rPr>
          <w:rFonts w:hint="eastAsia" w:ascii="Times New Roman" w:hAnsi="Times New Roman" w:eastAsia="宋体" w:cs="宋体"/>
          <w:color w:val="auto"/>
          <w:kern w:val="2"/>
          <w:sz w:val="24"/>
          <w:szCs w:val="24"/>
          <w:highlight w:val="none"/>
        </w:rPr>
        <w:t>所供货物数量、品种、随车产品质量检验报告、供货单据等符合合同技术指标要求的书面确认。</w:t>
      </w:r>
    </w:p>
    <w:p w14:paraId="4AC2358A">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（2）最终验收</w:t>
      </w:r>
    </w:p>
    <w:p w14:paraId="45A811CC">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采购人对每次供货货物检验，检验指标由采购人根据需要选择，货物批按需检验指标由采购人根据采购人关于药剂的管理制度及要求适时调整。采购人对每次供货货物检验，每次货到现场时可由双方共同取样，供货货物合格判定以采购人实验室检验结果为准。若</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无正当理由拒绝或未能按采购人通知派员参与共同取样，则视为</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授权采购人单独取样，该取样结果及据此进行的检验结果对</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具有同等约束力。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14:paraId="7892D7C1">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lang w:val="en-US" w:eastAsia="zh-CN"/>
        </w:rPr>
        <w:t>2）</w:t>
      </w:r>
      <w:r>
        <w:rPr>
          <w:rFonts w:hint="eastAsia" w:ascii="Times New Roman" w:hAnsi="Times New Roman" w:eastAsia="宋体" w:cs="宋体"/>
          <w:color w:val="auto"/>
          <w:kern w:val="2"/>
          <w:sz w:val="24"/>
          <w:szCs w:val="24"/>
          <w:highlight w:val="none"/>
        </w:rPr>
        <w:t>供货期间，如有发布最新的行业标准或国家标准，货物检验方法按发布的最新行业标准或国家标准执行。</w:t>
      </w:r>
    </w:p>
    <w:p w14:paraId="457EB4C8">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14:paraId="142A3466">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3</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采购人根据本条规定对货物所做出的验收，仅作为起算付款及质保期之用，不视为双方对于货物质量的最终认可，供货单位仍应在质保期内对产品质量承担保证责任</w:t>
      </w:r>
      <w:r>
        <w:rPr>
          <w:rFonts w:hint="eastAsia" w:ascii="Times New Roman" w:hAnsi="Times New Roman" w:eastAsia="宋体" w:cs="宋体"/>
          <w:color w:val="auto"/>
          <w:sz w:val="24"/>
          <w:szCs w:val="24"/>
          <w:highlight w:val="none"/>
        </w:rPr>
        <w:t>，不能免除乙方其后因产品实际情况与要求不符而导致</w:t>
      </w:r>
      <w:r>
        <w:rPr>
          <w:rFonts w:hint="eastAsia" w:ascii="Times New Roman" w:cs="宋体"/>
          <w:color w:val="auto"/>
          <w:sz w:val="24"/>
          <w:szCs w:val="24"/>
          <w:highlight w:val="none"/>
          <w:lang w:val="en-US" w:eastAsia="zh-CN"/>
        </w:rPr>
        <w:t>采购人</w:t>
      </w:r>
      <w:r>
        <w:rPr>
          <w:rFonts w:hint="eastAsia" w:ascii="Times New Roman" w:hAnsi="Times New Roman" w:cs="宋体"/>
          <w:color w:val="auto"/>
          <w:sz w:val="24"/>
          <w:szCs w:val="24"/>
          <w:highlight w:val="none"/>
          <w:lang w:val="en-US" w:eastAsia="zh-CN"/>
        </w:rPr>
        <w:t>要求</w:t>
      </w:r>
      <w:r>
        <w:rPr>
          <w:rFonts w:hint="eastAsia" w:ascii="Times New Roman" w:hAnsi="Times New Roman" w:eastAsia="宋体" w:cs="宋体"/>
          <w:color w:val="auto"/>
          <w:sz w:val="24"/>
          <w:szCs w:val="24"/>
          <w:highlight w:val="none"/>
        </w:rPr>
        <w:t>退货</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换货</w:t>
      </w:r>
      <w:r>
        <w:rPr>
          <w:rFonts w:hint="eastAsia" w:ascii="Times New Roman" w:hAnsi="Times New Roman" w:eastAsia="宋体" w:cs="宋体"/>
          <w:color w:val="auto"/>
          <w:sz w:val="24"/>
          <w:szCs w:val="24"/>
          <w:highlight w:val="none"/>
        </w:rPr>
        <w:t>的责任承担</w:t>
      </w:r>
      <w:r>
        <w:rPr>
          <w:rFonts w:hint="eastAsia" w:ascii="Times New Roman" w:hAnsi="Times New Roman" w:eastAsia="宋体" w:cs="宋体"/>
          <w:color w:val="auto"/>
          <w:kern w:val="2"/>
          <w:sz w:val="24"/>
          <w:szCs w:val="24"/>
          <w:highlight w:val="none"/>
        </w:rPr>
        <w:t>。</w:t>
      </w:r>
    </w:p>
    <w:p w14:paraId="478596E1">
      <w:pPr>
        <w:spacing w:line="360" w:lineRule="auto"/>
        <w:ind w:firstLine="480" w:firstLineChars="200"/>
        <w:jc w:val="both"/>
        <w:rPr>
          <w:rFonts w:ascii="Times New Roman" w:hAnsi="Times New Roman" w:eastAsia="宋体" w:cs="宋体"/>
          <w:b/>
          <w:bCs/>
          <w:color w:val="auto"/>
          <w:kern w:val="2"/>
          <w:sz w:val="24"/>
          <w:szCs w:val="24"/>
          <w:highlight w:val="none"/>
        </w:rPr>
      </w:pPr>
      <w:r>
        <w:rPr>
          <w:rFonts w:hint="eastAsia" w:ascii="Times New Roman" w:hAnsi="Times New Roman" w:eastAsia="宋体" w:cs="宋体"/>
          <w:color w:val="auto"/>
          <w:kern w:val="2"/>
          <w:sz w:val="24"/>
          <w:szCs w:val="24"/>
          <w:highlight w:val="none"/>
        </w:rPr>
        <w:t>4</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货物在经最终验收合格前，其损耗、毁损、灭失等风险及责任由供货单位承担，如因发生前述情形，导致供货单位所提供的货物不能通过采购人验收的，供货单位应按采购人要求无条件予以退换货，费用由</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承担，给采购人造成损失的供货单位须承担全部的赔偿责任，且交货时间不予顺延。</w:t>
      </w:r>
    </w:p>
    <w:p w14:paraId="6FD78580">
      <w:pPr>
        <w:spacing w:line="360" w:lineRule="auto"/>
        <w:ind w:firstLine="482"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
          <w:color w:val="auto"/>
          <w:kern w:val="2"/>
          <w:sz w:val="24"/>
          <w:szCs w:val="24"/>
          <w:highlight w:val="none"/>
        </w:rPr>
        <w:t>五、售后要求</w:t>
      </w:r>
    </w:p>
    <w:p w14:paraId="7776C5BF">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1</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供货单位应具有相应的技术人员，具备供货及售前售后的服务能力。</w:t>
      </w:r>
    </w:p>
    <w:p w14:paraId="64EBF931">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2</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供货单位在接到质量问题通知后24小时内自费派工程师到达现场对问题进行处理。</w:t>
      </w:r>
    </w:p>
    <w:p w14:paraId="6BED923F">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3</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14:paraId="1C8AA919">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4</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14:paraId="5B8235F7">
      <w:pPr>
        <w:spacing w:line="360" w:lineRule="auto"/>
        <w:ind w:firstLine="480"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Cs/>
          <w:color w:val="auto"/>
          <w:kern w:val="2"/>
          <w:sz w:val="24"/>
          <w:szCs w:val="24"/>
          <w:highlight w:val="none"/>
        </w:rPr>
        <w:t>5</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自采购人通知供货单位货物检验不合格或货物使用过程中出现质量问题后，采购人有权要求供货单位按照加急供货的规定，将等量的合格货物送交采购人，否则按加急供货的违约规定进行处理。</w:t>
      </w:r>
    </w:p>
    <w:p w14:paraId="39562EC5">
      <w:pPr>
        <w:spacing w:line="360" w:lineRule="auto"/>
        <w:ind w:firstLine="482"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
          <w:color w:val="auto"/>
          <w:kern w:val="2"/>
          <w:sz w:val="24"/>
          <w:szCs w:val="24"/>
          <w:highlight w:val="none"/>
        </w:rPr>
        <w:t>六、付款方式</w:t>
      </w:r>
    </w:p>
    <w:p w14:paraId="60240C56">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1</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货物的款项按月支付，在收到货物并最终验收合格后，每月中旬办理支付上月实际供货量的100%货款。</w:t>
      </w:r>
    </w:p>
    <w:p w14:paraId="4987A22A">
      <w:pPr>
        <w:spacing w:line="360" w:lineRule="auto"/>
        <w:ind w:firstLine="480"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Cs/>
          <w:color w:val="auto"/>
          <w:kern w:val="2"/>
          <w:sz w:val="24"/>
          <w:szCs w:val="24"/>
          <w:highlight w:val="none"/>
        </w:rPr>
        <w:t>2</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每次付款前，投标人需提交请款报告和增值税专用发票，</w:t>
      </w:r>
      <w:r>
        <w:rPr>
          <w:rFonts w:hint="eastAsia" w:ascii="Times New Roman" w:hAnsi="Times New Roman" w:eastAsia="宋体" w:cs="宋体"/>
          <w:bCs/>
          <w:color w:val="auto"/>
          <w:kern w:val="2"/>
          <w:sz w:val="24"/>
          <w:szCs w:val="24"/>
          <w:highlight w:val="none"/>
          <w:lang w:eastAsia="zh-CN"/>
        </w:rPr>
        <w:t>采购人</w:t>
      </w:r>
      <w:r>
        <w:rPr>
          <w:rFonts w:hint="eastAsia" w:ascii="Times New Roman" w:hAnsi="Times New Roman" w:eastAsia="宋体" w:cs="宋体"/>
          <w:bCs/>
          <w:color w:val="auto"/>
          <w:kern w:val="2"/>
          <w:sz w:val="24"/>
          <w:szCs w:val="24"/>
          <w:highlight w:val="none"/>
        </w:rPr>
        <w:t>在收到请款报告和增值税专用发票后30 个工作日内支付货款。</w:t>
      </w:r>
    </w:p>
    <w:p w14:paraId="2691CEDD">
      <w:pPr>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kern w:val="2"/>
          <w:sz w:val="24"/>
          <w:szCs w:val="24"/>
          <w:highlight w:val="none"/>
        </w:rPr>
        <w:t>七、其他要求</w:t>
      </w:r>
    </w:p>
    <w:p w14:paraId="2EFABCE8">
      <w:pPr>
        <w:spacing w:line="360" w:lineRule="auto"/>
        <w:ind w:firstLine="480" w:firstLineChars="200"/>
        <w:rPr>
          <w:rFonts w:ascii="Times New Roman" w:hAnsi="Times New Roman" w:eastAsia="宋体"/>
          <w:color w:val="auto"/>
          <w:highlight w:val="none"/>
          <w:lang w:val="zh-CN"/>
        </w:rPr>
      </w:pPr>
      <w:r>
        <w:rPr>
          <w:rFonts w:hint="eastAsia" w:ascii="Times New Roman" w:hAnsi="Times New Roman" w:eastAsia="宋体" w:cs="宋体"/>
          <w:bCs/>
          <w:color w:val="auto"/>
          <w:kern w:val="2"/>
          <w:sz w:val="24"/>
          <w:szCs w:val="24"/>
          <w:highlight w:val="none"/>
        </w:rPr>
        <w:t>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价结论为不合格的，采购人有权取消供货单位的供货资格并单方解除合同。</w:t>
      </w:r>
    </w:p>
    <w:p w14:paraId="4234013A">
      <w:pPr>
        <w:pageBreakBefore/>
        <w:jc w:val="center"/>
        <w:rPr>
          <w:rFonts w:ascii="Times New Roman" w:hAnsi="Times New Roman" w:eastAsia="宋体"/>
          <w:b/>
          <w:bCs/>
          <w:color w:val="auto"/>
          <w:sz w:val="36"/>
          <w:szCs w:val="36"/>
          <w:highlight w:val="none"/>
        </w:rPr>
      </w:pPr>
      <w:r>
        <w:rPr>
          <w:rFonts w:hint="eastAsia" w:ascii="Times New Roman" w:hAnsi="Times New Roman" w:eastAsia="宋体"/>
          <w:b/>
          <w:bCs/>
          <w:color w:val="auto"/>
          <w:sz w:val="36"/>
          <w:szCs w:val="36"/>
          <w:highlight w:val="none"/>
        </w:rPr>
        <w:t>验收报告</w:t>
      </w:r>
    </w:p>
    <w:tbl>
      <w:tblPr>
        <w:tblStyle w:val="20"/>
        <w:tblpPr w:leftFromText="180" w:rightFromText="180" w:vertAnchor="text" w:horzAnchor="page" w:tblpXSpec="center" w:tblpY="250"/>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61C1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0691E4E">
            <w:pPr>
              <w:widowControl/>
              <w:jc w:val="center"/>
              <w:textAlignment w:val="center"/>
              <w:rPr>
                <w:rFonts w:ascii="Times New Roman" w:hAnsi="Times New Roman" w:eastAsia="宋体"/>
                <w:b/>
                <w:color w:val="auto"/>
                <w:sz w:val="24"/>
                <w:szCs w:val="24"/>
                <w:highlight w:val="none"/>
              </w:rPr>
            </w:pPr>
            <w:r>
              <w:rPr>
                <w:rFonts w:hint="eastAsia" w:ascii="Times New Roman" w:hAnsi="Times New Roman" w:eastAsia="宋体" w:cs="宋体"/>
                <w:b/>
                <w:color w:val="auto"/>
                <w:sz w:val="24"/>
                <w:szCs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807C526">
            <w:pPr>
              <w:widowControl/>
              <w:jc w:val="center"/>
              <w:textAlignment w:val="center"/>
              <w:rPr>
                <w:rFonts w:ascii="Times New Roman" w:hAnsi="Times New Roman" w:eastAsia="宋体"/>
                <w:b/>
                <w:color w:val="auto"/>
                <w:sz w:val="24"/>
                <w:szCs w:val="24"/>
                <w:highlight w:val="none"/>
              </w:rPr>
            </w:pPr>
          </w:p>
        </w:tc>
      </w:tr>
      <w:tr w14:paraId="01A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BA82AB6">
            <w:pPr>
              <w:widowControl/>
              <w:jc w:val="center"/>
              <w:textAlignment w:val="center"/>
              <w:rPr>
                <w:rFonts w:ascii="Times New Roman" w:hAnsi="Times New Roman" w:eastAsia="宋体"/>
                <w:b/>
                <w:color w:val="auto"/>
                <w:sz w:val="24"/>
                <w:szCs w:val="24"/>
                <w:highlight w:val="none"/>
              </w:rPr>
            </w:pPr>
            <w:r>
              <w:rPr>
                <w:rFonts w:hint="eastAsia" w:ascii="Times New Roman" w:hAnsi="Times New Roman" w:eastAsia="宋体" w:cs="宋体"/>
                <w:b/>
                <w:color w:val="auto"/>
                <w:sz w:val="24"/>
                <w:szCs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837AE90">
            <w:pPr>
              <w:widowControl/>
              <w:jc w:val="center"/>
              <w:textAlignment w:val="center"/>
              <w:rPr>
                <w:rFonts w:ascii="Times New Roman" w:hAnsi="Times New Roman" w:eastAsia="宋体"/>
                <w:b/>
                <w:color w:val="auto"/>
                <w:sz w:val="24"/>
                <w:szCs w:val="24"/>
                <w:highlight w:val="none"/>
              </w:rPr>
            </w:pPr>
          </w:p>
        </w:tc>
      </w:tr>
      <w:tr w14:paraId="3DE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8B3A70">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8709B09">
            <w:pPr>
              <w:widowControl/>
              <w:jc w:val="center"/>
              <w:textAlignment w:val="center"/>
              <w:rPr>
                <w:rFonts w:ascii="Times New Roman" w:hAnsi="Times New Roman" w:eastAsia="宋体"/>
                <w:b/>
                <w:color w:val="auto"/>
                <w:sz w:val="24"/>
                <w:szCs w:val="24"/>
                <w:highlight w:val="none"/>
              </w:rPr>
            </w:pPr>
          </w:p>
        </w:tc>
      </w:tr>
      <w:tr w14:paraId="5C6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A933AC">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32C4DD1">
            <w:pPr>
              <w:widowControl/>
              <w:jc w:val="center"/>
              <w:textAlignment w:val="center"/>
              <w:rPr>
                <w:rFonts w:ascii="Times New Roman" w:hAnsi="Times New Roman" w:eastAsia="宋体"/>
                <w:b/>
                <w:color w:val="auto"/>
                <w:sz w:val="24"/>
                <w:szCs w:val="24"/>
                <w:highlight w:val="none"/>
              </w:rPr>
            </w:pPr>
          </w:p>
        </w:tc>
      </w:tr>
      <w:tr w14:paraId="70C7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0619AF1">
            <w:pPr>
              <w:widowControl/>
              <w:jc w:val="center"/>
              <w:textAlignment w:val="center"/>
              <w:rPr>
                <w:rFonts w:ascii="Times New Roman" w:hAnsi="Times New Roman" w:eastAsia="宋体"/>
                <w:b/>
                <w:color w:val="auto"/>
                <w:sz w:val="24"/>
                <w:szCs w:val="24"/>
                <w:highlight w:val="none"/>
              </w:rPr>
            </w:pPr>
            <w:r>
              <w:rPr>
                <w:rFonts w:hint="eastAsia" w:ascii="Times New Roman" w:hAnsi="Times New Roman" w:eastAsia="宋体" w:cs="宋体"/>
                <w:b/>
                <w:color w:val="auto"/>
                <w:sz w:val="24"/>
                <w:szCs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A969CC">
            <w:pPr>
              <w:widowControl/>
              <w:jc w:val="center"/>
              <w:textAlignment w:val="center"/>
              <w:rPr>
                <w:rFonts w:ascii="Times New Roman" w:hAnsi="Times New Roman" w:eastAsia="宋体" w:cs="宋体"/>
                <w:b/>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B765ECF">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43EA409">
            <w:pPr>
              <w:widowControl/>
              <w:jc w:val="center"/>
              <w:textAlignment w:val="center"/>
              <w:rPr>
                <w:rFonts w:ascii="Times New Roman" w:hAnsi="Times New Roman" w:eastAsia="宋体" w:cs="宋体"/>
                <w:b/>
                <w:color w:val="auto"/>
                <w:sz w:val="24"/>
                <w:szCs w:val="24"/>
                <w:highlight w:val="none"/>
              </w:rPr>
            </w:pPr>
          </w:p>
        </w:tc>
      </w:tr>
      <w:tr w14:paraId="2B4E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CEC9EF">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4533901">
            <w:pPr>
              <w:widowControl/>
              <w:jc w:val="center"/>
              <w:textAlignment w:val="center"/>
              <w:rPr>
                <w:rFonts w:ascii="Times New Roman" w:hAnsi="Times New Roman" w:eastAsia="宋体" w:cs="宋体"/>
                <w:b/>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2CE0802">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ECFCBF">
            <w:pPr>
              <w:widowControl/>
              <w:jc w:val="center"/>
              <w:textAlignment w:val="center"/>
              <w:rPr>
                <w:rFonts w:ascii="Times New Roman" w:hAnsi="Times New Roman" w:eastAsia="宋体" w:cs="宋体"/>
                <w:b/>
                <w:color w:val="auto"/>
                <w:sz w:val="24"/>
                <w:szCs w:val="24"/>
                <w:highlight w:val="none"/>
              </w:rPr>
            </w:pPr>
          </w:p>
        </w:tc>
      </w:tr>
      <w:tr w14:paraId="513E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7FEB929">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AB031D9">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8DD6217">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C880377">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检测值</w:t>
            </w:r>
          </w:p>
        </w:tc>
      </w:tr>
      <w:tr w14:paraId="05F7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8E387E4">
            <w:pPr>
              <w:widowControl/>
              <w:jc w:val="center"/>
              <w:textAlignment w:val="center"/>
              <w:rPr>
                <w:rFonts w:ascii="Times New Roman" w:hAnsi="Times New Roman" w:eastAsia="宋体" w:cs="宋体"/>
                <w:bCs/>
                <w:color w:val="auto"/>
                <w:sz w:val="24"/>
                <w:szCs w:val="24"/>
                <w:highlight w:val="none"/>
              </w:rPr>
            </w:pPr>
            <w:r>
              <w:rPr>
                <w:rFonts w:ascii="Times New Roman" w:hAnsi="Times New Roman" w:eastAsia="宋体" w:cs="宋体"/>
                <w:bCs/>
                <w:color w:val="auto"/>
                <w:sz w:val="24"/>
                <w:szCs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88C0D8F">
            <w:pPr>
              <w:widowControl/>
              <w:jc w:val="center"/>
              <w:textAlignment w:val="center"/>
              <w:rPr>
                <w:rFonts w:ascii="Times New Roman" w:hAnsi="Times New Roman" w:eastAsia="宋体"/>
                <w:b/>
                <w:bCs/>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A956D8A">
            <w:pPr>
              <w:widowControl/>
              <w:jc w:val="center"/>
              <w:textAlignment w:val="center"/>
              <w:rPr>
                <w:rFonts w:ascii="Times New Roman" w:hAnsi="Times New Roman" w:eastAsia="宋体" w:cs="宋体"/>
                <w:b/>
                <w:color w:val="auto"/>
                <w:sz w:val="24"/>
                <w:szCs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F2E968C">
            <w:pPr>
              <w:widowControl/>
              <w:jc w:val="center"/>
              <w:textAlignment w:val="center"/>
              <w:rPr>
                <w:rFonts w:ascii="Times New Roman" w:hAnsi="Times New Roman" w:eastAsia="宋体"/>
                <w:color w:val="auto"/>
                <w:sz w:val="24"/>
                <w:szCs w:val="24"/>
                <w:highlight w:val="none"/>
              </w:rPr>
            </w:pPr>
          </w:p>
        </w:tc>
      </w:tr>
      <w:tr w14:paraId="1C1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F9C4B80">
            <w:pPr>
              <w:widowControl/>
              <w:jc w:val="center"/>
              <w:textAlignment w:val="center"/>
              <w:rPr>
                <w:rFonts w:ascii="Times New Roman" w:hAnsi="Times New Roman" w:eastAsia="宋体" w:cs="宋体"/>
                <w:bCs/>
                <w:color w:val="auto"/>
                <w:sz w:val="24"/>
                <w:szCs w:val="24"/>
                <w:highlight w:val="none"/>
              </w:rPr>
            </w:pPr>
            <w:r>
              <w:rPr>
                <w:rFonts w:ascii="Times New Roman" w:hAnsi="Times New Roman" w:eastAsia="宋体" w:cs="宋体"/>
                <w:bCs/>
                <w:color w:val="auto"/>
                <w:sz w:val="24"/>
                <w:szCs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E32C055">
            <w:pPr>
              <w:widowControl/>
              <w:jc w:val="center"/>
              <w:textAlignment w:val="center"/>
              <w:rPr>
                <w:rFonts w:ascii="Times New Roman" w:hAnsi="Times New Roman" w:eastAsia="宋体"/>
                <w:b/>
                <w:bCs/>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3DD266">
            <w:pPr>
              <w:widowControl/>
              <w:jc w:val="center"/>
              <w:textAlignment w:val="center"/>
              <w:rPr>
                <w:rFonts w:ascii="Times New Roman" w:hAnsi="Times New Roman" w:eastAsia="宋体" w:cs="宋体"/>
                <w:b/>
                <w:color w:val="auto"/>
                <w:sz w:val="24"/>
                <w:szCs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0EDC85">
            <w:pPr>
              <w:widowControl/>
              <w:jc w:val="center"/>
              <w:textAlignment w:val="center"/>
              <w:rPr>
                <w:rFonts w:ascii="Times New Roman" w:hAnsi="Times New Roman" w:eastAsia="宋体"/>
                <w:color w:val="auto"/>
                <w:sz w:val="24"/>
                <w:szCs w:val="24"/>
                <w:highlight w:val="none"/>
              </w:rPr>
            </w:pPr>
          </w:p>
        </w:tc>
      </w:tr>
      <w:tr w14:paraId="7B9F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7019D3">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DFB377B">
            <w:pPr>
              <w:widowControl/>
              <w:jc w:val="center"/>
              <w:textAlignment w:val="center"/>
              <w:rPr>
                <w:rFonts w:ascii="Times New Roman" w:hAnsi="Times New Roman" w:eastAsia="宋体"/>
                <w:color w:val="auto"/>
                <w:sz w:val="24"/>
                <w:szCs w:val="24"/>
                <w:highlight w:val="none"/>
              </w:rPr>
            </w:pPr>
          </w:p>
        </w:tc>
      </w:tr>
      <w:tr w14:paraId="73ED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8FC668">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33CD48">
            <w:pPr>
              <w:widowControl/>
              <w:jc w:val="center"/>
              <w:textAlignment w:val="center"/>
              <w:rPr>
                <w:rFonts w:ascii="Times New Roman" w:hAnsi="Times New Roman" w:eastAsia="宋体"/>
                <w:color w:val="auto"/>
                <w:sz w:val="24"/>
                <w:szCs w:val="24"/>
                <w:highlight w:val="none"/>
              </w:rPr>
            </w:pPr>
          </w:p>
        </w:tc>
      </w:tr>
      <w:tr w14:paraId="61B8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E20AB2">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39F64AF">
            <w:pPr>
              <w:widowControl/>
              <w:jc w:val="center"/>
              <w:textAlignment w:val="center"/>
              <w:rPr>
                <w:rFonts w:ascii="Times New Roman" w:hAnsi="Times New Roman" w:eastAsia="宋体"/>
                <w:color w:val="auto"/>
                <w:sz w:val="24"/>
                <w:szCs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0A4CABA">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70ED6D">
            <w:pPr>
              <w:widowControl/>
              <w:jc w:val="center"/>
              <w:textAlignment w:val="center"/>
              <w:rPr>
                <w:rFonts w:ascii="Times New Roman" w:hAnsi="Times New Roman" w:eastAsia="宋体"/>
                <w:color w:val="auto"/>
                <w:sz w:val="24"/>
                <w:szCs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7CDFCC6">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4CC94A5">
            <w:pPr>
              <w:widowControl/>
              <w:jc w:val="center"/>
              <w:textAlignment w:val="center"/>
              <w:rPr>
                <w:rFonts w:ascii="Times New Roman" w:hAnsi="Times New Roman" w:eastAsia="宋体"/>
                <w:color w:val="auto"/>
                <w:sz w:val="24"/>
                <w:szCs w:val="24"/>
                <w:highlight w:val="none"/>
              </w:rPr>
            </w:pPr>
          </w:p>
        </w:tc>
      </w:tr>
      <w:tr w14:paraId="150E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noWrap/>
            <w:tcMar>
              <w:top w:w="15" w:type="dxa"/>
              <w:left w:w="15" w:type="dxa"/>
              <w:right w:w="15" w:type="dxa"/>
            </w:tcMar>
          </w:tcPr>
          <w:p w14:paraId="7A28E80D">
            <w:pPr>
              <w:jc w:val="center"/>
              <w:rPr>
                <w:rFonts w:ascii="Times New Roman" w:hAnsi="Times New Roman" w:eastAsia="宋体"/>
                <w:b/>
                <w:bCs/>
                <w:color w:val="auto"/>
                <w:sz w:val="24"/>
                <w:szCs w:val="24"/>
                <w:highlight w:val="none"/>
              </w:rPr>
            </w:pPr>
          </w:p>
          <w:p w14:paraId="0F1B1F43">
            <w:pPr>
              <w:widowControl/>
              <w:ind w:firstLine="241" w:firstLineChars="100"/>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验收单位：</w:t>
            </w:r>
          </w:p>
          <w:p w14:paraId="37D2D3EF">
            <w:pPr>
              <w:widowControl/>
              <w:textAlignment w:val="center"/>
              <w:rPr>
                <w:rFonts w:ascii="Times New Roman" w:hAnsi="Times New Roman" w:eastAsia="宋体" w:cs="宋体"/>
                <w:b/>
                <w:color w:val="auto"/>
                <w:sz w:val="24"/>
                <w:szCs w:val="24"/>
                <w:highlight w:val="none"/>
              </w:rPr>
            </w:pPr>
          </w:p>
          <w:p w14:paraId="05BB92E4">
            <w:pPr>
              <w:widowControl/>
              <w:ind w:firstLine="241" w:firstLineChars="100"/>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验收人1（签名）：</w:t>
            </w:r>
          </w:p>
          <w:p w14:paraId="786D9A46">
            <w:pPr>
              <w:widowControl/>
              <w:textAlignment w:val="center"/>
              <w:rPr>
                <w:rFonts w:ascii="Times New Roman" w:hAnsi="Times New Roman" w:eastAsia="宋体" w:cs="宋体"/>
                <w:b/>
                <w:color w:val="auto"/>
                <w:sz w:val="24"/>
                <w:szCs w:val="24"/>
                <w:highlight w:val="none"/>
              </w:rPr>
            </w:pPr>
          </w:p>
          <w:p w14:paraId="61E514AE">
            <w:pPr>
              <w:widowControl/>
              <w:ind w:firstLine="241" w:firstLineChars="100"/>
              <w:textAlignment w:val="center"/>
              <w:rPr>
                <w:rFonts w:ascii="Times New Roman" w:hAnsi="Times New Roman" w:eastAsia="宋体"/>
                <w:b/>
                <w:bCs/>
                <w:color w:val="auto"/>
                <w:sz w:val="24"/>
                <w:szCs w:val="24"/>
                <w:highlight w:val="none"/>
              </w:rPr>
            </w:pPr>
            <w:r>
              <w:rPr>
                <w:rFonts w:hint="eastAsia" w:ascii="Times New Roman" w:hAnsi="Times New Roman" w:eastAsia="宋体" w:cs="宋体"/>
                <w:b/>
                <w:color w:val="auto"/>
                <w:sz w:val="24"/>
                <w:szCs w:val="24"/>
                <w:highlight w:val="none"/>
              </w:rPr>
              <w:t xml:space="preserve">验收人2（签名）： </w:t>
            </w:r>
          </w:p>
        </w:tc>
        <w:tc>
          <w:tcPr>
            <w:tcW w:w="4720" w:type="dxa"/>
            <w:gridSpan w:val="4"/>
            <w:noWrap/>
            <w:tcMar>
              <w:top w:w="15" w:type="dxa"/>
              <w:left w:w="15" w:type="dxa"/>
              <w:right w:w="15" w:type="dxa"/>
            </w:tcMar>
          </w:tcPr>
          <w:p w14:paraId="4F17B95D">
            <w:pPr>
              <w:jc w:val="center"/>
              <w:rPr>
                <w:rFonts w:ascii="Times New Roman" w:hAnsi="Times New Roman" w:eastAsia="宋体"/>
                <w:b/>
                <w:bCs/>
                <w:color w:val="auto"/>
                <w:sz w:val="24"/>
                <w:szCs w:val="24"/>
                <w:highlight w:val="none"/>
              </w:rPr>
            </w:pPr>
          </w:p>
          <w:p w14:paraId="56A55D68">
            <w:pPr>
              <w:ind w:firstLine="241" w:firstLineChars="1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供货单位（盖章）：</w:t>
            </w:r>
          </w:p>
          <w:p w14:paraId="005D313E">
            <w:pPr>
              <w:ind w:firstLine="241" w:firstLineChars="100"/>
              <w:rPr>
                <w:rFonts w:ascii="Times New Roman" w:hAnsi="Times New Roman" w:eastAsia="宋体" w:cs="宋体"/>
                <w:b/>
                <w:color w:val="auto"/>
                <w:sz w:val="24"/>
                <w:szCs w:val="24"/>
                <w:highlight w:val="none"/>
              </w:rPr>
            </w:pPr>
          </w:p>
          <w:p w14:paraId="6D22F96A">
            <w:pPr>
              <w:ind w:firstLine="241" w:firstLineChars="1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供货单位代表（签名）：</w:t>
            </w:r>
          </w:p>
        </w:tc>
      </w:tr>
      <w:tr w14:paraId="6C8B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noWrap/>
            <w:tcMar>
              <w:top w:w="15" w:type="dxa"/>
              <w:left w:w="15" w:type="dxa"/>
              <w:right w:w="15" w:type="dxa"/>
            </w:tcMar>
            <w:vAlign w:val="center"/>
          </w:tcPr>
          <w:p w14:paraId="4445EB7B">
            <w:pPr>
              <w:ind w:firstLine="482" w:firstLineChars="200"/>
              <w:rPr>
                <w:rFonts w:ascii="Times New Roman" w:hAnsi="Times New Roman" w:eastAsia="宋体"/>
                <w:color w:val="auto"/>
                <w:sz w:val="24"/>
                <w:szCs w:val="24"/>
                <w:highlight w:val="none"/>
              </w:rPr>
            </w:pPr>
            <w:r>
              <w:rPr>
                <w:rFonts w:hint="eastAsia" w:ascii="Times New Roman" w:hAnsi="Times New Roman" w:eastAsia="宋体" w:cs="宋体"/>
                <w:b/>
                <w:color w:val="auto"/>
                <w:sz w:val="24"/>
                <w:szCs w:val="24"/>
                <w:highlight w:val="none"/>
              </w:rPr>
              <w:t>日期：</w:t>
            </w:r>
          </w:p>
        </w:tc>
        <w:tc>
          <w:tcPr>
            <w:tcW w:w="4720" w:type="dxa"/>
            <w:gridSpan w:val="4"/>
            <w:noWrap/>
            <w:tcMar>
              <w:top w:w="15" w:type="dxa"/>
              <w:left w:w="15" w:type="dxa"/>
              <w:right w:w="15" w:type="dxa"/>
            </w:tcMar>
            <w:vAlign w:val="center"/>
          </w:tcPr>
          <w:p w14:paraId="441BB47A">
            <w:pPr>
              <w:ind w:firstLine="482" w:firstLineChars="200"/>
              <w:rPr>
                <w:rFonts w:ascii="Times New Roman" w:hAnsi="Times New Roman" w:eastAsia="宋体"/>
                <w:color w:val="auto"/>
                <w:sz w:val="24"/>
                <w:szCs w:val="24"/>
                <w:highlight w:val="none"/>
              </w:rPr>
            </w:pPr>
            <w:r>
              <w:rPr>
                <w:rFonts w:hint="eastAsia" w:ascii="Times New Roman" w:hAnsi="Times New Roman" w:eastAsia="宋体" w:cs="宋体"/>
                <w:b/>
                <w:color w:val="auto"/>
                <w:sz w:val="24"/>
                <w:szCs w:val="24"/>
                <w:highlight w:val="none"/>
              </w:rPr>
              <w:t>日期：</w:t>
            </w:r>
          </w:p>
        </w:tc>
      </w:tr>
    </w:tbl>
    <w:p w14:paraId="652B34CD">
      <w:pPr>
        <w:rPr>
          <w:rFonts w:ascii="Times New Roman" w:hAnsi="Times New Roman" w:eastAsia="宋体"/>
          <w:color w:val="auto"/>
          <w:highlight w:val="none"/>
          <w:lang w:val="zh-CN"/>
        </w:rPr>
        <w:sectPr>
          <w:footerReference r:id="rId6" w:type="first"/>
          <w:footerReference r:id="rId5" w:type="default"/>
          <w:pgSz w:w="12240" w:h="15840"/>
          <w:pgMar w:top="1191" w:right="1357"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tbl>
      <w:tblPr>
        <w:tblStyle w:val="20"/>
        <w:tblpPr w:leftFromText="180" w:rightFromText="180" w:vertAnchor="text" w:horzAnchor="page" w:tblpX="792" w:tblpY="742"/>
        <w:tblOverlap w:val="never"/>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785"/>
        <w:gridCol w:w="55"/>
        <w:gridCol w:w="1824"/>
        <w:gridCol w:w="733"/>
        <w:gridCol w:w="705"/>
        <w:gridCol w:w="719"/>
        <w:gridCol w:w="6"/>
      </w:tblGrid>
      <w:tr w14:paraId="3C9B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9981" w:type="dxa"/>
            <w:gridSpan w:val="8"/>
            <w:tcBorders>
              <w:top w:val="nil"/>
              <w:left w:val="nil"/>
              <w:bottom w:val="single" w:color="auto" w:sz="4" w:space="0"/>
              <w:right w:val="nil"/>
            </w:tcBorders>
            <w:vAlign w:val="center"/>
          </w:tcPr>
          <w:p w14:paraId="4B9EB4FB">
            <w:pPr>
              <w:spacing w:line="360" w:lineRule="auto"/>
              <w:jc w:val="center"/>
              <w:rPr>
                <w:rFonts w:ascii="Times New Roman" w:hAnsi="Times New Roman" w:eastAsia="宋体"/>
                <w:color w:val="auto"/>
                <w:sz w:val="22"/>
                <w:szCs w:val="22"/>
                <w:highlight w:val="none"/>
              </w:rPr>
            </w:pPr>
            <w:r>
              <w:rPr>
                <w:rFonts w:hint="eastAsia" w:ascii="Times New Roman" w:hAnsi="Times New Roman" w:eastAsia="宋体" w:cs="宋体"/>
                <w:b/>
                <w:color w:val="auto"/>
                <w:sz w:val="36"/>
                <w:szCs w:val="36"/>
                <w:highlight w:val="none"/>
              </w:rPr>
              <w:t>供应商履约评价表</w:t>
            </w:r>
          </w:p>
        </w:tc>
      </w:tr>
      <w:tr w14:paraId="56EF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tcBorders>
              <w:top w:val="single" w:color="auto" w:sz="4" w:space="0"/>
            </w:tcBorders>
            <w:vAlign w:val="center"/>
          </w:tcPr>
          <w:p w14:paraId="231FD973">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合同名称</w:t>
            </w:r>
          </w:p>
        </w:tc>
        <w:tc>
          <w:tcPr>
            <w:tcW w:w="7821" w:type="dxa"/>
            <w:gridSpan w:val="6"/>
            <w:tcBorders>
              <w:top w:val="single" w:color="auto" w:sz="4" w:space="0"/>
            </w:tcBorders>
            <w:vAlign w:val="center"/>
          </w:tcPr>
          <w:p w14:paraId="4B19A0DD">
            <w:pPr>
              <w:widowControl/>
              <w:snapToGrid w:val="0"/>
              <w:jc w:val="center"/>
              <w:rPr>
                <w:rFonts w:ascii="Times New Roman" w:hAnsi="Times New Roman" w:eastAsia="宋体"/>
                <w:color w:val="auto"/>
                <w:sz w:val="22"/>
                <w:szCs w:val="22"/>
                <w:highlight w:val="none"/>
              </w:rPr>
            </w:pPr>
          </w:p>
        </w:tc>
      </w:tr>
      <w:tr w14:paraId="0A20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3A571C4B">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合同编号</w:t>
            </w:r>
          </w:p>
        </w:tc>
        <w:tc>
          <w:tcPr>
            <w:tcW w:w="7821" w:type="dxa"/>
            <w:gridSpan w:val="6"/>
            <w:vAlign w:val="center"/>
          </w:tcPr>
          <w:p w14:paraId="03CCEFF4">
            <w:pPr>
              <w:widowControl/>
              <w:snapToGrid w:val="0"/>
              <w:rPr>
                <w:rFonts w:ascii="Times New Roman" w:hAnsi="Times New Roman" w:eastAsia="宋体"/>
                <w:color w:val="auto"/>
                <w:sz w:val="22"/>
                <w:szCs w:val="22"/>
                <w:highlight w:val="none"/>
              </w:rPr>
            </w:pPr>
          </w:p>
        </w:tc>
      </w:tr>
      <w:tr w14:paraId="7DDE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5389676F">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甲方名称</w:t>
            </w:r>
          </w:p>
        </w:tc>
        <w:tc>
          <w:tcPr>
            <w:tcW w:w="7821" w:type="dxa"/>
            <w:gridSpan w:val="6"/>
            <w:vAlign w:val="center"/>
          </w:tcPr>
          <w:p w14:paraId="7529E13F">
            <w:pPr>
              <w:widowControl/>
              <w:snapToGrid w:val="0"/>
              <w:jc w:val="center"/>
              <w:rPr>
                <w:rFonts w:ascii="Times New Roman" w:hAnsi="Times New Roman" w:eastAsia="宋体"/>
                <w:color w:val="auto"/>
                <w:sz w:val="22"/>
                <w:szCs w:val="22"/>
                <w:highlight w:val="none"/>
              </w:rPr>
            </w:pPr>
          </w:p>
        </w:tc>
      </w:tr>
      <w:tr w14:paraId="1183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1F6A6642">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供应商</w:t>
            </w:r>
            <w:r>
              <w:rPr>
                <w:rFonts w:hint="eastAsia" w:ascii="Times New Roman" w:hAnsi="Times New Roman" w:eastAsia="宋体"/>
                <w:color w:val="auto"/>
                <w:sz w:val="22"/>
                <w:szCs w:val="22"/>
                <w:highlight w:val="none"/>
              </w:rPr>
              <w:t>名称</w:t>
            </w:r>
          </w:p>
        </w:tc>
        <w:tc>
          <w:tcPr>
            <w:tcW w:w="7821" w:type="dxa"/>
            <w:gridSpan w:val="6"/>
            <w:vAlign w:val="center"/>
          </w:tcPr>
          <w:p w14:paraId="521F30FE">
            <w:pPr>
              <w:widowControl/>
              <w:snapToGrid w:val="0"/>
              <w:jc w:val="center"/>
              <w:rPr>
                <w:rFonts w:ascii="Times New Roman" w:hAnsi="Times New Roman" w:eastAsia="宋体"/>
                <w:color w:val="auto"/>
                <w:sz w:val="22"/>
                <w:szCs w:val="22"/>
                <w:highlight w:val="none"/>
              </w:rPr>
            </w:pPr>
          </w:p>
        </w:tc>
      </w:tr>
      <w:tr w14:paraId="1F44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044F4C30">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供应货物名称</w:t>
            </w:r>
          </w:p>
        </w:tc>
        <w:tc>
          <w:tcPr>
            <w:tcW w:w="7821" w:type="dxa"/>
            <w:gridSpan w:val="6"/>
            <w:vAlign w:val="center"/>
          </w:tcPr>
          <w:p w14:paraId="5B912AA7">
            <w:pPr>
              <w:widowControl/>
              <w:snapToGrid w:val="0"/>
              <w:jc w:val="center"/>
              <w:rPr>
                <w:rFonts w:ascii="Times New Roman" w:hAnsi="Times New Roman" w:eastAsia="宋体"/>
                <w:bCs/>
                <w:color w:val="auto"/>
                <w:sz w:val="22"/>
                <w:szCs w:val="22"/>
                <w:highlight w:val="none"/>
              </w:rPr>
            </w:pPr>
          </w:p>
        </w:tc>
      </w:tr>
      <w:tr w14:paraId="0F2B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797C43D7">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交货地点</w:t>
            </w:r>
          </w:p>
        </w:tc>
        <w:tc>
          <w:tcPr>
            <w:tcW w:w="7821" w:type="dxa"/>
            <w:gridSpan w:val="6"/>
            <w:vAlign w:val="center"/>
          </w:tcPr>
          <w:p w14:paraId="49029B30">
            <w:pPr>
              <w:widowControl/>
              <w:snapToGrid w:val="0"/>
              <w:jc w:val="center"/>
              <w:rPr>
                <w:rFonts w:ascii="Times New Roman" w:hAnsi="Times New Roman" w:eastAsia="宋体"/>
                <w:bCs/>
                <w:color w:val="auto"/>
                <w:sz w:val="22"/>
                <w:szCs w:val="22"/>
                <w:highlight w:val="none"/>
              </w:rPr>
            </w:pPr>
          </w:p>
        </w:tc>
      </w:tr>
      <w:tr w14:paraId="235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9" w:hRule="atLeast"/>
        </w:trPr>
        <w:tc>
          <w:tcPr>
            <w:tcW w:w="425" w:type="dxa"/>
            <w:vAlign w:val="center"/>
          </w:tcPr>
          <w:p w14:paraId="7A49376A">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序号</w:t>
            </w:r>
          </w:p>
        </w:tc>
        <w:tc>
          <w:tcPr>
            <w:tcW w:w="1735" w:type="dxa"/>
            <w:vAlign w:val="center"/>
          </w:tcPr>
          <w:p w14:paraId="106AE30D">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履约评价项目</w:t>
            </w:r>
          </w:p>
        </w:tc>
        <w:tc>
          <w:tcPr>
            <w:tcW w:w="3785" w:type="dxa"/>
            <w:vAlign w:val="center"/>
          </w:tcPr>
          <w:p w14:paraId="07821669">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评价标准</w:t>
            </w:r>
          </w:p>
        </w:tc>
        <w:tc>
          <w:tcPr>
            <w:tcW w:w="1879" w:type="dxa"/>
            <w:gridSpan w:val="2"/>
            <w:vAlign w:val="center"/>
          </w:tcPr>
          <w:p w14:paraId="6A39D30C">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评分说明</w:t>
            </w:r>
          </w:p>
        </w:tc>
        <w:tc>
          <w:tcPr>
            <w:tcW w:w="733" w:type="dxa"/>
            <w:vAlign w:val="center"/>
          </w:tcPr>
          <w:p w14:paraId="686E90D3">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分值</w:t>
            </w:r>
          </w:p>
        </w:tc>
        <w:tc>
          <w:tcPr>
            <w:tcW w:w="705" w:type="dxa"/>
            <w:vAlign w:val="center"/>
          </w:tcPr>
          <w:p w14:paraId="1551FCF2">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实得分</w:t>
            </w:r>
          </w:p>
        </w:tc>
        <w:tc>
          <w:tcPr>
            <w:tcW w:w="719" w:type="dxa"/>
            <w:vAlign w:val="center"/>
          </w:tcPr>
          <w:p w14:paraId="55115A2A">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扣分情况说明</w:t>
            </w:r>
          </w:p>
        </w:tc>
      </w:tr>
      <w:tr w14:paraId="24EE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trPr>
        <w:tc>
          <w:tcPr>
            <w:tcW w:w="425" w:type="dxa"/>
            <w:vAlign w:val="center"/>
          </w:tcPr>
          <w:p w14:paraId="25FB6E85">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w:t>
            </w:r>
          </w:p>
        </w:tc>
        <w:tc>
          <w:tcPr>
            <w:tcW w:w="1735" w:type="dxa"/>
            <w:vAlign w:val="center"/>
          </w:tcPr>
          <w:p w14:paraId="23E810F2">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质量</w:t>
            </w:r>
          </w:p>
        </w:tc>
        <w:tc>
          <w:tcPr>
            <w:tcW w:w="3785" w:type="dxa"/>
            <w:vAlign w:val="center"/>
          </w:tcPr>
          <w:p w14:paraId="2DAB2D53">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（1）货物未出现全部拒收或换货等质量问题；</w:t>
            </w:r>
          </w:p>
          <w:p w14:paraId="15F9B692">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（2）货物主要技术指标符合合同规定；</w:t>
            </w:r>
          </w:p>
          <w:p w14:paraId="28EBC76E">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（3）每次货物质量稳定，投加效果良好，未出现由于每次货物质量参差不齐导致厂区药剂投加量增加或出现污染排放超标风险等情况。</w:t>
            </w:r>
          </w:p>
        </w:tc>
        <w:tc>
          <w:tcPr>
            <w:tcW w:w="1879" w:type="dxa"/>
            <w:gridSpan w:val="2"/>
            <w:vAlign w:val="center"/>
          </w:tcPr>
          <w:p w14:paraId="00DB57F7">
            <w:pPr>
              <w:widowControl/>
              <w:snapToGrid w:val="0"/>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达到标准的得满分，每月每次货物有一项未达到标准的扣4分，每次货物最多扣4分。</w:t>
            </w:r>
          </w:p>
        </w:tc>
        <w:tc>
          <w:tcPr>
            <w:tcW w:w="733" w:type="dxa"/>
            <w:vAlign w:val="center"/>
          </w:tcPr>
          <w:p w14:paraId="409C85BD">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20</w:t>
            </w:r>
          </w:p>
        </w:tc>
        <w:tc>
          <w:tcPr>
            <w:tcW w:w="705" w:type="dxa"/>
            <w:vAlign w:val="center"/>
          </w:tcPr>
          <w:p w14:paraId="66C43DC0">
            <w:pPr>
              <w:widowControl/>
              <w:snapToGrid w:val="0"/>
              <w:jc w:val="center"/>
              <w:rPr>
                <w:rFonts w:ascii="Times New Roman" w:hAnsi="Times New Roman" w:eastAsia="宋体"/>
                <w:bCs/>
                <w:color w:val="auto"/>
                <w:sz w:val="22"/>
                <w:szCs w:val="22"/>
                <w:highlight w:val="none"/>
              </w:rPr>
            </w:pPr>
          </w:p>
        </w:tc>
        <w:tc>
          <w:tcPr>
            <w:tcW w:w="719" w:type="dxa"/>
            <w:vAlign w:val="center"/>
          </w:tcPr>
          <w:p w14:paraId="1B689CB0">
            <w:pPr>
              <w:widowControl/>
              <w:snapToGrid w:val="0"/>
              <w:jc w:val="center"/>
              <w:rPr>
                <w:rFonts w:ascii="Times New Roman" w:hAnsi="Times New Roman" w:eastAsia="宋体"/>
                <w:bCs/>
                <w:color w:val="auto"/>
                <w:sz w:val="22"/>
                <w:szCs w:val="22"/>
                <w:highlight w:val="none"/>
              </w:rPr>
            </w:pPr>
          </w:p>
        </w:tc>
      </w:tr>
      <w:tr w14:paraId="556B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trPr>
        <w:tc>
          <w:tcPr>
            <w:tcW w:w="425" w:type="dxa"/>
            <w:vAlign w:val="center"/>
          </w:tcPr>
          <w:p w14:paraId="0202AE7C">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w:t>
            </w:r>
          </w:p>
        </w:tc>
        <w:tc>
          <w:tcPr>
            <w:tcW w:w="1735" w:type="dxa"/>
            <w:vAlign w:val="center"/>
          </w:tcPr>
          <w:p w14:paraId="500059AC">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包装、运输</w:t>
            </w:r>
          </w:p>
        </w:tc>
        <w:tc>
          <w:tcPr>
            <w:tcW w:w="3785" w:type="dxa"/>
            <w:vAlign w:val="center"/>
          </w:tcPr>
          <w:p w14:paraId="7A88DE2E">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货物的包装、运输符合合同规定及国家、行业有关标准规范；未出现由于包装、运输方式不当造成以下不良后果：</w:t>
            </w:r>
          </w:p>
          <w:p w14:paraId="6ED28A44">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（1）影响货物输送或储存质量；</w:t>
            </w:r>
          </w:p>
          <w:p w14:paraId="4D7C66F4">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（2）货物质量下降；</w:t>
            </w:r>
          </w:p>
          <w:p w14:paraId="11DAEA04">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（3）货物泄漏导致供货量不足；</w:t>
            </w:r>
          </w:p>
          <w:p w14:paraId="74A69F05">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（4）造成环境污染。</w:t>
            </w:r>
          </w:p>
        </w:tc>
        <w:tc>
          <w:tcPr>
            <w:tcW w:w="1879" w:type="dxa"/>
            <w:gridSpan w:val="2"/>
            <w:vAlign w:val="center"/>
          </w:tcPr>
          <w:p w14:paraId="52B9A316">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达到标准的得满分，每月每次货物有一项未达到标准的扣3分，每次货物最多扣3分。</w:t>
            </w:r>
          </w:p>
        </w:tc>
        <w:tc>
          <w:tcPr>
            <w:tcW w:w="733" w:type="dxa"/>
            <w:vAlign w:val="center"/>
          </w:tcPr>
          <w:p w14:paraId="0F7BD6DB">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15</w:t>
            </w:r>
          </w:p>
        </w:tc>
        <w:tc>
          <w:tcPr>
            <w:tcW w:w="705" w:type="dxa"/>
            <w:vAlign w:val="center"/>
          </w:tcPr>
          <w:p w14:paraId="1C966148">
            <w:pPr>
              <w:widowControl/>
              <w:snapToGrid w:val="0"/>
              <w:jc w:val="center"/>
              <w:rPr>
                <w:rFonts w:ascii="Times New Roman" w:hAnsi="Times New Roman" w:eastAsia="宋体"/>
                <w:bCs/>
                <w:color w:val="auto"/>
                <w:sz w:val="22"/>
                <w:szCs w:val="22"/>
                <w:highlight w:val="none"/>
              </w:rPr>
            </w:pPr>
          </w:p>
        </w:tc>
        <w:tc>
          <w:tcPr>
            <w:tcW w:w="719" w:type="dxa"/>
            <w:vAlign w:val="center"/>
          </w:tcPr>
          <w:p w14:paraId="50CBE1B5">
            <w:pPr>
              <w:widowControl/>
              <w:snapToGrid w:val="0"/>
              <w:jc w:val="center"/>
              <w:rPr>
                <w:rFonts w:ascii="Times New Roman" w:hAnsi="Times New Roman" w:eastAsia="宋体"/>
                <w:bCs/>
                <w:color w:val="auto"/>
                <w:sz w:val="22"/>
                <w:szCs w:val="22"/>
                <w:highlight w:val="none"/>
              </w:rPr>
            </w:pPr>
          </w:p>
        </w:tc>
      </w:tr>
      <w:tr w14:paraId="0C1F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51852409">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w:t>
            </w:r>
          </w:p>
        </w:tc>
        <w:tc>
          <w:tcPr>
            <w:tcW w:w="1735" w:type="dxa"/>
            <w:vAlign w:val="center"/>
          </w:tcPr>
          <w:p w14:paraId="3E34E66B">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货物交付</w:t>
            </w:r>
          </w:p>
        </w:tc>
        <w:tc>
          <w:tcPr>
            <w:tcW w:w="3785" w:type="dxa"/>
            <w:vAlign w:val="center"/>
          </w:tcPr>
          <w:p w14:paraId="72F76C8D">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（1）按合同要求的期限供货（包括加急供货）；</w:t>
            </w:r>
          </w:p>
          <w:p w14:paraId="4904CE2F">
            <w:pP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（2）每次供货配合提供出厂检验报告或质量合格证等技术资料；</w:t>
            </w:r>
          </w:p>
          <w:p w14:paraId="73097483">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（3）交付人员专业性强，工作效率高，熟悉交付操作流程；</w:t>
            </w:r>
          </w:p>
          <w:p w14:paraId="6C4A5065">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（4）未出现因库存、运力不足等原因影响供货量的情况。</w:t>
            </w:r>
          </w:p>
        </w:tc>
        <w:tc>
          <w:tcPr>
            <w:tcW w:w="1879" w:type="dxa"/>
            <w:gridSpan w:val="2"/>
            <w:vAlign w:val="center"/>
          </w:tcPr>
          <w:p w14:paraId="22F9DF1A">
            <w:pPr>
              <w:widowControl/>
              <w:snapToGrid w:val="0"/>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达到标准的得满分，每月每次货物有一项未达到标准的扣3分，每次货物最多扣3分。</w:t>
            </w:r>
          </w:p>
        </w:tc>
        <w:tc>
          <w:tcPr>
            <w:tcW w:w="733" w:type="dxa"/>
            <w:vAlign w:val="center"/>
          </w:tcPr>
          <w:p w14:paraId="42EB9F37">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20</w:t>
            </w:r>
          </w:p>
        </w:tc>
        <w:tc>
          <w:tcPr>
            <w:tcW w:w="705" w:type="dxa"/>
            <w:vAlign w:val="center"/>
          </w:tcPr>
          <w:p w14:paraId="4B1E796F">
            <w:pPr>
              <w:widowControl/>
              <w:snapToGrid w:val="0"/>
              <w:jc w:val="center"/>
              <w:rPr>
                <w:rFonts w:ascii="Times New Roman" w:hAnsi="Times New Roman" w:eastAsia="宋体"/>
                <w:bCs/>
                <w:color w:val="auto"/>
                <w:sz w:val="22"/>
                <w:szCs w:val="22"/>
                <w:highlight w:val="none"/>
              </w:rPr>
            </w:pPr>
          </w:p>
        </w:tc>
        <w:tc>
          <w:tcPr>
            <w:tcW w:w="719" w:type="dxa"/>
            <w:vAlign w:val="center"/>
          </w:tcPr>
          <w:p w14:paraId="017C2363">
            <w:pPr>
              <w:widowControl/>
              <w:snapToGrid w:val="0"/>
              <w:jc w:val="center"/>
              <w:rPr>
                <w:rFonts w:ascii="Times New Roman" w:hAnsi="Times New Roman" w:eastAsia="宋体"/>
                <w:bCs/>
                <w:color w:val="auto"/>
                <w:sz w:val="22"/>
                <w:szCs w:val="22"/>
                <w:highlight w:val="none"/>
              </w:rPr>
            </w:pPr>
          </w:p>
        </w:tc>
      </w:tr>
      <w:tr w14:paraId="31AC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1C599929">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4</w:t>
            </w:r>
          </w:p>
        </w:tc>
        <w:tc>
          <w:tcPr>
            <w:tcW w:w="1735" w:type="dxa"/>
            <w:vAlign w:val="center"/>
          </w:tcPr>
          <w:p w14:paraId="579E4504">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验收</w:t>
            </w:r>
          </w:p>
        </w:tc>
        <w:tc>
          <w:tcPr>
            <w:tcW w:w="3785" w:type="dxa"/>
            <w:vAlign w:val="center"/>
          </w:tcPr>
          <w:p w14:paraId="6DF24558">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（1）及时提供货物的各项技术资料，技术资料齐全、规范；</w:t>
            </w:r>
          </w:p>
          <w:p w14:paraId="60386F85">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（2）未出现因对检测结果存在异议而影响供货的情况；</w:t>
            </w:r>
          </w:p>
          <w:p w14:paraId="08783585">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（3）未出现因货物检验不合格，或因货物不合格影响厂区生产效果的情况。</w:t>
            </w:r>
          </w:p>
        </w:tc>
        <w:tc>
          <w:tcPr>
            <w:tcW w:w="1879" w:type="dxa"/>
            <w:gridSpan w:val="2"/>
            <w:vAlign w:val="center"/>
          </w:tcPr>
          <w:p w14:paraId="6BAE1890">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达到标准的得满分，每月每次货物有一项未达到标准的扣4分，每次货物最多扣4分。</w:t>
            </w:r>
          </w:p>
        </w:tc>
        <w:tc>
          <w:tcPr>
            <w:tcW w:w="733" w:type="dxa"/>
            <w:vAlign w:val="center"/>
          </w:tcPr>
          <w:p w14:paraId="048E2B1E">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20</w:t>
            </w:r>
          </w:p>
        </w:tc>
        <w:tc>
          <w:tcPr>
            <w:tcW w:w="705" w:type="dxa"/>
            <w:vAlign w:val="center"/>
          </w:tcPr>
          <w:p w14:paraId="24049FA1">
            <w:pPr>
              <w:widowControl/>
              <w:snapToGrid w:val="0"/>
              <w:jc w:val="center"/>
              <w:rPr>
                <w:rFonts w:ascii="Times New Roman" w:hAnsi="Times New Roman" w:eastAsia="宋体"/>
                <w:bCs/>
                <w:color w:val="auto"/>
                <w:sz w:val="22"/>
                <w:szCs w:val="22"/>
                <w:highlight w:val="none"/>
              </w:rPr>
            </w:pPr>
          </w:p>
        </w:tc>
        <w:tc>
          <w:tcPr>
            <w:tcW w:w="719" w:type="dxa"/>
            <w:vAlign w:val="center"/>
          </w:tcPr>
          <w:p w14:paraId="752E81B7">
            <w:pPr>
              <w:widowControl/>
              <w:snapToGrid w:val="0"/>
              <w:jc w:val="center"/>
              <w:rPr>
                <w:rFonts w:ascii="Times New Roman" w:hAnsi="Times New Roman" w:eastAsia="宋体"/>
                <w:bCs/>
                <w:color w:val="auto"/>
                <w:sz w:val="22"/>
                <w:szCs w:val="22"/>
                <w:highlight w:val="none"/>
              </w:rPr>
            </w:pPr>
          </w:p>
        </w:tc>
      </w:tr>
      <w:tr w14:paraId="093C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7ECB0D91">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5</w:t>
            </w:r>
          </w:p>
        </w:tc>
        <w:tc>
          <w:tcPr>
            <w:tcW w:w="1735" w:type="dxa"/>
            <w:vAlign w:val="center"/>
          </w:tcPr>
          <w:p w14:paraId="60395AF7">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安全</w:t>
            </w:r>
          </w:p>
        </w:tc>
        <w:tc>
          <w:tcPr>
            <w:tcW w:w="3785" w:type="dxa"/>
            <w:vAlign w:val="center"/>
          </w:tcPr>
          <w:p w14:paraId="33A08F8D">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（1）运输服务商资质、运输人员、运输车辆符合合同规定及国家相关法律法规要求；</w:t>
            </w:r>
          </w:p>
          <w:p w14:paraId="3BAF6558">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（2）未出现超载或非法运输等情况；</w:t>
            </w:r>
          </w:p>
          <w:p w14:paraId="72D4CA3E">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（3）未出现由于运输服务商资质不符、超载或非法运输、未按厂区指示行驶及停放造成第三方或厂区事故、损失的情况；</w:t>
            </w:r>
          </w:p>
          <w:p w14:paraId="7E2DA2A6">
            <w:pPr>
              <w:outlineLvl w:val="2"/>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（4）未出现卸货安全事故。</w:t>
            </w:r>
          </w:p>
        </w:tc>
        <w:tc>
          <w:tcPr>
            <w:tcW w:w="1879" w:type="dxa"/>
            <w:gridSpan w:val="2"/>
            <w:vAlign w:val="center"/>
          </w:tcPr>
          <w:p w14:paraId="44738ABD">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达到标准的得满分，每月每次货物有一项未达到标准的扣3分，每次货物最多扣3分。</w:t>
            </w:r>
          </w:p>
        </w:tc>
        <w:tc>
          <w:tcPr>
            <w:tcW w:w="733" w:type="dxa"/>
            <w:vAlign w:val="center"/>
          </w:tcPr>
          <w:p w14:paraId="61A6EEC1">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15</w:t>
            </w:r>
          </w:p>
        </w:tc>
        <w:tc>
          <w:tcPr>
            <w:tcW w:w="705" w:type="dxa"/>
            <w:vAlign w:val="center"/>
          </w:tcPr>
          <w:p w14:paraId="31738E64">
            <w:pPr>
              <w:widowControl/>
              <w:snapToGrid w:val="0"/>
              <w:jc w:val="center"/>
              <w:rPr>
                <w:rFonts w:ascii="Times New Roman" w:hAnsi="Times New Roman" w:eastAsia="宋体"/>
                <w:bCs/>
                <w:color w:val="auto"/>
                <w:sz w:val="22"/>
                <w:szCs w:val="22"/>
                <w:highlight w:val="none"/>
              </w:rPr>
            </w:pPr>
          </w:p>
        </w:tc>
        <w:tc>
          <w:tcPr>
            <w:tcW w:w="719" w:type="dxa"/>
            <w:vAlign w:val="center"/>
          </w:tcPr>
          <w:p w14:paraId="6FFB7DF3">
            <w:pPr>
              <w:widowControl/>
              <w:snapToGrid w:val="0"/>
              <w:jc w:val="center"/>
              <w:rPr>
                <w:rFonts w:ascii="Times New Roman" w:hAnsi="Times New Roman" w:eastAsia="宋体"/>
                <w:bCs/>
                <w:color w:val="auto"/>
                <w:sz w:val="22"/>
                <w:szCs w:val="22"/>
                <w:highlight w:val="none"/>
              </w:rPr>
            </w:pPr>
          </w:p>
        </w:tc>
      </w:tr>
      <w:tr w14:paraId="654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65B91526">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6</w:t>
            </w:r>
          </w:p>
        </w:tc>
        <w:tc>
          <w:tcPr>
            <w:tcW w:w="1735" w:type="dxa"/>
            <w:vAlign w:val="center"/>
          </w:tcPr>
          <w:p w14:paraId="65F163BE">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售后服务</w:t>
            </w:r>
          </w:p>
        </w:tc>
        <w:tc>
          <w:tcPr>
            <w:tcW w:w="3785" w:type="dxa"/>
            <w:vAlign w:val="center"/>
          </w:tcPr>
          <w:p w14:paraId="788F175F">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（1）人员：</w:t>
            </w:r>
          </w:p>
          <w:p w14:paraId="734D1286">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①管理、技术及服务人员均符合申请文件的承诺，服务队伍稳定，人员充足、专业性强，充分配合甲方供货需求；</w:t>
            </w:r>
          </w:p>
          <w:p w14:paraId="4277DFE2">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②对接人员与甲方沟通良好、理解到位、执行力强，能及时发现、解决问题，并未雨绸缪地因应各厂区实际情况提供合理化的供配货建议；</w:t>
            </w:r>
          </w:p>
          <w:p w14:paraId="6F91A314">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③未出现推诿，借故不肯签署合同规定的文件或者敷衍了事、置之不理等情况。</w:t>
            </w:r>
          </w:p>
          <w:p w14:paraId="53473F30">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（2）配合：</w:t>
            </w:r>
          </w:p>
          <w:p w14:paraId="2CBC392F">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①售后服务流程完善，跟踪到位，响应速度快；</w:t>
            </w:r>
          </w:p>
          <w:p w14:paraId="7419DC1F">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②就货物储存保质方式、方法提出合理化建议并能提供专业技术指导；</w:t>
            </w:r>
          </w:p>
          <w:p w14:paraId="1CF78578">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③积极配合甲方进行试验、积极协助甲方接受政府管理部门的检查工作及提供各类资质证明材料；</w:t>
            </w:r>
          </w:p>
          <w:p w14:paraId="47E53B6A">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④能根据甲方要求提供专业培训。</w:t>
            </w:r>
          </w:p>
          <w:p w14:paraId="07BCF8F4">
            <w:pPr>
              <w:outlineLvl w:val="2"/>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⑤高效处理退换货工作、态度良好。</w:t>
            </w:r>
          </w:p>
        </w:tc>
        <w:tc>
          <w:tcPr>
            <w:tcW w:w="1879" w:type="dxa"/>
            <w:gridSpan w:val="2"/>
            <w:vAlign w:val="center"/>
          </w:tcPr>
          <w:p w14:paraId="5965FF3D">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达到标准的得满分，每月每次货物有一项未达到标准的扣2分，每次货物最多扣2分。</w:t>
            </w:r>
          </w:p>
        </w:tc>
        <w:tc>
          <w:tcPr>
            <w:tcW w:w="733" w:type="dxa"/>
            <w:vAlign w:val="center"/>
          </w:tcPr>
          <w:p w14:paraId="6D3C1DBC">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10</w:t>
            </w:r>
          </w:p>
        </w:tc>
        <w:tc>
          <w:tcPr>
            <w:tcW w:w="705" w:type="dxa"/>
            <w:vAlign w:val="center"/>
          </w:tcPr>
          <w:p w14:paraId="456848CE">
            <w:pPr>
              <w:widowControl/>
              <w:snapToGrid w:val="0"/>
              <w:jc w:val="center"/>
              <w:rPr>
                <w:rFonts w:ascii="Times New Roman" w:hAnsi="Times New Roman" w:eastAsia="宋体"/>
                <w:bCs/>
                <w:color w:val="auto"/>
                <w:sz w:val="22"/>
                <w:szCs w:val="22"/>
                <w:highlight w:val="none"/>
              </w:rPr>
            </w:pPr>
          </w:p>
        </w:tc>
        <w:tc>
          <w:tcPr>
            <w:tcW w:w="719" w:type="dxa"/>
            <w:vAlign w:val="center"/>
          </w:tcPr>
          <w:p w14:paraId="3AA57435">
            <w:pPr>
              <w:widowControl/>
              <w:snapToGrid w:val="0"/>
              <w:jc w:val="center"/>
              <w:rPr>
                <w:rFonts w:ascii="Times New Roman" w:hAnsi="Times New Roman" w:eastAsia="宋体"/>
                <w:bCs/>
                <w:color w:val="auto"/>
                <w:sz w:val="22"/>
                <w:szCs w:val="22"/>
                <w:highlight w:val="none"/>
              </w:rPr>
            </w:pPr>
          </w:p>
        </w:tc>
      </w:tr>
      <w:tr w14:paraId="5F67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trPr>
        <w:tc>
          <w:tcPr>
            <w:tcW w:w="7824" w:type="dxa"/>
            <w:gridSpan w:val="5"/>
            <w:vAlign w:val="center"/>
          </w:tcPr>
          <w:p w14:paraId="4E9C0BD2">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合计</w:t>
            </w:r>
          </w:p>
        </w:tc>
        <w:tc>
          <w:tcPr>
            <w:tcW w:w="733" w:type="dxa"/>
            <w:vAlign w:val="center"/>
          </w:tcPr>
          <w:p w14:paraId="69EFB030">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w:t>
            </w:r>
            <w:r>
              <w:rPr>
                <w:rFonts w:ascii="Times New Roman" w:hAnsi="Times New Roman" w:eastAsia="宋体"/>
                <w:bCs/>
                <w:color w:val="auto"/>
                <w:sz w:val="22"/>
                <w:szCs w:val="22"/>
                <w:highlight w:val="none"/>
              </w:rPr>
              <w:t>00</w:t>
            </w:r>
          </w:p>
        </w:tc>
        <w:tc>
          <w:tcPr>
            <w:tcW w:w="705" w:type="dxa"/>
            <w:vAlign w:val="center"/>
          </w:tcPr>
          <w:p w14:paraId="74EEFB7E">
            <w:pPr>
              <w:widowControl/>
              <w:snapToGrid w:val="0"/>
              <w:jc w:val="center"/>
              <w:rPr>
                <w:rFonts w:ascii="Times New Roman" w:hAnsi="Times New Roman" w:eastAsia="宋体"/>
                <w:bCs/>
                <w:color w:val="auto"/>
                <w:sz w:val="22"/>
                <w:szCs w:val="22"/>
                <w:highlight w:val="none"/>
              </w:rPr>
            </w:pPr>
          </w:p>
        </w:tc>
        <w:tc>
          <w:tcPr>
            <w:tcW w:w="719" w:type="dxa"/>
            <w:vAlign w:val="center"/>
          </w:tcPr>
          <w:p w14:paraId="5ADAD234">
            <w:pPr>
              <w:widowControl/>
              <w:snapToGrid w:val="0"/>
              <w:jc w:val="center"/>
              <w:rPr>
                <w:rFonts w:ascii="Times New Roman" w:hAnsi="Times New Roman" w:eastAsia="宋体"/>
                <w:bCs/>
                <w:color w:val="auto"/>
                <w:sz w:val="22"/>
                <w:szCs w:val="22"/>
                <w:highlight w:val="none"/>
              </w:rPr>
            </w:pPr>
          </w:p>
        </w:tc>
      </w:tr>
      <w:tr w14:paraId="2E87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trPr>
        <w:tc>
          <w:tcPr>
            <w:tcW w:w="2160" w:type="dxa"/>
            <w:gridSpan w:val="2"/>
            <w:vAlign w:val="center"/>
          </w:tcPr>
          <w:p w14:paraId="6D98A1A9">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评审结论</w:t>
            </w:r>
          </w:p>
        </w:tc>
        <w:tc>
          <w:tcPr>
            <w:tcW w:w="7821" w:type="dxa"/>
            <w:gridSpan w:val="6"/>
          </w:tcPr>
          <w:p w14:paraId="17B50FF7">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□合计分值不低于</w:t>
            </w:r>
            <w:r>
              <w:rPr>
                <w:rFonts w:ascii="Times New Roman" w:hAnsi="Times New Roman" w:eastAsia="宋体"/>
                <w:bCs/>
                <w:color w:val="auto"/>
                <w:sz w:val="22"/>
                <w:szCs w:val="22"/>
                <w:highlight w:val="none"/>
              </w:rPr>
              <w:t>8</w:t>
            </w:r>
            <w:r>
              <w:rPr>
                <w:rFonts w:hint="eastAsia" w:ascii="Times New Roman" w:hAnsi="Times New Roman" w:eastAsia="宋体"/>
                <w:bCs/>
                <w:color w:val="auto"/>
                <w:sz w:val="22"/>
                <w:szCs w:val="22"/>
                <w:highlight w:val="none"/>
              </w:rPr>
              <w:t>0的，评审结论合格</w:t>
            </w:r>
            <w:r>
              <w:rPr>
                <w:rFonts w:hint="eastAsia" w:ascii="Times New Roman" w:hAnsi="Times New Roman" w:eastAsia="宋体"/>
                <w:bCs/>
                <w:color w:val="auto"/>
                <w:sz w:val="22"/>
                <w:szCs w:val="22"/>
                <w:highlight w:val="none"/>
              </w:rPr>
              <w:br w:type="textWrapping"/>
            </w:r>
            <w:r>
              <w:rPr>
                <w:rFonts w:hint="eastAsia" w:ascii="Times New Roman" w:hAnsi="Times New Roman" w:eastAsia="宋体"/>
                <w:bCs/>
                <w:color w:val="auto"/>
                <w:sz w:val="22"/>
                <w:szCs w:val="22"/>
                <w:highlight w:val="none"/>
              </w:rPr>
              <w:t>□评审结论不合格，说明：</w:t>
            </w:r>
            <w:r>
              <w:rPr>
                <w:rFonts w:hint="eastAsia" w:ascii="Times New Roman" w:hAnsi="Times New Roman" w:eastAsia="宋体"/>
                <w:bCs/>
                <w:color w:val="auto"/>
                <w:sz w:val="22"/>
                <w:szCs w:val="22"/>
                <w:highlight w:val="none"/>
                <w:u w:val="single"/>
              </w:rPr>
              <w:t xml:space="preserve">              </w:t>
            </w:r>
          </w:p>
        </w:tc>
      </w:tr>
      <w:tr w14:paraId="6D82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160" w:type="dxa"/>
            <w:gridSpan w:val="2"/>
            <w:vMerge w:val="restart"/>
            <w:vAlign w:val="center"/>
          </w:tcPr>
          <w:p w14:paraId="07D2CE99">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履约评审运营项目</w:t>
            </w:r>
            <w:r>
              <w:rPr>
                <w:rFonts w:hint="eastAsia" w:ascii="Times New Roman" w:hAnsi="Times New Roman" w:eastAsia="宋体"/>
                <w:color w:val="auto"/>
                <w:sz w:val="22"/>
                <w:szCs w:val="22"/>
                <w:highlight w:val="none"/>
              </w:rPr>
              <w:t>其他</w:t>
            </w:r>
            <w:r>
              <w:rPr>
                <w:rFonts w:hint="eastAsia" w:ascii="Times New Roman" w:hAnsi="Times New Roman" w:eastAsia="宋体"/>
                <w:bCs/>
                <w:color w:val="auto"/>
                <w:sz w:val="22"/>
                <w:szCs w:val="22"/>
                <w:highlight w:val="none"/>
              </w:rPr>
              <w:t>意见及签署</w:t>
            </w:r>
          </w:p>
        </w:tc>
        <w:tc>
          <w:tcPr>
            <w:tcW w:w="3840" w:type="dxa"/>
            <w:gridSpan w:val="2"/>
            <w:vAlign w:val="center"/>
          </w:tcPr>
          <w:p w14:paraId="16C533C6">
            <w:pPr>
              <w:widowControl/>
              <w:snapToGrid w:val="0"/>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经办人</w:t>
            </w:r>
          </w:p>
        </w:tc>
        <w:tc>
          <w:tcPr>
            <w:tcW w:w="3987" w:type="dxa"/>
            <w:gridSpan w:val="5"/>
            <w:vAlign w:val="center"/>
          </w:tcPr>
          <w:p w14:paraId="41F5F63E">
            <w:pPr>
              <w:widowControl/>
              <w:snapToGrid w:val="0"/>
              <w:rPr>
                <w:rFonts w:ascii="Times New Roman" w:hAnsi="Times New Roman" w:eastAsia="宋体"/>
                <w:bCs/>
                <w:color w:val="auto"/>
                <w:sz w:val="22"/>
                <w:szCs w:val="22"/>
                <w:highlight w:val="none"/>
              </w:rPr>
            </w:pPr>
          </w:p>
        </w:tc>
      </w:tr>
      <w:tr w14:paraId="0A2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160" w:type="dxa"/>
            <w:gridSpan w:val="2"/>
            <w:vMerge w:val="continue"/>
          </w:tcPr>
          <w:p w14:paraId="503AB942">
            <w:pPr>
              <w:widowControl/>
              <w:snapToGrid w:val="0"/>
              <w:rPr>
                <w:rFonts w:ascii="Times New Roman" w:hAnsi="Times New Roman" w:eastAsia="宋体"/>
                <w:bCs/>
                <w:color w:val="auto"/>
                <w:sz w:val="22"/>
                <w:szCs w:val="22"/>
                <w:highlight w:val="none"/>
              </w:rPr>
            </w:pPr>
          </w:p>
        </w:tc>
        <w:tc>
          <w:tcPr>
            <w:tcW w:w="3840" w:type="dxa"/>
            <w:gridSpan w:val="2"/>
            <w:vAlign w:val="center"/>
          </w:tcPr>
          <w:p w14:paraId="121431D3">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运营项目负责人</w:t>
            </w:r>
          </w:p>
        </w:tc>
        <w:tc>
          <w:tcPr>
            <w:tcW w:w="3987" w:type="dxa"/>
            <w:gridSpan w:val="5"/>
            <w:vAlign w:val="center"/>
          </w:tcPr>
          <w:p w14:paraId="5DA039DD">
            <w:pPr>
              <w:widowControl/>
              <w:snapToGrid w:val="0"/>
              <w:rPr>
                <w:rFonts w:ascii="Times New Roman" w:hAnsi="Times New Roman" w:eastAsia="宋体"/>
                <w:bCs/>
                <w:color w:val="auto"/>
                <w:sz w:val="22"/>
                <w:szCs w:val="22"/>
                <w:highlight w:val="none"/>
              </w:rPr>
            </w:pPr>
          </w:p>
        </w:tc>
      </w:tr>
      <w:tr w14:paraId="4083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160" w:type="dxa"/>
            <w:gridSpan w:val="2"/>
          </w:tcPr>
          <w:p w14:paraId="604BB92C">
            <w:pPr>
              <w:widowControl/>
              <w:snapToGrid w:val="0"/>
              <w:rPr>
                <w:rFonts w:ascii="Times New Roman" w:hAnsi="Times New Roman" w:eastAsia="宋体"/>
                <w:bCs/>
                <w:color w:val="auto"/>
                <w:sz w:val="22"/>
                <w:szCs w:val="22"/>
                <w:highlight w:val="none"/>
              </w:rPr>
            </w:pPr>
            <w:r>
              <w:rPr>
                <w:rFonts w:hint="eastAsia" w:hAnsi="宋体"/>
                <w:color w:val="auto"/>
                <w:sz w:val="24"/>
                <w:szCs w:val="24"/>
                <w:highlight w:val="none"/>
                <w:lang w:val="en-US" w:eastAsia="zh-CN"/>
              </w:rPr>
              <w:t>供应商确认及签署</w:t>
            </w:r>
          </w:p>
        </w:tc>
        <w:tc>
          <w:tcPr>
            <w:tcW w:w="7827" w:type="dxa"/>
            <w:gridSpan w:val="7"/>
            <w:vAlign w:val="center"/>
          </w:tcPr>
          <w:p w14:paraId="2A4ABCA5">
            <w:pPr>
              <w:widowControl/>
              <w:snapToGrid w:val="0"/>
              <w:rPr>
                <w:rFonts w:ascii="Times New Roman" w:hAnsi="Times New Roman" w:eastAsia="宋体"/>
                <w:bCs/>
                <w:color w:val="auto"/>
                <w:sz w:val="22"/>
                <w:szCs w:val="22"/>
                <w:highlight w:val="none"/>
              </w:rPr>
            </w:pPr>
          </w:p>
        </w:tc>
      </w:tr>
    </w:tbl>
    <w:p w14:paraId="705E2449">
      <w:pPr>
        <w:rPr>
          <w:rFonts w:ascii="Times New Roman" w:hAnsi="Times New Roman" w:eastAsia="宋体" w:cs="宋体"/>
          <w:color w:val="auto"/>
          <w:highlight w:val="none"/>
        </w:rPr>
      </w:pPr>
    </w:p>
    <w:p w14:paraId="2700672E">
      <w:pPr>
        <w:spacing w:line="360" w:lineRule="auto"/>
        <w:rPr>
          <w:rFonts w:ascii="Times New Roman"/>
          <w:szCs w:val="21"/>
        </w:rPr>
      </w:pPr>
    </w:p>
    <w:p w14:paraId="15DFE76C">
      <w:pPr>
        <w:spacing w:line="360" w:lineRule="auto"/>
        <w:rPr>
          <w:rFonts w:ascii="Times New Roman"/>
          <w:szCs w:val="21"/>
        </w:rPr>
      </w:pPr>
    </w:p>
    <w:p w14:paraId="3DB5382B">
      <w:pPr>
        <w:spacing w:line="360" w:lineRule="auto"/>
        <w:rPr>
          <w:rFonts w:ascii="Times New Roman"/>
          <w:szCs w:val="21"/>
        </w:rPr>
      </w:pPr>
    </w:p>
    <w:p w14:paraId="1A04E7CB">
      <w:pPr>
        <w:spacing w:line="360" w:lineRule="auto"/>
        <w:rPr>
          <w:rFonts w:ascii="Times New Roman"/>
          <w:szCs w:val="21"/>
        </w:rPr>
      </w:pPr>
    </w:p>
    <w:bookmarkEnd w:id="6"/>
    <w:bookmarkEnd w:id="7"/>
    <w:bookmarkEnd w:id="8"/>
    <w:p w14:paraId="17C457CD">
      <w:pPr>
        <w:pStyle w:val="2"/>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35B5B488">
      <w:pPr>
        <w:wordWrap w:val="0"/>
        <w:spacing w:line="360" w:lineRule="auto"/>
        <w:jc w:val="right"/>
        <w:rPr>
          <w:rFonts w:ascii="Times New Roman" w:hAnsi="Times New Roman" w:eastAsia="宋体"/>
          <w:b/>
          <w:bCs/>
          <w:color w:val="auto"/>
          <w:highlight w:val="none"/>
        </w:rPr>
      </w:pPr>
      <w:r>
        <w:rPr>
          <w:rFonts w:hint="eastAsia" w:ascii="Times New Roman" w:hAnsi="Times New Roman" w:eastAsia="宋体"/>
          <w:color w:val="auto"/>
          <w:sz w:val="28"/>
          <w:szCs w:val="28"/>
          <w:highlight w:val="none"/>
        </w:rPr>
        <w:t xml:space="preserve"> </w:t>
      </w:r>
      <w:r>
        <w:rPr>
          <w:rFonts w:ascii="Times New Roman" w:hAnsi="Times New Roman" w:eastAsia="宋体"/>
          <w:color w:val="auto"/>
          <w:sz w:val="28"/>
          <w:szCs w:val="28"/>
          <w:highlight w:val="none"/>
        </w:rPr>
        <w:t xml:space="preserve"> </w:t>
      </w:r>
      <w:r>
        <w:rPr>
          <w:rFonts w:ascii="Times New Roman" w:hAnsi="Times New Roman" w:eastAsia="宋体"/>
          <w:b/>
          <w:bCs/>
          <w:color w:val="auto"/>
          <w:highlight w:val="none"/>
        </w:rPr>
        <w:t>合同编号：</w:t>
      </w:r>
    </w:p>
    <w:p w14:paraId="6BA1B311">
      <w:pPr>
        <w:spacing w:line="1000" w:lineRule="exact"/>
        <w:ind w:left="-1" w:leftChars="-100" w:hanging="239" w:hangingChars="54"/>
        <w:jc w:val="center"/>
        <w:rPr>
          <w:rFonts w:ascii="Times New Roman" w:hAnsi="Times New Roman" w:eastAsia="宋体"/>
          <w:b/>
          <w:bCs/>
          <w:color w:val="auto"/>
          <w:sz w:val="44"/>
          <w:szCs w:val="44"/>
          <w:highlight w:val="none"/>
        </w:rPr>
      </w:pPr>
    </w:p>
    <w:p w14:paraId="755FE2B7">
      <w:pPr>
        <w:spacing w:line="600" w:lineRule="auto"/>
        <w:jc w:val="center"/>
        <w:outlineLvl w:val="0"/>
        <w:rPr>
          <w:rFonts w:hint="eastAsia" w:ascii="Times New Roman" w:hAnsi="Times New Roman" w:eastAsia="宋体"/>
          <w:b/>
          <w:bCs/>
          <w:color w:val="auto"/>
          <w:sz w:val="48"/>
          <w:szCs w:val="48"/>
          <w:highlight w:val="none"/>
          <w:lang w:val="en-US" w:eastAsia="zh-CN"/>
        </w:rPr>
      </w:pPr>
      <w:r>
        <w:rPr>
          <w:rFonts w:hint="eastAsia" w:ascii="Times New Roman"/>
          <w:b/>
          <w:bCs/>
          <w:color w:val="auto"/>
          <w:sz w:val="48"/>
          <w:szCs w:val="48"/>
          <w:highlight w:val="none"/>
          <w:lang w:eastAsia="zh-CN"/>
        </w:rPr>
        <w:t>东莞市污泥集中处理处置项目膜系统等相关药剂采购项目</w:t>
      </w:r>
      <w:r>
        <w:rPr>
          <w:rFonts w:hint="eastAsia" w:ascii="Times New Roman"/>
          <w:b/>
          <w:bCs/>
          <w:color w:val="auto"/>
          <w:sz w:val="48"/>
          <w:szCs w:val="48"/>
          <w:highlight w:val="none"/>
          <w:lang w:val="en-US" w:eastAsia="zh-CN"/>
        </w:rPr>
        <w:t>合同</w:t>
      </w:r>
    </w:p>
    <w:p w14:paraId="555CC68B">
      <w:pPr>
        <w:spacing w:line="600" w:lineRule="auto"/>
        <w:jc w:val="center"/>
        <w:outlineLvl w:val="0"/>
        <w:rPr>
          <w:rFonts w:hint="eastAsia" w:ascii="Times New Roman" w:hAnsi="Times New Roman" w:eastAsia="宋体"/>
          <w:b/>
          <w:bCs/>
          <w:color w:val="auto"/>
          <w:sz w:val="48"/>
          <w:szCs w:val="48"/>
          <w:highlight w:val="none"/>
        </w:rPr>
      </w:pPr>
    </w:p>
    <w:p w14:paraId="19E789B2">
      <w:pPr>
        <w:spacing w:line="600" w:lineRule="auto"/>
        <w:jc w:val="center"/>
        <w:outlineLvl w:val="0"/>
        <w:rPr>
          <w:rFonts w:hint="eastAsia" w:ascii="Times New Roman" w:hAnsi="Times New Roman" w:eastAsia="宋体"/>
          <w:b/>
          <w:bCs/>
          <w:color w:val="auto"/>
          <w:sz w:val="48"/>
          <w:szCs w:val="48"/>
          <w:highlight w:val="none"/>
        </w:rPr>
      </w:pPr>
    </w:p>
    <w:p w14:paraId="138AF27F">
      <w:pPr>
        <w:spacing w:line="600" w:lineRule="auto"/>
        <w:jc w:val="center"/>
        <w:outlineLvl w:val="0"/>
        <w:rPr>
          <w:rFonts w:hint="eastAsia" w:ascii="Times New Roman" w:hAnsi="Times New Roman" w:eastAsia="宋体"/>
          <w:b/>
          <w:bCs/>
          <w:color w:val="auto"/>
          <w:sz w:val="48"/>
          <w:szCs w:val="48"/>
          <w:highlight w:val="none"/>
        </w:rPr>
      </w:pPr>
    </w:p>
    <w:p w14:paraId="64109DD5">
      <w:pPr>
        <w:spacing w:line="360" w:lineRule="auto"/>
        <w:rPr>
          <w:rFonts w:ascii="Times New Roman" w:hAnsi="Times New Roman" w:eastAsia="宋体"/>
          <w:color w:val="auto"/>
          <w:highlight w:val="none"/>
        </w:rPr>
      </w:pPr>
    </w:p>
    <w:p w14:paraId="6C83DBED">
      <w:pPr>
        <w:spacing w:line="360" w:lineRule="auto"/>
        <w:rPr>
          <w:rFonts w:ascii="Times New Roman" w:hAnsi="Times New Roman" w:eastAsia="宋体"/>
          <w:color w:val="auto"/>
          <w:highlight w:val="none"/>
        </w:rPr>
      </w:pPr>
    </w:p>
    <w:p w14:paraId="1999145A">
      <w:pPr>
        <w:spacing w:line="360" w:lineRule="auto"/>
        <w:rPr>
          <w:rFonts w:ascii="Times New Roman" w:hAnsi="Times New Roman" w:eastAsia="宋体"/>
          <w:color w:val="auto"/>
          <w:highlight w:val="none"/>
        </w:rPr>
      </w:pPr>
    </w:p>
    <w:p w14:paraId="20AE80E9">
      <w:pPr>
        <w:spacing w:line="360" w:lineRule="auto"/>
        <w:rPr>
          <w:rFonts w:ascii="Times New Roman" w:hAnsi="Times New Roman" w:eastAsia="宋体"/>
          <w:color w:val="auto"/>
          <w:highlight w:val="none"/>
        </w:rPr>
      </w:pPr>
    </w:p>
    <w:p w14:paraId="619437AB">
      <w:pPr>
        <w:spacing w:line="360" w:lineRule="auto"/>
        <w:jc w:val="center"/>
        <w:rPr>
          <w:rFonts w:ascii="Times New Roman" w:hAnsi="Times New Roman" w:eastAsia="宋体"/>
          <w:color w:val="auto"/>
          <w:highlight w:val="none"/>
        </w:rPr>
      </w:pPr>
    </w:p>
    <w:p w14:paraId="0E2890D6">
      <w:pPr>
        <w:spacing w:line="360" w:lineRule="auto"/>
        <w:jc w:val="center"/>
        <w:rPr>
          <w:rFonts w:ascii="Times New Roman" w:hAnsi="Times New Roman" w:eastAsia="宋体"/>
          <w:color w:val="auto"/>
          <w:highlight w:val="none"/>
        </w:rPr>
      </w:pPr>
    </w:p>
    <w:p w14:paraId="454922EE">
      <w:pPr>
        <w:pStyle w:val="56"/>
        <w:rPr>
          <w:rFonts w:ascii="Times New Roman" w:hAnsi="Times New Roman" w:eastAsia="宋体"/>
          <w:color w:val="auto"/>
          <w:highlight w:val="none"/>
        </w:rPr>
      </w:pPr>
    </w:p>
    <w:p w14:paraId="21CDDF5A">
      <w:pPr>
        <w:pStyle w:val="56"/>
        <w:rPr>
          <w:rFonts w:ascii="Times New Roman" w:hAnsi="Times New Roman" w:eastAsia="宋体"/>
          <w:color w:val="auto"/>
          <w:highlight w:val="none"/>
        </w:rPr>
      </w:pPr>
    </w:p>
    <w:p w14:paraId="12C66D9A">
      <w:pPr>
        <w:spacing w:line="360" w:lineRule="auto"/>
        <w:rPr>
          <w:rFonts w:ascii="Times New Roman" w:hAnsi="Times New Roman" w:eastAsia="宋体"/>
          <w:color w:val="auto"/>
          <w:highlight w:val="none"/>
        </w:rPr>
      </w:pPr>
    </w:p>
    <w:p w14:paraId="616760DE">
      <w:pPr>
        <w:spacing w:line="360" w:lineRule="auto"/>
        <w:ind w:firstLine="1800" w:firstLineChars="600"/>
        <w:rPr>
          <w:rFonts w:ascii="Times New Roman" w:hAnsi="Times New Roman" w:eastAsia="宋体"/>
          <w:color w:val="auto"/>
          <w:sz w:val="30"/>
          <w:szCs w:val="30"/>
          <w:highlight w:val="none"/>
        </w:rPr>
      </w:pPr>
    </w:p>
    <w:p w14:paraId="55FC2021">
      <w:pPr>
        <w:spacing w:line="720" w:lineRule="auto"/>
        <w:ind w:firstLine="1800" w:firstLineChars="600"/>
        <w:rPr>
          <w:rFonts w:ascii="Times New Roman" w:hAnsi="Times New Roman" w:eastAsia="宋体"/>
          <w:color w:val="auto"/>
          <w:sz w:val="30"/>
          <w:szCs w:val="30"/>
          <w:highlight w:val="none"/>
          <w:u w:val="single"/>
        </w:rPr>
      </w:pPr>
      <w:r>
        <w:rPr>
          <w:rFonts w:ascii="Times New Roman" w:hAnsi="Times New Roman" w:eastAsia="宋体"/>
          <w:color w:val="auto"/>
          <w:sz w:val="30"/>
          <w:szCs w:val="30"/>
          <w:highlight w:val="none"/>
        </w:rPr>
        <w:t>甲方：</w:t>
      </w:r>
      <w:r>
        <w:rPr>
          <w:rFonts w:hint="eastAsia" w:ascii="Times New Roman" w:hAnsi="Times New Roman" w:eastAsia="宋体"/>
          <w:color w:val="auto"/>
          <w:sz w:val="30"/>
          <w:szCs w:val="30"/>
          <w:highlight w:val="none"/>
          <w:u w:val="single"/>
        </w:rPr>
        <w:t>东莞市尚源环能科技</w:t>
      </w:r>
      <w:r>
        <w:rPr>
          <w:rFonts w:ascii="Times New Roman" w:hAnsi="Times New Roman" w:eastAsia="宋体"/>
          <w:color w:val="auto"/>
          <w:sz w:val="30"/>
          <w:szCs w:val="30"/>
          <w:highlight w:val="none"/>
          <w:u w:val="single"/>
        </w:rPr>
        <w:t>有限公司</w:t>
      </w:r>
    </w:p>
    <w:p w14:paraId="1D545EEE">
      <w:pPr>
        <w:spacing w:line="720" w:lineRule="auto"/>
        <w:ind w:firstLine="1800" w:firstLineChars="600"/>
        <w:rPr>
          <w:rFonts w:ascii="Times New Roman" w:hAnsi="Times New Roman" w:eastAsia="宋体"/>
          <w:color w:val="auto"/>
          <w:sz w:val="30"/>
          <w:szCs w:val="30"/>
          <w:highlight w:val="none"/>
          <w:u w:val="single"/>
        </w:rPr>
      </w:pPr>
      <w:r>
        <w:rPr>
          <w:rFonts w:ascii="Times New Roman" w:hAnsi="Times New Roman" w:eastAsia="宋体"/>
          <w:color w:val="auto"/>
          <w:sz w:val="30"/>
          <w:szCs w:val="30"/>
          <w:highlight w:val="none"/>
        </w:rPr>
        <w:t>乙方：</w:t>
      </w:r>
      <w:r>
        <w:rPr>
          <w:rFonts w:ascii="Times New Roman" w:hAnsi="Times New Roman" w:eastAsia="宋体"/>
          <w:color w:val="auto"/>
          <w:sz w:val="30"/>
          <w:szCs w:val="30"/>
          <w:highlight w:val="none"/>
          <w:u w:val="single"/>
        </w:rPr>
        <w:t xml:space="preserve"> </w:t>
      </w:r>
      <w:r>
        <w:rPr>
          <w:rFonts w:hint="eastAsia" w:ascii="Times New Roman"/>
          <w:color w:val="auto"/>
          <w:sz w:val="30"/>
          <w:szCs w:val="30"/>
          <w:highlight w:val="none"/>
          <w:u w:val="single"/>
          <w:lang w:val="en-US" w:eastAsia="zh-CN"/>
        </w:rPr>
        <w:t xml:space="preserve">                        </w:t>
      </w:r>
      <w:r>
        <w:rPr>
          <w:rFonts w:ascii="Times New Roman" w:hAnsi="Times New Roman" w:eastAsia="宋体"/>
          <w:color w:val="auto"/>
          <w:sz w:val="30"/>
          <w:szCs w:val="30"/>
          <w:highlight w:val="none"/>
          <w:u w:val="single"/>
        </w:rPr>
        <w:t xml:space="preserve"> </w:t>
      </w:r>
    </w:p>
    <w:p w14:paraId="48CA8715">
      <w:pPr>
        <w:spacing w:line="360" w:lineRule="auto"/>
        <w:ind w:firstLine="1800" w:firstLineChars="600"/>
        <w:rPr>
          <w:rFonts w:ascii="Times New Roman" w:hAnsi="Times New Roman" w:eastAsia="宋体"/>
          <w:color w:val="auto"/>
          <w:sz w:val="30"/>
          <w:szCs w:val="30"/>
          <w:highlight w:val="none"/>
        </w:rPr>
      </w:pPr>
    </w:p>
    <w:p w14:paraId="1CAD1A6E">
      <w:pPr>
        <w:jc w:val="center"/>
        <w:rPr>
          <w:rFonts w:ascii="Times New Roman" w:hAnsi="Times New Roman" w:eastAsia="宋体"/>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DBB3B8">
      <w:pPr>
        <w:spacing w:line="360" w:lineRule="auto"/>
        <w:rPr>
          <w:rFonts w:ascii="Times New Roman" w:hAnsi="Times New Roman" w:eastAsia="宋体"/>
          <w:color w:val="auto"/>
          <w:highlight w:val="none"/>
          <w:u w:val="single"/>
        </w:rPr>
      </w:pPr>
      <w:r>
        <w:rPr>
          <w:rFonts w:ascii="Times New Roman" w:hAnsi="Times New Roman" w:eastAsia="宋体"/>
          <w:b/>
          <w:color w:val="auto"/>
          <w:highlight w:val="none"/>
        </w:rPr>
        <w:t>甲方：</w:t>
      </w:r>
      <w:r>
        <w:rPr>
          <w:rFonts w:ascii="Times New Roman" w:hAnsi="Times New Roman" w:eastAsia="宋体"/>
          <w:b/>
          <w:color w:val="auto"/>
          <w:highlight w:val="none"/>
          <w:u w:val="single"/>
        </w:rPr>
        <w:t>东莞市尚源环能科技有限公司</w:t>
      </w:r>
    </w:p>
    <w:p w14:paraId="028A77CF">
      <w:pPr>
        <w:spacing w:line="360" w:lineRule="auto"/>
        <w:rPr>
          <w:rFonts w:ascii="Times New Roman" w:hAnsi="Times New Roman" w:eastAsia="宋体"/>
          <w:color w:val="auto"/>
          <w:highlight w:val="none"/>
          <w:u w:val="single"/>
        </w:rPr>
      </w:pPr>
      <w:r>
        <w:rPr>
          <w:rFonts w:ascii="Times New Roman" w:hAnsi="Times New Roman" w:eastAsia="宋体"/>
          <w:color w:val="auto"/>
          <w:highlight w:val="none"/>
        </w:rPr>
        <w:t>地址：</w:t>
      </w:r>
      <w:r>
        <w:rPr>
          <w:rFonts w:ascii="Times New Roman" w:hAnsi="Times New Roman" w:eastAsia="宋体"/>
          <w:color w:val="auto"/>
          <w:highlight w:val="none"/>
          <w:u w:val="single"/>
        </w:rPr>
        <w:t>广东省东莞市</w:t>
      </w:r>
      <w:r>
        <w:rPr>
          <w:rFonts w:hint="eastAsia" w:ascii="Times New Roman" w:hAnsi="Times New Roman" w:eastAsia="宋体"/>
          <w:color w:val="auto"/>
          <w:highlight w:val="none"/>
          <w:u w:val="single"/>
        </w:rPr>
        <w:t>沙田镇立沙中路</w:t>
      </w:r>
    </w:p>
    <w:p w14:paraId="1522EB23">
      <w:pPr>
        <w:spacing w:line="360" w:lineRule="auto"/>
        <w:rPr>
          <w:rFonts w:hint="default" w:ascii="Times New Roman" w:hAnsi="Times New Roman" w:eastAsia="宋体"/>
          <w:color w:val="auto"/>
          <w:highlight w:val="none"/>
          <w:lang w:val="en-US" w:eastAsia="zh-CN"/>
        </w:rPr>
      </w:pPr>
      <w:r>
        <w:rPr>
          <w:rFonts w:ascii="Times New Roman" w:hAnsi="Times New Roman" w:eastAsia="宋体"/>
          <w:b/>
          <w:color w:val="auto"/>
          <w:highlight w:val="none"/>
        </w:rPr>
        <w:t>乙方：</w:t>
      </w:r>
      <w:r>
        <w:rPr>
          <w:rFonts w:hint="eastAsia" w:ascii="Times New Roman"/>
          <w:b/>
          <w:color w:val="auto"/>
          <w:highlight w:val="none"/>
          <w:u w:val="single"/>
          <w:lang w:val="en-US" w:eastAsia="zh-CN"/>
        </w:rPr>
        <w:t xml:space="preserve">                          </w:t>
      </w:r>
    </w:p>
    <w:p w14:paraId="77A35443">
      <w:pPr>
        <w:spacing w:line="360" w:lineRule="auto"/>
        <w:rPr>
          <w:rFonts w:hint="default" w:ascii="Times New Roman" w:hAnsi="Times New Roman" w:eastAsia="宋体"/>
          <w:color w:val="auto"/>
          <w:highlight w:val="none"/>
          <w:u w:val="single"/>
          <w:lang w:val="en-US" w:eastAsia="zh-CN"/>
        </w:rPr>
      </w:pPr>
      <w:r>
        <w:rPr>
          <w:rFonts w:ascii="Times New Roman" w:hAnsi="Times New Roman" w:eastAsia="宋体"/>
          <w:color w:val="auto"/>
          <w:highlight w:val="none"/>
        </w:rPr>
        <w:t>地址：</w:t>
      </w:r>
      <w:r>
        <w:rPr>
          <w:rFonts w:hint="eastAsia" w:ascii="Times New Roman"/>
          <w:color w:val="auto"/>
          <w:highlight w:val="none"/>
          <w:u w:val="single"/>
          <w:lang w:val="en-US" w:eastAsia="zh-CN"/>
        </w:rPr>
        <w:t xml:space="preserve">                          </w:t>
      </w:r>
    </w:p>
    <w:p w14:paraId="4FE4882C">
      <w:pPr>
        <w:spacing w:line="360" w:lineRule="auto"/>
        <w:rPr>
          <w:rFonts w:ascii="Times New Roman" w:hAnsi="Times New Roman" w:eastAsia="宋体"/>
          <w:color w:val="auto"/>
          <w:highlight w:val="none"/>
        </w:rPr>
      </w:pPr>
    </w:p>
    <w:p w14:paraId="0D48E750">
      <w:pPr>
        <w:pStyle w:val="56"/>
        <w:spacing w:line="360" w:lineRule="auto"/>
        <w:rPr>
          <w:rFonts w:ascii="Times New Roman" w:hAnsi="Times New Roman" w:eastAsia="宋体"/>
          <w:color w:val="auto"/>
          <w:highlight w:val="none"/>
        </w:rPr>
      </w:pPr>
      <w:r>
        <w:rPr>
          <w:rFonts w:ascii="Times New Roman" w:hAnsi="Times New Roman" w:eastAsia="宋体"/>
          <w:color w:val="auto"/>
          <w:highlight w:val="none"/>
        </w:rPr>
        <w:t>经甲方询价采购，现确定甲方向乙方采购</w:t>
      </w:r>
      <w:r>
        <w:rPr>
          <w:rFonts w:hint="eastAsia" w:ascii="Times New Roman" w:hAnsi="Times New Roman" w:eastAsia="宋体"/>
          <w:color w:val="auto"/>
          <w:highlight w:val="none"/>
          <w:lang w:val="en-US"/>
        </w:rPr>
        <w:t>生产药剂</w:t>
      </w:r>
      <w:r>
        <w:rPr>
          <w:rFonts w:hint="eastAsia" w:ascii="Times New Roman" w:hAnsi="Times New Roman" w:eastAsia="宋体"/>
          <w:color w:val="auto"/>
          <w:highlight w:val="none"/>
          <w:u w:val="single"/>
          <w:lang w:val="en-US"/>
        </w:rPr>
        <w:t>包括液体阻垢缓蚀剂</w:t>
      </w:r>
      <w:r>
        <w:rPr>
          <w:rFonts w:hint="eastAsia" w:ascii="Times New Roman"/>
          <w:color w:val="auto"/>
          <w:highlight w:val="none"/>
          <w:u w:val="single"/>
          <w:lang w:val="en-US" w:eastAsia="zh-CN"/>
        </w:rPr>
        <w:t>、固体</w:t>
      </w:r>
      <w:r>
        <w:rPr>
          <w:rFonts w:hint="eastAsia" w:ascii="Times New Roman"/>
          <w:color w:val="auto"/>
          <w:highlight w:val="none"/>
          <w:u w:val="single"/>
          <w:lang w:val="en-US"/>
        </w:rPr>
        <w:t>亚硫酸氢钠</w:t>
      </w:r>
      <w:r>
        <w:rPr>
          <w:rFonts w:hint="eastAsia" w:ascii="Times New Roman"/>
          <w:color w:val="auto"/>
          <w:highlight w:val="none"/>
          <w:u w:val="single"/>
          <w:lang w:val="en-US" w:eastAsia="zh-CN"/>
        </w:rPr>
        <w:t>、固体柠檬酸</w:t>
      </w:r>
      <w:r>
        <w:rPr>
          <w:rFonts w:ascii="Times New Roman" w:hAnsi="Times New Roman" w:eastAsia="宋体"/>
          <w:color w:val="auto"/>
          <w:highlight w:val="none"/>
        </w:rPr>
        <w:t>一批。根据《中华人民共和国</w:t>
      </w:r>
      <w:r>
        <w:rPr>
          <w:rFonts w:ascii="Times New Roman" w:hAnsi="Times New Roman" w:eastAsia="宋体"/>
          <w:color w:val="auto"/>
          <w:highlight w:val="none"/>
          <w:lang w:val="en-US"/>
        </w:rPr>
        <w:t>民法典</w:t>
      </w:r>
      <w:r>
        <w:rPr>
          <w:rFonts w:ascii="Times New Roman" w:hAnsi="Times New Roman" w:eastAsia="宋体"/>
          <w:color w:val="auto"/>
          <w:highlight w:val="none"/>
        </w:rPr>
        <w:t>》等法律、法规的规定，经双方平等协商，双方就</w:t>
      </w:r>
      <w:r>
        <w:rPr>
          <w:rFonts w:hint="eastAsia" w:ascii="Times New Roman" w:hAnsi="Times New Roman" w:eastAsia="宋体"/>
          <w:color w:val="auto"/>
          <w:highlight w:val="none"/>
          <w:lang w:val="en-US"/>
        </w:rPr>
        <w:t>前述生产药剂</w:t>
      </w:r>
      <w:r>
        <w:rPr>
          <w:rFonts w:ascii="Times New Roman" w:hAnsi="Times New Roman" w:eastAsia="宋体"/>
          <w:color w:val="auto"/>
          <w:highlight w:val="none"/>
        </w:rPr>
        <w:t>（以</w:t>
      </w:r>
      <w:r>
        <w:rPr>
          <w:rFonts w:hint="eastAsia" w:ascii="Times New Roman"/>
          <w:color w:val="auto"/>
          <w:highlight w:val="none"/>
          <w:lang w:eastAsia="zh-CN"/>
        </w:rPr>
        <w:t>下简</w:t>
      </w:r>
      <w:r>
        <w:rPr>
          <w:rFonts w:ascii="Times New Roman" w:hAnsi="Times New Roman" w:eastAsia="宋体"/>
          <w:color w:val="auto"/>
          <w:highlight w:val="none"/>
        </w:rPr>
        <w:t>称“货物”）采购事宜，签订本合同。</w:t>
      </w:r>
    </w:p>
    <w:p w14:paraId="40DEAE0C">
      <w:pPr>
        <w:spacing w:line="360" w:lineRule="auto"/>
        <w:rPr>
          <w:rFonts w:ascii="Times New Roman" w:hAnsi="Times New Roman" w:eastAsia="宋体"/>
          <w:color w:val="auto"/>
          <w:highlight w:val="none"/>
        </w:rPr>
      </w:pPr>
    </w:p>
    <w:p w14:paraId="39C7CEDD">
      <w:pPr>
        <w:pStyle w:val="27"/>
        <w:numPr>
          <w:ilvl w:val="0"/>
          <w:numId w:val="0"/>
        </w:numPr>
        <w:ind w:left="0" w:leftChars="0" w:firstLine="480" w:firstLineChars="200"/>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第一条  </w:t>
      </w:r>
      <w:r>
        <w:rPr>
          <w:rFonts w:ascii="Times New Roman" w:hAnsi="Times New Roman" w:eastAsia="宋体"/>
          <w:b/>
          <w:color w:val="auto"/>
          <w:sz w:val="24"/>
          <w:szCs w:val="24"/>
          <w:highlight w:val="none"/>
        </w:rPr>
        <w:t>采购药剂</w:t>
      </w:r>
    </w:p>
    <w:p w14:paraId="4157B938">
      <w:pPr>
        <w:autoSpaceDE/>
        <w:autoSpaceDN/>
        <w:adjustRightInd/>
        <w:spacing w:line="360" w:lineRule="auto"/>
        <w:ind w:firstLine="480" w:firstLineChars="200"/>
        <w:jc w:val="both"/>
        <w:rPr>
          <w:rFonts w:ascii="Times New Roman" w:hAnsi="Times New Roman" w:eastAsia="宋体"/>
          <w:color w:val="auto"/>
          <w:kern w:val="2"/>
          <w:highlight w:val="none"/>
        </w:rPr>
      </w:pPr>
      <w:r>
        <w:rPr>
          <w:rFonts w:hint="eastAsia" w:ascii="Times New Roman" w:hAnsi="Times New Roman" w:eastAsia="宋体" w:cs="宋体"/>
          <w:color w:val="auto"/>
          <w:kern w:val="2"/>
          <w:highlight w:val="none"/>
        </w:rPr>
        <w:t>1</w:t>
      </w:r>
      <w:r>
        <w:rPr>
          <w:rFonts w:hint="eastAsia" w:ascii="Times New Roman" w:hAnsi="Times New Roman" w:eastAsia="宋体" w:cs="宋体"/>
          <w:color w:val="auto"/>
          <w:kern w:val="2"/>
          <w:highlight w:val="none"/>
          <w:lang w:val="en-US" w:eastAsia="zh-CN"/>
        </w:rPr>
        <w:t>.</w:t>
      </w:r>
      <w:r>
        <w:rPr>
          <w:rFonts w:ascii="Times New Roman" w:hAnsi="Times New Roman" w:eastAsia="宋体"/>
          <w:color w:val="auto"/>
          <w:kern w:val="2"/>
          <w:highlight w:val="none"/>
        </w:rPr>
        <w:t>产品基本信息：</w:t>
      </w:r>
    </w:p>
    <w:tbl>
      <w:tblPr>
        <w:tblStyle w:val="21"/>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1428"/>
        <w:gridCol w:w="1053"/>
        <w:gridCol w:w="864"/>
        <w:gridCol w:w="923"/>
        <w:gridCol w:w="1640"/>
        <w:gridCol w:w="1640"/>
        <w:gridCol w:w="1104"/>
        <w:gridCol w:w="744"/>
      </w:tblGrid>
      <w:tr w14:paraId="2BB9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3" w:type="dxa"/>
            <w:shd w:val="clear" w:color="auto" w:fill="auto"/>
            <w:vAlign w:val="center"/>
          </w:tcPr>
          <w:p w14:paraId="5D697761">
            <w:pPr>
              <w:widowControl/>
              <w:jc w:val="center"/>
              <w:textAlignment w:val="center"/>
              <w:rPr>
                <w:rFonts w:ascii="Times New Roman" w:hAnsi="Times New Roman" w:eastAsia="宋体" w:cs="宋体"/>
                <w:b/>
                <w:bCs/>
                <w:color w:val="auto"/>
                <w:sz w:val="20"/>
                <w:szCs w:val="20"/>
                <w:highlight w:val="none"/>
                <w:lang w:bidi="ar"/>
              </w:rPr>
            </w:pPr>
            <w:r>
              <w:rPr>
                <w:rFonts w:hint="eastAsia" w:ascii="Times New Roman" w:hAnsi="Times New Roman" w:eastAsia="宋体" w:cs="宋体"/>
                <w:b/>
                <w:bCs/>
                <w:color w:val="auto"/>
                <w:sz w:val="20"/>
                <w:szCs w:val="20"/>
                <w:highlight w:val="none"/>
                <w:lang w:bidi="ar"/>
              </w:rPr>
              <w:t>序号</w:t>
            </w:r>
          </w:p>
        </w:tc>
        <w:tc>
          <w:tcPr>
            <w:tcW w:w="1428" w:type="dxa"/>
            <w:shd w:val="clear" w:color="auto" w:fill="auto"/>
            <w:vAlign w:val="center"/>
          </w:tcPr>
          <w:p w14:paraId="32159C81">
            <w:pPr>
              <w:widowControl/>
              <w:jc w:val="center"/>
              <w:textAlignment w:val="center"/>
              <w:rPr>
                <w:rFonts w:ascii="Times New Roman" w:hAnsi="Times New Roman" w:eastAsia="宋体" w:cs="宋体"/>
                <w:b/>
                <w:bCs/>
                <w:color w:val="auto"/>
                <w:sz w:val="20"/>
                <w:szCs w:val="20"/>
                <w:highlight w:val="none"/>
                <w:lang w:bidi="ar"/>
              </w:rPr>
            </w:pPr>
            <w:r>
              <w:rPr>
                <w:rFonts w:hint="eastAsia" w:ascii="Times New Roman" w:hAnsi="Times New Roman" w:eastAsia="宋体" w:cs="宋体"/>
                <w:b/>
                <w:bCs/>
                <w:color w:val="auto"/>
                <w:sz w:val="20"/>
                <w:szCs w:val="20"/>
                <w:highlight w:val="none"/>
                <w:lang w:bidi="ar"/>
              </w:rPr>
              <w:t>药剂名称</w:t>
            </w:r>
          </w:p>
        </w:tc>
        <w:tc>
          <w:tcPr>
            <w:tcW w:w="1053" w:type="dxa"/>
            <w:vAlign w:val="center"/>
          </w:tcPr>
          <w:p w14:paraId="2E10A078">
            <w:pPr>
              <w:widowControl/>
              <w:jc w:val="center"/>
              <w:textAlignment w:val="center"/>
              <w:rPr>
                <w:rFonts w:hint="eastAsia" w:ascii="Times New Roman" w:hAnsi="Times New Roman" w:eastAsia="宋体" w:cs="宋体"/>
                <w:b/>
                <w:bCs/>
                <w:color w:val="auto"/>
                <w:sz w:val="20"/>
                <w:szCs w:val="20"/>
                <w:highlight w:val="none"/>
                <w:lang w:bidi="ar"/>
              </w:rPr>
            </w:pPr>
            <w:r>
              <w:rPr>
                <w:rFonts w:hint="eastAsia" w:hAnsi="宋体" w:cs="宋体"/>
                <w:b/>
                <w:bCs/>
                <w:color w:val="auto"/>
                <w:sz w:val="20"/>
                <w:szCs w:val="20"/>
                <w:highlight w:val="none"/>
                <w:lang w:bidi="ar"/>
              </w:rPr>
              <w:t>使用系统</w:t>
            </w:r>
          </w:p>
        </w:tc>
        <w:tc>
          <w:tcPr>
            <w:tcW w:w="864" w:type="dxa"/>
            <w:vAlign w:val="center"/>
          </w:tcPr>
          <w:p w14:paraId="0221D9A8">
            <w:pPr>
              <w:widowControl/>
              <w:jc w:val="center"/>
              <w:textAlignment w:val="center"/>
              <w:rPr>
                <w:rFonts w:ascii="Times New Roman" w:hAnsi="Times New Roman" w:eastAsia="宋体" w:cs="宋体"/>
                <w:b/>
                <w:bCs/>
                <w:color w:val="auto"/>
                <w:sz w:val="20"/>
                <w:szCs w:val="20"/>
                <w:highlight w:val="none"/>
                <w:lang w:bidi="ar"/>
              </w:rPr>
            </w:pPr>
            <w:r>
              <w:rPr>
                <w:rFonts w:hint="eastAsia" w:ascii="Times New Roman" w:hAnsi="Times New Roman" w:eastAsia="宋体" w:cs="宋体"/>
                <w:b/>
                <w:bCs/>
                <w:color w:val="auto"/>
                <w:sz w:val="20"/>
                <w:szCs w:val="20"/>
                <w:highlight w:val="none"/>
                <w:lang w:bidi="ar"/>
              </w:rPr>
              <w:t>性状</w:t>
            </w:r>
          </w:p>
        </w:tc>
        <w:tc>
          <w:tcPr>
            <w:tcW w:w="923" w:type="dxa"/>
            <w:vAlign w:val="center"/>
          </w:tcPr>
          <w:p w14:paraId="67A7BEDF">
            <w:pPr>
              <w:widowControl/>
              <w:jc w:val="center"/>
              <w:textAlignment w:val="center"/>
              <w:rPr>
                <w:rFonts w:ascii="Times New Roman" w:hAnsi="Times New Roman" w:eastAsia="宋体" w:cs="宋体"/>
                <w:b/>
                <w:bCs/>
                <w:color w:val="auto"/>
                <w:sz w:val="20"/>
                <w:szCs w:val="20"/>
                <w:highlight w:val="none"/>
                <w:lang w:bidi="ar"/>
              </w:rPr>
            </w:pPr>
            <w:r>
              <w:rPr>
                <w:rFonts w:hint="eastAsia" w:ascii="Times New Roman" w:hAnsi="Times New Roman" w:eastAsia="宋体" w:cs="宋体"/>
                <w:b/>
                <w:bCs/>
                <w:color w:val="auto"/>
                <w:sz w:val="20"/>
                <w:szCs w:val="20"/>
                <w:highlight w:val="none"/>
                <w:lang w:bidi="ar"/>
              </w:rPr>
              <w:t>品牌</w:t>
            </w:r>
          </w:p>
        </w:tc>
        <w:tc>
          <w:tcPr>
            <w:tcW w:w="1640" w:type="dxa"/>
            <w:shd w:val="clear" w:color="auto" w:fill="auto"/>
            <w:vAlign w:val="center"/>
          </w:tcPr>
          <w:p w14:paraId="29525DBD">
            <w:pPr>
              <w:widowControl/>
              <w:jc w:val="center"/>
              <w:textAlignment w:val="center"/>
              <w:rPr>
                <w:rFonts w:ascii="Times New Roman" w:hAnsi="Times New Roman" w:eastAsia="宋体" w:cs="宋体"/>
                <w:color w:val="auto"/>
                <w:sz w:val="20"/>
                <w:szCs w:val="20"/>
                <w:highlight w:val="none"/>
                <w:lang w:bidi="ar"/>
              </w:rPr>
            </w:pPr>
            <w:r>
              <w:rPr>
                <w:rFonts w:hint="eastAsia" w:ascii="Times New Roman" w:hAnsi="Times New Roman" w:eastAsia="宋体" w:cs="宋体"/>
                <w:b/>
                <w:bCs/>
                <w:color w:val="auto"/>
                <w:sz w:val="20"/>
                <w:szCs w:val="20"/>
                <w:highlight w:val="none"/>
                <w:lang w:bidi="ar"/>
              </w:rPr>
              <w:t>药剂储运方案</w:t>
            </w:r>
          </w:p>
        </w:tc>
        <w:tc>
          <w:tcPr>
            <w:tcW w:w="1640" w:type="dxa"/>
            <w:shd w:val="clear" w:color="auto" w:fill="auto"/>
            <w:vAlign w:val="center"/>
          </w:tcPr>
          <w:p w14:paraId="57E2D547">
            <w:pPr>
              <w:widowControl/>
              <w:jc w:val="center"/>
              <w:textAlignment w:val="center"/>
              <w:rPr>
                <w:rFonts w:ascii="Times New Roman" w:hAnsi="Times New Roman" w:eastAsia="宋体" w:cs="宋体"/>
                <w:color w:val="auto"/>
                <w:sz w:val="20"/>
                <w:szCs w:val="20"/>
                <w:highlight w:val="none"/>
                <w:lang w:bidi="ar"/>
              </w:rPr>
            </w:pPr>
            <w:r>
              <w:rPr>
                <w:rFonts w:hint="eastAsia" w:ascii="Times New Roman" w:hAnsi="Times New Roman" w:eastAsia="宋体" w:cs="宋体"/>
                <w:b/>
                <w:bCs/>
                <w:color w:val="auto"/>
                <w:sz w:val="20"/>
                <w:szCs w:val="20"/>
                <w:highlight w:val="none"/>
                <w:lang w:bidi="ar"/>
              </w:rPr>
              <w:t>包装形式</w:t>
            </w:r>
          </w:p>
        </w:tc>
        <w:tc>
          <w:tcPr>
            <w:tcW w:w="1104" w:type="dxa"/>
            <w:shd w:val="clear" w:color="auto" w:fill="auto"/>
            <w:vAlign w:val="center"/>
          </w:tcPr>
          <w:p w14:paraId="341CF8C8">
            <w:pPr>
              <w:widowControl/>
              <w:jc w:val="center"/>
              <w:textAlignment w:val="center"/>
              <w:rPr>
                <w:rFonts w:ascii="Times New Roman" w:hAnsi="Times New Roman" w:eastAsia="宋体" w:cs="宋体"/>
                <w:b/>
                <w:bCs/>
                <w:color w:val="auto"/>
                <w:sz w:val="20"/>
                <w:szCs w:val="20"/>
                <w:highlight w:val="none"/>
                <w:lang w:bidi="ar"/>
              </w:rPr>
            </w:pPr>
            <w:r>
              <w:rPr>
                <w:rFonts w:hint="eastAsia" w:ascii="Times New Roman" w:hAnsi="Times New Roman" w:eastAsia="宋体" w:cs="宋体"/>
                <w:b/>
                <w:bCs/>
                <w:color w:val="auto"/>
                <w:sz w:val="20"/>
                <w:szCs w:val="20"/>
                <w:highlight w:val="none"/>
                <w:lang w:bidi="ar"/>
              </w:rPr>
              <w:t>暂定用量（吨）</w:t>
            </w:r>
          </w:p>
        </w:tc>
        <w:tc>
          <w:tcPr>
            <w:tcW w:w="744" w:type="dxa"/>
            <w:shd w:val="clear" w:color="auto" w:fill="auto"/>
            <w:vAlign w:val="center"/>
          </w:tcPr>
          <w:p w14:paraId="5680F163">
            <w:pPr>
              <w:pStyle w:val="8"/>
              <w:widowControl/>
              <w:jc w:val="center"/>
              <w:textAlignment w:val="center"/>
              <w:rPr>
                <w:rFonts w:ascii="Times New Roman" w:hAnsi="Times New Roman" w:eastAsia="宋体" w:cs="宋体"/>
                <w:b/>
                <w:bCs/>
                <w:color w:val="auto"/>
                <w:sz w:val="20"/>
                <w:szCs w:val="20"/>
                <w:highlight w:val="none"/>
                <w:lang w:bidi="ar"/>
              </w:rPr>
            </w:pPr>
            <w:r>
              <w:rPr>
                <w:rFonts w:hint="eastAsia" w:ascii="Times New Roman" w:hAnsi="Times New Roman" w:eastAsia="宋体" w:cs="宋体"/>
                <w:b/>
                <w:bCs/>
                <w:color w:val="auto"/>
                <w:sz w:val="20"/>
                <w:szCs w:val="20"/>
                <w:highlight w:val="none"/>
                <w:lang w:bidi="ar"/>
              </w:rPr>
              <w:t>备注</w:t>
            </w:r>
          </w:p>
        </w:tc>
      </w:tr>
      <w:tr w14:paraId="5E37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shd w:val="clear" w:color="auto" w:fill="auto"/>
            <w:vAlign w:val="center"/>
          </w:tcPr>
          <w:p w14:paraId="7F3B7B87">
            <w:pPr>
              <w:widowControl/>
              <w:jc w:val="center"/>
              <w:textAlignment w:val="center"/>
              <w:rPr>
                <w:rFonts w:ascii="Times New Roman" w:hAnsi="Times New Roman" w:eastAsia="宋体" w:cs="宋体"/>
                <w:b w:val="0"/>
                <w:bCs w:val="0"/>
                <w:color w:val="auto"/>
                <w:sz w:val="20"/>
                <w:szCs w:val="20"/>
                <w:highlight w:val="none"/>
              </w:rPr>
            </w:pPr>
            <w:r>
              <w:rPr>
                <w:rFonts w:hint="eastAsia" w:ascii="Times New Roman" w:hAnsi="Times New Roman" w:eastAsia="宋体" w:cs="宋体"/>
                <w:b w:val="0"/>
                <w:bCs w:val="0"/>
                <w:color w:val="auto"/>
                <w:sz w:val="20"/>
                <w:szCs w:val="20"/>
                <w:highlight w:val="none"/>
                <w:lang w:bidi="ar"/>
              </w:rPr>
              <w:t>1</w:t>
            </w:r>
          </w:p>
        </w:tc>
        <w:tc>
          <w:tcPr>
            <w:tcW w:w="1428" w:type="dxa"/>
            <w:shd w:val="clear" w:color="auto" w:fill="auto"/>
            <w:vAlign w:val="center"/>
          </w:tcPr>
          <w:p w14:paraId="27FEDABD">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bidi="ar"/>
              </w:rPr>
              <w:t>阻垢缓蚀剂</w:t>
            </w:r>
          </w:p>
        </w:tc>
        <w:tc>
          <w:tcPr>
            <w:tcW w:w="1053" w:type="dxa"/>
            <w:shd w:val="clear" w:color="auto" w:fill="auto"/>
            <w:vAlign w:val="center"/>
          </w:tcPr>
          <w:p w14:paraId="1F6CD06B">
            <w:pPr>
              <w:widowControl/>
              <w:jc w:val="center"/>
              <w:textAlignment w:val="center"/>
              <w:rPr>
                <w:rFonts w:hint="eastAsia" w:ascii="Times New Roman" w:hAnsi="Times New Roman" w:eastAsia="宋体" w:cs="宋体"/>
                <w:color w:val="auto"/>
                <w:sz w:val="20"/>
                <w:szCs w:val="20"/>
                <w:highlight w:val="none"/>
                <w:lang w:bidi="ar"/>
              </w:rPr>
            </w:pPr>
            <w:r>
              <w:rPr>
                <w:rFonts w:hint="eastAsia" w:hAnsi="宋体" w:cs="宋体"/>
                <w:color w:val="auto"/>
                <w:sz w:val="20"/>
                <w:szCs w:val="20"/>
                <w:highlight w:val="none"/>
                <w:lang w:bidi="ar"/>
              </w:rPr>
              <w:t>循环水</w:t>
            </w:r>
          </w:p>
        </w:tc>
        <w:tc>
          <w:tcPr>
            <w:tcW w:w="864" w:type="dxa"/>
            <w:shd w:val="clear" w:color="auto" w:fill="auto"/>
            <w:vAlign w:val="center"/>
          </w:tcPr>
          <w:p w14:paraId="771A3F53">
            <w:pPr>
              <w:widowControl/>
              <w:jc w:val="center"/>
              <w:textAlignment w:val="center"/>
              <w:rPr>
                <w:rFonts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液体</w:t>
            </w:r>
          </w:p>
        </w:tc>
        <w:tc>
          <w:tcPr>
            <w:tcW w:w="923" w:type="dxa"/>
            <w:vAlign w:val="center"/>
          </w:tcPr>
          <w:p w14:paraId="44FC5BF9">
            <w:pPr>
              <w:autoSpaceDE/>
              <w:autoSpaceDN/>
              <w:adjustRightInd/>
              <w:spacing w:line="360" w:lineRule="auto"/>
              <w:jc w:val="center"/>
              <w:rPr>
                <w:rFonts w:hint="eastAsia" w:ascii="Times New Roman" w:hAnsi="Times New Roman" w:eastAsia="宋体"/>
                <w:color w:val="auto"/>
                <w:kern w:val="2"/>
                <w:sz w:val="20"/>
                <w:szCs w:val="20"/>
                <w:highlight w:val="none"/>
                <w:lang w:val="en-US" w:eastAsia="zh-CN"/>
              </w:rPr>
            </w:pPr>
          </w:p>
        </w:tc>
        <w:tc>
          <w:tcPr>
            <w:tcW w:w="1640" w:type="dxa"/>
            <w:shd w:val="clear" w:color="auto" w:fill="auto"/>
            <w:vAlign w:val="center"/>
          </w:tcPr>
          <w:p w14:paraId="20612D03">
            <w:pPr>
              <w:widowControl/>
              <w:jc w:val="center"/>
              <w:textAlignment w:val="center"/>
              <w:rPr>
                <w:rFonts w:ascii="Times New Roman" w:hAnsi="Times New Roman" w:eastAsia="宋体" w:cs="宋体"/>
                <w:color w:val="auto"/>
                <w:sz w:val="20"/>
                <w:szCs w:val="20"/>
                <w:highlight w:val="none"/>
              </w:rPr>
            </w:pPr>
            <w:r>
              <w:rPr>
                <w:rFonts w:hint="eastAsia" w:ascii="宋体" w:hAnsi="宋体" w:eastAsia="宋体" w:cs="宋体"/>
                <w:color w:val="auto"/>
                <w:sz w:val="20"/>
                <w:szCs w:val="20"/>
                <w:highlight w:val="none"/>
                <w:lang w:bidi="ar"/>
              </w:rPr>
              <w:t>1</w:t>
            </w:r>
            <w:r>
              <w:rPr>
                <w:rFonts w:hint="eastAsia" w:hAnsi="宋体" w:cs="宋体"/>
                <w:color w:val="auto"/>
                <w:sz w:val="20"/>
                <w:szCs w:val="20"/>
                <w:highlight w:val="none"/>
                <w:lang w:val="en-US" w:eastAsia="zh-CN" w:bidi="ar"/>
              </w:rPr>
              <w:t>m³配制罐</w:t>
            </w:r>
          </w:p>
        </w:tc>
        <w:tc>
          <w:tcPr>
            <w:tcW w:w="1640" w:type="dxa"/>
            <w:shd w:val="clear" w:color="auto" w:fill="auto"/>
            <w:vAlign w:val="center"/>
          </w:tcPr>
          <w:p w14:paraId="4B087F7E">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val="en-US" w:eastAsia="zh-CN" w:bidi="ar"/>
              </w:rPr>
              <w:t>桶</w:t>
            </w:r>
            <w:r>
              <w:rPr>
                <w:rFonts w:hint="eastAsia" w:hAnsi="宋体" w:cs="宋体"/>
                <w:color w:val="auto"/>
                <w:sz w:val="20"/>
                <w:szCs w:val="20"/>
                <w:highlight w:val="none"/>
                <w:lang w:bidi="ar"/>
              </w:rPr>
              <w:t>装</w:t>
            </w:r>
          </w:p>
        </w:tc>
        <w:tc>
          <w:tcPr>
            <w:tcW w:w="1104" w:type="dxa"/>
            <w:shd w:val="clear" w:color="auto" w:fill="auto"/>
            <w:vAlign w:val="center"/>
          </w:tcPr>
          <w:p w14:paraId="200FCF7B">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bidi="ar"/>
              </w:rPr>
              <w:t xml:space="preserve">15.8 </w:t>
            </w:r>
          </w:p>
        </w:tc>
        <w:tc>
          <w:tcPr>
            <w:tcW w:w="744" w:type="dxa"/>
            <w:shd w:val="clear" w:color="auto" w:fill="auto"/>
            <w:vAlign w:val="center"/>
          </w:tcPr>
          <w:p w14:paraId="199758D5">
            <w:pPr>
              <w:widowControl/>
              <w:jc w:val="center"/>
              <w:textAlignment w:val="center"/>
              <w:rPr>
                <w:rFonts w:ascii="Times New Roman" w:hAnsi="Times New Roman" w:eastAsia="宋体" w:cs="宋体"/>
                <w:color w:val="auto"/>
                <w:sz w:val="20"/>
                <w:szCs w:val="20"/>
                <w:highlight w:val="none"/>
                <w:lang w:bidi="ar"/>
              </w:rPr>
            </w:pPr>
          </w:p>
        </w:tc>
      </w:tr>
      <w:tr w14:paraId="61B7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shd w:val="clear" w:color="auto" w:fill="auto"/>
            <w:vAlign w:val="center"/>
          </w:tcPr>
          <w:p w14:paraId="1996F3B6">
            <w:pPr>
              <w:widowControl/>
              <w:jc w:val="center"/>
              <w:textAlignment w:val="center"/>
              <w:rPr>
                <w:rFonts w:ascii="Times New Roman" w:hAnsi="Times New Roman" w:eastAsia="宋体" w:cs="宋体"/>
                <w:b w:val="0"/>
                <w:bCs w:val="0"/>
                <w:color w:val="auto"/>
                <w:sz w:val="20"/>
                <w:szCs w:val="20"/>
                <w:highlight w:val="none"/>
              </w:rPr>
            </w:pPr>
            <w:r>
              <w:rPr>
                <w:rFonts w:hint="eastAsia" w:ascii="Times New Roman" w:hAnsi="Times New Roman" w:eastAsia="宋体" w:cs="宋体"/>
                <w:b w:val="0"/>
                <w:bCs w:val="0"/>
                <w:color w:val="auto"/>
                <w:sz w:val="20"/>
                <w:szCs w:val="20"/>
                <w:highlight w:val="none"/>
                <w:lang w:bidi="ar"/>
              </w:rPr>
              <w:t>2</w:t>
            </w:r>
          </w:p>
        </w:tc>
        <w:tc>
          <w:tcPr>
            <w:tcW w:w="1428" w:type="dxa"/>
            <w:shd w:val="clear" w:color="auto" w:fill="auto"/>
            <w:vAlign w:val="center"/>
          </w:tcPr>
          <w:p w14:paraId="4F104756">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1"/>
                <w:szCs w:val="21"/>
                <w:highlight w:val="none"/>
              </w:rPr>
              <w:t>亚硫酸氢钠</w:t>
            </w:r>
          </w:p>
        </w:tc>
        <w:tc>
          <w:tcPr>
            <w:tcW w:w="1053" w:type="dxa"/>
            <w:shd w:val="clear" w:color="auto" w:fill="auto"/>
            <w:vAlign w:val="center"/>
          </w:tcPr>
          <w:p w14:paraId="63582696">
            <w:pPr>
              <w:widowControl/>
              <w:jc w:val="center"/>
              <w:textAlignment w:val="center"/>
              <w:rPr>
                <w:rFonts w:hint="eastAsia" w:ascii="Times New Roman" w:hAnsi="Times New Roman" w:eastAsia="宋体" w:cs="宋体"/>
                <w:color w:val="auto"/>
                <w:sz w:val="20"/>
                <w:szCs w:val="20"/>
                <w:highlight w:val="none"/>
                <w:lang w:bidi="ar"/>
              </w:rPr>
            </w:pPr>
            <w:r>
              <w:rPr>
                <w:rFonts w:hint="eastAsia" w:hAnsi="宋体" w:cs="宋体"/>
                <w:color w:val="auto"/>
                <w:sz w:val="20"/>
                <w:szCs w:val="20"/>
                <w:highlight w:val="none"/>
                <w:lang w:bidi="ar"/>
              </w:rPr>
              <w:t>除盐水、废水</w:t>
            </w:r>
          </w:p>
        </w:tc>
        <w:tc>
          <w:tcPr>
            <w:tcW w:w="864" w:type="dxa"/>
            <w:shd w:val="clear" w:color="auto" w:fill="auto"/>
            <w:vAlign w:val="center"/>
          </w:tcPr>
          <w:p w14:paraId="3E8D8D40">
            <w:pPr>
              <w:widowControl/>
              <w:jc w:val="center"/>
              <w:textAlignment w:val="center"/>
              <w:rPr>
                <w:rFonts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固体</w:t>
            </w:r>
          </w:p>
        </w:tc>
        <w:tc>
          <w:tcPr>
            <w:tcW w:w="923" w:type="dxa"/>
            <w:vAlign w:val="center"/>
          </w:tcPr>
          <w:p w14:paraId="5770B660">
            <w:pPr>
              <w:autoSpaceDE/>
              <w:autoSpaceDN/>
              <w:adjustRightInd/>
              <w:spacing w:line="360" w:lineRule="auto"/>
              <w:jc w:val="center"/>
              <w:rPr>
                <w:rFonts w:hint="default" w:ascii="Times New Roman" w:hAnsi="Times New Roman" w:eastAsia="宋体"/>
                <w:color w:val="auto"/>
                <w:kern w:val="2"/>
                <w:sz w:val="20"/>
                <w:szCs w:val="20"/>
                <w:highlight w:val="none"/>
                <w:lang w:val="en-US" w:eastAsia="zh-CN"/>
              </w:rPr>
            </w:pPr>
          </w:p>
        </w:tc>
        <w:tc>
          <w:tcPr>
            <w:tcW w:w="1640" w:type="dxa"/>
            <w:shd w:val="clear" w:color="auto" w:fill="auto"/>
            <w:vAlign w:val="center"/>
          </w:tcPr>
          <w:p w14:paraId="1A1170D2">
            <w:pPr>
              <w:widowControl/>
              <w:jc w:val="center"/>
              <w:textAlignment w:val="center"/>
              <w:rPr>
                <w:rFonts w:ascii="Times New Roman" w:hAnsi="Times New Roman" w:eastAsia="宋体" w:cs="宋体"/>
                <w:color w:val="auto"/>
                <w:sz w:val="20"/>
                <w:szCs w:val="20"/>
                <w:highlight w:val="none"/>
              </w:rPr>
            </w:pPr>
            <w:r>
              <w:rPr>
                <w:rFonts w:hint="eastAsia" w:ascii="宋体" w:hAnsi="宋体" w:eastAsia="宋体" w:cs="宋体"/>
                <w:color w:val="auto"/>
                <w:sz w:val="20"/>
                <w:szCs w:val="20"/>
                <w:highlight w:val="none"/>
                <w:lang w:bidi="ar"/>
              </w:rPr>
              <w:t>200L</w:t>
            </w:r>
            <w:r>
              <w:rPr>
                <w:rFonts w:hint="eastAsia" w:hAnsi="宋体" w:cs="宋体"/>
                <w:color w:val="auto"/>
                <w:sz w:val="20"/>
                <w:szCs w:val="20"/>
                <w:highlight w:val="none"/>
                <w:lang w:bidi="ar"/>
              </w:rPr>
              <w:t>配置罐</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val="en-US" w:eastAsia="zh-CN" w:bidi="ar"/>
              </w:rPr>
              <w:t>除盐水</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val="en-US" w:eastAsia="zh-CN" w:bidi="ar"/>
              </w:rPr>
              <w:t>1m³配制罐（废水）</w:t>
            </w:r>
          </w:p>
        </w:tc>
        <w:tc>
          <w:tcPr>
            <w:tcW w:w="1640" w:type="dxa"/>
            <w:shd w:val="clear" w:color="auto" w:fill="auto"/>
            <w:vAlign w:val="center"/>
          </w:tcPr>
          <w:p w14:paraId="2A21EA01">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bidi="ar"/>
              </w:rPr>
              <w:t>袋装</w:t>
            </w:r>
          </w:p>
        </w:tc>
        <w:tc>
          <w:tcPr>
            <w:tcW w:w="1104" w:type="dxa"/>
            <w:shd w:val="clear" w:color="auto" w:fill="auto"/>
            <w:vAlign w:val="center"/>
          </w:tcPr>
          <w:p w14:paraId="721AE74D">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bidi="ar"/>
              </w:rPr>
              <w:t xml:space="preserve">2.4 </w:t>
            </w:r>
          </w:p>
        </w:tc>
        <w:tc>
          <w:tcPr>
            <w:tcW w:w="744" w:type="dxa"/>
            <w:shd w:val="clear" w:color="auto" w:fill="auto"/>
            <w:vAlign w:val="center"/>
          </w:tcPr>
          <w:p w14:paraId="0D2864FE">
            <w:pPr>
              <w:widowControl/>
              <w:jc w:val="center"/>
              <w:textAlignment w:val="center"/>
              <w:rPr>
                <w:rFonts w:ascii="Times New Roman" w:hAnsi="Times New Roman" w:eastAsia="宋体" w:cs="宋体"/>
                <w:color w:val="auto"/>
                <w:sz w:val="20"/>
                <w:szCs w:val="20"/>
                <w:highlight w:val="none"/>
                <w:lang w:bidi="ar"/>
              </w:rPr>
            </w:pPr>
          </w:p>
        </w:tc>
      </w:tr>
      <w:tr w14:paraId="65FC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shd w:val="clear" w:color="auto" w:fill="auto"/>
            <w:vAlign w:val="center"/>
          </w:tcPr>
          <w:p w14:paraId="4B474DB1">
            <w:pPr>
              <w:widowControl/>
              <w:jc w:val="center"/>
              <w:textAlignment w:val="center"/>
              <w:rPr>
                <w:rFonts w:ascii="Times New Roman" w:hAnsi="Times New Roman" w:eastAsia="宋体" w:cs="宋体"/>
                <w:b w:val="0"/>
                <w:bCs w:val="0"/>
                <w:color w:val="auto"/>
                <w:sz w:val="20"/>
                <w:szCs w:val="20"/>
                <w:highlight w:val="none"/>
              </w:rPr>
            </w:pPr>
            <w:r>
              <w:rPr>
                <w:rFonts w:hint="eastAsia" w:ascii="Times New Roman" w:hAnsi="Times New Roman" w:eastAsia="宋体" w:cs="宋体"/>
                <w:b w:val="0"/>
                <w:bCs w:val="0"/>
                <w:color w:val="auto"/>
                <w:sz w:val="20"/>
                <w:szCs w:val="20"/>
                <w:highlight w:val="none"/>
                <w:lang w:bidi="ar"/>
              </w:rPr>
              <w:t>3</w:t>
            </w:r>
          </w:p>
        </w:tc>
        <w:tc>
          <w:tcPr>
            <w:tcW w:w="1428" w:type="dxa"/>
            <w:shd w:val="clear" w:color="auto" w:fill="auto"/>
            <w:vAlign w:val="center"/>
          </w:tcPr>
          <w:p w14:paraId="097C6B93">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bidi="ar"/>
              </w:rPr>
              <w:t>固体柠檬酸</w:t>
            </w:r>
          </w:p>
        </w:tc>
        <w:tc>
          <w:tcPr>
            <w:tcW w:w="1053" w:type="dxa"/>
            <w:shd w:val="clear" w:color="auto" w:fill="auto"/>
            <w:vAlign w:val="center"/>
          </w:tcPr>
          <w:p w14:paraId="5472B3F9">
            <w:pPr>
              <w:widowControl/>
              <w:jc w:val="center"/>
              <w:textAlignment w:val="center"/>
              <w:rPr>
                <w:rFonts w:hint="eastAsia" w:ascii="Times New Roman" w:hAnsi="Times New Roman" w:eastAsia="宋体" w:cs="宋体"/>
                <w:color w:val="auto"/>
                <w:sz w:val="20"/>
                <w:szCs w:val="20"/>
                <w:highlight w:val="none"/>
                <w:lang w:bidi="ar"/>
              </w:rPr>
            </w:pPr>
            <w:r>
              <w:rPr>
                <w:rFonts w:hint="eastAsia" w:hAnsi="宋体" w:cs="宋体"/>
                <w:color w:val="auto"/>
                <w:sz w:val="20"/>
                <w:szCs w:val="20"/>
                <w:highlight w:val="none"/>
                <w:lang w:bidi="ar"/>
              </w:rPr>
              <w:t>除盐水</w:t>
            </w:r>
          </w:p>
        </w:tc>
        <w:tc>
          <w:tcPr>
            <w:tcW w:w="864" w:type="dxa"/>
            <w:shd w:val="clear" w:color="auto" w:fill="auto"/>
            <w:vAlign w:val="center"/>
          </w:tcPr>
          <w:p w14:paraId="0537ABF1">
            <w:pPr>
              <w:widowControl/>
              <w:jc w:val="center"/>
              <w:textAlignment w:val="center"/>
              <w:rPr>
                <w:rFonts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固体</w:t>
            </w:r>
          </w:p>
        </w:tc>
        <w:tc>
          <w:tcPr>
            <w:tcW w:w="923" w:type="dxa"/>
            <w:vAlign w:val="center"/>
          </w:tcPr>
          <w:p w14:paraId="43CBDF3E">
            <w:pPr>
              <w:autoSpaceDE/>
              <w:autoSpaceDN/>
              <w:adjustRightInd/>
              <w:spacing w:line="360" w:lineRule="auto"/>
              <w:jc w:val="center"/>
              <w:rPr>
                <w:rFonts w:hint="eastAsia" w:ascii="Times New Roman" w:hAnsi="Times New Roman" w:eastAsia="宋体"/>
                <w:color w:val="auto"/>
                <w:kern w:val="2"/>
                <w:sz w:val="20"/>
                <w:szCs w:val="20"/>
                <w:highlight w:val="none"/>
                <w:lang w:val="en-US" w:eastAsia="zh-CN"/>
              </w:rPr>
            </w:pPr>
          </w:p>
        </w:tc>
        <w:tc>
          <w:tcPr>
            <w:tcW w:w="1640" w:type="dxa"/>
            <w:shd w:val="clear" w:color="auto" w:fill="auto"/>
            <w:vAlign w:val="center"/>
          </w:tcPr>
          <w:p w14:paraId="7F402B2E">
            <w:pPr>
              <w:widowControl/>
              <w:jc w:val="center"/>
              <w:textAlignment w:val="center"/>
              <w:rPr>
                <w:rFonts w:hint="eastAsia" w:ascii="Times New Roman" w:hAnsi="Times New Roman" w:eastAsia="宋体" w:cs="宋体"/>
                <w:color w:val="auto"/>
                <w:sz w:val="20"/>
                <w:szCs w:val="20"/>
                <w:highlight w:val="none"/>
                <w:lang w:eastAsia="zh-CN"/>
              </w:rPr>
            </w:pPr>
            <w:r>
              <w:rPr>
                <w:rStyle w:val="65"/>
                <w:rFonts w:hint="eastAsia" w:ascii="Times New Roman"/>
                <w:color w:val="auto"/>
                <w:sz w:val="20"/>
                <w:szCs w:val="20"/>
                <w:highlight w:val="none"/>
                <w:lang w:val="en-US" w:eastAsia="zh-CN" w:bidi="ar"/>
              </w:rPr>
              <w:t>/</w:t>
            </w:r>
          </w:p>
        </w:tc>
        <w:tc>
          <w:tcPr>
            <w:tcW w:w="1640" w:type="dxa"/>
            <w:shd w:val="clear" w:color="auto" w:fill="auto"/>
            <w:vAlign w:val="center"/>
          </w:tcPr>
          <w:p w14:paraId="5BC585DC">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bidi="ar"/>
              </w:rPr>
              <w:t>袋装</w:t>
            </w:r>
          </w:p>
        </w:tc>
        <w:tc>
          <w:tcPr>
            <w:tcW w:w="1104" w:type="dxa"/>
            <w:shd w:val="clear" w:color="auto" w:fill="auto"/>
            <w:vAlign w:val="center"/>
          </w:tcPr>
          <w:p w14:paraId="43AD3664">
            <w:pPr>
              <w:widowControl/>
              <w:jc w:val="center"/>
              <w:textAlignment w:val="center"/>
              <w:rPr>
                <w:rFonts w:ascii="Times New Roman" w:hAnsi="Times New Roman" w:eastAsia="宋体" w:cs="宋体"/>
                <w:color w:val="auto"/>
                <w:sz w:val="20"/>
                <w:szCs w:val="20"/>
                <w:highlight w:val="none"/>
              </w:rPr>
            </w:pPr>
            <w:r>
              <w:rPr>
                <w:rFonts w:hint="eastAsia" w:hAnsi="宋体" w:cs="宋体"/>
                <w:color w:val="auto"/>
                <w:sz w:val="20"/>
                <w:szCs w:val="20"/>
                <w:highlight w:val="none"/>
                <w:lang w:val="en-US" w:eastAsia="zh-CN" w:bidi="ar"/>
              </w:rPr>
              <w:t>3.5</w:t>
            </w:r>
          </w:p>
        </w:tc>
        <w:tc>
          <w:tcPr>
            <w:tcW w:w="744" w:type="dxa"/>
            <w:shd w:val="clear" w:color="auto" w:fill="auto"/>
            <w:vAlign w:val="center"/>
          </w:tcPr>
          <w:p w14:paraId="670C82A0">
            <w:pPr>
              <w:widowControl/>
              <w:jc w:val="center"/>
              <w:textAlignment w:val="center"/>
              <w:rPr>
                <w:rFonts w:ascii="Times New Roman" w:hAnsi="Times New Roman" w:eastAsia="宋体" w:cs="宋体"/>
                <w:color w:val="auto"/>
                <w:sz w:val="20"/>
                <w:szCs w:val="20"/>
                <w:highlight w:val="none"/>
                <w:lang w:bidi="ar"/>
              </w:rPr>
            </w:pPr>
          </w:p>
        </w:tc>
      </w:tr>
    </w:tbl>
    <w:p w14:paraId="68944DCA">
      <w:pPr>
        <w:autoSpaceDE/>
        <w:autoSpaceDN/>
        <w:adjustRightInd/>
        <w:spacing w:line="360" w:lineRule="auto"/>
        <w:ind w:firstLine="482" w:firstLineChars="200"/>
        <w:jc w:val="both"/>
        <w:rPr>
          <w:rFonts w:hint="eastAsia" w:ascii="Times New Roman" w:hAnsi="Times New Roman" w:eastAsia="宋体" w:cs="宋体"/>
          <w:color w:val="auto"/>
          <w:kern w:val="2"/>
          <w:highlight w:val="none"/>
        </w:rPr>
      </w:pPr>
      <w:r>
        <w:rPr>
          <w:rFonts w:hint="eastAsia" w:ascii="Times New Roman" w:hAnsi="Times New Roman" w:eastAsia="宋体" w:cs="宋体"/>
          <w:b/>
          <w:color w:val="auto"/>
          <w:kern w:val="2"/>
          <w:highlight w:val="none"/>
        </w:rPr>
        <w:t>2</w:t>
      </w:r>
      <w:r>
        <w:rPr>
          <w:rFonts w:hint="eastAsia" w:ascii="Times New Roman" w:hAnsi="Times New Roman" w:eastAsia="宋体" w:cs="宋体"/>
          <w:b/>
          <w:color w:val="auto"/>
          <w:kern w:val="2"/>
          <w:highlight w:val="none"/>
          <w:lang w:val="en-US" w:eastAsia="zh-CN"/>
        </w:rPr>
        <w:t>.</w:t>
      </w:r>
      <w:r>
        <w:rPr>
          <w:rFonts w:hint="eastAsia" w:ascii="Times New Roman" w:hAnsi="Times New Roman" w:eastAsia="宋体" w:cs="宋体"/>
          <w:b/>
          <w:color w:val="auto"/>
          <w:kern w:val="2"/>
          <w:highlight w:val="none"/>
        </w:rPr>
        <w:t>本次采购涉及采购数量为暂定，仅为便于计算暂定合同总价使用，不作为甲方最终采购数量的保证。甲方的实际需求数量以每次的供货通知为准，在供货期内乙方不得因甲方实际采购数量的减少或增加而要求提供任何形式的补偿或赔偿，或要求甲方按暂定采购数量采购相应货物。</w:t>
      </w:r>
    </w:p>
    <w:p w14:paraId="1C79294F">
      <w:pPr>
        <w:autoSpaceDE/>
        <w:autoSpaceDN/>
        <w:adjustRightInd/>
        <w:spacing w:line="360" w:lineRule="auto"/>
        <w:ind w:firstLine="482" w:firstLineChars="200"/>
        <w:jc w:val="both"/>
        <w:rPr>
          <w:rFonts w:hint="eastAsia" w:ascii="Times New Roman" w:hAnsi="Times New Roman" w:eastAsia="宋体" w:cs="宋体"/>
          <w:b/>
          <w:color w:val="auto"/>
          <w:kern w:val="2"/>
          <w:highlight w:val="none"/>
        </w:rPr>
      </w:pPr>
      <w:r>
        <w:rPr>
          <w:rFonts w:hint="eastAsia" w:ascii="Times New Roman" w:hAnsi="Times New Roman" w:eastAsia="宋体" w:cs="宋体"/>
          <w:b/>
          <w:color w:val="auto"/>
          <w:kern w:val="2"/>
          <w:highlight w:val="none"/>
        </w:rPr>
        <w:t>3</w:t>
      </w:r>
      <w:r>
        <w:rPr>
          <w:rFonts w:hint="eastAsia" w:ascii="Times New Roman" w:hAnsi="Times New Roman" w:eastAsia="宋体" w:cs="宋体"/>
          <w:b/>
          <w:color w:val="auto"/>
          <w:kern w:val="2"/>
          <w:highlight w:val="none"/>
          <w:lang w:val="en-US" w:eastAsia="zh-CN"/>
        </w:rPr>
        <w:t>.</w:t>
      </w:r>
      <w:r>
        <w:rPr>
          <w:rFonts w:hint="eastAsia" w:ascii="Times New Roman" w:hAnsi="Times New Roman" w:eastAsia="宋体" w:cs="宋体"/>
          <w:b/>
          <w:color w:val="auto"/>
          <w:kern w:val="2"/>
          <w:highlight w:val="none"/>
        </w:rPr>
        <w:t>主要技术指标</w:t>
      </w:r>
    </w:p>
    <w:p w14:paraId="1642F0E4">
      <w:pPr>
        <w:autoSpaceDE/>
        <w:autoSpaceDN/>
        <w:adjustRightInd/>
        <w:spacing w:line="360" w:lineRule="auto"/>
        <w:ind w:firstLine="480" w:firstLineChars="200"/>
        <w:jc w:val="both"/>
        <w:rPr>
          <w:rFonts w:hint="eastAsia" w:ascii="Times New Roman" w:hAnsi="Times New Roman" w:eastAsia="宋体" w:cs="宋体"/>
          <w:bCs/>
          <w:color w:val="auto"/>
          <w:kern w:val="2"/>
          <w:highlight w:val="none"/>
        </w:rPr>
      </w:pPr>
      <w:r>
        <w:rPr>
          <w:rFonts w:hint="eastAsia" w:ascii="Times New Roman" w:hAnsi="Times New Roman" w:eastAsia="宋体" w:cs="宋体"/>
          <w:color w:val="auto"/>
          <w:highlight w:val="none"/>
        </w:rPr>
        <w:t>（1）阻垢缓蚀剂</w:t>
      </w:r>
    </w:p>
    <w:p w14:paraId="5DF019ED">
      <w:pPr>
        <w:autoSpaceDE/>
        <w:autoSpaceDN/>
        <w:adjustRightInd/>
        <w:spacing w:line="360" w:lineRule="auto"/>
        <w:ind w:firstLine="480" w:firstLineChars="200"/>
        <w:jc w:val="both"/>
        <w:rPr>
          <w:rFonts w:hint="eastAsia" w:ascii="Times New Roman" w:hAnsi="Times New Roman" w:eastAsia="宋体" w:cs="宋体"/>
          <w:bCs/>
          <w:color w:val="auto"/>
          <w:kern w:val="2"/>
          <w:highlight w:val="none"/>
        </w:rPr>
      </w:pPr>
      <w:r>
        <w:rPr>
          <w:rFonts w:hint="eastAsia" w:ascii="Times New Roman" w:hAnsi="Times New Roman" w:eastAsia="宋体" w:cs="宋体"/>
          <w:bCs/>
          <w:color w:val="auto"/>
          <w:kern w:val="2"/>
          <w:highlight w:val="none"/>
        </w:rPr>
        <w:t>阻垢缓蚀剂须选用无磷配方，且符合《水处理药剂阻垢缓蚀剂II》（HG/T2430-2018）产品质量及检测标准：</w:t>
      </w:r>
    </w:p>
    <w:p w14:paraId="63A9C8DA">
      <w:pPr>
        <w:autoSpaceDE/>
        <w:autoSpaceDN/>
        <w:adjustRightInd/>
        <w:spacing w:line="360" w:lineRule="auto"/>
        <w:ind w:firstLine="480" w:firstLineChars="200"/>
        <w:jc w:val="center"/>
        <w:rPr>
          <w:rFonts w:hint="eastAsia" w:ascii="Times New Roman" w:hAnsi="Times New Roman" w:eastAsia="宋体" w:cs="宋体"/>
          <w:bCs/>
          <w:color w:val="auto"/>
          <w:kern w:val="2"/>
          <w:highlight w:val="none"/>
        </w:rPr>
      </w:pPr>
      <w:r>
        <w:rPr>
          <w:rFonts w:hint="eastAsia" w:ascii="Times New Roman" w:hAnsi="Times New Roman" w:eastAsia="宋体" w:cs="宋体"/>
          <w:bCs/>
          <w:color w:val="auto"/>
          <w:kern w:val="2"/>
          <w:highlight w:val="none"/>
        </w:rPr>
        <w:t>表1 阻垢缓蚀剂主要技术指标</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56"/>
      </w:tblGrid>
      <w:tr w14:paraId="4E98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0370" w:type="dxa"/>
            <w:tcBorders>
              <w:tl2br w:val="nil"/>
              <w:tr2bl w:val="nil"/>
            </w:tcBorders>
          </w:tcPr>
          <w:p w14:paraId="118974BB">
            <w:pPr>
              <w:spacing w:line="360" w:lineRule="auto"/>
              <w:jc w:val="both"/>
              <w:rPr>
                <w:rFonts w:hint="eastAsia" w:ascii="Times New Roman" w:hAnsi="Times New Roman" w:eastAsia="宋体" w:cs="宋体"/>
                <w:color w:val="auto"/>
                <w:sz w:val="24"/>
                <w:szCs w:val="24"/>
                <w:highlight w:val="none"/>
                <w:vertAlign w:val="baseline"/>
              </w:rPr>
            </w:pPr>
            <w:r>
              <w:rPr>
                <w:color w:val="auto"/>
                <w:highlight w:val="none"/>
              </w:rPr>
              <w:drawing>
                <wp:anchor distT="0" distB="0" distL="0" distR="0" simplePos="0" relativeHeight="251659264" behindDoc="0" locked="0" layoutInCell="1" allowOverlap="1">
                  <wp:simplePos x="0" y="0"/>
                  <wp:positionH relativeFrom="column">
                    <wp:posOffset>5715</wp:posOffset>
                  </wp:positionH>
                  <wp:positionV relativeFrom="paragraph">
                    <wp:posOffset>7620</wp:posOffset>
                  </wp:positionV>
                  <wp:extent cx="6346825" cy="2710180"/>
                  <wp:effectExtent l="0" t="0" r="15875" b="13970"/>
                  <wp:wrapTopAndBottom/>
                  <wp:docPr id="1634510919"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10919" name="Picture 1" descr="A close-up of a document&#10;&#10;AI-generated content may be incorrect."/>
                          <pic:cNvPicPr>
                            <a:picLocks noChangeAspect="1"/>
                          </pic:cNvPicPr>
                        </pic:nvPicPr>
                        <pic:blipFill>
                          <a:blip r:embed="rId14"/>
                          <a:stretch>
                            <a:fillRect/>
                          </a:stretch>
                        </pic:blipFill>
                        <pic:spPr>
                          <a:xfrm>
                            <a:off x="0" y="0"/>
                            <a:ext cx="6346825" cy="2710180"/>
                          </a:xfrm>
                          <a:prstGeom prst="rect">
                            <a:avLst/>
                          </a:prstGeom>
                        </pic:spPr>
                      </pic:pic>
                    </a:graphicData>
                  </a:graphic>
                </wp:anchor>
              </w:drawing>
            </w:r>
          </w:p>
        </w:tc>
      </w:tr>
    </w:tbl>
    <w:p w14:paraId="0BDCA374">
      <w:pPr>
        <w:spacing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（2）亚硫酸氢钠（还原剂）</w:t>
      </w:r>
    </w:p>
    <w:p w14:paraId="591894B2">
      <w:pPr>
        <w:autoSpaceDE/>
        <w:autoSpaceDN/>
        <w:adjustRightInd/>
        <w:spacing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亚硫酸氢钠应符合下表《水处理剂 亚硫酸氢钠》（HG/T 3492-2003）质量及检测标准并且达到以下标准要求：</w:t>
      </w:r>
    </w:p>
    <w:p w14:paraId="38FE080B">
      <w:pPr>
        <w:autoSpaceDE/>
        <w:autoSpaceDN/>
        <w:adjustRightInd/>
        <w:spacing w:beforeLines="0" w:afterLines="0" w:line="360" w:lineRule="auto"/>
        <w:ind w:firstLine="480" w:firstLineChars="200"/>
        <w:jc w:val="center"/>
        <w:rPr>
          <w:rFonts w:hint="default" w:hAnsi="宋体" w:cs="宋体"/>
          <w:color w:val="auto"/>
          <w:sz w:val="24"/>
          <w:szCs w:val="24"/>
          <w:highlight w:val="none"/>
        </w:rPr>
      </w:pPr>
      <w:r>
        <w:rPr>
          <w:rFonts w:hint="default" w:hAnsi="宋体" w:cs="宋体"/>
          <w:color w:val="auto"/>
          <w:sz w:val="24"/>
          <w:szCs w:val="24"/>
          <w:highlight w:val="none"/>
        </w:rPr>
        <w:t>表2  亚硫酸氢钠主要技术指标</w:t>
      </w:r>
    </w:p>
    <w:tbl>
      <w:tblPr>
        <w:tblStyle w:val="20"/>
        <w:tblpPr w:leftFromText="180" w:rightFromText="180" w:vertAnchor="text" w:horzAnchor="page" w:tblpX="1134" w:tblpY="76"/>
        <w:tblOverlap w:val="never"/>
        <w:tblW w:w="9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6"/>
        <w:gridCol w:w="1232"/>
        <w:gridCol w:w="2908"/>
        <w:gridCol w:w="2917"/>
      </w:tblGrid>
      <w:tr w14:paraId="3D81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46037C8">
            <w:pPr>
              <w:pStyle w:val="64"/>
              <w:spacing w:before="50" w:beforeLines="0" w:afterLines="0" w:line="220"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项 目</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F31FEE">
            <w:pPr>
              <w:pStyle w:val="64"/>
              <w:spacing w:before="50" w:beforeLines="0" w:afterLines="0" w:line="220"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分 析 纯</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67FFAF">
            <w:pPr>
              <w:pStyle w:val="64"/>
              <w:spacing w:before="51" w:beforeLines="0" w:afterLines="0" w:line="221"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化 学 纯</w:t>
            </w:r>
          </w:p>
        </w:tc>
      </w:tr>
      <w:tr w14:paraId="19A0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67085857">
            <w:pPr>
              <w:pStyle w:val="64"/>
              <w:spacing w:before="25" w:beforeLines="0" w:afterLines="0" w:line="216"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含量(以SO₂计),%</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07129D03">
            <w:pPr>
              <w:pStyle w:val="64"/>
              <w:spacing w:before="60" w:beforeLines="0" w:afterLines="0" w:line="183" w:lineRule="auto"/>
              <w:ind w:left="561"/>
              <w:jc w:val="center"/>
              <w:rPr>
                <w:rFonts w:hint="default"/>
                <w:color w:val="auto"/>
                <w:kern w:val="2"/>
                <w:sz w:val="24"/>
                <w:szCs w:val="24"/>
                <w:highlight w:val="none"/>
                <w:lang w:eastAsia="zh-CN"/>
              </w:rPr>
            </w:pPr>
            <w:r>
              <w:rPr>
                <w:rFonts w:hint="default"/>
                <w:color w:val="auto"/>
                <w:kern w:val="2"/>
                <w:sz w:val="24"/>
                <w:szCs w:val="24"/>
                <w:highlight w:val="none"/>
                <w:lang w:eastAsia="zh-CN"/>
              </w:rPr>
              <w:t>≥</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84FC3">
            <w:pPr>
              <w:pStyle w:val="64"/>
              <w:spacing w:before="50" w:beforeLines="0" w:afterLines="0" w:line="197"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58.5</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025928">
            <w:pPr>
              <w:pStyle w:val="64"/>
              <w:spacing w:before="50" w:beforeLines="0" w:afterLines="0" w:line="197"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58.5</w:t>
            </w:r>
          </w:p>
        </w:tc>
      </w:tr>
      <w:tr w14:paraId="0A17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218B5D68">
            <w:pPr>
              <w:pStyle w:val="64"/>
              <w:spacing w:before="48" w:beforeLines="0" w:afterLines="0" w:line="220"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澄清度试验</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42710235">
            <w:pPr>
              <w:spacing w:beforeLines="0" w:afterLines="0" w:line="208" w:lineRule="exact"/>
              <w:jc w:val="center"/>
              <w:rPr>
                <w:rFonts w:hint="default" w:hAnsi="宋体" w:cs="宋体"/>
                <w:color w:val="auto"/>
                <w:kern w:val="2"/>
                <w:sz w:val="24"/>
                <w:szCs w:val="24"/>
                <w:highlight w:val="none"/>
              </w:rPr>
            </w:pP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2FDF3D">
            <w:pPr>
              <w:pStyle w:val="64"/>
              <w:spacing w:before="48" w:beforeLines="0" w:afterLines="0" w:line="219"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合格</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6D107">
            <w:pPr>
              <w:pStyle w:val="64"/>
              <w:spacing w:before="48" w:beforeLines="0" w:afterLines="0" w:line="219"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合格</w:t>
            </w:r>
          </w:p>
        </w:tc>
      </w:tr>
      <w:tr w14:paraId="5BAF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1EC33616">
            <w:pPr>
              <w:pStyle w:val="64"/>
              <w:spacing w:before="49" w:beforeLines="0" w:afterLines="0" w:line="213"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水不溶物，%</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1DC0DF71">
            <w:pPr>
              <w:pStyle w:val="64"/>
              <w:spacing w:before="51" w:beforeLines="0" w:afterLines="0" w:line="210" w:lineRule="auto"/>
              <w:ind w:left="561"/>
              <w:jc w:val="center"/>
              <w:rPr>
                <w:rFonts w:hint="default"/>
                <w:color w:val="auto"/>
                <w:kern w:val="2"/>
                <w:sz w:val="24"/>
                <w:szCs w:val="24"/>
                <w:highlight w:val="none"/>
                <w:lang w:eastAsia="zh-CN"/>
              </w:rPr>
            </w:pPr>
            <w:r>
              <w:rPr>
                <w:rFonts w:hint="default"/>
                <w:color w:val="auto"/>
                <w:kern w:val="2"/>
                <w:sz w:val="24"/>
                <w:szCs w:val="24"/>
                <w:highlight w:val="none"/>
                <w:lang w:eastAsia="zh-CN"/>
              </w:rPr>
              <w:t>≤</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03A413">
            <w:pPr>
              <w:pStyle w:val="64"/>
              <w:spacing w:before="52" w:beforeLines="0" w:afterLines="0" w:line="208"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0.005</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F132E3">
            <w:pPr>
              <w:pStyle w:val="64"/>
              <w:spacing w:before="52" w:beforeLines="0" w:afterLines="0" w:line="208"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0.01</w:t>
            </w:r>
          </w:p>
        </w:tc>
      </w:tr>
      <w:tr w14:paraId="53B6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282DDD56">
            <w:pPr>
              <w:pStyle w:val="64"/>
              <w:spacing w:before="38" w:beforeLines="0" w:afterLines="0" w:line="216"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氧化物(CI),%</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7C00472A">
            <w:pPr>
              <w:pStyle w:val="64"/>
              <w:spacing w:before="61" w:beforeLines="0" w:afterLines="0" w:line="195" w:lineRule="auto"/>
              <w:ind w:left="561"/>
              <w:jc w:val="center"/>
              <w:rPr>
                <w:rFonts w:hint="default"/>
                <w:color w:val="auto"/>
                <w:kern w:val="2"/>
                <w:sz w:val="24"/>
                <w:szCs w:val="24"/>
                <w:highlight w:val="none"/>
                <w:lang w:eastAsia="zh-CN"/>
              </w:rPr>
            </w:pPr>
            <w:r>
              <w:rPr>
                <w:rFonts w:hint="default"/>
                <w:color w:val="auto"/>
                <w:kern w:val="2"/>
                <w:sz w:val="24"/>
                <w:szCs w:val="24"/>
                <w:highlight w:val="none"/>
                <w:lang w:eastAsia="zh-CN"/>
              </w:rPr>
              <w:t>≤</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C3853">
            <w:pPr>
              <w:pStyle w:val="64"/>
              <w:spacing w:before="53" w:beforeLines="0" w:afterLines="0" w:line="207"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0.01</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B814C7">
            <w:pPr>
              <w:pStyle w:val="64"/>
              <w:spacing w:before="53" w:beforeLines="0" w:afterLines="0" w:line="207"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0.02</w:t>
            </w:r>
          </w:p>
        </w:tc>
      </w:tr>
      <w:tr w14:paraId="1AE68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3D2387F4">
            <w:pPr>
              <w:pStyle w:val="64"/>
              <w:spacing w:before="29" w:beforeLines="0" w:afterLines="0" w:line="216"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铁(Fe),%</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144A7CDB">
            <w:pPr>
              <w:pStyle w:val="64"/>
              <w:spacing w:before="42" w:beforeLines="0" w:afterLines="0" w:line="222" w:lineRule="auto"/>
              <w:ind w:left="561"/>
              <w:jc w:val="center"/>
              <w:rPr>
                <w:rFonts w:hint="default"/>
                <w:color w:val="auto"/>
                <w:kern w:val="2"/>
                <w:sz w:val="24"/>
                <w:szCs w:val="24"/>
                <w:highlight w:val="none"/>
                <w:lang w:eastAsia="zh-CN"/>
              </w:rPr>
            </w:pPr>
            <w:r>
              <w:rPr>
                <w:rFonts w:hint="default"/>
                <w:color w:val="auto"/>
                <w:kern w:val="2"/>
                <w:sz w:val="24"/>
                <w:szCs w:val="24"/>
                <w:highlight w:val="none"/>
                <w:lang w:eastAsia="zh-CN"/>
              </w:rPr>
              <w:t>≤</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0598A">
            <w:pPr>
              <w:pStyle w:val="64"/>
              <w:spacing w:before="54" w:beforeLines="0" w:afterLines="0" w:line="205"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0.001</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7B8AD">
            <w:pPr>
              <w:pStyle w:val="64"/>
              <w:spacing w:before="54" w:beforeLines="0" w:afterLines="0" w:line="205"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0.002</w:t>
            </w:r>
          </w:p>
        </w:tc>
      </w:tr>
      <w:tr w14:paraId="21FE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2C3B3C81">
            <w:pPr>
              <w:pStyle w:val="64"/>
              <w:spacing w:before="30" w:beforeLines="0" w:afterLines="0" w:line="216"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砷(As),%</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25801892">
            <w:pPr>
              <w:pStyle w:val="64"/>
              <w:spacing w:before="63" w:beforeLines="0" w:afterLines="0" w:line="192" w:lineRule="auto"/>
              <w:ind w:left="561"/>
              <w:jc w:val="center"/>
              <w:rPr>
                <w:rFonts w:hint="default"/>
                <w:color w:val="auto"/>
                <w:kern w:val="2"/>
                <w:sz w:val="24"/>
                <w:szCs w:val="24"/>
                <w:highlight w:val="none"/>
                <w:lang w:eastAsia="zh-CN"/>
              </w:rPr>
            </w:pPr>
            <w:r>
              <w:rPr>
                <w:rFonts w:hint="default"/>
                <w:color w:val="auto"/>
                <w:kern w:val="2"/>
                <w:sz w:val="24"/>
                <w:szCs w:val="24"/>
                <w:highlight w:val="none"/>
                <w:lang w:eastAsia="zh-CN"/>
              </w:rPr>
              <w:t>≤</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A148D8">
            <w:pPr>
              <w:pStyle w:val="64"/>
              <w:spacing w:before="55" w:beforeLines="0" w:afterLines="0" w:line="204"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0.0001</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651038">
            <w:pPr>
              <w:pStyle w:val="64"/>
              <w:spacing w:before="55" w:beforeLines="0" w:afterLines="0" w:line="204"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0.0002</w:t>
            </w:r>
          </w:p>
        </w:tc>
      </w:tr>
      <w:tr w14:paraId="31BD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886" w:type="dxa"/>
            <w:tcBorders>
              <w:top w:val="single" w:color="000000" w:sz="4" w:space="0"/>
              <w:left w:val="single" w:color="000000" w:sz="4" w:space="0"/>
              <w:bottom w:val="single" w:color="000000" w:sz="4" w:space="0"/>
              <w:right w:val="nil"/>
              <w:tl2br w:val="nil"/>
              <w:tr2bl w:val="nil"/>
            </w:tcBorders>
            <w:noWrap w:val="0"/>
            <w:vAlign w:val="top"/>
          </w:tcPr>
          <w:p w14:paraId="7918A39F">
            <w:pPr>
              <w:pStyle w:val="64"/>
              <w:spacing w:before="41" w:beforeLines="0" w:afterLines="0" w:line="216" w:lineRule="auto"/>
              <w:ind w:left="55"/>
              <w:jc w:val="left"/>
              <w:rPr>
                <w:rFonts w:hint="default"/>
                <w:color w:val="auto"/>
                <w:kern w:val="2"/>
                <w:sz w:val="24"/>
                <w:szCs w:val="24"/>
                <w:highlight w:val="none"/>
                <w:lang w:eastAsia="zh-CN"/>
              </w:rPr>
            </w:pPr>
            <w:r>
              <w:rPr>
                <w:rFonts w:hint="default"/>
                <w:color w:val="auto"/>
                <w:kern w:val="2"/>
                <w:sz w:val="24"/>
                <w:szCs w:val="24"/>
                <w:highlight w:val="none"/>
                <w:lang w:eastAsia="zh-CN"/>
              </w:rPr>
              <w:t>重金属(以Pb计),%</w:t>
            </w:r>
          </w:p>
        </w:tc>
        <w:tc>
          <w:tcPr>
            <w:tcW w:w="1232" w:type="dxa"/>
            <w:tcBorders>
              <w:top w:val="single" w:color="000000" w:sz="4" w:space="0"/>
              <w:left w:val="nil"/>
              <w:bottom w:val="single" w:color="000000" w:sz="4" w:space="0"/>
              <w:right w:val="single" w:color="000000" w:sz="4" w:space="0"/>
              <w:tl2br w:val="nil"/>
              <w:tr2bl w:val="nil"/>
            </w:tcBorders>
            <w:noWrap w:val="0"/>
            <w:vAlign w:val="top"/>
          </w:tcPr>
          <w:p w14:paraId="61958FDF">
            <w:pPr>
              <w:pStyle w:val="64"/>
              <w:spacing w:before="75" w:beforeLines="0" w:afterLines="0" w:line="176" w:lineRule="auto"/>
              <w:ind w:left="571"/>
              <w:jc w:val="center"/>
              <w:rPr>
                <w:rFonts w:hint="default"/>
                <w:color w:val="auto"/>
                <w:kern w:val="2"/>
                <w:sz w:val="24"/>
                <w:szCs w:val="24"/>
                <w:highlight w:val="none"/>
                <w:lang w:eastAsia="zh-CN"/>
              </w:rPr>
            </w:pPr>
            <w:r>
              <w:rPr>
                <w:rFonts w:hint="default"/>
                <w:color w:val="auto"/>
                <w:kern w:val="2"/>
                <w:sz w:val="24"/>
                <w:szCs w:val="24"/>
                <w:highlight w:val="none"/>
                <w:lang w:eastAsia="zh-CN"/>
              </w:rPr>
              <w:t>≤</w:t>
            </w:r>
          </w:p>
        </w:tc>
        <w:tc>
          <w:tcPr>
            <w:tcW w:w="29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6DE3C">
            <w:pPr>
              <w:pStyle w:val="64"/>
              <w:spacing w:before="56" w:beforeLines="0" w:afterLines="0" w:line="203"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0.001</w:t>
            </w:r>
          </w:p>
        </w:tc>
        <w:tc>
          <w:tcPr>
            <w:tcW w:w="2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E7DCB">
            <w:pPr>
              <w:pStyle w:val="64"/>
              <w:spacing w:before="56" w:beforeLines="0" w:afterLines="0" w:line="203" w:lineRule="auto"/>
              <w:jc w:val="center"/>
              <w:rPr>
                <w:rFonts w:hint="default"/>
                <w:color w:val="auto"/>
                <w:kern w:val="2"/>
                <w:sz w:val="24"/>
                <w:szCs w:val="24"/>
                <w:highlight w:val="none"/>
                <w:lang w:eastAsia="zh-CN"/>
              </w:rPr>
            </w:pPr>
            <w:r>
              <w:rPr>
                <w:rFonts w:hint="default"/>
                <w:color w:val="auto"/>
                <w:kern w:val="2"/>
                <w:sz w:val="24"/>
                <w:szCs w:val="24"/>
                <w:highlight w:val="none"/>
                <w:lang w:eastAsia="zh-CN"/>
              </w:rPr>
              <w:t>0.002</w:t>
            </w:r>
          </w:p>
        </w:tc>
      </w:tr>
      <w:tr w14:paraId="50394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4F1E5B78">
            <w:pPr>
              <w:pStyle w:val="64"/>
              <w:spacing w:before="54" w:beforeLines="0" w:afterLines="0" w:line="219" w:lineRule="auto"/>
              <w:jc w:val="left"/>
              <w:rPr>
                <w:rFonts w:hint="default"/>
                <w:color w:val="auto"/>
                <w:kern w:val="2"/>
                <w:sz w:val="24"/>
                <w:szCs w:val="24"/>
                <w:highlight w:val="none"/>
                <w:lang w:eastAsia="zh-CN"/>
              </w:rPr>
            </w:pPr>
            <w:r>
              <w:rPr>
                <w:rFonts w:hint="default"/>
                <w:color w:val="auto"/>
                <w:kern w:val="2"/>
                <w:sz w:val="24"/>
                <w:szCs w:val="24"/>
                <w:highlight w:val="none"/>
                <w:lang w:eastAsia="zh-CN"/>
              </w:rPr>
              <w:t>注：表中“%”指质量分数。</w:t>
            </w:r>
          </w:p>
        </w:tc>
      </w:tr>
    </w:tbl>
    <w:p w14:paraId="22884BD3">
      <w:pPr>
        <w:autoSpaceDE/>
        <w:autoSpaceDN/>
        <w:adjustRightInd/>
        <w:spacing w:line="360" w:lineRule="auto"/>
        <w:ind w:firstLine="480" w:firstLineChars="200"/>
        <w:jc w:val="both"/>
        <w:rPr>
          <w:rFonts w:hAnsi="宋体" w:cs="宋体"/>
          <w:color w:val="auto"/>
          <w:sz w:val="24"/>
          <w:szCs w:val="24"/>
          <w:highlight w:val="none"/>
        </w:rPr>
      </w:pPr>
      <w:r>
        <w:rPr>
          <w:rFonts w:hint="eastAsia" w:hAnsi="宋体" w:cs="宋体"/>
          <w:color w:val="auto"/>
          <w:kern w:val="2"/>
          <w:sz w:val="24"/>
          <w:szCs w:val="24"/>
          <w:highlight w:val="none"/>
        </w:rPr>
        <w:t>（</w:t>
      </w:r>
      <w:r>
        <w:rPr>
          <w:rFonts w:hint="eastAsia" w:hAnsi="宋体" w:cs="宋体"/>
          <w:color w:val="auto"/>
          <w:kern w:val="2"/>
          <w:sz w:val="24"/>
          <w:szCs w:val="24"/>
          <w:highlight w:val="none"/>
          <w:lang w:val="en-US" w:eastAsia="zh-CN"/>
        </w:rPr>
        <w:t>3</w:t>
      </w:r>
      <w:r>
        <w:rPr>
          <w:rFonts w:hint="eastAsia" w:hAnsi="宋体" w:cs="宋体"/>
          <w:color w:val="auto"/>
          <w:kern w:val="2"/>
          <w:sz w:val="24"/>
          <w:szCs w:val="24"/>
          <w:highlight w:val="none"/>
        </w:rPr>
        <w:t>）固体柠檬酸</w:t>
      </w:r>
    </w:p>
    <w:p w14:paraId="61D18FC7">
      <w:pPr>
        <w:spacing w:line="360" w:lineRule="auto"/>
        <w:ind w:firstLine="480"/>
        <w:jc w:val="both"/>
        <w:rPr>
          <w:rFonts w:ascii="Times New Roman" w:hAnsiTheme="minorHAnsi" w:eastAsiaTheme="minorEastAsia" w:cstheme="minorBidi"/>
          <w:color w:val="auto"/>
          <w:kern w:val="2"/>
          <w:sz w:val="24"/>
          <w:szCs w:val="24"/>
          <w:highlight w:val="none"/>
        </w:rPr>
      </w:pPr>
      <w:r>
        <w:rPr>
          <w:rFonts w:hint="eastAsia" w:ascii="Times New Roman" w:hAnsiTheme="minorHAnsi" w:eastAsiaTheme="minorEastAsia" w:cstheme="minorBidi"/>
          <w:color w:val="auto"/>
          <w:kern w:val="2"/>
          <w:sz w:val="24"/>
          <w:szCs w:val="24"/>
          <w:highlight w:val="none"/>
        </w:rPr>
        <w:t>产品为固体，用于除盐水系统的化学清洗。产品必须符合《柠檬酸》（GB/T 8269</w:t>
      </w:r>
      <w:r>
        <w:rPr>
          <w:rFonts w:hint="eastAsia" w:ascii="Times New Roman" w:hAnsiTheme="minorHAnsi" w:eastAsiaTheme="minorEastAsia" w:cstheme="minorBidi"/>
          <w:color w:val="auto"/>
          <w:kern w:val="2"/>
          <w:sz w:val="24"/>
          <w:szCs w:val="24"/>
          <w:highlight w:val="none"/>
          <w:lang w:val="en-US" w:eastAsia="zh-CN"/>
        </w:rPr>
        <w:t>.1</w:t>
      </w:r>
      <w:r>
        <w:rPr>
          <w:rFonts w:hint="eastAsia" w:ascii="Times New Roman" w:hAnsiTheme="minorHAnsi" w:eastAsiaTheme="minorEastAsia" w:cstheme="minorBidi"/>
          <w:color w:val="auto"/>
          <w:kern w:val="2"/>
          <w:sz w:val="24"/>
          <w:szCs w:val="24"/>
          <w:highlight w:val="none"/>
        </w:rPr>
        <w:t>-20</w:t>
      </w:r>
      <w:r>
        <w:rPr>
          <w:rFonts w:hint="eastAsia" w:ascii="Times New Roman" w:hAnsiTheme="minorHAnsi" w:eastAsiaTheme="minorEastAsia" w:cstheme="minorBidi"/>
          <w:color w:val="auto"/>
          <w:kern w:val="2"/>
          <w:sz w:val="24"/>
          <w:szCs w:val="24"/>
          <w:highlight w:val="none"/>
          <w:lang w:val="en-US" w:eastAsia="zh-CN"/>
        </w:rPr>
        <w:t>25</w:t>
      </w:r>
      <w:r>
        <w:rPr>
          <w:rFonts w:hint="eastAsia" w:ascii="Times New Roman" w:hAnsiTheme="minorHAnsi" w:eastAsiaTheme="minorEastAsia" w:cstheme="minorBidi"/>
          <w:color w:val="auto"/>
          <w:kern w:val="2"/>
          <w:sz w:val="24"/>
          <w:szCs w:val="24"/>
          <w:highlight w:val="none"/>
        </w:rPr>
        <w:t>）一水柠檬酸二级的质量及检测标准，其中主要技术指标要求如下：</w:t>
      </w:r>
    </w:p>
    <w:p w14:paraId="3F85B2FD">
      <w:pPr>
        <w:spacing w:line="360" w:lineRule="auto"/>
        <w:ind w:firstLine="314" w:firstLineChars="131"/>
        <w:jc w:val="center"/>
        <w:rPr>
          <w:rFonts w:ascii="Times New Roman"/>
          <w:bCs/>
          <w:color w:val="auto"/>
          <w:sz w:val="24"/>
          <w:szCs w:val="24"/>
          <w:highlight w:val="none"/>
        </w:rPr>
      </w:pPr>
      <w:r>
        <w:rPr>
          <w:rFonts w:ascii="Times New Roman"/>
          <w:bCs/>
          <w:color w:val="auto"/>
          <w:sz w:val="24"/>
          <w:szCs w:val="24"/>
          <w:highlight w:val="none"/>
        </w:rPr>
        <w:t>表</w:t>
      </w:r>
      <w:r>
        <w:rPr>
          <w:rFonts w:hint="eastAsia" w:ascii="Times New Roman"/>
          <w:bCs/>
          <w:color w:val="auto"/>
          <w:sz w:val="24"/>
          <w:szCs w:val="24"/>
          <w:highlight w:val="none"/>
          <w:lang w:val="en-US" w:eastAsia="zh-CN"/>
        </w:rPr>
        <w:t>3</w:t>
      </w:r>
      <w:r>
        <w:rPr>
          <w:rFonts w:ascii="Times New Roman"/>
          <w:bCs/>
          <w:color w:val="auto"/>
          <w:sz w:val="24"/>
          <w:szCs w:val="24"/>
          <w:highlight w:val="none"/>
        </w:rPr>
        <w:t xml:space="preserve">  </w:t>
      </w:r>
      <w:r>
        <w:rPr>
          <w:rFonts w:hint="eastAsia" w:ascii="Times New Roman"/>
          <w:bCs/>
          <w:color w:val="auto"/>
          <w:sz w:val="24"/>
          <w:szCs w:val="24"/>
          <w:highlight w:val="none"/>
        </w:rPr>
        <w:t>固体柠檬酸</w:t>
      </w:r>
      <w:r>
        <w:rPr>
          <w:rFonts w:ascii="Times New Roman"/>
          <w:bCs/>
          <w:color w:val="auto"/>
          <w:sz w:val="24"/>
          <w:szCs w:val="24"/>
          <w:highlight w:val="none"/>
        </w:rPr>
        <w:t>主要技术指标</w:t>
      </w:r>
    </w:p>
    <w:tbl>
      <w:tblPr>
        <w:tblStyle w:val="21"/>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3"/>
        <w:gridCol w:w="906"/>
        <w:gridCol w:w="4198"/>
      </w:tblGrid>
      <w:tr w14:paraId="2320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729" w:type="dxa"/>
            <w:gridSpan w:val="2"/>
            <w:vAlign w:val="center"/>
          </w:tcPr>
          <w:p w14:paraId="22EA6C1E">
            <w:pPr>
              <w:spacing w:line="360" w:lineRule="auto"/>
              <w:jc w:val="center"/>
              <w:rPr>
                <w:rFonts w:ascii="Times New Roman"/>
                <w:bCs/>
                <w:color w:val="auto"/>
                <w:sz w:val="24"/>
                <w:szCs w:val="24"/>
                <w:highlight w:val="none"/>
              </w:rPr>
            </w:pPr>
            <w:r>
              <w:rPr>
                <w:rFonts w:ascii="Times New Roman"/>
                <w:bCs/>
                <w:color w:val="auto"/>
                <w:sz w:val="24"/>
                <w:szCs w:val="24"/>
                <w:highlight w:val="none"/>
              </w:rPr>
              <w:t>指标项目</w:t>
            </w:r>
          </w:p>
        </w:tc>
        <w:tc>
          <w:tcPr>
            <w:tcW w:w="4198" w:type="dxa"/>
            <w:vAlign w:val="center"/>
          </w:tcPr>
          <w:p w14:paraId="677C3598">
            <w:pPr>
              <w:spacing w:line="360" w:lineRule="auto"/>
              <w:jc w:val="center"/>
              <w:rPr>
                <w:rFonts w:ascii="Times New Roman"/>
                <w:bCs/>
                <w:color w:val="auto"/>
                <w:sz w:val="24"/>
                <w:szCs w:val="24"/>
                <w:highlight w:val="none"/>
              </w:rPr>
            </w:pPr>
            <w:r>
              <w:rPr>
                <w:rFonts w:ascii="Times New Roman"/>
                <w:bCs/>
                <w:color w:val="auto"/>
                <w:sz w:val="24"/>
                <w:szCs w:val="24"/>
                <w:highlight w:val="none"/>
              </w:rPr>
              <w:t>指标</w:t>
            </w:r>
          </w:p>
        </w:tc>
      </w:tr>
      <w:tr w14:paraId="1E50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9" w:type="dxa"/>
            <w:gridSpan w:val="2"/>
            <w:vAlign w:val="center"/>
          </w:tcPr>
          <w:p w14:paraId="54435AEC">
            <w:pPr>
              <w:spacing w:line="360" w:lineRule="auto"/>
              <w:jc w:val="both"/>
              <w:rPr>
                <w:rFonts w:hint="eastAsia" w:ascii="Times New Roman"/>
                <w:bCs/>
                <w:color w:val="auto"/>
                <w:sz w:val="24"/>
                <w:szCs w:val="24"/>
                <w:highlight w:val="none"/>
              </w:rPr>
            </w:pPr>
            <w:r>
              <w:rPr>
                <w:rFonts w:hint="eastAsia" w:ascii="Times New Roman"/>
                <w:bCs/>
                <w:color w:val="auto"/>
                <w:sz w:val="24"/>
                <w:szCs w:val="24"/>
                <w:highlight w:val="none"/>
              </w:rPr>
              <w:t>柠檬酸含量/(g/100g)</w:t>
            </w:r>
          </w:p>
        </w:tc>
        <w:tc>
          <w:tcPr>
            <w:tcW w:w="4198" w:type="dxa"/>
          </w:tcPr>
          <w:p w14:paraId="09E481B1">
            <w:pPr>
              <w:spacing w:line="360" w:lineRule="auto"/>
              <w:jc w:val="center"/>
              <w:rPr>
                <w:rFonts w:ascii="Times New Roman"/>
                <w:bCs/>
                <w:color w:val="auto"/>
                <w:sz w:val="24"/>
                <w:szCs w:val="24"/>
                <w:highlight w:val="none"/>
              </w:rPr>
            </w:pPr>
            <w:r>
              <w:rPr>
                <w:rFonts w:hint="eastAsia" w:ascii="Times New Roman"/>
                <w:bCs/>
                <w:color w:val="auto"/>
                <w:sz w:val="24"/>
                <w:szCs w:val="24"/>
                <w:highlight w:val="none"/>
              </w:rPr>
              <w:t>99.0~100.5</w:t>
            </w:r>
          </w:p>
        </w:tc>
      </w:tr>
      <w:tr w14:paraId="6955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3" w:type="dxa"/>
            <w:tcBorders>
              <w:bottom w:val="single" w:color="auto" w:sz="4" w:space="0"/>
              <w:right w:val="nil"/>
            </w:tcBorders>
            <w:vAlign w:val="center"/>
          </w:tcPr>
          <w:p w14:paraId="023BB9D2">
            <w:pPr>
              <w:spacing w:line="360" w:lineRule="auto"/>
              <w:jc w:val="both"/>
              <w:rPr>
                <w:rFonts w:hint="default" w:ascii="Times New Roman" w:eastAsia="宋体"/>
                <w:bCs/>
                <w:color w:val="auto"/>
                <w:sz w:val="24"/>
                <w:szCs w:val="24"/>
                <w:highlight w:val="none"/>
                <w:lang w:val="en-US" w:eastAsia="zh-CN"/>
              </w:rPr>
            </w:pPr>
            <w:r>
              <w:rPr>
                <w:rFonts w:hint="eastAsia" w:ascii="Times New Roman"/>
                <w:bCs/>
                <w:color w:val="auto"/>
                <w:sz w:val="24"/>
                <w:szCs w:val="24"/>
                <w:highlight w:val="none"/>
              </w:rPr>
              <w:t>硫酸灰分/(g/100g)</w:t>
            </w:r>
            <w:r>
              <w:rPr>
                <w:rFonts w:hint="eastAsia" w:ascii="Times New Roman"/>
                <w:bCs/>
                <w:color w:val="auto"/>
                <w:sz w:val="24"/>
                <w:szCs w:val="24"/>
                <w:highlight w:val="none"/>
                <w:lang w:val="en-US" w:eastAsia="zh-CN"/>
              </w:rPr>
              <w:t xml:space="preserve"> </w:t>
            </w:r>
          </w:p>
        </w:tc>
        <w:tc>
          <w:tcPr>
            <w:tcW w:w="906" w:type="dxa"/>
            <w:tcBorders>
              <w:left w:val="nil"/>
            </w:tcBorders>
          </w:tcPr>
          <w:p w14:paraId="7C392BF3">
            <w:pPr>
              <w:spacing w:line="360" w:lineRule="auto"/>
              <w:jc w:val="right"/>
              <w:rPr>
                <w:rFonts w:hint="eastAsia" w:ascii="Times New Roman"/>
                <w:bCs/>
                <w:color w:val="auto"/>
                <w:sz w:val="24"/>
                <w:szCs w:val="24"/>
                <w:highlight w:val="none"/>
              </w:rPr>
            </w:pPr>
            <w:r>
              <w:rPr>
                <w:rFonts w:ascii="Times New Roman"/>
                <w:bCs/>
                <w:color w:val="auto"/>
                <w:sz w:val="24"/>
                <w:szCs w:val="24"/>
                <w:highlight w:val="none"/>
              </w:rPr>
              <w:t>≤</w:t>
            </w:r>
          </w:p>
        </w:tc>
        <w:tc>
          <w:tcPr>
            <w:tcW w:w="4198" w:type="dxa"/>
          </w:tcPr>
          <w:p w14:paraId="4854693B">
            <w:pPr>
              <w:spacing w:line="360" w:lineRule="auto"/>
              <w:jc w:val="center"/>
              <w:rPr>
                <w:rFonts w:ascii="Times New Roman"/>
                <w:bCs/>
                <w:color w:val="auto"/>
                <w:sz w:val="24"/>
                <w:szCs w:val="24"/>
                <w:highlight w:val="none"/>
              </w:rPr>
            </w:pPr>
            <w:r>
              <w:rPr>
                <w:rFonts w:hint="eastAsia"/>
                <w:bCs/>
                <w:color w:val="auto"/>
                <w:sz w:val="24"/>
                <w:szCs w:val="24"/>
                <w:highlight w:val="none"/>
              </w:rPr>
              <w:t>0.1</w:t>
            </w:r>
          </w:p>
        </w:tc>
      </w:tr>
      <w:tr w14:paraId="2616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23" w:type="dxa"/>
            <w:tcBorders>
              <w:top w:val="single" w:color="auto" w:sz="4" w:space="0"/>
              <w:bottom w:val="single" w:color="auto" w:sz="4" w:space="0"/>
              <w:right w:val="nil"/>
            </w:tcBorders>
            <w:vAlign w:val="center"/>
          </w:tcPr>
          <w:p w14:paraId="1ED60F6A">
            <w:pPr>
              <w:spacing w:line="360" w:lineRule="auto"/>
              <w:jc w:val="both"/>
              <w:rPr>
                <w:rFonts w:ascii="Times New Roman"/>
                <w:bCs/>
                <w:color w:val="auto"/>
                <w:sz w:val="24"/>
                <w:szCs w:val="24"/>
                <w:highlight w:val="none"/>
              </w:rPr>
            </w:pPr>
            <w:r>
              <w:rPr>
                <w:rFonts w:hint="eastAsia" w:ascii="Times New Roman"/>
                <w:bCs/>
                <w:color w:val="auto"/>
                <w:sz w:val="24"/>
                <w:szCs w:val="24"/>
                <w:highlight w:val="none"/>
              </w:rPr>
              <w:t>氯化物/(g/100g)</w:t>
            </w:r>
            <w:r>
              <w:rPr>
                <w:rFonts w:hint="eastAsia" w:ascii="Times New Roman"/>
                <w:bCs/>
                <w:color w:val="auto"/>
                <w:sz w:val="24"/>
                <w:szCs w:val="24"/>
                <w:highlight w:val="none"/>
                <w:lang w:val="en-US" w:eastAsia="zh-CN"/>
              </w:rPr>
              <w:t xml:space="preserve"> </w:t>
            </w:r>
          </w:p>
        </w:tc>
        <w:tc>
          <w:tcPr>
            <w:tcW w:w="906" w:type="dxa"/>
            <w:tcBorders>
              <w:left w:val="nil"/>
            </w:tcBorders>
          </w:tcPr>
          <w:p w14:paraId="5626EE63">
            <w:pPr>
              <w:spacing w:line="360" w:lineRule="auto"/>
              <w:jc w:val="right"/>
              <w:rPr>
                <w:rFonts w:hint="eastAsia" w:ascii="Times New Roman"/>
                <w:bCs/>
                <w:color w:val="auto"/>
                <w:sz w:val="24"/>
                <w:szCs w:val="24"/>
                <w:highlight w:val="none"/>
              </w:rPr>
            </w:pPr>
            <w:r>
              <w:rPr>
                <w:rFonts w:ascii="Times New Roman"/>
                <w:bCs/>
                <w:color w:val="auto"/>
                <w:sz w:val="24"/>
                <w:szCs w:val="24"/>
                <w:highlight w:val="none"/>
              </w:rPr>
              <w:t>≤</w:t>
            </w:r>
          </w:p>
        </w:tc>
        <w:tc>
          <w:tcPr>
            <w:tcW w:w="4198" w:type="dxa"/>
          </w:tcPr>
          <w:p w14:paraId="151A1EA4">
            <w:pPr>
              <w:spacing w:line="360" w:lineRule="auto"/>
              <w:jc w:val="center"/>
              <w:rPr>
                <w:rFonts w:ascii="Times New Roman"/>
                <w:bCs/>
                <w:color w:val="auto"/>
                <w:sz w:val="24"/>
                <w:szCs w:val="24"/>
                <w:highlight w:val="none"/>
              </w:rPr>
            </w:pPr>
            <w:r>
              <w:rPr>
                <w:rFonts w:hint="eastAsia"/>
                <w:bCs/>
                <w:color w:val="auto"/>
                <w:sz w:val="24"/>
                <w:szCs w:val="24"/>
                <w:highlight w:val="none"/>
              </w:rPr>
              <w:t>0.01</w:t>
            </w:r>
          </w:p>
        </w:tc>
      </w:tr>
      <w:tr w14:paraId="0D46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23" w:type="dxa"/>
            <w:tcBorders>
              <w:top w:val="single" w:color="auto" w:sz="4" w:space="0"/>
              <w:right w:val="nil"/>
            </w:tcBorders>
            <w:vAlign w:val="center"/>
          </w:tcPr>
          <w:p w14:paraId="3D693123">
            <w:pPr>
              <w:spacing w:line="360" w:lineRule="auto"/>
              <w:jc w:val="both"/>
              <w:rPr>
                <w:rFonts w:hint="eastAsia" w:ascii="Times New Roman" w:eastAsia="宋体"/>
                <w:bCs/>
                <w:color w:val="auto"/>
                <w:sz w:val="24"/>
                <w:szCs w:val="24"/>
                <w:highlight w:val="none"/>
                <w:lang w:val="en-US" w:eastAsia="zh-CN"/>
              </w:rPr>
            </w:pPr>
            <w:r>
              <w:rPr>
                <w:rFonts w:hint="eastAsia" w:ascii="Times New Roman"/>
                <w:bCs/>
                <w:color w:val="auto"/>
                <w:sz w:val="24"/>
                <w:szCs w:val="24"/>
                <w:highlight w:val="none"/>
              </w:rPr>
              <w:t>硫酸盐/(g/100g)</w:t>
            </w:r>
            <w:r>
              <w:rPr>
                <w:rFonts w:hint="eastAsia" w:ascii="Times New Roman"/>
                <w:bCs/>
                <w:color w:val="auto"/>
                <w:sz w:val="24"/>
                <w:szCs w:val="24"/>
                <w:highlight w:val="none"/>
                <w:lang w:val="en-US" w:eastAsia="zh-CN"/>
              </w:rPr>
              <w:t xml:space="preserve"> </w:t>
            </w:r>
          </w:p>
        </w:tc>
        <w:tc>
          <w:tcPr>
            <w:tcW w:w="906" w:type="dxa"/>
            <w:tcBorders>
              <w:left w:val="nil"/>
            </w:tcBorders>
          </w:tcPr>
          <w:p w14:paraId="666FABFF">
            <w:pPr>
              <w:spacing w:line="360" w:lineRule="auto"/>
              <w:jc w:val="right"/>
              <w:rPr>
                <w:rFonts w:hint="eastAsia" w:ascii="Times New Roman"/>
                <w:bCs/>
                <w:color w:val="auto"/>
                <w:sz w:val="24"/>
                <w:szCs w:val="24"/>
                <w:highlight w:val="none"/>
              </w:rPr>
            </w:pPr>
            <w:r>
              <w:rPr>
                <w:rFonts w:ascii="Times New Roman"/>
                <w:bCs/>
                <w:color w:val="auto"/>
                <w:sz w:val="24"/>
                <w:szCs w:val="24"/>
                <w:highlight w:val="none"/>
              </w:rPr>
              <w:t>≤</w:t>
            </w:r>
          </w:p>
        </w:tc>
        <w:tc>
          <w:tcPr>
            <w:tcW w:w="4198" w:type="dxa"/>
          </w:tcPr>
          <w:p w14:paraId="078ED320">
            <w:pPr>
              <w:spacing w:line="360" w:lineRule="auto"/>
              <w:jc w:val="center"/>
              <w:rPr>
                <w:rFonts w:ascii="Times New Roman"/>
                <w:bCs/>
                <w:color w:val="auto"/>
                <w:sz w:val="24"/>
                <w:szCs w:val="24"/>
                <w:highlight w:val="none"/>
              </w:rPr>
            </w:pPr>
            <w:r>
              <w:rPr>
                <w:rFonts w:hint="eastAsia"/>
                <w:bCs/>
                <w:color w:val="auto"/>
                <w:sz w:val="24"/>
                <w:szCs w:val="24"/>
                <w:highlight w:val="none"/>
              </w:rPr>
              <w:t>0.05</w:t>
            </w:r>
          </w:p>
        </w:tc>
      </w:tr>
    </w:tbl>
    <w:p w14:paraId="3CF94C71">
      <w:pPr>
        <w:autoSpaceDE/>
        <w:autoSpaceDN/>
        <w:adjustRightInd/>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w:t>
      </w:r>
      <w:r>
        <w:rPr>
          <w:rFonts w:hint="eastAsia" w:ascii="Times New Roman"/>
          <w:color w:val="auto"/>
          <w:sz w:val="24"/>
          <w:szCs w:val="24"/>
          <w:highlight w:val="none"/>
          <w:lang w:val="en-US" w:eastAsia="zh-CN"/>
        </w:rPr>
        <w:t>4</w:t>
      </w:r>
      <w:r>
        <w:rPr>
          <w:rFonts w:hint="eastAsia" w:ascii="Times New Roman" w:hAnsi="Times New Roman" w:eastAsia="宋体"/>
          <w:color w:val="auto"/>
          <w:sz w:val="24"/>
          <w:szCs w:val="24"/>
          <w:highlight w:val="none"/>
        </w:rPr>
        <w:t>）供货期间，如有发布最新的行业标准或国家标准，甲方有权根据有关行业标准或国家标准对合同的主要技术指标进行变更调整，乙方应无条件接受。</w:t>
      </w:r>
    </w:p>
    <w:p w14:paraId="42F65F6C">
      <w:pPr>
        <w:spacing w:line="360" w:lineRule="auto"/>
        <w:ind w:firstLine="480"/>
        <w:rPr>
          <w:rFonts w:ascii="Times New Roman" w:hAnsi="Times New Roman" w:eastAsia="宋体"/>
          <w:color w:val="auto"/>
          <w:sz w:val="24"/>
          <w:szCs w:val="24"/>
          <w:highlight w:val="none"/>
          <w:lang w:val="zh-CN"/>
        </w:rPr>
      </w:pPr>
      <w:r>
        <w:rPr>
          <w:rFonts w:hint="eastAsia" w:ascii="Times New Roman" w:hAnsi="Times New Roman" w:eastAsia="宋体"/>
          <w:color w:val="auto"/>
          <w:sz w:val="24"/>
          <w:szCs w:val="24"/>
          <w:highlight w:val="none"/>
          <w:lang w:val="zh-CN"/>
        </w:rPr>
        <w:t>（</w:t>
      </w:r>
      <w:r>
        <w:rPr>
          <w:rFonts w:hint="eastAsia" w:ascii="Times New Roman"/>
          <w:color w:val="auto"/>
          <w:sz w:val="24"/>
          <w:szCs w:val="24"/>
          <w:highlight w:val="none"/>
          <w:lang w:val="en-US" w:eastAsia="zh-CN"/>
        </w:rPr>
        <w:t>5</w:t>
      </w:r>
      <w:r>
        <w:rPr>
          <w:rFonts w:hint="eastAsia" w:ascii="Times New Roman" w:hAnsi="Times New Roman" w:eastAsia="宋体"/>
          <w:color w:val="auto"/>
          <w:sz w:val="24"/>
          <w:szCs w:val="24"/>
          <w:highlight w:val="none"/>
          <w:lang w:val="zh-CN"/>
        </w:rPr>
        <w:t>）乙方所供产品的真实质量，必须满足本</w:t>
      </w:r>
      <w:r>
        <w:rPr>
          <w:rFonts w:hint="eastAsia" w:ascii="Times New Roman" w:hAnsi="Times New Roman" w:eastAsia="宋体"/>
          <w:color w:val="auto"/>
          <w:sz w:val="24"/>
          <w:szCs w:val="24"/>
          <w:highlight w:val="none"/>
        </w:rPr>
        <w:t>合同</w:t>
      </w:r>
      <w:r>
        <w:rPr>
          <w:rFonts w:hint="eastAsia" w:ascii="Times New Roman" w:hAnsi="Times New Roman" w:eastAsia="宋体"/>
          <w:color w:val="auto"/>
          <w:sz w:val="24"/>
          <w:szCs w:val="24"/>
          <w:highlight w:val="none"/>
          <w:lang w:val="zh-CN"/>
        </w:rPr>
        <w:t>的所有技术指标。</w:t>
      </w:r>
    </w:p>
    <w:p w14:paraId="00B779F2">
      <w:pPr>
        <w:spacing w:line="360" w:lineRule="auto"/>
        <w:ind w:firstLine="480"/>
        <w:rPr>
          <w:rFonts w:ascii="Times New Roman" w:hAnsi="Times New Roman" w:eastAsia="宋体"/>
          <w:color w:val="auto"/>
          <w:sz w:val="24"/>
          <w:szCs w:val="24"/>
          <w:highlight w:val="none"/>
          <w:lang w:val="zh-CN"/>
        </w:rPr>
      </w:pPr>
      <w:r>
        <w:rPr>
          <w:rFonts w:hint="eastAsia" w:ascii="Times New Roman" w:hAnsi="Times New Roman" w:eastAsia="宋体"/>
          <w:color w:val="auto"/>
          <w:sz w:val="24"/>
          <w:szCs w:val="24"/>
          <w:highlight w:val="none"/>
          <w:lang w:val="zh-CN"/>
        </w:rPr>
        <w:t>（</w:t>
      </w:r>
      <w:r>
        <w:rPr>
          <w:rFonts w:hint="eastAsia" w:ascii="Times New Roman"/>
          <w:color w:val="auto"/>
          <w:sz w:val="24"/>
          <w:szCs w:val="24"/>
          <w:highlight w:val="none"/>
          <w:lang w:val="en-US" w:eastAsia="zh-CN"/>
        </w:rPr>
        <w:t>6</w:t>
      </w:r>
      <w:r>
        <w:rPr>
          <w:rFonts w:hint="eastAsia" w:ascii="Times New Roman" w:hAnsi="Times New Roman" w:eastAsia="宋体"/>
          <w:color w:val="auto"/>
          <w:sz w:val="24"/>
          <w:szCs w:val="24"/>
          <w:highlight w:val="none"/>
          <w:lang w:val="zh-CN"/>
        </w:rPr>
        <w:t>）乙方须根据甲方的情况，提供满足</w:t>
      </w:r>
      <w:r>
        <w:rPr>
          <w:rFonts w:hint="eastAsia" w:ascii="Times New Roman" w:hAnsi="Times New Roman" w:eastAsia="宋体"/>
          <w:color w:val="auto"/>
          <w:sz w:val="24"/>
          <w:szCs w:val="24"/>
          <w:highlight w:val="none"/>
        </w:rPr>
        <w:t>厂区</w:t>
      </w:r>
      <w:r>
        <w:rPr>
          <w:rFonts w:hint="eastAsia" w:ascii="Times New Roman" w:hAnsi="Times New Roman" w:eastAsia="宋体"/>
          <w:color w:val="auto"/>
          <w:sz w:val="24"/>
          <w:szCs w:val="24"/>
          <w:highlight w:val="none"/>
          <w:lang w:val="zh-CN"/>
        </w:rPr>
        <w:t>正常生产运营的产品。</w:t>
      </w:r>
    </w:p>
    <w:p w14:paraId="19CDE5E0">
      <w:pPr>
        <w:pStyle w:val="56"/>
        <w:rPr>
          <w:rFonts w:ascii="Times New Roman" w:hAnsi="Times New Roman" w:eastAsia="宋体"/>
          <w:color w:val="auto"/>
          <w:highlight w:val="none"/>
          <w:lang w:val="en-US"/>
        </w:rPr>
      </w:pPr>
    </w:p>
    <w:p w14:paraId="0AF87542">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第二条  </w:t>
      </w:r>
      <w:r>
        <w:rPr>
          <w:rFonts w:ascii="Times New Roman" w:hAnsi="Times New Roman" w:eastAsia="宋体"/>
          <w:b/>
          <w:color w:val="auto"/>
          <w:sz w:val="24"/>
          <w:szCs w:val="24"/>
          <w:highlight w:val="none"/>
        </w:rPr>
        <w:t>交货要求</w:t>
      </w:r>
    </w:p>
    <w:p w14:paraId="78B70A66">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供货期：自合同签订之</w:t>
      </w:r>
      <w:r>
        <w:rPr>
          <w:rFonts w:hint="eastAsia" w:ascii="Times New Roman" w:hAnsi="Times New Roman" w:eastAsia="宋体" w:cs="宋体"/>
          <w:color w:val="auto"/>
          <w:sz w:val="24"/>
          <w:szCs w:val="24"/>
          <w:highlight w:val="none"/>
          <w:lang w:eastAsia="zh-CN"/>
        </w:rPr>
        <w:t>日</w:t>
      </w:r>
      <w:r>
        <w:rPr>
          <w:rFonts w:hint="eastAsia" w:ascii="Times New Roman" w:hAnsi="Times New Roman" w:eastAsia="宋体" w:cs="宋体"/>
          <w:color w:val="auto"/>
          <w:sz w:val="24"/>
          <w:szCs w:val="24"/>
          <w:highlight w:val="none"/>
        </w:rPr>
        <w:t>至2026年12月31日，具体供货产品及供货起始日期以甲方书面通知为准，乙方收到甲方通知后必须无条件按照甲方的要求开始供货。具体供货量根据实际运营需求，并结合</w:t>
      </w:r>
      <w:r>
        <w:rPr>
          <w:rFonts w:hint="eastAsia" w:ascii="Times New Roman" w:hAnsi="Times New Roman" w:cs="宋体"/>
          <w:color w:val="auto"/>
          <w:sz w:val="24"/>
          <w:szCs w:val="24"/>
          <w:highlight w:val="none"/>
          <w:lang w:val="en-US" w:eastAsia="zh-CN"/>
        </w:rPr>
        <w:t>甲方</w:t>
      </w:r>
      <w:r>
        <w:rPr>
          <w:rFonts w:hint="eastAsia" w:ascii="Times New Roman" w:hAnsi="Times New Roman" w:eastAsia="宋体" w:cs="宋体"/>
          <w:color w:val="auto"/>
          <w:sz w:val="24"/>
          <w:szCs w:val="24"/>
          <w:highlight w:val="none"/>
        </w:rPr>
        <w:t>使用</w:t>
      </w:r>
      <w:r>
        <w:rPr>
          <w:rFonts w:hint="eastAsia" w:ascii="Times New Roman" w:hAnsi="Times New Roman" w:cs="宋体"/>
          <w:color w:val="auto"/>
          <w:sz w:val="24"/>
          <w:szCs w:val="24"/>
          <w:highlight w:val="none"/>
          <w:lang w:val="en-US" w:eastAsia="zh-CN"/>
        </w:rPr>
        <w:t>乙方</w:t>
      </w:r>
      <w:r>
        <w:rPr>
          <w:rFonts w:hint="eastAsia" w:ascii="Times New Roman" w:hAnsi="Times New Roman" w:eastAsia="宋体" w:cs="宋体"/>
          <w:color w:val="auto"/>
          <w:sz w:val="24"/>
          <w:szCs w:val="24"/>
          <w:highlight w:val="none"/>
        </w:rPr>
        <w:t>提供的药剂样品所做的小试及实际使用后的情况</w:t>
      </w:r>
      <w:r>
        <w:rPr>
          <w:rFonts w:hint="eastAsia" w:ascii="Times New Roman" w:hAnsi="Times New Roman" w:cs="宋体"/>
          <w:color w:val="auto"/>
          <w:sz w:val="24"/>
          <w:szCs w:val="24"/>
          <w:highlight w:val="none"/>
          <w:lang w:val="en-US" w:eastAsia="zh-CN"/>
        </w:rPr>
        <w:t>确定。</w:t>
      </w:r>
    </w:p>
    <w:p w14:paraId="2116F410">
      <w:pPr>
        <w:keepNext w:val="0"/>
        <w:keepLines w:val="0"/>
        <w:pageBreakBefore w:val="0"/>
        <w:widowControl/>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kern w:val="2"/>
          <w:highlight w:val="none"/>
        </w:rPr>
        <w:t>2</w:t>
      </w:r>
      <w:r>
        <w:rPr>
          <w:rFonts w:hint="eastAsia" w:ascii="Times New Roman" w:hAnsi="Times New Roman" w:eastAsia="宋体" w:cs="宋体"/>
          <w:color w:val="auto"/>
          <w:kern w:val="2"/>
          <w:highlight w:val="none"/>
          <w:lang w:val="en-US" w:eastAsia="zh-CN"/>
        </w:rPr>
        <w:t>.</w:t>
      </w:r>
      <w:r>
        <w:rPr>
          <w:rFonts w:hint="eastAsia" w:ascii="Times New Roman" w:hAnsi="Times New Roman" w:eastAsia="宋体" w:cs="宋体"/>
          <w:color w:val="auto"/>
          <w:kern w:val="2"/>
          <w:highlight w:val="none"/>
        </w:rPr>
        <w:t>交货地点：</w:t>
      </w:r>
      <w:r>
        <w:rPr>
          <w:rFonts w:hint="eastAsia" w:ascii="Times New Roman" w:hAnsi="Times New Roman" w:eastAsia="宋体" w:cs="宋体"/>
          <w:color w:val="auto"/>
          <w:szCs w:val="21"/>
          <w:highlight w:val="none"/>
        </w:rPr>
        <w:t>东莞市污泥集中处理处置项目现场（广东省东莞市沙田镇立沙中路</w:t>
      </w:r>
      <w:r>
        <w:rPr>
          <w:rFonts w:hint="eastAsia" w:ascii="Times New Roman" w:hAnsi="Times New Roman" w:eastAsia="宋体" w:cs="宋体"/>
          <w:color w:val="auto"/>
          <w:highlight w:val="none"/>
        </w:rPr>
        <w:t>）。</w:t>
      </w:r>
    </w:p>
    <w:p w14:paraId="089DD592">
      <w:pPr>
        <w:keepNext w:val="0"/>
        <w:keepLines w:val="0"/>
        <w:pageBreakBefore w:val="0"/>
        <w:widowControl/>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3</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交货时间：日常供货（非加急供货)为接到供货通知</w:t>
      </w:r>
      <w:r>
        <w:rPr>
          <w:rFonts w:hint="eastAsia" w:ascii="Times New Roman" w:cs="宋体"/>
          <w:color w:val="auto"/>
          <w:highlight w:val="none"/>
          <w:lang w:val="en-US" w:eastAsia="zh-CN"/>
        </w:rPr>
        <w:t>72</w:t>
      </w:r>
      <w:r>
        <w:rPr>
          <w:rFonts w:hint="eastAsia" w:ascii="Times New Roman" w:hAnsi="Times New Roman" w:eastAsia="宋体" w:cs="宋体"/>
          <w:color w:val="auto"/>
          <w:highlight w:val="none"/>
        </w:rPr>
        <w:t>小时内，加急供货为接到供货通知</w:t>
      </w:r>
      <w:r>
        <w:rPr>
          <w:rFonts w:hint="eastAsia" w:ascii="Times New Roman" w:cs="宋体"/>
          <w:color w:val="auto"/>
          <w:highlight w:val="none"/>
          <w:lang w:val="en-US" w:eastAsia="zh-CN"/>
        </w:rPr>
        <w:t>48</w:t>
      </w:r>
      <w:r>
        <w:rPr>
          <w:rFonts w:hint="eastAsia" w:ascii="Times New Roman" w:hAnsi="Times New Roman" w:eastAsia="宋体" w:cs="宋体"/>
          <w:color w:val="auto"/>
          <w:highlight w:val="none"/>
        </w:rPr>
        <w:t>小时内，具体交货时间以甲方供货通知为准。甲方无需因加急供货而额外支付任何费用。</w:t>
      </w:r>
    </w:p>
    <w:p w14:paraId="2A16E7A8">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4</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乙方自行负责将生产药剂运送至甲方指定位置（储药间或储罐）。乙方承担相应的运输、装卸、二次搬运等费用，运输人员应配备足够防护器具。如在运输及装卸过程中，生产药剂发生泄漏，应由乙方负责清理收集，避免造成人员伤害或环境污染。</w:t>
      </w:r>
    </w:p>
    <w:p w14:paraId="4BC1D28D">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5</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每次送货到交货地方和卸货离开后，须经过污泥项目厂内的电子地磅进行称重，实际供货数量以污泥项目电子地磅出具的称重单为准。</w:t>
      </w:r>
    </w:p>
    <w:p w14:paraId="65B73FBD">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6</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到货验收时，乙方须随货提供货物的出厂证明、产品合格证等证明文件。每批货物须经甲方检验合格后方可办理相关到货手续。乙方提供的货物如不能通过甲方验收的，乙方应该按照甲方要求无条件予以退换货，并承担相应责任和费用。</w:t>
      </w:r>
    </w:p>
    <w:p w14:paraId="421531AB">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7</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供货期间，在收到甲方供货通知前，乙方无需为合同履行做准备工作，因此造成的损失甲方不负任何责任。</w:t>
      </w:r>
    </w:p>
    <w:p w14:paraId="421F3833">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8</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药剂的运送及输送方式应符合国家或行业规范标准。</w:t>
      </w:r>
    </w:p>
    <w:p w14:paraId="42BBD684">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9</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供货期间，甲方有权根据项目实际情况及有关法律法规、政策的规定进行合法变更调整。在变更调整后，乙方应遵照执行。甲方的实际需求数量以甲方每次的供货通知为准，在供货期内乙方不得因甲方实际采购数量的减少或增加而要求提供任何形式的补偿或赔偿，或要求甲方按暂定数量采购相应货物。</w:t>
      </w:r>
    </w:p>
    <w:p w14:paraId="3B216590">
      <w:pPr>
        <w:pStyle w:val="8"/>
        <w:keepNext w:val="0"/>
        <w:keepLines w:val="0"/>
        <w:pageBreakBefore w:val="0"/>
        <w:kinsoku/>
        <w:wordWrap/>
        <w:overflowPunct/>
        <w:topLinePunct w:val="0"/>
        <w:bidi w:val="0"/>
        <w:ind w:left="0" w:firstLine="480" w:firstLineChars="200"/>
        <w:jc w:val="both"/>
        <w:textAlignment w:val="auto"/>
        <w:rPr>
          <w:rFonts w:ascii="Times New Roman" w:hAnsi="Times New Roman" w:eastAsia="宋体" w:cs="宋体"/>
          <w:color w:val="auto"/>
          <w:highlight w:val="none"/>
        </w:rPr>
      </w:pPr>
    </w:p>
    <w:p w14:paraId="0B421677">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第三条  </w:t>
      </w:r>
      <w:r>
        <w:rPr>
          <w:rFonts w:ascii="Times New Roman" w:hAnsi="Times New Roman" w:eastAsia="宋体"/>
          <w:b/>
          <w:color w:val="auto"/>
          <w:sz w:val="24"/>
          <w:szCs w:val="24"/>
          <w:highlight w:val="none"/>
        </w:rPr>
        <w:t>验收要求</w:t>
      </w:r>
    </w:p>
    <w:p w14:paraId="01647BD9">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验收分为货到交货地点的初步验收和货物检验合格后的最终验收。</w:t>
      </w:r>
    </w:p>
    <w:p w14:paraId="06EFD22F">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（1）初步验收：</w:t>
      </w:r>
    </w:p>
    <w:p w14:paraId="395EF7D8">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1）货物运抵交货地点，甲方、乙方共同验货。甲方按照本合同及用户需求书，对货物的数量、品种、随车产品质量检验报告（包含用户需求书表1至表</w:t>
      </w:r>
      <w:r>
        <w:rPr>
          <w:rFonts w:hint="eastAsia" w:ascii="Times New Roman" w:hAnsi="Times New Roman"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对应药剂的全部技术指标）、产品合格证、供货单据等进行核对。</w:t>
      </w:r>
    </w:p>
    <w:p w14:paraId="0B56E33D">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2）核对完成后，</w:t>
      </w:r>
      <w:r>
        <w:rPr>
          <w:rFonts w:hint="eastAsia" w:ascii="Times New Roman" w:hAnsi="Times New Roman" w:cs="宋体"/>
          <w:color w:val="auto"/>
          <w:sz w:val="24"/>
          <w:szCs w:val="24"/>
          <w:highlight w:val="none"/>
          <w:lang w:val="en-US" w:eastAsia="zh-CN"/>
        </w:rPr>
        <w:t>甲乙</w:t>
      </w:r>
      <w:r>
        <w:rPr>
          <w:rFonts w:hint="eastAsia" w:ascii="Times New Roman" w:hAnsi="Times New Roman" w:eastAsia="宋体" w:cs="宋体"/>
          <w:color w:val="auto"/>
          <w:sz w:val="24"/>
          <w:szCs w:val="24"/>
          <w:highlight w:val="none"/>
        </w:rPr>
        <w:t>双方对随车产品质量检验报告、供货单据进行书面签字确认视为完成初步验收，初步验收仅限于双方共同对乙方所供货物数量、品种、随车产品质量检验报告、供货单据等符合合同技术指标要求的书面确认。</w:t>
      </w:r>
    </w:p>
    <w:p w14:paraId="1F585B27">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（2）最终验收</w:t>
      </w:r>
    </w:p>
    <w:p w14:paraId="1BAD9F4B">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1）甲方对每次供货货物检验，检验指标由甲方根据需要选择，货物按需检验指标由甲方根据甲方关于药剂的管理制度及要求适时调整。</w:t>
      </w:r>
      <w:r>
        <w:rPr>
          <w:rFonts w:hint="eastAsia" w:ascii="Times New Roman" w:hAnsi="Times New Roman" w:cs="宋体"/>
          <w:color w:val="auto"/>
          <w:sz w:val="24"/>
          <w:szCs w:val="24"/>
          <w:highlight w:val="none"/>
          <w:lang w:val="en-US" w:eastAsia="zh-CN"/>
        </w:rPr>
        <w:t>甲方</w:t>
      </w:r>
      <w:r>
        <w:rPr>
          <w:rFonts w:hint="eastAsia" w:ascii="Times New Roman" w:hAnsi="Times New Roman" w:eastAsia="宋体" w:cs="宋体"/>
          <w:color w:val="auto"/>
          <w:sz w:val="24"/>
          <w:szCs w:val="24"/>
          <w:highlight w:val="none"/>
        </w:rPr>
        <w:t>对每次供货货物检验</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rPr>
        <w:t>每次货到现场时可由双方共同取样，供货货物合格判定以甲方实验室检验结果为准。若乙方无正当理由拒绝或未能按甲方通知派员参与共同取样，则视为乙方授权甲方单独取样，该取样结果及据此进行的检验结果对乙方具有同等约束力。甲方根据需要可委托具有检测产品CMA认证资质的第三方检测机构检测，甲方委托的具有检测产品CMA认证资质的第三方检测机构的检验结果与甲方实验室不一致的，该次的供货货物质量判定以甲方委托的具有检测产品CMA认证资质的第三方检测机构的检验结果为准。</w:t>
      </w:r>
    </w:p>
    <w:p w14:paraId="6EC4B598">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2）货物检验方法按照现国家或行业标准测定。供货期间，如有发布最新的行业标准或国家标准，货物检验方法按发布的最新行业标准或国家标准执行。</w:t>
      </w:r>
    </w:p>
    <w:p w14:paraId="0B776EA6">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货物按上述程序验收后，甲方向乙方出具书面的验收报告并由甲乙双方对验收报告共同签字确认，且乙方需对验收报告加盖公章或业务章确认，验收报告(模板)见用户需求书附件。验收报告作为对货物供货数量及主要技术指标验收的证明，不代表对货物使用效果的认可。</w:t>
      </w:r>
    </w:p>
    <w:p w14:paraId="7FDC9577">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甲方根据本条规定对货物所做出的验收，仅作为起算付款及质保期之用，不视为双方对于货物质量的最终认可，乙方仍应在质保期内对产品质量承担保证责任，不能免除乙方其后因产品实际情况与要求不符而导致甲方</w:t>
      </w:r>
      <w:r>
        <w:rPr>
          <w:rFonts w:hint="eastAsia" w:ascii="Times New Roman" w:hAnsi="Times New Roman" w:cs="宋体"/>
          <w:color w:val="auto"/>
          <w:sz w:val="24"/>
          <w:szCs w:val="24"/>
          <w:highlight w:val="none"/>
          <w:lang w:val="en-US" w:eastAsia="zh-CN"/>
        </w:rPr>
        <w:t>要求</w:t>
      </w:r>
      <w:r>
        <w:rPr>
          <w:rFonts w:hint="eastAsia" w:ascii="Times New Roman" w:hAnsi="Times New Roman" w:eastAsia="宋体" w:cs="宋体"/>
          <w:color w:val="auto"/>
          <w:sz w:val="24"/>
          <w:szCs w:val="24"/>
          <w:highlight w:val="none"/>
        </w:rPr>
        <w:t>退货</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换货</w:t>
      </w:r>
      <w:r>
        <w:rPr>
          <w:rFonts w:hint="eastAsia" w:ascii="Times New Roman" w:hAnsi="Times New Roman" w:eastAsia="宋体" w:cs="宋体"/>
          <w:color w:val="auto"/>
          <w:sz w:val="24"/>
          <w:szCs w:val="24"/>
          <w:highlight w:val="none"/>
        </w:rPr>
        <w:t>的责任承担。</w:t>
      </w:r>
    </w:p>
    <w:p w14:paraId="4C5EFB27">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4</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货物在经最终验收</w:t>
      </w:r>
      <w:r>
        <w:rPr>
          <w:rFonts w:ascii="Times New Roman" w:hAnsi="Times New Roman" w:eastAsia="宋体" w:cs="宋体"/>
          <w:color w:val="auto"/>
          <w:highlight w:val="none"/>
        </w:rPr>
        <w:t>合格</w:t>
      </w:r>
      <w:r>
        <w:rPr>
          <w:rFonts w:hint="eastAsia" w:ascii="Times New Roman" w:hAnsi="Times New Roman" w:eastAsia="宋体" w:cs="宋体"/>
          <w:color w:val="auto"/>
          <w:highlight w:val="none"/>
        </w:rPr>
        <w:t>前，其损耗、毁损、灭失等风险及责任由乙方承担，如因发生前述情形，导致乙方所提供的货物不能通过甲方验收的，乙方应按甲方要求无条件予以退换货，</w:t>
      </w:r>
      <w:r>
        <w:rPr>
          <w:rFonts w:hint="eastAsia" w:ascii="Times New Roman" w:cs="宋体"/>
          <w:color w:val="auto"/>
          <w:highlight w:val="none"/>
          <w:lang w:val="en-US" w:eastAsia="zh-CN"/>
        </w:rPr>
        <w:t>费用由乙方承担，</w:t>
      </w:r>
      <w:r>
        <w:rPr>
          <w:rFonts w:hint="eastAsia" w:ascii="Times New Roman" w:hAnsi="Times New Roman" w:eastAsia="宋体" w:cs="宋体"/>
          <w:color w:val="auto"/>
          <w:highlight w:val="none"/>
        </w:rPr>
        <w:t>给甲方造成损失的乙方须承担全部的赔偿责任</w:t>
      </w:r>
      <w:r>
        <w:rPr>
          <w:rFonts w:hint="eastAsia" w:ascii="Times New Roman" w:cs="宋体"/>
          <w:color w:val="auto"/>
          <w:highlight w:val="none"/>
          <w:lang w:eastAsia="zh-CN"/>
        </w:rPr>
        <w:t>，</w:t>
      </w:r>
      <w:r>
        <w:rPr>
          <w:rFonts w:hint="eastAsia" w:ascii="Times New Roman" w:cs="宋体"/>
          <w:color w:val="auto"/>
          <w:highlight w:val="none"/>
          <w:lang w:val="en-US" w:eastAsia="zh-CN"/>
        </w:rPr>
        <w:t>且交货时间不予顺延</w:t>
      </w:r>
      <w:r>
        <w:rPr>
          <w:rFonts w:hint="eastAsia" w:ascii="Times New Roman" w:hAnsi="Times New Roman" w:eastAsia="宋体" w:cs="宋体"/>
          <w:color w:val="auto"/>
          <w:highlight w:val="none"/>
        </w:rPr>
        <w:t>。</w:t>
      </w:r>
    </w:p>
    <w:p w14:paraId="72D5E9FF">
      <w:pPr>
        <w:pStyle w:val="56"/>
        <w:keepNext w:val="0"/>
        <w:keepLines w:val="0"/>
        <w:pageBreakBefore w:val="0"/>
        <w:kinsoku/>
        <w:wordWrap/>
        <w:overflowPunct/>
        <w:topLinePunct w:val="0"/>
        <w:bidi w:val="0"/>
        <w:ind w:left="0" w:firstLine="480" w:firstLineChars="200"/>
        <w:textAlignment w:val="auto"/>
        <w:rPr>
          <w:rFonts w:ascii="Times New Roman" w:hAnsi="Times New Roman" w:eastAsia="宋体"/>
          <w:color w:val="auto"/>
          <w:highlight w:val="none"/>
          <w:lang w:val="en-US"/>
        </w:rPr>
      </w:pPr>
    </w:p>
    <w:p w14:paraId="137ECBE2">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第四条  </w:t>
      </w:r>
      <w:r>
        <w:rPr>
          <w:rFonts w:ascii="Times New Roman" w:hAnsi="Times New Roman" w:eastAsia="宋体"/>
          <w:b/>
          <w:color w:val="auto"/>
          <w:sz w:val="24"/>
          <w:szCs w:val="24"/>
          <w:highlight w:val="none"/>
        </w:rPr>
        <w:t>资料要求</w:t>
      </w:r>
    </w:p>
    <w:p w14:paraId="0260547A">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r>
        <w:rPr>
          <w:rFonts w:hint="eastAsia" w:ascii="Times New Roman" w:hAnsi="Times New Roman" w:eastAsia="宋体"/>
          <w:color w:val="auto"/>
          <w:szCs w:val="21"/>
          <w:highlight w:val="none"/>
          <w:lang w:val="en-US" w:eastAsia="zh-CN"/>
        </w:rPr>
        <w:t>.</w:t>
      </w:r>
      <w:r>
        <w:rPr>
          <w:rFonts w:hint="eastAsia" w:ascii="Times New Roman" w:hAnsi="Times New Roman" w:eastAsia="宋体"/>
          <w:color w:val="auto"/>
          <w:szCs w:val="21"/>
          <w:highlight w:val="none"/>
        </w:rPr>
        <w:t>乙方需向甲方提供但不限于下述技术资料：</w:t>
      </w:r>
    </w:p>
    <w:p w14:paraId="449588B6">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szCs w:val="21"/>
          <w:highlight w:val="none"/>
        </w:rPr>
        <w:t>（1）符合第二条交货要求</w:t>
      </w:r>
      <w:r>
        <w:rPr>
          <w:rFonts w:hint="eastAsia" w:ascii="Times New Roman" w:hAnsi="Times New Roman" w:eastAsia="宋体"/>
          <w:color w:val="auto"/>
          <w:highlight w:val="none"/>
        </w:rPr>
        <w:t>第6款要求的出厂证明、产品合格证等证明文件；</w:t>
      </w:r>
    </w:p>
    <w:p w14:paraId="37AA9765">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highlight w:val="none"/>
        </w:rPr>
        <w:t>（2）符合第三条第1款第（1）项要求的产品质量检验报告（如出厂检验报告、质量检验报告等）、供货单据；</w:t>
      </w:r>
    </w:p>
    <w:p w14:paraId="267ED00A">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（3）验收报告（由</w:t>
      </w:r>
      <w:r>
        <w:rPr>
          <w:rFonts w:ascii="Times New Roman" w:hAnsi="Times New Roman" w:eastAsia="宋体"/>
          <w:color w:val="auto"/>
          <w:szCs w:val="21"/>
          <w:highlight w:val="none"/>
        </w:rPr>
        <w:t>甲方提供，乙方</w:t>
      </w:r>
      <w:r>
        <w:rPr>
          <w:rFonts w:hint="eastAsia" w:ascii="Times New Roman" w:hAnsi="Times New Roman" w:eastAsia="宋体"/>
          <w:color w:val="auto"/>
          <w:szCs w:val="21"/>
          <w:highlight w:val="none"/>
        </w:rPr>
        <w:t>盖章确认）；</w:t>
      </w:r>
    </w:p>
    <w:p w14:paraId="69FFDB02">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（4）与货物使用相关的其他文件；</w:t>
      </w:r>
    </w:p>
    <w:p w14:paraId="1781D197">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（5）甲方要求提供的其他技术资料。</w:t>
      </w:r>
    </w:p>
    <w:p w14:paraId="6A525CFA">
      <w:pPr>
        <w:keepNext w:val="0"/>
        <w:keepLines w:val="0"/>
        <w:pageBreakBefore w:val="0"/>
        <w:kinsoku/>
        <w:wordWrap/>
        <w:overflowPunct/>
        <w:topLinePunct w:val="0"/>
        <w:bidi w:val="0"/>
        <w:snapToGrid w:val="0"/>
        <w:spacing w:line="360" w:lineRule="auto"/>
        <w:ind w:left="0" w:firstLine="480" w:firstLineChars="200"/>
        <w:textAlignment w:val="auto"/>
        <w:rPr>
          <w:rFonts w:ascii="Times New Roman" w:hAnsi="Times New Roman" w:eastAsia="宋体" w:cs="宋体"/>
          <w:b/>
          <w:bCs/>
          <w:color w:val="auto"/>
          <w:szCs w:val="21"/>
          <w:highlight w:val="none"/>
        </w:rPr>
      </w:pPr>
      <w:r>
        <w:rPr>
          <w:rFonts w:hint="eastAsia" w:ascii="Times New Roman" w:hAnsi="Times New Roman" w:eastAsia="宋体"/>
          <w:color w:val="auto"/>
          <w:szCs w:val="21"/>
          <w:highlight w:val="none"/>
        </w:rPr>
        <w:t>2</w:t>
      </w:r>
      <w:r>
        <w:rPr>
          <w:rFonts w:hint="eastAsia" w:ascii="Times New Roman" w:hAnsi="Times New Roman" w:eastAsia="宋体"/>
          <w:color w:val="auto"/>
          <w:szCs w:val="21"/>
          <w:highlight w:val="none"/>
          <w:lang w:val="en-US" w:eastAsia="zh-CN"/>
        </w:rPr>
        <w:t>.</w:t>
      </w:r>
      <w:r>
        <w:rPr>
          <w:rFonts w:hint="eastAsia" w:ascii="Times New Roman" w:hAnsi="Times New Roman" w:eastAsia="宋体"/>
          <w:color w:val="auto"/>
          <w:szCs w:val="21"/>
          <w:highlight w:val="none"/>
        </w:rPr>
        <w:t>乙方需将上述资料（若上述资料为复印件的，则须加盖乙方公章）在交货时交给甲方，</w:t>
      </w:r>
      <w:r>
        <w:rPr>
          <w:rFonts w:hint="eastAsia" w:ascii="Times New Roman"/>
          <w:color w:val="auto"/>
          <w:szCs w:val="21"/>
          <w:highlight w:val="none"/>
          <w:lang w:val="en-US" w:eastAsia="zh-CN"/>
        </w:rPr>
        <w:t>否则不予验收合格，</w:t>
      </w:r>
      <w:r>
        <w:rPr>
          <w:rFonts w:hint="eastAsia" w:ascii="Times New Roman" w:hAnsi="Times New Roman" w:eastAsia="宋体"/>
          <w:color w:val="auto"/>
          <w:szCs w:val="21"/>
          <w:highlight w:val="none"/>
        </w:rPr>
        <w:t>有关资料的收集和整理由乙方负责，甲方予以配合。</w:t>
      </w:r>
    </w:p>
    <w:p w14:paraId="74C5DBD4">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乙方</w:t>
      </w:r>
      <w:r>
        <w:rPr>
          <w:rFonts w:ascii="Times New Roman" w:hAnsi="Times New Roman" w:eastAsia="宋体" w:cs="宋体"/>
          <w:color w:val="auto"/>
          <w:szCs w:val="21"/>
          <w:highlight w:val="none"/>
        </w:rPr>
        <w:t>提交的技术资料在出现遗漏或发现错误时，</w:t>
      </w:r>
      <w:r>
        <w:rPr>
          <w:rFonts w:hint="eastAsia" w:ascii="Times New Roman" w:hAnsi="Times New Roman" w:eastAsia="宋体" w:cs="宋体"/>
          <w:color w:val="auto"/>
          <w:szCs w:val="21"/>
          <w:highlight w:val="none"/>
        </w:rPr>
        <w:t>应在甲方要求的期限内</w:t>
      </w:r>
      <w:r>
        <w:rPr>
          <w:rFonts w:ascii="Times New Roman" w:hAnsi="Times New Roman" w:eastAsia="宋体" w:cs="宋体"/>
          <w:color w:val="auto"/>
          <w:szCs w:val="21"/>
          <w:highlight w:val="none"/>
        </w:rPr>
        <w:t>及时补充或更正</w:t>
      </w:r>
      <w:r>
        <w:rPr>
          <w:rFonts w:hint="eastAsia" w:ascii="Times New Roman" w:hAnsi="Times New Roman" w:eastAsia="宋体" w:cs="宋体"/>
          <w:color w:val="auto"/>
          <w:szCs w:val="21"/>
          <w:highlight w:val="none"/>
        </w:rPr>
        <w:t>后</w:t>
      </w:r>
      <w:r>
        <w:rPr>
          <w:rFonts w:ascii="Times New Roman" w:hAnsi="Times New Roman" w:eastAsia="宋体" w:cs="宋体"/>
          <w:color w:val="auto"/>
          <w:szCs w:val="21"/>
          <w:highlight w:val="none"/>
        </w:rPr>
        <w:t>提交</w:t>
      </w:r>
      <w:r>
        <w:rPr>
          <w:rFonts w:hint="eastAsia" w:ascii="Times New Roman" w:hAnsi="Times New Roman" w:eastAsia="宋体" w:cs="宋体"/>
          <w:color w:val="auto"/>
          <w:szCs w:val="21"/>
          <w:highlight w:val="none"/>
        </w:rPr>
        <w:t>甲方。</w:t>
      </w:r>
    </w:p>
    <w:p w14:paraId="658F3B44">
      <w:pPr>
        <w:pStyle w:val="56"/>
        <w:keepNext w:val="0"/>
        <w:keepLines w:val="0"/>
        <w:pageBreakBefore w:val="0"/>
        <w:kinsoku/>
        <w:wordWrap/>
        <w:overflowPunct/>
        <w:topLinePunct w:val="0"/>
        <w:bidi w:val="0"/>
        <w:ind w:left="0" w:firstLine="480" w:firstLineChars="200"/>
        <w:textAlignment w:val="auto"/>
        <w:rPr>
          <w:rFonts w:ascii="Times New Roman" w:hAnsi="Times New Roman" w:eastAsia="宋体"/>
          <w:color w:val="auto"/>
          <w:highlight w:val="none"/>
        </w:rPr>
      </w:pPr>
    </w:p>
    <w:p w14:paraId="42E1853B">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第五条  </w:t>
      </w:r>
      <w:r>
        <w:rPr>
          <w:rFonts w:hint="eastAsia" w:ascii="Times New Roman" w:hAnsi="Times New Roman" w:eastAsia="宋体"/>
          <w:b/>
          <w:color w:val="auto"/>
          <w:sz w:val="24"/>
          <w:szCs w:val="24"/>
          <w:highlight w:val="none"/>
        </w:rPr>
        <w:t>质量保证及售后要求</w:t>
      </w:r>
    </w:p>
    <w:p w14:paraId="683620F4">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cs="宋体"/>
          <w:color w:val="auto"/>
          <w:szCs w:val="21"/>
          <w:highlight w:val="none"/>
          <w:lang w:val="en-US" w:eastAsia="zh-CN"/>
        </w:rPr>
        <w:t>1</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乙方应具有相应的技术人员，具备供货及售前售后的服务能力。</w:t>
      </w:r>
    </w:p>
    <w:p w14:paraId="7F9B12F1">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cs="宋体"/>
          <w:color w:val="auto"/>
          <w:szCs w:val="21"/>
          <w:highlight w:val="none"/>
          <w:lang w:val="en-US" w:eastAsia="zh-CN"/>
        </w:rPr>
        <w:t>2</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乙方在接到质量问题通知后24小时内自费派工程师到达现场对问题进行处理。</w:t>
      </w:r>
    </w:p>
    <w:p w14:paraId="7B32B3BD">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cs="宋体"/>
          <w:color w:val="auto"/>
          <w:szCs w:val="21"/>
          <w:highlight w:val="none"/>
          <w:lang w:val="en-US" w:eastAsia="zh-CN"/>
        </w:rPr>
        <w:t>3</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在交货或合同履行过程中，若因所交货物（包括但不限于品种、型号、规格、质量）不符合甲方要求、或货物使用过程中出现质量问题，导致乙方提供的生产药剂如不能通过甲方验收的，甲方可拒绝收货或要求乙方承担退换货责任。原则上乙方应该在不影响甲方正常生产的情况下，自甲方通知后24小时内无条件予以退货并更换为符合要求的货物，甲方不承担因验收造成的货物损耗及运输等一切费用且不对货物承担保管责任，因此产生的费用及风险由乙方承担。</w:t>
      </w:r>
    </w:p>
    <w:p w14:paraId="6326542B">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cs="宋体"/>
          <w:color w:val="auto"/>
          <w:szCs w:val="21"/>
          <w:highlight w:val="none"/>
          <w:lang w:val="en-US" w:eastAsia="zh-CN"/>
        </w:rPr>
        <w:t>4</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自甲方通知货物检验不合格或货物使用过程中出现质量问题而要求乙方按照前述条款进行退换货后24小时内乙方未将不合格货物运离甲方仓库，甲方可自行或委托第三方对不合格货物进行处置，该些不合格货物损毁灭失的风险及损失由乙方自行承担，乙方须承担甲方处置该次不合格货物所需的全部费用，以及给甲方造成的一切损失。</w:t>
      </w:r>
    </w:p>
    <w:p w14:paraId="5077CEDC">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cs="宋体"/>
          <w:color w:val="auto"/>
          <w:szCs w:val="21"/>
          <w:highlight w:val="none"/>
          <w:lang w:val="en-US" w:eastAsia="zh-CN"/>
        </w:rPr>
        <w:t>5</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自甲方通知乙方货物检验不合格或货物使用过程中出现质量问题后，甲方有权要求乙方按照加急供货的规定，将等量的合格货物送交甲方，否则按加急供货的违约规定进行处理。</w:t>
      </w:r>
    </w:p>
    <w:p w14:paraId="1F47B493">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s="宋体"/>
          <w:color w:val="auto"/>
          <w:szCs w:val="21"/>
          <w:highlight w:val="none"/>
        </w:rPr>
      </w:pPr>
      <w:r>
        <w:rPr>
          <w:rFonts w:hint="eastAsia" w:ascii="Times New Roman" w:cs="宋体"/>
          <w:color w:val="auto"/>
          <w:szCs w:val="21"/>
          <w:highlight w:val="none"/>
          <w:lang w:val="en-US" w:eastAsia="zh-CN"/>
        </w:rPr>
        <w:t>6</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如乙方未能按照本合同约定提供质量保证及售后服务，甲方有权自行委托第三方进行处理，相应费用</w:t>
      </w:r>
      <w:r>
        <w:rPr>
          <w:rFonts w:hint="eastAsia" w:ascii="Times New Roman" w:cs="宋体"/>
          <w:color w:val="auto"/>
          <w:szCs w:val="21"/>
          <w:highlight w:val="none"/>
          <w:lang w:val="en-US" w:eastAsia="zh-CN"/>
        </w:rPr>
        <w:t>以及由此造成的甲方损失全部</w:t>
      </w:r>
      <w:r>
        <w:rPr>
          <w:rFonts w:hint="eastAsia" w:ascii="Times New Roman" w:hAnsi="Times New Roman" w:eastAsia="宋体" w:cs="宋体"/>
          <w:color w:val="auto"/>
          <w:szCs w:val="21"/>
          <w:highlight w:val="none"/>
        </w:rPr>
        <w:t>由乙方承担。</w:t>
      </w:r>
    </w:p>
    <w:p w14:paraId="1CE73F66">
      <w:pPr>
        <w:pStyle w:val="56"/>
        <w:keepNext w:val="0"/>
        <w:keepLines w:val="0"/>
        <w:pageBreakBefore w:val="0"/>
        <w:kinsoku/>
        <w:wordWrap/>
        <w:overflowPunct/>
        <w:topLinePunct w:val="0"/>
        <w:bidi w:val="0"/>
        <w:ind w:left="0" w:firstLine="480" w:firstLineChars="200"/>
        <w:textAlignment w:val="auto"/>
        <w:rPr>
          <w:rFonts w:ascii="Times New Roman" w:hAnsi="Times New Roman" w:eastAsia="宋体"/>
          <w:color w:val="auto"/>
          <w:highlight w:val="none"/>
          <w:lang w:val="en-US"/>
        </w:rPr>
      </w:pPr>
    </w:p>
    <w:p w14:paraId="6E77F748">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第六条  </w:t>
      </w:r>
      <w:r>
        <w:rPr>
          <w:rFonts w:hint="eastAsia" w:ascii="Times New Roman" w:hAnsi="Times New Roman" w:eastAsia="宋体"/>
          <w:b/>
          <w:color w:val="auto"/>
          <w:sz w:val="24"/>
          <w:szCs w:val="24"/>
          <w:highlight w:val="none"/>
        </w:rPr>
        <w:t>价款要求及付款方式</w:t>
      </w:r>
    </w:p>
    <w:p w14:paraId="0B566D16">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1</w:t>
      </w:r>
      <w:r>
        <w:rPr>
          <w:rFonts w:hint="eastAsia" w:ascii="Times New Roman" w:hAnsi="Times New Roman" w:eastAsia="宋体"/>
          <w:color w:val="auto"/>
          <w:highlight w:val="none"/>
          <w:lang w:val="en-US" w:eastAsia="zh-CN"/>
        </w:rPr>
        <w:t>.</w:t>
      </w:r>
      <w:r>
        <w:rPr>
          <w:rFonts w:ascii="Times New Roman" w:hAnsi="Times New Roman" w:eastAsia="宋体"/>
          <w:color w:val="auto"/>
          <w:highlight w:val="none"/>
        </w:rPr>
        <w:t>本合同</w:t>
      </w:r>
      <w:r>
        <w:rPr>
          <w:rFonts w:hint="eastAsia" w:ascii="Times New Roman" w:hAnsi="Times New Roman" w:eastAsia="宋体"/>
          <w:color w:val="auto"/>
          <w:highlight w:val="none"/>
        </w:rPr>
        <w:t>各生产药剂综合单价如下：</w:t>
      </w:r>
    </w:p>
    <w:p w14:paraId="0DA39613">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（1）</w:t>
      </w:r>
      <w:r>
        <w:rPr>
          <w:rFonts w:ascii="Times New Roman" w:hAnsi="Times New Roman" w:eastAsia="宋体"/>
          <w:color w:val="auto"/>
          <w:highlight w:val="none"/>
        </w:rPr>
        <w:t>液体</w:t>
      </w:r>
      <w:r>
        <w:rPr>
          <w:rFonts w:hint="eastAsia" w:ascii="Times New Roman" w:hAnsi="Times New Roman" w:eastAsia="宋体"/>
          <w:color w:val="auto"/>
          <w:highlight w:val="none"/>
        </w:rPr>
        <w:t>阻垢缓蚀剂</w:t>
      </w:r>
      <w:r>
        <w:rPr>
          <w:rFonts w:ascii="Times New Roman" w:hAnsi="Times New Roman" w:eastAsia="宋体"/>
          <w:color w:val="auto"/>
          <w:highlight w:val="none"/>
        </w:rPr>
        <w:t>综合单价（即销售额，不含乙方销项税额）为¥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元/吨（大写人民币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57C10967">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（2）</w:t>
      </w:r>
      <w:r>
        <w:rPr>
          <w:rFonts w:ascii="Times New Roman" w:hAnsi="Times New Roman" w:eastAsia="宋体"/>
          <w:color w:val="auto"/>
          <w:highlight w:val="none"/>
        </w:rPr>
        <w:t>固体</w:t>
      </w:r>
      <w:r>
        <w:rPr>
          <w:rFonts w:hint="eastAsia" w:ascii="Times New Roman" w:hAnsi="Times New Roman" w:eastAsia="宋体"/>
          <w:color w:val="auto"/>
          <w:highlight w:val="none"/>
        </w:rPr>
        <w:t>亚硫酸氢钠</w:t>
      </w:r>
      <w:r>
        <w:rPr>
          <w:rFonts w:ascii="Times New Roman" w:hAnsi="Times New Roman" w:eastAsia="宋体"/>
          <w:color w:val="auto"/>
          <w:highlight w:val="none"/>
        </w:rPr>
        <w:t>综合单价（即销售额，不含乙方销项税额）为¥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元/吨（大写人民币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23929E98">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（3）</w:t>
      </w:r>
      <w:r>
        <w:rPr>
          <w:rFonts w:ascii="Times New Roman" w:hAnsi="Times New Roman" w:eastAsia="宋体"/>
          <w:color w:val="auto"/>
          <w:highlight w:val="none"/>
        </w:rPr>
        <w:t>固体</w:t>
      </w:r>
      <w:r>
        <w:rPr>
          <w:rFonts w:hint="eastAsia" w:ascii="Times New Roman" w:hAnsi="Times New Roman" w:eastAsia="宋体"/>
          <w:color w:val="auto"/>
          <w:highlight w:val="none"/>
        </w:rPr>
        <w:t>柠檬酸</w:t>
      </w:r>
      <w:r>
        <w:rPr>
          <w:rFonts w:ascii="Times New Roman" w:hAnsi="Times New Roman" w:eastAsia="宋体"/>
          <w:color w:val="auto"/>
          <w:highlight w:val="none"/>
        </w:rPr>
        <w:t>综合单价（即销售额，不含乙方销项税额）为¥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元/吨（大写人民币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067319B7">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在本合同履行过程中，</w:t>
      </w:r>
      <w:r>
        <w:rPr>
          <w:rFonts w:hint="eastAsia" w:ascii="Times New Roman" w:hAnsi="Times New Roman" w:eastAsia="宋体"/>
          <w:color w:val="auto"/>
          <w:highlight w:val="none"/>
        </w:rPr>
        <w:t>各生产药剂</w:t>
      </w:r>
      <w:r>
        <w:rPr>
          <w:rFonts w:ascii="Times New Roman" w:hAnsi="Times New Roman" w:eastAsia="宋体"/>
          <w:color w:val="auto"/>
          <w:highlight w:val="none"/>
        </w:rPr>
        <w:t>综合单价（即销售额，不含乙方销项税额）固定不变，不因材料、成分比例调整、劳务成本、运输成本、货物</w:t>
      </w:r>
      <w:r>
        <w:rPr>
          <w:rFonts w:hint="eastAsia" w:ascii="Times New Roman" w:hAnsi="Times New Roman" w:eastAsia="宋体"/>
          <w:color w:val="auto"/>
          <w:highlight w:val="none"/>
        </w:rPr>
        <w:t>、乙方销项税以外的税费</w:t>
      </w:r>
      <w:r>
        <w:rPr>
          <w:rFonts w:ascii="Times New Roman" w:hAnsi="Times New Roman" w:eastAsia="宋体"/>
          <w:color w:val="auto"/>
          <w:highlight w:val="none"/>
        </w:rPr>
        <w:t>等行业标准或国家标准的变动等其他理由予以变更。未经甲方书面确认，乙方无权增加任何费用。</w:t>
      </w:r>
    </w:p>
    <w:p w14:paraId="1D9C8CBF">
      <w:pPr>
        <w:keepNext w:val="0"/>
        <w:keepLines w:val="0"/>
        <w:pageBreakBefore w:val="0"/>
        <w:kinsoku/>
        <w:wordWrap/>
        <w:overflowPunct/>
        <w:topLinePunct w:val="0"/>
        <w:bidi w:val="0"/>
        <w:spacing w:line="360" w:lineRule="auto"/>
        <w:ind w:left="0" w:firstLine="480" w:firstLineChars="200"/>
        <w:jc w:val="both"/>
        <w:textAlignment w:val="auto"/>
        <w:rPr>
          <w:rFonts w:hint="default" w:ascii="Times New Roman" w:eastAsia="宋体"/>
          <w:color w:val="auto"/>
          <w:highlight w:val="none"/>
          <w:lang w:val="en-US" w:eastAsia="zh-CN"/>
        </w:rPr>
      </w:pPr>
      <w:r>
        <w:rPr>
          <w:rFonts w:hint="eastAsia" w:ascii="Times New Roman"/>
          <w:color w:val="auto"/>
          <w:highlight w:val="none"/>
          <w:lang w:val="en-US" w:eastAsia="zh-CN"/>
        </w:rPr>
        <w:t>前述综合单价包括乙方完成本合同约定全部内容可能产生的全部直接及间接费用，包括但不限于：合同范围内所有货物的研究、采购、制造、检验、试验、包装、储存、运输</w:t>
      </w:r>
      <w:r>
        <w:rPr>
          <w:rFonts w:hint="eastAsia" w:ascii="Times New Roman"/>
          <w:color w:val="auto"/>
          <w:highlight w:val="none"/>
        </w:rPr>
        <w:t>（退换货运输）、称重、装卸、安全、保险、培训、验收</w:t>
      </w:r>
      <w:r>
        <w:rPr>
          <w:rFonts w:hint="eastAsia" w:ascii="Times New Roman"/>
          <w:color w:val="auto"/>
          <w:highlight w:val="none"/>
          <w:lang w:val="en-US" w:eastAsia="zh-CN"/>
        </w:rPr>
        <w:t>的费用、</w:t>
      </w:r>
      <w:r>
        <w:rPr>
          <w:rFonts w:hint="eastAsia" w:ascii="Times New Roman"/>
          <w:color w:val="auto"/>
          <w:highlight w:val="none"/>
        </w:rPr>
        <w:t>应急供货费用</w:t>
      </w:r>
      <w:r>
        <w:rPr>
          <w:rFonts w:hint="eastAsia" w:ascii="Times New Roman"/>
          <w:color w:val="auto"/>
          <w:highlight w:val="none"/>
          <w:lang w:eastAsia="zh-CN"/>
        </w:rPr>
        <w:t>，</w:t>
      </w:r>
      <w:r>
        <w:rPr>
          <w:rFonts w:hint="eastAsia" w:ascii="Times New Roman"/>
          <w:color w:val="auto"/>
          <w:highlight w:val="none"/>
        </w:rPr>
        <w:t>为满足项目调试需求导致的小批量、多频次分散供货的成本以及货物运输、货物验收合格前发生的安全事故所产生的一切费用</w:t>
      </w:r>
      <w:r>
        <w:rPr>
          <w:rFonts w:hint="eastAsia" w:ascii="Times New Roman"/>
          <w:color w:val="auto"/>
          <w:highlight w:val="none"/>
          <w:lang w:eastAsia="zh-CN"/>
        </w:rPr>
        <w:t>，</w:t>
      </w:r>
      <w:r>
        <w:rPr>
          <w:rFonts w:hint="eastAsia" w:ascii="Times New Roman"/>
          <w:color w:val="auto"/>
          <w:highlight w:val="none"/>
        </w:rPr>
        <w:t>合同货物及其工艺所有制造方、使用方应支付的对专有技术、商标权、专利权和版权、设计或其他知识产权而需要向其他方支付的版税</w:t>
      </w:r>
      <w:r>
        <w:rPr>
          <w:rFonts w:hint="eastAsia" w:ascii="Times New Roman"/>
          <w:color w:val="auto"/>
          <w:highlight w:val="none"/>
          <w:lang w:eastAsia="zh-CN"/>
        </w:rPr>
        <w:t>、</w:t>
      </w:r>
      <w:r>
        <w:rPr>
          <w:rFonts w:hint="eastAsia" w:ascii="Times New Roman"/>
          <w:color w:val="auto"/>
          <w:highlight w:val="none"/>
        </w:rPr>
        <w:t>日常技术指导</w:t>
      </w:r>
      <w:r>
        <w:rPr>
          <w:rFonts w:hint="eastAsia" w:ascii="Times New Roman"/>
          <w:color w:val="auto"/>
          <w:highlight w:val="none"/>
          <w:lang w:eastAsia="zh-CN"/>
        </w:rPr>
        <w:t>，</w:t>
      </w:r>
      <w:r>
        <w:rPr>
          <w:rFonts w:hint="eastAsia" w:ascii="Times New Roman"/>
          <w:color w:val="auto"/>
          <w:highlight w:val="none"/>
        </w:rPr>
        <w:t>免费的质保服务，免费对具有质量问题的货物进行处理或更换</w:t>
      </w:r>
      <w:r>
        <w:rPr>
          <w:rFonts w:hint="eastAsia" w:ascii="Times New Roman"/>
          <w:color w:val="auto"/>
          <w:highlight w:val="none"/>
          <w:lang w:eastAsia="zh-CN"/>
        </w:rPr>
        <w:t>，</w:t>
      </w:r>
      <w:r>
        <w:rPr>
          <w:rFonts w:hint="eastAsia" w:ascii="Times New Roman"/>
          <w:color w:val="auto"/>
          <w:highlight w:val="none"/>
        </w:rPr>
        <w:t>以甲方确认的最优化的产品成分配比向甲方供货</w:t>
      </w:r>
      <w:r>
        <w:rPr>
          <w:rFonts w:hint="eastAsia" w:ascii="Times New Roman"/>
          <w:color w:val="auto"/>
          <w:highlight w:val="none"/>
          <w:lang w:eastAsia="zh-CN"/>
        </w:rPr>
        <w:t>、</w:t>
      </w:r>
      <w:r>
        <w:rPr>
          <w:rFonts w:hint="eastAsia" w:ascii="Times New Roman"/>
          <w:color w:val="auto"/>
          <w:highlight w:val="none"/>
        </w:rPr>
        <w:t>合理利润、乙方销项税额以外的税费</w:t>
      </w:r>
      <w:r>
        <w:rPr>
          <w:rFonts w:hint="eastAsia" w:ascii="Times New Roman"/>
          <w:color w:val="auto"/>
          <w:highlight w:val="none"/>
          <w:lang w:val="en-US" w:eastAsia="zh-CN"/>
        </w:rPr>
        <w:t>等。</w:t>
      </w:r>
    </w:p>
    <w:p w14:paraId="08AE2E5E">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2</w:t>
      </w:r>
      <w:r>
        <w:rPr>
          <w:rFonts w:hint="eastAsia" w:ascii="Times New Roman" w:hAnsi="Times New Roman" w:eastAsia="宋体"/>
          <w:color w:val="auto"/>
          <w:highlight w:val="none"/>
          <w:lang w:val="en-US" w:eastAsia="zh-CN"/>
        </w:rPr>
        <w:t>.</w:t>
      </w:r>
      <w:r>
        <w:rPr>
          <w:rFonts w:ascii="Times New Roman" w:hAnsi="Times New Roman" w:eastAsia="宋体"/>
          <w:color w:val="auto"/>
          <w:highlight w:val="none"/>
        </w:rPr>
        <w:t>依法计得并根据本合同约定确定的销项税额由甲方承担。根据《中华人民共和国增值税法实施条例》（国务院令第826号）及当前税务部门的相关规定，本合同项目的增值税税率为</w:t>
      </w:r>
      <w:r>
        <w:rPr>
          <w:rFonts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各生产药剂</w:t>
      </w:r>
      <w:r>
        <w:rPr>
          <w:rFonts w:ascii="Times New Roman" w:hAnsi="Times New Roman" w:eastAsia="宋体"/>
          <w:color w:val="auto"/>
          <w:highlight w:val="none"/>
        </w:rPr>
        <w:t>对应的销项税额</w:t>
      </w:r>
      <w:r>
        <w:rPr>
          <w:rFonts w:hint="eastAsia" w:ascii="Times New Roman" w:hAnsi="Times New Roman" w:eastAsia="宋体"/>
          <w:color w:val="auto"/>
          <w:highlight w:val="none"/>
        </w:rPr>
        <w:t>如下：</w:t>
      </w:r>
    </w:p>
    <w:p w14:paraId="1D35780F">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（1）</w:t>
      </w:r>
      <w:r>
        <w:rPr>
          <w:rFonts w:hint="eastAsia" w:ascii="Times New Roman" w:hAnsi="Times New Roman" w:eastAsia="宋体"/>
          <w:color w:val="auto"/>
          <w:highlight w:val="none"/>
          <w:u w:val="single"/>
        </w:rPr>
        <w:t>液体</w:t>
      </w:r>
      <w:r>
        <w:rPr>
          <w:rFonts w:hint="eastAsia" w:ascii="Times New Roman" w:hAnsi="Times New Roman" w:eastAsia="宋体"/>
          <w:color w:val="auto"/>
          <w:highlight w:val="none"/>
        </w:rPr>
        <w:t>阻垢缓蚀剂</w:t>
      </w:r>
      <w:r>
        <w:rPr>
          <w:rFonts w:ascii="Times New Roman" w:hAnsi="Times New Roman" w:eastAsia="宋体"/>
          <w:color w:val="auto"/>
          <w:highlight w:val="none"/>
        </w:rPr>
        <w:t>对应的销项税额¥</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元/吨</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274B9BDC">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u w:val="none"/>
        </w:rPr>
        <w:t>（2）</w:t>
      </w:r>
      <w:r>
        <w:rPr>
          <w:rFonts w:hint="eastAsia" w:ascii="Times New Roman" w:hAnsi="Times New Roman" w:eastAsia="宋体"/>
          <w:color w:val="auto"/>
          <w:highlight w:val="none"/>
          <w:u w:val="single"/>
        </w:rPr>
        <w:t>固体</w:t>
      </w:r>
      <w:r>
        <w:rPr>
          <w:rFonts w:hint="eastAsia" w:ascii="Times New Roman" w:hAnsi="Times New Roman" w:eastAsia="宋体"/>
          <w:color w:val="auto"/>
          <w:highlight w:val="none"/>
        </w:rPr>
        <w:t>亚硫酸氢钠</w:t>
      </w:r>
      <w:r>
        <w:rPr>
          <w:rFonts w:ascii="Times New Roman" w:hAnsi="Times New Roman" w:eastAsia="宋体"/>
          <w:color w:val="auto"/>
          <w:highlight w:val="none"/>
        </w:rPr>
        <w:t>对应的销项税额¥</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元/吨</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1AA71A8B">
      <w:pPr>
        <w:keepNext w:val="0"/>
        <w:keepLines w:val="0"/>
        <w:pageBreakBefore w:val="0"/>
        <w:kinsoku/>
        <w:wordWrap/>
        <w:overflowPunct/>
        <w:topLinePunct w:val="0"/>
        <w:bidi w:val="0"/>
        <w:spacing w:line="360" w:lineRule="auto"/>
        <w:ind w:left="0" w:firstLine="480" w:firstLineChars="200"/>
        <w:jc w:val="both"/>
        <w:textAlignment w:val="auto"/>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u w:val="none"/>
        </w:rPr>
        <w:t>（3）</w:t>
      </w:r>
      <w:r>
        <w:rPr>
          <w:rFonts w:hint="eastAsia" w:ascii="Times New Roman" w:hAnsi="Times New Roman" w:eastAsia="宋体"/>
          <w:color w:val="auto"/>
          <w:highlight w:val="none"/>
          <w:u w:val="single"/>
        </w:rPr>
        <w:t>固体</w:t>
      </w:r>
      <w:r>
        <w:rPr>
          <w:rFonts w:hint="eastAsia" w:ascii="Times New Roman" w:hAnsi="Times New Roman" w:eastAsia="宋体"/>
          <w:color w:val="auto"/>
          <w:highlight w:val="none"/>
        </w:rPr>
        <w:t>柠檬酸</w:t>
      </w:r>
      <w:r>
        <w:rPr>
          <w:rFonts w:ascii="Times New Roman" w:hAnsi="Times New Roman" w:eastAsia="宋体"/>
          <w:color w:val="auto"/>
          <w:highlight w:val="none"/>
        </w:rPr>
        <w:t>对应的销项税额¥</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元/吨</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color w:val="auto"/>
          <w:highlight w:val="none"/>
          <w:lang w:eastAsia="zh-CN"/>
        </w:rPr>
        <w:t>。</w:t>
      </w:r>
    </w:p>
    <w:p w14:paraId="1486CC4D">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12586C55">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6540C1DB">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3</w:t>
      </w:r>
      <w:r>
        <w:rPr>
          <w:rFonts w:hint="eastAsia" w:ascii="Times New Roman" w:hAnsi="Times New Roman" w:eastAsia="宋体"/>
          <w:color w:val="auto"/>
          <w:highlight w:val="none"/>
          <w:lang w:val="en-US" w:eastAsia="zh-CN"/>
        </w:rPr>
        <w:t>.</w:t>
      </w:r>
      <w:r>
        <w:rPr>
          <w:rFonts w:hint="eastAsia" w:ascii="Times New Roman" w:hAnsi="Times New Roman" w:eastAsia="宋体"/>
          <w:color w:val="auto"/>
          <w:highlight w:val="none"/>
        </w:rPr>
        <w:t>各生产药剂</w:t>
      </w:r>
      <w:r>
        <w:rPr>
          <w:rFonts w:ascii="Times New Roman" w:hAnsi="Times New Roman" w:eastAsia="宋体"/>
          <w:color w:val="auto"/>
          <w:highlight w:val="none"/>
        </w:rPr>
        <w:t>合同综合单价价税合计</w:t>
      </w:r>
      <w:r>
        <w:rPr>
          <w:rFonts w:hint="eastAsia" w:ascii="Times New Roman" w:hAnsi="Times New Roman" w:eastAsia="宋体"/>
          <w:color w:val="auto"/>
          <w:highlight w:val="none"/>
        </w:rPr>
        <w:t>如下：</w:t>
      </w:r>
    </w:p>
    <w:p w14:paraId="0059EB9E">
      <w:pPr>
        <w:keepNext w:val="0"/>
        <w:keepLines w:val="0"/>
        <w:pageBreakBefore w:val="0"/>
        <w:kinsoku/>
        <w:wordWrap/>
        <w:overflowPunct/>
        <w:topLinePunct w:val="0"/>
        <w:bidi w:val="0"/>
        <w:spacing w:line="360" w:lineRule="auto"/>
        <w:ind w:left="0" w:firstLine="480" w:firstLineChars="200"/>
        <w:jc w:val="both"/>
        <w:textAlignment w:val="auto"/>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u w:val="single"/>
        </w:rPr>
        <w:t>（1）液体</w:t>
      </w:r>
      <w:r>
        <w:rPr>
          <w:rFonts w:hint="eastAsia" w:ascii="Times New Roman" w:hAnsi="Times New Roman" w:eastAsia="宋体"/>
          <w:color w:val="auto"/>
          <w:highlight w:val="none"/>
        </w:rPr>
        <w:t>阻垢缓蚀剂</w:t>
      </w:r>
      <w:r>
        <w:rPr>
          <w:rFonts w:ascii="Times New Roman" w:hAnsi="Times New Roman" w:eastAsia="宋体"/>
          <w:color w:val="auto"/>
          <w:highlight w:val="none"/>
        </w:rPr>
        <w:t>合同综合单价价税合计¥</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元/吨</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color w:val="auto"/>
          <w:highlight w:val="none"/>
          <w:lang w:eastAsia="zh-CN"/>
        </w:rPr>
        <w:t>；</w:t>
      </w:r>
    </w:p>
    <w:p w14:paraId="14B0C5F2">
      <w:pPr>
        <w:keepNext w:val="0"/>
        <w:keepLines w:val="0"/>
        <w:pageBreakBefore w:val="0"/>
        <w:kinsoku/>
        <w:wordWrap/>
        <w:overflowPunct/>
        <w:topLinePunct w:val="0"/>
        <w:bidi w:val="0"/>
        <w:spacing w:line="360" w:lineRule="auto"/>
        <w:ind w:left="0" w:firstLine="480" w:firstLineChars="200"/>
        <w:jc w:val="both"/>
        <w:textAlignment w:val="auto"/>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u w:val="single"/>
        </w:rPr>
        <w:t>（2）固体</w:t>
      </w:r>
      <w:r>
        <w:rPr>
          <w:rFonts w:hint="eastAsia" w:ascii="Times New Roman" w:hAnsi="Times New Roman" w:eastAsia="宋体"/>
          <w:color w:val="auto"/>
          <w:highlight w:val="none"/>
        </w:rPr>
        <w:t>亚硫酸氢钠</w:t>
      </w:r>
      <w:r>
        <w:rPr>
          <w:rFonts w:ascii="Times New Roman" w:hAnsi="Times New Roman" w:eastAsia="宋体"/>
          <w:color w:val="auto"/>
          <w:highlight w:val="none"/>
        </w:rPr>
        <w:t>合同综合单价价税合计¥</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元/吨</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color w:val="auto"/>
          <w:highlight w:val="none"/>
          <w:lang w:eastAsia="zh-CN"/>
        </w:rPr>
        <w:t>；</w:t>
      </w:r>
    </w:p>
    <w:p w14:paraId="5CA69B92">
      <w:pPr>
        <w:keepNext w:val="0"/>
        <w:keepLines w:val="0"/>
        <w:pageBreakBefore w:val="0"/>
        <w:kinsoku/>
        <w:wordWrap/>
        <w:overflowPunct/>
        <w:topLinePunct w:val="0"/>
        <w:bidi w:val="0"/>
        <w:spacing w:line="360" w:lineRule="auto"/>
        <w:ind w:left="0" w:firstLine="480" w:firstLineChars="200"/>
        <w:jc w:val="both"/>
        <w:textAlignment w:val="auto"/>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u w:val="single"/>
        </w:rPr>
        <w:t>（3）固体</w:t>
      </w:r>
      <w:r>
        <w:rPr>
          <w:rFonts w:hint="eastAsia" w:ascii="Times New Roman" w:hAnsi="Times New Roman" w:eastAsia="宋体"/>
          <w:color w:val="auto"/>
          <w:highlight w:val="none"/>
        </w:rPr>
        <w:t>柠檬酸</w:t>
      </w:r>
      <w:r>
        <w:rPr>
          <w:rFonts w:ascii="Times New Roman" w:hAnsi="Times New Roman" w:eastAsia="宋体"/>
          <w:color w:val="auto"/>
          <w:highlight w:val="none"/>
        </w:rPr>
        <w:t>合同综合单价价税合计¥</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元/吨</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每吨</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color w:val="auto"/>
          <w:highlight w:val="none"/>
          <w:lang w:eastAsia="zh-CN"/>
        </w:rPr>
        <w:t>。</w:t>
      </w:r>
    </w:p>
    <w:p w14:paraId="2245CA78">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合同履行期间根据本条第2项规定调整销项税额的，结算合同价税合计对应调整。</w:t>
      </w:r>
    </w:p>
    <w:p w14:paraId="6A75352F">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4</w:t>
      </w:r>
      <w:r>
        <w:rPr>
          <w:rFonts w:hint="eastAsia" w:ascii="Times New Roman" w:hAnsi="Times New Roman" w:eastAsia="宋体"/>
          <w:color w:val="auto"/>
          <w:highlight w:val="none"/>
          <w:lang w:val="en-US" w:eastAsia="zh-CN"/>
        </w:rPr>
        <w:t>.</w:t>
      </w:r>
      <w:r>
        <w:rPr>
          <w:rFonts w:ascii="Times New Roman" w:hAnsi="Times New Roman" w:eastAsia="宋体"/>
          <w:color w:val="auto"/>
          <w:highlight w:val="none"/>
        </w:rPr>
        <w:t>采购合同下暂定采购数量对应的暂定合同价为¥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元（大写人民币</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，不含增值税）；暂定采购数量对应的暂定合同</w:t>
      </w:r>
      <w:r>
        <w:rPr>
          <w:rFonts w:hint="eastAsia" w:ascii="Times New Roman" w:hAnsi="Times New Roman" w:eastAsia="宋体"/>
          <w:color w:val="auto"/>
          <w:highlight w:val="none"/>
        </w:rPr>
        <w:t>价税合计</w:t>
      </w:r>
      <w:r>
        <w:rPr>
          <w:rFonts w:ascii="Times New Roman" w:hAnsi="Times New Roman" w:eastAsia="宋体"/>
          <w:color w:val="auto"/>
          <w:highlight w:val="none"/>
        </w:rPr>
        <w:t>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ascii="Times New Roman" w:hAnsi="Times New Roman" w:eastAsia="宋体"/>
          <w:color w:val="auto"/>
          <w:highlight w:val="none"/>
        </w:rPr>
        <w:t>元（大写人民币</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p>
    <w:p w14:paraId="2D8632E1">
      <w:pPr>
        <w:pStyle w:val="56"/>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olor w:val="auto"/>
          <w:highlight w:val="none"/>
          <w:lang w:val="en-US"/>
        </w:rPr>
      </w:pPr>
      <w:r>
        <w:rPr>
          <w:rFonts w:hint="eastAsia" w:ascii="Times New Roman" w:hAnsi="Times New Roman" w:eastAsia="宋体"/>
          <w:color w:val="auto"/>
          <w:highlight w:val="none"/>
          <w:lang w:val="en-US"/>
        </w:rPr>
        <w:t>5</w:t>
      </w:r>
      <w:r>
        <w:rPr>
          <w:rFonts w:hint="eastAsia" w:ascii="Times New Roman" w:hAnsi="Times New Roman" w:eastAsia="宋体"/>
          <w:color w:val="auto"/>
          <w:highlight w:val="none"/>
          <w:lang w:val="en-US" w:eastAsia="zh-CN"/>
        </w:rPr>
        <w:t>.</w:t>
      </w:r>
      <w:r>
        <w:rPr>
          <w:rFonts w:hint="eastAsia" w:ascii="Times New Roman" w:hAnsi="Times New Roman" w:eastAsia="宋体"/>
          <w:color w:val="auto"/>
          <w:highlight w:val="none"/>
          <w:lang w:val="en-US"/>
        </w:rPr>
        <w:t>货物结算</w:t>
      </w:r>
    </w:p>
    <w:p w14:paraId="105A9D4F">
      <w:pPr>
        <w:pStyle w:val="27"/>
        <w:keepNext w:val="0"/>
        <w:keepLines w:val="0"/>
        <w:pageBreakBefore w:val="0"/>
        <w:kinsoku/>
        <w:wordWrap/>
        <w:overflowPunct/>
        <w:topLinePunct w:val="0"/>
        <w:bidi w:val="0"/>
        <w:ind w:left="0" w:firstLine="480" w:firstLineChars="200"/>
        <w:textAlignment w:val="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双方一致同意，甲方通过以下方式以人民币支付合同款项给乙方：</w:t>
      </w:r>
    </w:p>
    <w:p w14:paraId="7F51A2AE">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bookmarkStart w:id="11" w:name="_Hlk142640500"/>
      <w:r>
        <w:rPr>
          <w:rFonts w:hint="eastAsia" w:ascii="Times New Roman" w:hAnsi="Times New Roman" w:eastAsia="宋体" w:cs="宋体"/>
          <w:color w:val="auto"/>
          <w:sz w:val="24"/>
          <w:szCs w:val="24"/>
          <w:highlight w:val="none"/>
        </w:rPr>
        <w:t>（1）合同的履约过程中，乙方根据本项目合同书约定需向甲方支付违约金、赔偿金、或其他应付费用等款项的，乙方必须向甲方支付完相关款项后，甲方才根据合同书约定向乙方支付合同价和税额</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且不视为甲方违约，乙方不得以此为由拒绝或迟延履行合同义务</w:t>
      </w:r>
      <w:r>
        <w:rPr>
          <w:rFonts w:hint="eastAsia" w:ascii="Times New Roman" w:hAnsi="Times New Roman" w:eastAsia="宋体" w:cs="宋体"/>
          <w:color w:val="auto"/>
          <w:sz w:val="24"/>
          <w:szCs w:val="24"/>
          <w:highlight w:val="none"/>
        </w:rPr>
        <w:t>。若因乙方未能支付前述费用，影响项目实施的，甲方有权直接从未付合同款项中直接扣除前述费用，不视为甲方违约，乙方不得以此为由拒绝或迟延履行合同义务，且乙方必须按照扣除前述费用前的合同价（销售额）开具增值税专用发票，保证增值税税额符合法律规定。</w:t>
      </w:r>
    </w:p>
    <w:p w14:paraId="79DAFC3F">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（2）货物供货的款项按甲方要求进行支付、结算。货物供货的款项每月按实结算，在收到货物并最终验收合格后，每月中旬办理支付上月经最终验收合格的实际供货量的款项。</w:t>
      </w:r>
    </w:p>
    <w:p w14:paraId="610BF3A5">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（3）乙方向甲方提交请款报告和请款金额等额的合法、有效的增值税专用发票，甲方在收到前述材料并确认无误后30个工作日内支付结算上月经最终验收合格的实际供货量的货款和该货款对应的税额给乙方。</w:t>
      </w:r>
    </w:p>
    <w:p w14:paraId="228EFD66">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（4）支付方式：支付方式为银行转账或银行承兑汇票，汇票期限不超过三个月，每期款项支付方式由甲方决定。</w:t>
      </w:r>
    </w:p>
    <w:p w14:paraId="629C0094">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rPr>
        <w:t>（5）乙方迟延提供</w:t>
      </w:r>
      <w:r>
        <w:rPr>
          <w:rFonts w:hint="eastAsia" w:ascii="Times New Roman" w:hAnsi="Times New Roman" w:eastAsia="宋体" w:cs="宋体"/>
          <w:color w:val="auto"/>
          <w:highlight w:val="none"/>
          <w:lang w:val="en-US"/>
        </w:rPr>
        <w:t>请款报告</w:t>
      </w:r>
      <w:r>
        <w:rPr>
          <w:rFonts w:hint="eastAsia" w:ascii="Times New Roman" w:hAnsi="Times New Roman" w:eastAsia="宋体" w:cs="宋体"/>
          <w:color w:val="auto"/>
          <w:highlight w:val="none"/>
        </w:rPr>
        <w:t>、发票或提供的请款报告、发票不符合要求的，甲方的付款时间可相应顺延，且甲方不因此承担任何责任，</w:t>
      </w:r>
      <w:r>
        <w:rPr>
          <w:rFonts w:hint="eastAsia" w:ascii="Times New Roman" w:hAnsi="Times New Roman" w:eastAsia="宋体" w:cs="宋体"/>
          <w:color w:val="auto"/>
          <w:highlight w:val="none"/>
          <w:lang w:val="en-US"/>
        </w:rPr>
        <w:t>乙方不得以此为由拒绝或迟延履行合同义务</w:t>
      </w:r>
      <w:r>
        <w:rPr>
          <w:rFonts w:hint="eastAsia" w:ascii="Times New Roman" w:hAnsi="Times New Roman" w:eastAsia="宋体" w:cs="宋体"/>
          <w:color w:val="auto"/>
          <w:highlight w:val="none"/>
        </w:rPr>
        <w:t>。因支付产生的相关银行手续费用，根据有关银行规定执行。由于乙方提供的发票不符合税法规定，给甲方造成的损失由乙方承担全部的赔偿责任</w:t>
      </w:r>
      <w:bookmarkEnd w:id="11"/>
      <w:r>
        <w:rPr>
          <w:rFonts w:hint="eastAsia" w:ascii="Times New Roman" w:hAnsi="Times New Roman" w:eastAsia="宋体" w:cs="宋体"/>
          <w:color w:val="auto"/>
          <w:highlight w:val="none"/>
          <w:lang w:val="en-US"/>
        </w:rPr>
        <w:t>。</w:t>
      </w:r>
    </w:p>
    <w:p w14:paraId="15CF1565">
      <w:pPr>
        <w:pStyle w:val="56"/>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olor w:val="auto"/>
          <w:highlight w:val="none"/>
          <w:lang w:val="en-US"/>
        </w:rPr>
      </w:pPr>
    </w:p>
    <w:p w14:paraId="44747F2F">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第七条  </w:t>
      </w:r>
      <w:r>
        <w:rPr>
          <w:rFonts w:hint="eastAsia" w:ascii="Times New Roman" w:hAnsi="Times New Roman" w:eastAsia="宋体"/>
          <w:b/>
          <w:color w:val="auto"/>
          <w:sz w:val="24"/>
          <w:szCs w:val="24"/>
          <w:highlight w:val="none"/>
        </w:rPr>
        <w:t>违约责任及其他要求</w:t>
      </w:r>
    </w:p>
    <w:p w14:paraId="44401075">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1</w:t>
      </w:r>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sz w:val="24"/>
          <w:szCs w:val="24"/>
          <w:highlight w:val="none"/>
        </w:rPr>
        <w:t>日常供货（非加急供货）时，乙方未在约定的时间内完成交货，或未在规定的时间内承担相应的更换、退货责任的，每逾期2小时，甲方有权要求乙方按该次货物含税结算货款的1%向甲方支付违约金，逾期违约金累计总额最高不超过该次货物含税结算货款的30%。乙方逾期超过12小时的，甲方有权单方解除合同，且乙方除支付前述逾期违约金外，甲方有权要求乙方额外按该次货物含税结算货款的5%向甲方支付违约金，违约金不足以赔偿甲方损失的，乙方需另行赔偿。</w:t>
      </w:r>
    </w:p>
    <w:p w14:paraId="68C41EEF">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2</w:t>
      </w:r>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sz w:val="24"/>
          <w:szCs w:val="24"/>
          <w:highlight w:val="none"/>
        </w:rPr>
        <w:t>加急供货时，乙方未在约定的时间内完成交货的，或未在规定的时间内承担相应的更换、退货责任的，每逾期1小时，甲方有权要求乙方按该次货物含税结算货款的10%向甲方支付违约金，逾期违约金累计总额最高不超过该次货物含税结算货款的30%，乙方逾期超过4小时的，甲方有权单方解除合同，且乙方除前述逾期违约金外，甲方有权要求乙方额外按该次货物含税结算货款的20%向甲方支付违约金，违约金不足以赔偿甲方损失的，乙方需另行赔偿。</w:t>
      </w:r>
    </w:p>
    <w:p w14:paraId="46E3AD23">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3</w:t>
      </w:r>
      <w:bookmarkStart w:id="12" w:name="_Hlk142640625"/>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sz w:val="24"/>
          <w:szCs w:val="24"/>
          <w:highlight w:val="none"/>
        </w:rPr>
        <w:t>乙方所交货物经甲方实验室或甲方委托的第三方检测机构检验累计出现3次（含）以上不合格的，甲方有权单方中止或解除合同，暂停或取消乙方的供货资格，</w:t>
      </w:r>
      <w:bookmarkEnd w:id="12"/>
      <w:r>
        <w:rPr>
          <w:rFonts w:hint="eastAsia" w:ascii="Times New Roman" w:hAnsi="Times New Roman" w:eastAsia="宋体" w:cs="宋体"/>
          <w:color w:val="auto"/>
          <w:sz w:val="24"/>
          <w:szCs w:val="24"/>
          <w:highlight w:val="none"/>
        </w:rPr>
        <w:t>同时甲方有权追究因为使用乙方所提供的未达到所承诺质量标准产品而产生的所有损失和责任。</w:t>
      </w:r>
    </w:p>
    <w:p w14:paraId="2775EA4A">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bookmarkStart w:id="13" w:name="_Hlk142640642"/>
      <w:r>
        <w:rPr>
          <w:rFonts w:hint="eastAsia" w:ascii="Times New Roman" w:hAnsi="Times New Roman" w:eastAsia="宋体" w:cs="宋体"/>
          <w:color w:val="auto"/>
          <w:kern w:val="0"/>
          <w:sz w:val="24"/>
          <w:szCs w:val="24"/>
          <w:highlight w:val="none"/>
        </w:rPr>
        <w:t>4</w:t>
      </w:r>
      <w:bookmarkEnd w:id="13"/>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sz w:val="24"/>
          <w:szCs w:val="24"/>
          <w:highlight w:val="none"/>
        </w:rPr>
        <w:t>乙方应根据甲方工艺以及性质，配合甲方进行小试、中试，提供符合技术指标的药剂，保证供货的药剂在甲方良好的使用效果。如因药剂问题对甲方生产、成本造成影响，甲方有权要求乙方按该次含税货物结算货款的20%向甲方支付违约金，违约金不足以赔偿甲方损失的，乙方需另行赔偿。</w:t>
      </w:r>
    </w:p>
    <w:p w14:paraId="71A9D2CD">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bookmarkStart w:id="14" w:name="_Hlk142640720"/>
      <w:r>
        <w:rPr>
          <w:rFonts w:hint="eastAsia" w:ascii="Times New Roman" w:hAnsi="Times New Roman" w:eastAsia="宋体" w:cs="宋体"/>
          <w:color w:val="auto"/>
          <w:highlight w:val="none"/>
        </w:rPr>
        <w:t>5</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对于货物最终验收不合格且甲方已经开始使用或者使用完毕无法退换的，货款按照以下方式处理：①若甲方已支付货款的，则乙方应向甲方退还已支付的货款</w:t>
      </w:r>
      <w:r>
        <w:rPr>
          <w:rFonts w:hint="eastAsia" w:ascii="Times New Roman" w:cs="宋体"/>
          <w:color w:val="auto"/>
          <w:highlight w:val="none"/>
          <w:lang w:eastAsia="zh-CN"/>
        </w:rPr>
        <w:t>（</w:t>
      </w:r>
      <w:r>
        <w:rPr>
          <w:rFonts w:hint="eastAsia" w:ascii="Times New Roman" w:cs="宋体"/>
          <w:color w:val="auto"/>
          <w:highlight w:val="none"/>
          <w:lang w:val="en-US" w:eastAsia="zh-CN"/>
        </w:rPr>
        <w:t>含税价款</w:t>
      </w:r>
      <w:r>
        <w:rPr>
          <w:rFonts w:hint="eastAsia" w:ascii="Times New Roman" w:cs="宋体"/>
          <w:color w:val="auto"/>
          <w:highlight w:val="none"/>
          <w:lang w:eastAsia="zh-CN"/>
        </w:rPr>
        <w:t>）</w:t>
      </w:r>
      <w:r>
        <w:rPr>
          <w:rFonts w:hint="eastAsia" w:ascii="Times New Roman" w:hAnsi="Times New Roman" w:eastAsia="宋体" w:cs="宋体"/>
          <w:color w:val="auto"/>
          <w:highlight w:val="none"/>
        </w:rPr>
        <w:t>；②若甲方未支付货款的，则甲方无需支付货款</w:t>
      </w:r>
      <w:bookmarkEnd w:id="14"/>
      <w:r>
        <w:rPr>
          <w:rFonts w:hint="eastAsia" w:ascii="Times New Roman" w:hAnsi="Times New Roman" w:eastAsia="宋体" w:cs="宋体"/>
          <w:color w:val="auto"/>
          <w:highlight w:val="none"/>
        </w:rPr>
        <w:t>。</w:t>
      </w:r>
    </w:p>
    <w:p w14:paraId="1B08EBF9">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bookmarkStart w:id="15" w:name="_Hlk142640741"/>
      <w:r>
        <w:rPr>
          <w:rFonts w:hint="eastAsia" w:ascii="Times New Roman" w:hAnsi="Times New Roman" w:eastAsia="宋体" w:cs="宋体"/>
          <w:color w:val="auto"/>
          <w:kern w:val="0"/>
          <w:sz w:val="24"/>
          <w:szCs w:val="24"/>
          <w:highlight w:val="none"/>
        </w:rPr>
        <w:t>6</w:t>
      </w:r>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sz w:val="24"/>
          <w:szCs w:val="24"/>
          <w:highlight w:val="none"/>
        </w:rPr>
        <w:t>若乙方对甲方验收结果有异议，乙方应自甲方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bookmarkEnd w:id="15"/>
      <w:r>
        <w:rPr>
          <w:rFonts w:hint="eastAsia" w:ascii="Times New Roman" w:hAnsi="Times New Roman" w:eastAsia="宋体" w:cs="宋体"/>
          <w:color w:val="auto"/>
          <w:sz w:val="24"/>
          <w:szCs w:val="24"/>
          <w:highlight w:val="none"/>
        </w:rPr>
        <w:t>。</w:t>
      </w:r>
    </w:p>
    <w:p w14:paraId="40517FB5">
      <w:pPr>
        <w:pStyle w:val="27"/>
        <w:keepNext w:val="0"/>
        <w:keepLines w:val="0"/>
        <w:pageBreakBefore w:val="0"/>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bookmarkStart w:id="16" w:name="_Hlk142640749"/>
      <w:r>
        <w:rPr>
          <w:rFonts w:hint="eastAsia" w:ascii="Times New Roman" w:hAnsi="Times New Roman" w:eastAsia="宋体" w:cs="宋体"/>
          <w:color w:val="auto"/>
          <w:kern w:val="0"/>
          <w:sz w:val="24"/>
          <w:szCs w:val="24"/>
          <w:highlight w:val="none"/>
        </w:rPr>
        <w:t>7</w:t>
      </w:r>
      <w:bookmarkEnd w:id="16"/>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sz w:val="24"/>
          <w:szCs w:val="24"/>
          <w:highlight w:val="none"/>
        </w:rPr>
        <w:t>授予合同前或合同履行中，甲方有权实地核查乙方在供货时提供的分支机构或服务机构的场地、生产/储存/运输设备设施及能力等材料的符合性，若发现虚假将取消资格，且甲方有权终止合同。因此给甲方造成损失的，全部由乙方承担。</w:t>
      </w:r>
    </w:p>
    <w:p w14:paraId="119D0AD7">
      <w:pPr>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rPr>
      </w:pPr>
      <w:bookmarkStart w:id="17" w:name="_Hlk142640763"/>
      <w:r>
        <w:rPr>
          <w:rFonts w:hint="eastAsia" w:ascii="Times New Roman" w:hAnsi="Times New Roman" w:eastAsia="宋体" w:cs="宋体"/>
          <w:color w:val="auto"/>
          <w:highlight w:val="none"/>
        </w:rPr>
        <w:t>8</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bookmarkEnd w:id="17"/>
      <w:r>
        <w:rPr>
          <w:rFonts w:hint="eastAsia" w:ascii="Times New Roman" w:hAnsi="Times New Roman" w:eastAsia="宋体" w:cs="宋体"/>
          <w:color w:val="auto"/>
          <w:highlight w:val="none"/>
        </w:rPr>
        <w:t>。</w:t>
      </w:r>
    </w:p>
    <w:p w14:paraId="50B5838A">
      <w:pPr>
        <w:pStyle w:val="27"/>
        <w:keepNext w:val="0"/>
        <w:keepLines w:val="0"/>
        <w:pageBreakBefore w:val="0"/>
        <w:widowControl/>
        <w:kinsoku/>
        <w:wordWrap/>
        <w:overflowPunct/>
        <w:topLinePunct w:val="0"/>
        <w:bidi w:val="0"/>
        <w:ind w:left="0" w:firstLine="480" w:firstLineChars="200"/>
        <w:textAlignment w:val="auto"/>
        <w:rPr>
          <w:rFonts w:hint="eastAsia" w:ascii="Times New Roman" w:hAnsi="Times New Roman" w:eastAsia="宋体" w:cs="宋体"/>
          <w:color w:val="auto"/>
          <w:sz w:val="24"/>
          <w:szCs w:val="24"/>
          <w:highlight w:val="none"/>
        </w:rPr>
      </w:pPr>
      <w:bookmarkStart w:id="18" w:name="_Hlk142640785"/>
      <w:r>
        <w:rPr>
          <w:rFonts w:hint="eastAsia" w:ascii="Times New Roman" w:hAnsi="Times New Roman" w:eastAsia="宋体" w:cs="宋体"/>
          <w:color w:val="auto"/>
          <w:sz w:val="24"/>
          <w:szCs w:val="24"/>
          <w:highlight w:val="none"/>
          <w:lang w:bidi="ar"/>
        </w:rPr>
        <w:t>9</w:t>
      </w:r>
      <w:r>
        <w:rPr>
          <w:rFonts w:hint="eastAsia" w:ascii="Times New Roman" w:hAnsi="Times New Roman" w:eastAsia="宋体" w:cs="宋体"/>
          <w:color w:val="auto"/>
          <w:sz w:val="24"/>
          <w:szCs w:val="24"/>
          <w:highlight w:val="none"/>
          <w:lang w:val="en-US" w:eastAsia="zh-CN" w:bidi="ar"/>
        </w:rPr>
        <w:t>.</w:t>
      </w:r>
      <w:r>
        <w:rPr>
          <w:rFonts w:hint="eastAsia" w:ascii="Times New Roman" w:hAnsi="Times New Roman" w:eastAsia="宋体" w:cs="宋体"/>
          <w:color w:val="auto"/>
          <w:sz w:val="24"/>
          <w:szCs w:val="24"/>
          <w:highlight w:val="none"/>
          <w:lang w:bidi="ar"/>
        </w:rPr>
        <w:t>乙方有义务接受甲方的监督、评价及考核，且同意甲方关于供货资格供应商的管理规则及要求。</w:t>
      </w:r>
    </w:p>
    <w:p w14:paraId="5E843021">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bidi="ar"/>
        </w:rPr>
      </w:pPr>
      <w:r>
        <w:rPr>
          <w:rFonts w:hint="eastAsia" w:ascii="Times New Roman" w:hAnsi="Times New Roman" w:eastAsia="宋体" w:cs="宋体"/>
          <w:color w:val="auto"/>
          <w:highlight w:val="none"/>
          <w:lang w:bidi="ar"/>
        </w:rPr>
        <w:t>1</w:t>
      </w:r>
      <w:r>
        <w:rPr>
          <w:rFonts w:hint="eastAsia" w:ascii="Times New Roman" w:hAnsi="Times New Roman" w:eastAsia="宋体" w:cs="宋体"/>
          <w:color w:val="auto"/>
          <w:highlight w:val="none"/>
          <w:lang w:val="en-US" w:bidi="ar"/>
        </w:rPr>
        <w:t>0</w:t>
      </w:r>
      <w:bookmarkEnd w:id="18"/>
      <w:r>
        <w:rPr>
          <w:rFonts w:hint="eastAsia" w:ascii="Times New Roman" w:hAnsi="Times New Roman" w:eastAsia="宋体" w:cs="宋体"/>
          <w:color w:val="auto"/>
          <w:highlight w:val="none"/>
          <w:lang w:val="en-US" w:eastAsia="zh-CN" w:bidi="ar"/>
        </w:rPr>
        <w:t>.</w:t>
      </w:r>
      <w:r>
        <w:rPr>
          <w:rFonts w:hint="eastAsia" w:ascii="Times New Roman" w:hAnsi="Times New Roman" w:eastAsia="宋体" w:cs="宋体"/>
          <w:color w:val="auto"/>
          <w:highlight w:val="none"/>
          <w:lang w:bidi="ar"/>
        </w:rPr>
        <w:t>甲方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w:t>
      </w:r>
    </w:p>
    <w:p w14:paraId="10374A84">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lang w:val="en-US"/>
        </w:rPr>
        <w:t>11</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lang w:val="en-US"/>
        </w:rPr>
        <w:t>乙方未按约定履行培训或售后服务义务的，甲方有权要求乙方支付暂定合同价10%的违约金，且有权</w:t>
      </w:r>
      <w:r>
        <w:rPr>
          <w:rFonts w:hint="eastAsia" w:ascii="Times New Roman" w:cs="宋体"/>
          <w:color w:val="auto"/>
          <w:highlight w:val="none"/>
          <w:lang w:val="en-US" w:eastAsia="zh-CN"/>
        </w:rPr>
        <w:t>自行</w:t>
      </w:r>
      <w:r>
        <w:rPr>
          <w:rFonts w:hint="eastAsia" w:ascii="Times New Roman" w:hAnsi="Times New Roman" w:eastAsia="宋体" w:cs="宋体"/>
          <w:color w:val="auto"/>
          <w:highlight w:val="none"/>
          <w:lang w:val="en-US"/>
        </w:rPr>
        <w:t>委托第三方提供培训或售后服务，所产生的费用由乙方承担，甲方有权从未付款项中扣除，如不足扣除的，乙方还应另行向甲方赔偿。</w:t>
      </w:r>
    </w:p>
    <w:p w14:paraId="34326C57">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lang w:val="en-US"/>
        </w:rPr>
        <w:t>12</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lang w:val="en-US"/>
        </w:rPr>
        <w:t>无论是否在质保期内，因货物质量问题发生安全事故或引起其他损失、造成不良后果的，乙方应承担全部责任及损失赔偿，同时甲方有权单方解除本合同且要求乙方一次性支付10000元的违约金。</w:t>
      </w:r>
    </w:p>
    <w:p w14:paraId="0D731CE6">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lang w:val="en-US"/>
        </w:rPr>
        <w:t>13</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lang w:val="en-US"/>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10000元违约金，且乙方须承担由此给甲方造成的一切损失。乙方及其工作人员的保密义务不因本合同的终止而终止，直至相关保密信息被合法公开时止。</w:t>
      </w:r>
    </w:p>
    <w:p w14:paraId="14286E7C">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lang w:val="en-US"/>
        </w:rPr>
        <w:t>14、在本合同履行期限内，乙方未经甲方书面同意即将本合同约定项下的全部项目或部分项目转包给第三方的，甲方有权单方解除本合同且要求乙方按暂定合同价的30%承担违约责任。若由此给甲方造成损失的，乙方还应当承担全部赔偿责任。如因乙方将乙方本合同项下全部</w:t>
      </w:r>
      <w:r>
        <w:rPr>
          <w:rFonts w:hint="eastAsia" w:ascii="Times New Roman" w:cs="宋体"/>
          <w:color w:val="auto"/>
          <w:highlight w:val="none"/>
          <w:lang w:val="en-US" w:eastAsia="zh-CN"/>
        </w:rPr>
        <w:t>或</w:t>
      </w:r>
      <w:r>
        <w:rPr>
          <w:rFonts w:hint="eastAsia" w:ascii="Times New Roman" w:hAnsi="Times New Roman" w:eastAsia="宋体" w:cs="宋体"/>
          <w:color w:val="auto"/>
          <w:highlight w:val="none"/>
          <w:lang w:val="en-US"/>
        </w:rPr>
        <w:t>部分权利义务转让给第三方</w:t>
      </w:r>
      <w:r>
        <w:rPr>
          <w:rFonts w:hint="eastAsia" w:ascii="Times New Roman" w:cs="宋体"/>
          <w:color w:val="auto"/>
          <w:highlight w:val="none"/>
          <w:lang w:val="en-US" w:eastAsia="zh-CN"/>
        </w:rPr>
        <w:t>，因前述情形或第三方原因</w:t>
      </w:r>
      <w:r>
        <w:rPr>
          <w:rFonts w:hint="eastAsia" w:ascii="Times New Roman" w:hAnsi="Times New Roman" w:eastAsia="宋体" w:cs="宋体"/>
          <w:color w:val="auto"/>
          <w:highlight w:val="none"/>
          <w:lang w:val="en-US"/>
        </w:rPr>
        <w:t>导致安全事故或人身损害事故，造成甲方其他损失的或甲方被认定承担赔偿责任的，甲方</w:t>
      </w:r>
      <w:r>
        <w:rPr>
          <w:rFonts w:hint="eastAsia" w:ascii="Times New Roman" w:cs="宋体"/>
          <w:color w:val="auto"/>
          <w:highlight w:val="none"/>
          <w:lang w:val="en-US" w:eastAsia="zh-CN"/>
        </w:rPr>
        <w:t>有权</w:t>
      </w:r>
      <w:r>
        <w:rPr>
          <w:rFonts w:hint="eastAsia" w:ascii="Times New Roman" w:hAnsi="Times New Roman" w:eastAsia="宋体" w:cs="宋体"/>
          <w:color w:val="auto"/>
          <w:highlight w:val="none"/>
          <w:lang w:val="en-US"/>
        </w:rPr>
        <w:t>向乙方追偿。</w:t>
      </w:r>
    </w:p>
    <w:p w14:paraId="6E235719">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lang w:val="en-US"/>
        </w:rPr>
        <w:t>15</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lang w:val="en-US"/>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2DB3E5F">
      <w:pPr>
        <w:pStyle w:val="56"/>
        <w:keepNext w:val="0"/>
        <w:keepLines w:val="0"/>
        <w:pageBreakBefore w:val="0"/>
        <w:kinsoku/>
        <w:wordWrap/>
        <w:overflowPunct/>
        <w:topLinePunct w:val="0"/>
        <w:bidi w:val="0"/>
        <w:spacing w:line="360" w:lineRule="auto"/>
        <w:ind w:left="0" w:firstLine="480" w:firstLineChars="200"/>
        <w:textAlignment w:val="auto"/>
        <w:rPr>
          <w:rFonts w:hint="eastAsia" w:ascii="Times New Roman" w:hAnsi="Times New Roman" w:eastAsia="宋体" w:cs="宋体"/>
          <w:color w:val="auto"/>
          <w:highlight w:val="none"/>
          <w:lang w:val="en-US"/>
        </w:rPr>
      </w:pPr>
      <w:r>
        <w:rPr>
          <w:rFonts w:hint="eastAsia" w:ascii="Times New Roman" w:hAnsi="Times New Roman" w:eastAsia="宋体" w:cs="宋体"/>
          <w:color w:val="auto"/>
          <w:highlight w:val="none"/>
          <w:lang w:val="en-US"/>
        </w:rPr>
        <w:t>16</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lang w:val="en-US"/>
        </w:rPr>
        <w:t>乙方违反本合同约定，合同对违约责任有特别约定的，适用该特别约定；无特别约定的，甲方有权要求乙方支付暂定合同价20%作为违约金。违约金不足以弥补甲方因此所受损失的，乙方应予以补足。</w:t>
      </w:r>
    </w:p>
    <w:p w14:paraId="7777352B">
      <w:pPr>
        <w:pStyle w:val="56"/>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olor w:val="auto"/>
          <w:highlight w:val="none"/>
          <w:lang w:val="en-US"/>
        </w:rPr>
      </w:pPr>
    </w:p>
    <w:p w14:paraId="0FF4A678">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r>
        <w:rPr>
          <w:rFonts w:hint="eastAsia" w:ascii="宋体" w:hAnsi="宋体" w:eastAsia="Times New Roman" w:cs="Times New Roman"/>
          <w:b/>
          <w:color w:val="auto"/>
          <w:kern w:val="2"/>
          <w:sz w:val="24"/>
          <w:szCs w:val="31"/>
          <w:highlight w:val="none"/>
          <w:lang w:val="en-US" w:eastAsia="zh-CN" w:bidi="ar-SA"/>
        </w:rPr>
        <w:t xml:space="preserve">第八条  </w:t>
      </w:r>
      <w:r>
        <w:rPr>
          <w:rFonts w:hint="eastAsia" w:ascii="Times New Roman" w:hAnsi="Times New Roman" w:eastAsia="宋体"/>
          <w:b/>
          <w:color w:val="auto"/>
          <w:sz w:val="24"/>
          <w:szCs w:val="24"/>
          <w:highlight w:val="none"/>
        </w:rPr>
        <w:t>不可抗力</w:t>
      </w:r>
    </w:p>
    <w:p w14:paraId="37A308E9">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Ansi="Times New Roman" w:eastAsia="宋体"/>
          <w:color w:val="auto"/>
          <w:highlight w:val="none"/>
          <w:u w:val="single"/>
        </w:rPr>
        <w:t>15</w:t>
      </w:r>
      <w:r>
        <w:rPr>
          <w:rFonts w:hint="eastAsia" w:ascii="Times New Roman" w:hAnsi="Times New Roman" w:eastAsia="宋体"/>
          <w:color w:val="auto"/>
          <w:highlight w:val="none"/>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49998C8">
      <w:pPr>
        <w:pStyle w:val="56"/>
        <w:keepNext w:val="0"/>
        <w:keepLines w:val="0"/>
        <w:pageBreakBefore w:val="0"/>
        <w:kinsoku/>
        <w:wordWrap/>
        <w:overflowPunct/>
        <w:topLinePunct w:val="0"/>
        <w:bidi w:val="0"/>
        <w:ind w:left="0" w:firstLine="480" w:firstLineChars="200"/>
        <w:textAlignment w:val="auto"/>
        <w:rPr>
          <w:rFonts w:ascii="Times New Roman" w:hAnsi="Times New Roman" w:eastAsia="宋体"/>
          <w:color w:val="auto"/>
          <w:highlight w:val="none"/>
        </w:rPr>
      </w:pPr>
    </w:p>
    <w:p w14:paraId="1386E4BC">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bookmarkStart w:id="19" w:name="_Toc27990842"/>
      <w:r>
        <w:rPr>
          <w:rFonts w:hint="eastAsia" w:ascii="宋体" w:hAnsi="宋体" w:eastAsia="Times New Roman" w:cs="Times New Roman"/>
          <w:b/>
          <w:color w:val="auto"/>
          <w:kern w:val="2"/>
          <w:sz w:val="24"/>
          <w:szCs w:val="31"/>
          <w:highlight w:val="none"/>
          <w:lang w:val="en-US" w:eastAsia="zh-CN" w:bidi="ar-SA"/>
        </w:rPr>
        <w:t xml:space="preserve">第九条  </w:t>
      </w:r>
      <w:r>
        <w:rPr>
          <w:rFonts w:hint="eastAsia" w:ascii="Times New Roman" w:hAnsi="Times New Roman" w:eastAsia="宋体"/>
          <w:b/>
          <w:color w:val="auto"/>
          <w:sz w:val="24"/>
          <w:szCs w:val="24"/>
          <w:highlight w:val="none"/>
        </w:rPr>
        <w:t>承诺与保证</w:t>
      </w:r>
      <w:bookmarkEnd w:id="19"/>
    </w:p>
    <w:p w14:paraId="3901BCFD">
      <w:pPr>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12BC14B3">
      <w:pPr>
        <w:pStyle w:val="56"/>
        <w:keepNext w:val="0"/>
        <w:keepLines w:val="0"/>
        <w:pageBreakBefore w:val="0"/>
        <w:kinsoku/>
        <w:wordWrap/>
        <w:overflowPunct/>
        <w:topLinePunct w:val="0"/>
        <w:bidi w:val="0"/>
        <w:ind w:left="0" w:firstLine="480" w:firstLineChars="200"/>
        <w:textAlignment w:val="auto"/>
        <w:rPr>
          <w:rFonts w:ascii="Times New Roman" w:hAnsi="Times New Roman" w:eastAsia="宋体"/>
          <w:color w:val="auto"/>
          <w:highlight w:val="none"/>
        </w:rPr>
      </w:pPr>
    </w:p>
    <w:p w14:paraId="5472C1E3">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bookmarkStart w:id="20" w:name="_Toc27990843"/>
      <w:r>
        <w:rPr>
          <w:rFonts w:hint="eastAsia" w:ascii="宋体" w:hAnsi="宋体" w:eastAsia="Times New Roman" w:cs="Times New Roman"/>
          <w:b/>
          <w:color w:val="auto"/>
          <w:kern w:val="2"/>
          <w:sz w:val="24"/>
          <w:szCs w:val="31"/>
          <w:highlight w:val="none"/>
          <w:lang w:val="en-US" w:eastAsia="zh-CN" w:bidi="ar-SA"/>
        </w:rPr>
        <w:t xml:space="preserve">第十条  </w:t>
      </w:r>
      <w:r>
        <w:rPr>
          <w:rFonts w:hint="eastAsia" w:ascii="Times New Roman" w:hAnsi="Times New Roman" w:eastAsia="宋体"/>
          <w:b/>
          <w:color w:val="auto"/>
          <w:sz w:val="24"/>
          <w:szCs w:val="24"/>
          <w:highlight w:val="none"/>
        </w:rPr>
        <w:t>合同争议的解决办法</w:t>
      </w:r>
      <w:bookmarkEnd w:id="20"/>
    </w:p>
    <w:p w14:paraId="5184F768">
      <w:pPr>
        <w:keepNext w:val="0"/>
        <w:keepLines w:val="0"/>
        <w:pageBreakBefore w:val="0"/>
        <w:numPr>
          <w:ilvl w:val="0"/>
          <w:numId w:val="0"/>
        </w:numPr>
        <w:kinsoku/>
        <w:wordWrap/>
        <w:overflowPunct/>
        <w:topLinePunct w:val="0"/>
        <w:bidi w:val="0"/>
        <w:spacing w:line="360" w:lineRule="auto"/>
        <w:ind w:left="0" w:leftChars="0"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 w:val="24"/>
          <w:szCs w:val="24"/>
          <w:highlight w:val="none"/>
          <w:lang w:val="en-US" w:eastAsia="zh-CN" w:bidi="ar-SA"/>
        </w:rPr>
        <w:t>1.</w:t>
      </w:r>
      <w:r>
        <w:rPr>
          <w:rFonts w:hint="eastAsia" w:ascii="Times New Roman" w:hAnsi="Times New Roman" w:eastAsia="宋体" w:cs="宋体"/>
          <w:color w:val="auto"/>
          <w:highlight w:val="none"/>
        </w:rPr>
        <w:t>双方因本合同发生争议的，可协商解决。协商不成的，任何一方可向甲方住所地有管辖权的人民法院提起诉讼。</w:t>
      </w:r>
    </w:p>
    <w:p w14:paraId="751437BB">
      <w:pPr>
        <w:keepNext w:val="0"/>
        <w:keepLines w:val="0"/>
        <w:pageBreakBefore w:val="0"/>
        <w:numPr>
          <w:ilvl w:val="0"/>
          <w:numId w:val="0"/>
        </w:numPr>
        <w:kinsoku/>
        <w:wordWrap/>
        <w:overflowPunct/>
        <w:topLinePunct w:val="0"/>
        <w:bidi w:val="0"/>
        <w:spacing w:line="360" w:lineRule="auto"/>
        <w:ind w:left="0" w:leftChars="0" w:firstLine="480" w:firstLineChars="200"/>
        <w:textAlignment w:val="auto"/>
        <w:rPr>
          <w:rFonts w:ascii="Times New Roman" w:hAnsi="Times New Roman" w:eastAsia="宋体"/>
          <w:color w:val="auto"/>
          <w:highlight w:val="none"/>
        </w:rPr>
      </w:pPr>
      <w:r>
        <w:rPr>
          <w:rFonts w:hint="eastAsia" w:ascii="Times New Roman" w:hAnsi="Times New Roman" w:eastAsia="宋体" w:cs="宋体"/>
          <w:color w:val="auto"/>
          <w:sz w:val="24"/>
          <w:szCs w:val="24"/>
          <w:highlight w:val="none"/>
          <w:lang w:val="en-US" w:eastAsia="zh-CN" w:bidi="ar-SA"/>
        </w:rPr>
        <w:t>2.</w:t>
      </w:r>
      <w:r>
        <w:rPr>
          <w:rFonts w:hint="eastAsia" w:ascii="Times New Roman" w:hAnsi="Times New Roman" w:eastAsia="宋体" w:cs="宋体"/>
          <w:color w:val="auto"/>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r>
        <w:rPr>
          <w:rFonts w:hint="eastAsia" w:ascii="Times New Roman" w:hAnsi="Times New Roman" w:eastAsia="宋体"/>
          <w:color w:val="auto"/>
          <w:highlight w:val="none"/>
        </w:rPr>
        <w:t>。</w:t>
      </w:r>
    </w:p>
    <w:p w14:paraId="23AAF0CE">
      <w:pPr>
        <w:pStyle w:val="56"/>
        <w:keepNext w:val="0"/>
        <w:keepLines w:val="0"/>
        <w:pageBreakBefore w:val="0"/>
        <w:kinsoku/>
        <w:wordWrap/>
        <w:overflowPunct/>
        <w:topLinePunct w:val="0"/>
        <w:bidi w:val="0"/>
        <w:ind w:left="0" w:firstLine="480" w:firstLineChars="200"/>
        <w:textAlignment w:val="auto"/>
        <w:rPr>
          <w:rFonts w:ascii="Times New Roman" w:hAnsi="Times New Roman" w:eastAsia="宋体"/>
          <w:color w:val="auto"/>
          <w:highlight w:val="none"/>
          <w:lang w:val="en-US"/>
        </w:rPr>
      </w:pPr>
    </w:p>
    <w:p w14:paraId="6FE4C9A7">
      <w:pPr>
        <w:pStyle w:val="27"/>
        <w:keepNext w:val="0"/>
        <w:keepLines w:val="0"/>
        <w:pageBreakBefore w:val="0"/>
        <w:numPr>
          <w:ilvl w:val="0"/>
          <w:numId w:val="0"/>
        </w:numPr>
        <w:kinsoku/>
        <w:wordWrap/>
        <w:overflowPunct/>
        <w:topLinePunct w:val="0"/>
        <w:bidi w:val="0"/>
        <w:ind w:left="0" w:leftChars="0" w:firstLine="480" w:firstLineChars="200"/>
        <w:textAlignment w:val="auto"/>
        <w:outlineLvl w:val="1"/>
        <w:rPr>
          <w:rFonts w:ascii="Times New Roman" w:hAnsi="Times New Roman" w:eastAsia="宋体"/>
          <w:b/>
          <w:color w:val="auto"/>
          <w:sz w:val="24"/>
          <w:szCs w:val="24"/>
          <w:highlight w:val="none"/>
        </w:rPr>
      </w:pPr>
      <w:bookmarkStart w:id="21" w:name="_Toc27990844"/>
      <w:r>
        <w:rPr>
          <w:rFonts w:hint="eastAsia" w:ascii="宋体" w:hAnsi="宋体" w:eastAsia="Times New Roman" w:cs="Times New Roman"/>
          <w:b/>
          <w:color w:val="auto"/>
          <w:kern w:val="2"/>
          <w:sz w:val="24"/>
          <w:szCs w:val="31"/>
          <w:highlight w:val="none"/>
          <w:lang w:val="en-US" w:eastAsia="zh-CN" w:bidi="ar-SA"/>
        </w:rPr>
        <w:t xml:space="preserve">第十一条  </w:t>
      </w:r>
      <w:r>
        <w:rPr>
          <w:rFonts w:hint="eastAsia" w:ascii="Times New Roman" w:hAnsi="Times New Roman" w:eastAsia="宋体"/>
          <w:b/>
          <w:color w:val="auto"/>
          <w:sz w:val="24"/>
          <w:szCs w:val="24"/>
          <w:highlight w:val="none"/>
        </w:rPr>
        <w:t>其他</w:t>
      </w:r>
      <w:bookmarkEnd w:id="21"/>
    </w:p>
    <w:p w14:paraId="3718FC10">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1</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548AB6F8">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2</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89A3B08">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3</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本合同一式</w:t>
      </w:r>
      <w:r>
        <w:rPr>
          <w:rFonts w:hint="eastAsia" w:ascii="Times New Roman" w:hAnsi="Times New Roman" w:eastAsia="宋体" w:cs="宋体"/>
          <w:color w:val="auto"/>
          <w:highlight w:val="none"/>
          <w:u w:val="single"/>
        </w:rPr>
        <w:t xml:space="preserve"> 肆 </w:t>
      </w:r>
      <w:r>
        <w:rPr>
          <w:rFonts w:hint="eastAsia" w:ascii="Times New Roman" w:hAnsi="Times New Roman" w:eastAsia="宋体" w:cs="宋体"/>
          <w:color w:val="auto"/>
          <w:highlight w:val="none"/>
        </w:rPr>
        <w:t>份，其中甲方执</w:t>
      </w:r>
      <w:r>
        <w:rPr>
          <w:rFonts w:hint="eastAsia" w:ascii="Times New Roman" w:hAnsi="Times New Roman" w:eastAsia="宋体" w:cs="宋体"/>
          <w:color w:val="auto"/>
          <w:highlight w:val="none"/>
          <w:u w:val="single"/>
        </w:rPr>
        <w:t xml:space="preserve"> 叁 </w:t>
      </w:r>
      <w:r>
        <w:rPr>
          <w:rFonts w:hint="eastAsia" w:ascii="Times New Roman" w:hAnsi="Times New Roman" w:eastAsia="宋体" w:cs="宋体"/>
          <w:color w:val="auto"/>
          <w:highlight w:val="none"/>
        </w:rPr>
        <w:t>份，乙方执</w:t>
      </w:r>
      <w:r>
        <w:rPr>
          <w:rFonts w:hint="eastAsia" w:ascii="Times New Roman" w:hAnsi="Times New Roman" w:eastAsia="宋体" w:cs="宋体"/>
          <w:color w:val="auto"/>
          <w:highlight w:val="none"/>
          <w:u w:val="single"/>
        </w:rPr>
        <w:t xml:space="preserve"> 壹 </w:t>
      </w:r>
      <w:r>
        <w:rPr>
          <w:rFonts w:hint="eastAsia" w:ascii="Times New Roman" w:hAnsi="Times New Roman" w:eastAsia="宋体" w:cs="宋体"/>
          <w:color w:val="auto"/>
          <w:highlight w:val="none"/>
        </w:rPr>
        <w:t>份，每份均具有同等法律效力。</w:t>
      </w:r>
    </w:p>
    <w:p w14:paraId="7FD7942B">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4</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本合同经双方盖章、并由双方法定代表人签字后生效。</w:t>
      </w:r>
    </w:p>
    <w:p w14:paraId="0C5C35E7">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5</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488C9132">
      <w:pPr>
        <w:spacing w:line="360" w:lineRule="auto"/>
        <w:ind w:firstLine="480" w:firstLineChars="200"/>
        <w:rPr>
          <w:rFonts w:ascii="Times New Roman" w:hAnsi="Times New Roman" w:eastAsia="宋体"/>
          <w:color w:val="auto"/>
          <w:highlight w:val="none"/>
        </w:rPr>
      </w:pPr>
    </w:p>
    <w:p w14:paraId="56B9C7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highlight w:val="none"/>
        </w:rPr>
        <w:t>附件：附件一：用户需求书；附件二：安全生产管理协议；附件三：分项报价表；附件四：阳光合作告知函。</w:t>
      </w:r>
    </w:p>
    <w:p w14:paraId="623C70EC">
      <w:pPr>
        <w:pStyle w:val="56"/>
        <w:rPr>
          <w:rFonts w:ascii="Times New Roman" w:hAnsi="Times New Roman" w:eastAsia="宋体"/>
          <w:color w:val="auto"/>
          <w:highlight w:val="none"/>
          <w:lang w:val="en-US"/>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243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3C4FC54">
            <w:pPr>
              <w:spacing w:line="360" w:lineRule="auto"/>
              <w:jc w:val="both"/>
              <w:rPr>
                <w:rFonts w:hint="eastAsia" w:ascii="Times New Roman" w:hAnsi="Times New Roman" w:eastAsia="宋体"/>
                <w:color w:val="auto"/>
                <w:highlight w:val="none"/>
              </w:rPr>
            </w:pPr>
            <w:r>
              <w:rPr>
                <w:rFonts w:hint="eastAsia" w:ascii="Times New Roman" w:hAnsi="Times New Roman" w:eastAsia="宋体"/>
                <w:color w:val="auto"/>
                <w:highlight w:val="none"/>
              </w:rPr>
              <w:t>甲方（盖章）：东莞市尚源环能科技有限公司</w:t>
            </w:r>
          </w:p>
          <w:p w14:paraId="04D4820F">
            <w:pPr>
              <w:spacing w:line="360" w:lineRule="auto"/>
              <w:jc w:val="both"/>
              <w:rPr>
                <w:rFonts w:hint="eastAsia"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7711003F">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乙方（盖章）：</w:t>
            </w:r>
          </w:p>
        </w:tc>
      </w:tr>
      <w:tr w14:paraId="20D3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7ACEA11">
            <w:pPr>
              <w:spacing w:line="360" w:lineRule="auto"/>
              <w:jc w:val="both"/>
              <w:rPr>
                <w:rFonts w:hint="eastAsia" w:ascii="Times New Roman" w:hAnsi="Times New Roman" w:eastAsia="宋体"/>
                <w:color w:val="auto"/>
                <w:highlight w:val="none"/>
              </w:rPr>
            </w:pPr>
          </w:p>
          <w:p w14:paraId="51AC61C9">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法定代表人：</w:t>
            </w:r>
          </w:p>
        </w:tc>
        <w:tc>
          <w:tcPr>
            <w:tcW w:w="5102" w:type="dxa"/>
            <w:tcBorders>
              <w:tl2br w:val="nil"/>
              <w:tr2bl w:val="nil"/>
            </w:tcBorders>
            <w:tcMar>
              <w:top w:w="0" w:type="dxa"/>
              <w:left w:w="57" w:type="dxa"/>
              <w:bottom w:w="0" w:type="dxa"/>
              <w:right w:w="57" w:type="dxa"/>
            </w:tcMar>
          </w:tcPr>
          <w:p w14:paraId="2E65CEC9">
            <w:pPr>
              <w:spacing w:line="360" w:lineRule="auto"/>
              <w:jc w:val="both"/>
              <w:rPr>
                <w:rFonts w:hint="eastAsia" w:ascii="Times New Roman" w:hAnsi="Times New Roman" w:eastAsia="宋体"/>
                <w:color w:val="auto"/>
                <w:highlight w:val="none"/>
              </w:rPr>
            </w:pPr>
          </w:p>
          <w:p w14:paraId="5D304BA9">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法定代表人：</w:t>
            </w:r>
          </w:p>
        </w:tc>
      </w:tr>
      <w:tr w14:paraId="6CB0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04F82D9">
            <w:pPr>
              <w:spacing w:line="360" w:lineRule="auto"/>
              <w:jc w:val="both"/>
              <w:rPr>
                <w:rFonts w:hint="eastAsia" w:ascii="Times New Roman" w:hAnsi="Times New Roman" w:eastAsia="宋体"/>
                <w:color w:val="auto"/>
                <w:highlight w:val="none"/>
              </w:rPr>
            </w:pPr>
          </w:p>
          <w:p w14:paraId="6DA0A0CA">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地址：广东省东莞市沙田镇立沙中路</w:t>
            </w:r>
          </w:p>
        </w:tc>
        <w:tc>
          <w:tcPr>
            <w:tcW w:w="5102" w:type="dxa"/>
            <w:tcBorders>
              <w:tl2br w:val="nil"/>
              <w:tr2bl w:val="nil"/>
            </w:tcBorders>
            <w:tcMar>
              <w:top w:w="0" w:type="dxa"/>
              <w:left w:w="57" w:type="dxa"/>
              <w:bottom w:w="0" w:type="dxa"/>
              <w:right w:w="57" w:type="dxa"/>
            </w:tcMar>
          </w:tcPr>
          <w:p w14:paraId="3B152698">
            <w:pPr>
              <w:spacing w:line="360" w:lineRule="auto"/>
              <w:ind w:left="720" w:hanging="720" w:hangingChars="300"/>
              <w:jc w:val="both"/>
              <w:rPr>
                <w:rFonts w:hint="eastAsia" w:ascii="Times New Roman" w:hAnsi="Times New Roman" w:eastAsia="宋体"/>
                <w:color w:val="auto"/>
                <w:highlight w:val="none"/>
              </w:rPr>
            </w:pPr>
          </w:p>
          <w:p w14:paraId="464553E7">
            <w:pPr>
              <w:spacing w:line="360" w:lineRule="auto"/>
              <w:ind w:left="720" w:hanging="720" w:hangingChars="300"/>
              <w:jc w:val="both"/>
              <w:rPr>
                <w:rFonts w:ascii="Times New Roman" w:hAnsi="Times New Roman" w:eastAsia="宋体"/>
                <w:color w:val="auto"/>
                <w:highlight w:val="none"/>
              </w:rPr>
            </w:pPr>
            <w:r>
              <w:rPr>
                <w:rFonts w:hint="eastAsia" w:ascii="Times New Roman" w:hAnsi="Times New Roman" w:eastAsia="宋体"/>
                <w:color w:val="auto"/>
                <w:highlight w:val="none"/>
              </w:rPr>
              <w:t>地址：</w:t>
            </w:r>
          </w:p>
        </w:tc>
      </w:tr>
      <w:tr w14:paraId="5FA7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E544F52">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1373E1B8">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电话：</w:t>
            </w:r>
          </w:p>
        </w:tc>
      </w:tr>
      <w:tr w14:paraId="2EDD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911261B">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11EF92C2">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名称：</w:t>
            </w:r>
          </w:p>
        </w:tc>
      </w:tr>
      <w:tr w14:paraId="303C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EC49236">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2629E4D4">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开户银行：</w:t>
            </w:r>
          </w:p>
        </w:tc>
      </w:tr>
      <w:tr w14:paraId="7C28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9AA71C2">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3ADAEFA7">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银行账号：</w:t>
            </w:r>
          </w:p>
        </w:tc>
      </w:tr>
      <w:tr w14:paraId="5AFC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CC6BE94">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2F89F807">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税号：</w:t>
            </w:r>
          </w:p>
        </w:tc>
      </w:tr>
    </w:tbl>
    <w:p w14:paraId="33B28A10">
      <w:pPr>
        <w:spacing w:line="360" w:lineRule="auto"/>
        <w:rPr>
          <w:rFonts w:ascii="Times New Roman" w:hAnsi="Times New Roman" w:eastAsia="宋体"/>
          <w:color w:val="auto"/>
          <w:highlight w:val="none"/>
        </w:rPr>
      </w:pPr>
    </w:p>
    <w:p w14:paraId="485C623E">
      <w:pPr>
        <w:spacing w:line="360" w:lineRule="auto"/>
        <w:rPr>
          <w:rFonts w:hint="eastAsia" w:ascii="Times New Roman" w:hAnsi="Times New Roman" w:eastAsia="宋体"/>
          <w:color w:val="auto"/>
          <w:highlight w:val="none"/>
        </w:rPr>
      </w:pPr>
      <w:r>
        <w:rPr>
          <w:rFonts w:hint="eastAsia" w:ascii="Times New Roman" w:hAnsi="Times New Roman" w:eastAsia="宋体"/>
          <w:color w:val="auto"/>
          <w:highlight w:val="none"/>
        </w:rPr>
        <w:t xml:space="preserve">签订日期： </w:t>
      </w:r>
    </w:p>
    <w:p w14:paraId="7B3F1694">
      <w:pPr>
        <w:spacing w:line="360" w:lineRule="auto"/>
        <w:rPr>
          <w:rFonts w:hint="eastAsia" w:ascii="Times New Roman" w:hAnsi="Times New Roman" w:eastAsia="宋体"/>
          <w:color w:val="auto"/>
          <w:highlight w:val="none"/>
        </w:rPr>
        <w:sectPr>
          <w:footerReference r:id="rId9" w:type="first"/>
          <w:footerReference r:id="rId7" w:type="default"/>
          <w:footerReference r:id="rId8" w:type="even"/>
          <w:pgSz w:w="12240" w:h="15840"/>
          <w:pgMar w:top="1191" w:right="1357"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Times New Roman" w:hAnsi="Times New Roman" w:eastAsia="宋体"/>
          <w:color w:val="auto"/>
          <w:highlight w:val="none"/>
        </w:rPr>
        <w:t>签订地点：广东省东莞市</w:t>
      </w:r>
    </w:p>
    <w:p w14:paraId="3175CEAB">
      <w:pPr>
        <w:pageBreakBefore/>
        <w:spacing w:line="600" w:lineRule="exact"/>
        <w:outlineLvl w:val="1"/>
        <w:rPr>
          <w:rFonts w:ascii="Times New Roman" w:hAnsi="Times New Roman" w:eastAsia="宋体"/>
          <w:color w:val="auto"/>
          <w:sz w:val="32"/>
          <w:szCs w:val="32"/>
          <w:highlight w:val="none"/>
        </w:rPr>
      </w:pPr>
      <w:r>
        <w:rPr>
          <w:rFonts w:hint="eastAsia" w:ascii="Times New Roman" w:hAnsi="Times New Roman" w:eastAsia="宋体" w:cs="仿宋_GB2312"/>
          <w:b/>
          <w:bCs/>
          <w:color w:val="auto"/>
          <w:sz w:val="28"/>
          <w:szCs w:val="28"/>
          <w:highlight w:val="none"/>
        </w:rPr>
        <w:t>附件</w:t>
      </w:r>
      <w:r>
        <w:rPr>
          <w:rFonts w:hint="eastAsia" w:ascii="Times New Roman" w:cs="仿宋_GB2312"/>
          <w:b/>
          <w:bCs/>
          <w:color w:val="auto"/>
          <w:sz w:val="28"/>
          <w:szCs w:val="28"/>
          <w:highlight w:val="none"/>
          <w:lang w:val="en-US" w:eastAsia="zh-CN"/>
        </w:rPr>
        <w:t>一</w:t>
      </w:r>
      <w:r>
        <w:rPr>
          <w:rFonts w:hint="eastAsia" w:ascii="Times New Roman" w:hAnsi="Times New Roman" w:eastAsia="宋体"/>
          <w:b/>
          <w:color w:val="auto"/>
          <w:highlight w:val="none"/>
        </w:rPr>
        <w:t>：</w:t>
      </w:r>
    </w:p>
    <w:p w14:paraId="5AC8F900">
      <w:pPr>
        <w:pStyle w:val="8"/>
        <w:jc w:val="center"/>
        <w:rPr>
          <w:rFonts w:ascii="Times New Roman" w:hAnsi="Times New Roman" w:eastAsia="宋体" w:cs="方正公文小标宋"/>
          <w:b/>
          <w:bCs/>
          <w:color w:val="auto"/>
          <w:sz w:val="36"/>
          <w:szCs w:val="36"/>
          <w:highlight w:val="none"/>
          <w:lang w:val="en-US"/>
        </w:rPr>
      </w:pPr>
      <w:r>
        <w:rPr>
          <w:rFonts w:hint="eastAsia" w:ascii="Times New Roman" w:hAnsi="Times New Roman" w:eastAsia="宋体" w:cs="方正公文小标宋"/>
          <w:b/>
          <w:bCs/>
          <w:color w:val="auto"/>
          <w:sz w:val="36"/>
          <w:szCs w:val="36"/>
          <w:highlight w:val="none"/>
        </w:rPr>
        <w:t>用户需求</w:t>
      </w:r>
      <w:r>
        <w:rPr>
          <w:rFonts w:hint="eastAsia" w:ascii="Times New Roman" w:hAnsi="Times New Roman" w:eastAsia="宋体" w:cs="方正公文小标宋"/>
          <w:b/>
          <w:bCs/>
          <w:color w:val="auto"/>
          <w:sz w:val="36"/>
          <w:szCs w:val="36"/>
          <w:highlight w:val="none"/>
          <w:lang w:val="en-US"/>
        </w:rPr>
        <w:t>书</w:t>
      </w:r>
    </w:p>
    <w:p w14:paraId="6B056085">
      <w:pPr>
        <w:autoSpaceDE/>
        <w:autoSpaceDN/>
        <w:adjustRightInd/>
        <w:spacing w:line="360" w:lineRule="auto"/>
        <w:ind w:firstLine="422" w:firstLineChars="200"/>
        <w:jc w:val="both"/>
        <w:rPr>
          <w:rFonts w:ascii="Times New Roman" w:hAnsi="Times New Roman" w:eastAsia="宋体" w:cs="宋体"/>
          <w:b/>
          <w:bCs/>
          <w:color w:val="auto"/>
          <w:kern w:val="2"/>
          <w:sz w:val="21"/>
          <w:szCs w:val="21"/>
          <w:highlight w:val="none"/>
        </w:rPr>
      </w:pPr>
    </w:p>
    <w:p w14:paraId="4854C142">
      <w:pPr>
        <w:autoSpaceDE/>
        <w:autoSpaceDN/>
        <w:adjustRightInd/>
        <w:spacing w:line="360" w:lineRule="auto"/>
        <w:ind w:firstLine="482"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b/>
          <w:bCs/>
          <w:color w:val="auto"/>
          <w:kern w:val="2"/>
          <w:sz w:val="24"/>
          <w:szCs w:val="24"/>
          <w:highlight w:val="none"/>
        </w:rPr>
        <w:t>一、总体要求</w:t>
      </w:r>
    </w:p>
    <w:p w14:paraId="7686CD07">
      <w:pPr>
        <w:autoSpaceDE/>
        <w:autoSpaceDN/>
        <w:adjustRightInd/>
        <w:spacing w:before="50" w:after="6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rPr>
        <w:t>供货单位所供相关化学药剂适用于循环冷却水、除盐水、废水处理系统，满足相关系统的正常运行</w:t>
      </w:r>
      <w:r>
        <w:rPr>
          <w:rFonts w:ascii="Times New Roman" w:hAnsi="Times New Roman" w:eastAsia="宋体" w:cs="宋体"/>
          <w:color w:val="auto"/>
          <w:sz w:val="24"/>
          <w:szCs w:val="24"/>
          <w:highlight w:val="none"/>
        </w:rPr>
        <w:t>。</w:t>
      </w:r>
    </w:p>
    <w:p w14:paraId="2C746D65">
      <w:pPr>
        <w:autoSpaceDE/>
        <w:autoSpaceDN/>
        <w:adjustRightInd/>
        <w:spacing w:before="50" w:after="6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b/>
          <w:bCs/>
          <w:color w:val="auto"/>
          <w:sz w:val="24"/>
          <w:szCs w:val="24"/>
          <w:highlight w:val="none"/>
        </w:rPr>
        <w:t>具体供货量根据实际运营需求，并结合采购人使用成交单位提供的药剂样品所做的小试及实际使用后的情况确定。</w:t>
      </w:r>
    </w:p>
    <w:p w14:paraId="09958C3E">
      <w:pPr>
        <w:autoSpaceDE/>
        <w:autoSpaceDN/>
        <w:adjustRightInd/>
        <w:spacing w:line="360" w:lineRule="auto"/>
        <w:ind w:firstLine="480" w:firstLineChars="200"/>
        <w:jc w:val="both"/>
        <w:rPr>
          <w:rFonts w:hint="eastAsia" w:ascii="Times New Roman" w:hAnsi="Times New Roman" w:eastAsia="宋体" w:cs="宋体"/>
          <w:color w:val="auto"/>
          <w:kern w:val="2"/>
          <w:sz w:val="24"/>
          <w:szCs w:val="24"/>
          <w:highlight w:val="none"/>
        </w:rPr>
      </w:pPr>
      <w:r>
        <w:rPr>
          <w:rFonts w:hint="eastAsia" w:ascii="Times New Roman" w:hAnsi="Times New Roman" w:eastAsia="宋体" w:cs="宋体"/>
          <w:color w:val="auto"/>
          <w:sz w:val="24"/>
          <w:szCs w:val="24"/>
          <w:highlight w:val="none"/>
        </w:rPr>
        <w:t>3.供货期：自合同签订之日至2026年12月31日</w:t>
      </w:r>
      <w:r>
        <w:rPr>
          <w:rFonts w:hint="eastAsia" w:ascii="Times New Roman" w:hAnsi="Times New Roman" w:eastAsia="宋体" w:cs="宋体"/>
          <w:color w:val="auto"/>
          <w:kern w:val="2"/>
          <w:sz w:val="24"/>
          <w:szCs w:val="24"/>
          <w:highlight w:val="none"/>
        </w:rPr>
        <w:t>，具体供货产品及供货起始日期以采购人书面通知为准，供货单位收到采购人通知后必须无条件按照采购人的要求开始供货。</w:t>
      </w:r>
    </w:p>
    <w:p w14:paraId="3C9AE722">
      <w:pPr>
        <w:autoSpaceDE/>
        <w:autoSpaceDN/>
        <w:adjustRightInd/>
        <w:spacing w:line="360" w:lineRule="auto"/>
        <w:ind w:firstLine="480" w:firstLineChars="200"/>
        <w:jc w:val="both"/>
        <w:rPr>
          <w:rFonts w:hint="default" w:ascii="Times New Roman" w:hAnsi="Times New Roman" w:eastAsia="宋体" w:cs="宋体"/>
          <w:color w:val="auto"/>
          <w:kern w:val="2"/>
          <w:sz w:val="24"/>
          <w:szCs w:val="24"/>
          <w:highlight w:val="none"/>
          <w:lang w:val="en-US" w:eastAsia="zh-CN"/>
        </w:rPr>
      </w:pPr>
      <w:r>
        <w:rPr>
          <w:rFonts w:hint="eastAsia" w:ascii="Times New Roman" w:hAnsi="Times New Roman" w:eastAsia="宋体" w:cs="宋体"/>
          <w:color w:val="auto"/>
          <w:kern w:val="2"/>
          <w:sz w:val="24"/>
          <w:szCs w:val="24"/>
          <w:highlight w:val="none"/>
          <w:lang w:val="en-US" w:eastAsia="zh-CN"/>
        </w:rPr>
        <w:t>4.采购预算：188,023.89元（不含税）</w:t>
      </w:r>
    </w:p>
    <w:p w14:paraId="1A091237">
      <w:pPr>
        <w:autoSpaceDE/>
        <w:autoSpaceDN/>
        <w:adjustRightInd/>
        <w:spacing w:line="360" w:lineRule="auto"/>
        <w:ind w:firstLine="482" w:firstLineChars="200"/>
        <w:jc w:val="both"/>
        <w:rPr>
          <w:rFonts w:ascii="Times New Roman" w:hAnsi="Times New Roman" w:eastAsia="宋体" w:cs="宋体"/>
          <w:b/>
          <w:bCs/>
          <w:color w:val="auto"/>
          <w:kern w:val="2"/>
          <w:sz w:val="24"/>
          <w:szCs w:val="24"/>
          <w:highlight w:val="none"/>
        </w:rPr>
      </w:pPr>
      <w:r>
        <w:rPr>
          <w:rFonts w:hint="eastAsia" w:ascii="Times New Roman" w:hAnsi="Times New Roman" w:eastAsia="宋体" w:cs="宋体"/>
          <w:b/>
          <w:bCs/>
          <w:color w:val="auto"/>
          <w:kern w:val="2"/>
          <w:sz w:val="24"/>
          <w:szCs w:val="24"/>
          <w:highlight w:val="none"/>
        </w:rPr>
        <w:t>二、药剂要求</w:t>
      </w:r>
    </w:p>
    <w:p w14:paraId="690C8E1C">
      <w:pPr>
        <w:spacing w:line="360" w:lineRule="auto"/>
        <w:ind w:firstLine="480"/>
        <w:jc w:val="both"/>
        <w:rPr>
          <w:rFonts w:ascii="Times New Roman" w:hAnsi="Times New Roman" w:eastAsia="宋体" w:cstheme="minorBidi"/>
          <w:color w:val="auto"/>
          <w:kern w:val="2"/>
          <w:sz w:val="24"/>
          <w:szCs w:val="24"/>
          <w:highlight w:val="none"/>
        </w:rPr>
      </w:pPr>
      <w:r>
        <w:rPr>
          <w:rFonts w:hint="eastAsia" w:ascii="Times New Roman" w:hAnsi="Times New Roman" w:eastAsia="宋体" w:cstheme="minorBidi"/>
          <w:color w:val="auto"/>
          <w:kern w:val="2"/>
          <w:sz w:val="24"/>
          <w:szCs w:val="24"/>
          <w:highlight w:val="none"/>
        </w:rPr>
        <w:t>1</w:t>
      </w:r>
      <w:r>
        <w:rPr>
          <w:rFonts w:hint="eastAsia" w:ascii="Times New Roman" w:hAnsi="Times New Roman" w:eastAsia="宋体" w:cstheme="minorBidi"/>
          <w:color w:val="auto"/>
          <w:kern w:val="2"/>
          <w:sz w:val="24"/>
          <w:szCs w:val="24"/>
          <w:highlight w:val="none"/>
          <w:lang w:val="en-US" w:eastAsia="zh-CN"/>
        </w:rPr>
        <w:t>.</w:t>
      </w:r>
      <w:r>
        <w:rPr>
          <w:rFonts w:hint="eastAsia" w:ascii="Times New Roman" w:hAnsi="Times New Roman" w:eastAsia="宋体" w:cstheme="minorBidi"/>
          <w:color w:val="auto"/>
          <w:kern w:val="2"/>
          <w:sz w:val="24"/>
          <w:szCs w:val="24"/>
          <w:highlight w:val="none"/>
        </w:rPr>
        <w:t>药剂基本信息及要求</w:t>
      </w:r>
    </w:p>
    <w:tbl>
      <w:tblPr>
        <w:tblStyle w:val="21"/>
        <w:tblW w:w="9745"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587"/>
        <w:gridCol w:w="1316"/>
        <w:gridCol w:w="937"/>
        <w:gridCol w:w="2319"/>
        <w:gridCol w:w="732"/>
        <w:gridCol w:w="1239"/>
        <w:gridCol w:w="1105"/>
      </w:tblGrid>
      <w:tr w14:paraId="63FC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10" w:type="dxa"/>
            <w:vAlign w:val="center"/>
          </w:tcPr>
          <w:p w14:paraId="21B4C8FA">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序号</w:t>
            </w:r>
          </w:p>
        </w:tc>
        <w:tc>
          <w:tcPr>
            <w:tcW w:w="1587" w:type="dxa"/>
            <w:vAlign w:val="center"/>
          </w:tcPr>
          <w:p w14:paraId="2F8EDB83">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药剂名称</w:t>
            </w:r>
          </w:p>
        </w:tc>
        <w:tc>
          <w:tcPr>
            <w:tcW w:w="1316" w:type="dxa"/>
            <w:vAlign w:val="center"/>
          </w:tcPr>
          <w:p w14:paraId="16880F61">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使用系统</w:t>
            </w:r>
          </w:p>
        </w:tc>
        <w:tc>
          <w:tcPr>
            <w:tcW w:w="937" w:type="dxa"/>
            <w:vAlign w:val="center"/>
          </w:tcPr>
          <w:p w14:paraId="7CC2A718">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性状</w:t>
            </w:r>
          </w:p>
        </w:tc>
        <w:tc>
          <w:tcPr>
            <w:tcW w:w="2319" w:type="dxa"/>
            <w:vAlign w:val="center"/>
          </w:tcPr>
          <w:p w14:paraId="52914006">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药剂储运方案</w:t>
            </w:r>
          </w:p>
        </w:tc>
        <w:tc>
          <w:tcPr>
            <w:tcW w:w="732" w:type="dxa"/>
            <w:vAlign w:val="center"/>
          </w:tcPr>
          <w:p w14:paraId="29520D35">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包装形式</w:t>
            </w:r>
          </w:p>
        </w:tc>
        <w:tc>
          <w:tcPr>
            <w:tcW w:w="1239" w:type="dxa"/>
            <w:vAlign w:val="center"/>
          </w:tcPr>
          <w:p w14:paraId="4BD17ABA">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暂定用量</w:t>
            </w:r>
          </w:p>
          <w:p w14:paraId="3E5E0E8F">
            <w:pPr>
              <w:widowControl/>
              <w:jc w:val="center"/>
              <w:textAlignment w:val="center"/>
              <w:rPr>
                <w:rFonts w:ascii="Times New Roman" w:hAnsi="Times New Roman" w:eastAsia="宋体" w:cs="宋体"/>
                <w:color w:val="auto"/>
                <w:sz w:val="24"/>
                <w:szCs w:val="24"/>
                <w:highlight w:val="none"/>
                <w:lang w:bidi="ar"/>
              </w:rPr>
            </w:pPr>
            <w:bookmarkStart w:id="22" w:name="OLE_LINK6"/>
            <w:r>
              <w:rPr>
                <w:rFonts w:hint="eastAsia" w:ascii="Times New Roman" w:hAnsi="Times New Roman" w:eastAsia="宋体" w:cs="宋体"/>
                <w:color w:val="auto"/>
                <w:sz w:val="24"/>
                <w:szCs w:val="24"/>
                <w:highlight w:val="none"/>
                <w:lang w:bidi="ar"/>
              </w:rPr>
              <w:t>（T）</w:t>
            </w:r>
            <w:bookmarkEnd w:id="22"/>
          </w:p>
        </w:tc>
        <w:tc>
          <w:tcPr>
            <w:tcW w:w="1105" w:type="dxa"/>
            <w:vAlign w:val="center"/>
          </w:tcPr>
          <w:p w14:paraId="39614763">
            <w:pPr>
              <w:pStyle w:val="8"/>
              <w:jc w:val="center"/>
              <w:rPr>
                <w:rFonts w:ascii="Times New Roman" w:hAnsi="Times New Roman" w:eastAsia="宋体" w:cs="宋体"/>
                <w:b w:val="0"/>
                <w:bCs w:val="0"/>
                <w:color w:val="auto"/>
                <w:sz w:val="24"/>
                <w:szCs w:val="24"/>
                <w:highlight w:val="none"/>
                <w:lang w:val="en-US" w:bidi="ar"/>
              </w:rPr>
            </w:pPr>
            <w:r>
              <w:rPr>
                <w:rFonts w:hint="eastAsia" w:ascii="Times New Roman" w:hAnsi="Times New Roman" w:eastAsia="宋体" w:cs="宋体"/>
                <w:b w:val="0"/>
                <w:bCs w:val="0"/>
                <w:color w:val="auto"/>
                <w:sz w:val="24"/>
                <w:szCs w:val="24"/>
                <w:highlight w:val="none"/>
                <w:lang w:val="en-US" w:bidi="ar"/>
              </w:rPr>
              <w:t>备注</w:t>
            </w:r>
          </w:p>
        </w:tc>
      </w:tr>
      <w:tr w14:paraId="287D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10" w:type="dxa"/>
            <w:vAlign w:val="center"/>
          </w:tcPr>
          <w:p w14:paraId="64FDA52A">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lang w:bidi="ar"/>
              </w:rPr>
              <w:t>1</w:t>
            </w:r>
          </w:p>
        </w:tc>
        <w:tc>
          <w:tcPr>
            <w:tcW w:w="1587" w:type="dxa"/>
            <w:vAlign w:val="center"/>
          </w:tcPr>
          <w:p w14:paraId="71B633EA">
            <w:pPr>
              <w:widowControl/>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阻垢缓蚀剂</w:t>
            </w:r>
          </w:p>
        </w:tc>
        <w:tc>
          <w:tcPr>
            <w:tcW w:w="1316" w:type="dxa"/>
            <w:vAlign w:val="center"/>
          </w:tcPr>
          <w:p w14:paraId="75F29B47">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循环水</w:t>
            </w:r>
          </w:p>
        </w:tc>
        <w:tc>
          <w:tcPr>
            <w:tcW w:w="937" w:type="dxa"/>
            <w:vAlign w:val="center"/>
          </w:tcPr>
          <w:p w14:paraId="773BFBFC">
            <w:pPr>
              <w:widowControl/>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液体</w:t>
            </w:r>
          </w:p>
        </w:tc>
        <w:tc>
          <w:tcPr>
            <w:tcW w:w="2319" w:type="dxa"/>
            <w:vAlign w:val="center"/>
          </w:tcPr>
          <w:p w14:paraId="533EE2DD">
            <w:pPr>
              <w:widowControl/>
              <w:jc w:val="center"/>
              <w:textAlignment w:val="center"/>
              <w:rPr>
                <w:rFonts w:hint="eastAsia"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1</w:t>
            </w:r>
            <w:r>
              <w:rPr>
                <w:rFonts w:hint="eastAsia" w:ascii="Times New Roman" w:hAnsi="Times New Roman" w:eastAsia="宋体" w:cs="宋体"/>
                <w:color w:val="auto"/>
                <w:sz w:val="24"/>
                <w:szCs w:val="24"/>
                <w:highlight w:val="none"/>
                <w:lang w:val="en-US" w:eastAsia="zh-CN" w:bidi="ar"/>
              </w:rPr>
              <w:t>m³配制罐</w:t>
            </w:r>
          </w:p>
        </w:tc>
        <w:tc>
          <w:tcPr>
            <w:tcW w:w="732" w:type="dxa"/>
            <w:vAlign w:val="center"/>
          </w:tcPr>
          <w:p w14:paraId="2E921CEA">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bidi="ar"/>
              </w:rPr>
              <w:t>桶</w:t>
            </w:r>
            <w:r>
              <w:rPr>
                <w:rFonts w:hint="eastAsia" w:ascii="Times New Roman" w:hAnsi="Times New Roman" w:eastAsia="宋体" w:cs="宋体"/>
                <w:color w:val="auto"/>
                <w:sz w:val="24"/>
                <w:szCs w:val="24"/>
                <w:highlight w:val="none"/>
                <w:lang w:bidi="ar"/>
              </w:rPr>
              <w:t>装</w:t>
            </w:r>
          </w:p>
        </w:tc>
        <w:tc>
          <w:tcPr>
            <w:tcW w:w="1239" w:type="dxa"/>
            <w:vAlign w:val="center"/>
          </w:tcPr>
          <w:p w14:paraId="366C14AD">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bidi="ar"/>
              </w:rPr>
              <w:t xml:space="preserve">15.8 </w:t>
            </w:r>
          </w:p>
        </w:tc>
        <w:tc>
          <w:tcPr>
            <w:tcW w:w="1105" w:type="dxa"/>
            <w:vAlign w:val="center"/>
          </w:tcPr>
          <w:p w14:paraId="6B61F841">
            <w:pPr>
              <w:widowControl/>
              <w:jc w:val="center"/>
              <w:textAlignment w:val="center"/>
              <w:rPr>
                <w:rFonts w:ascii="Times New Roman" w:hAnsi="Times New Roman" w:eastAsia="宋体" w:cs="宋体"/>
                <w:color w:val="auto"/>
                <w:sz w:val="24"/>
                <w:szCs w:val="24"/>
                <w:highlight w:val="none"/>
                <w:lang w:bidi="ar"/>
              </w:rPr>
            </w:pPr>
          </w:p>
        </w:tc>
      </w:tr>
      <w:tr w14:paraId="24CF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D70E4BF">
            <w:pPr>
              <w:widowControl/>
              <w:jc w:val="center"/>
              <w:textAlignment w:val="center"/>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
                <w:bCs/>
                <w:color w:val="auto"/>
                <w:sz w:val="24"/>
                <w:szCs w:val="24"/>
                <w:highlight w:val="none"/>
                <w:lang w:val="en-US" w:eastAsia="zh-CN" w:bidi="ar"/>
              </w:rPr>
              <w:t>2</w:t>
            </w:r>
          </w:p>
        </w:tc>
        <w:tc>
          <w:tcPr>
            <w:tcW w:w="1587" w:type="dxa"/>
            <w:vAlign w:val="center"/>
          </w:tcPr>
          <w:p w14:paraId="3F041973">
            <w:pPr>
              <w:widowControl/>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亚硫酸氢钠</w:t>
            </w:r>
          </w:p>
        </w:tc>
        <w:tc>
          <w:tcPr>
            <w:tcW w:w="1316" w:type="dxa"/>
            <w:vAlign w:val="center"/>
          </w:tcPr>
          <w:p w14:paraId="1B51351C">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除盐水、废水</w:t>
            </w:r>
          </w:p>
        </w:tc>
        <w:tc>
          <w:tcPr>
            <w:tcW w:w="937" w:type="dxa"/>
            <w:vAlign w:val="center"/>
          </w:tcPr>
          <w:p w14:paraId="156F2EF8">
            <w:pPr>
              <w:widowControl/>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固体</w:t>
            </w:r>
          </w:p>
        </w:tc>
        <w:tc>
          <w:tcPr>
            <w:tcW w:w="2319" w:type="dxa"/>
            <w:vAlign w:val="center"/>
          </w:tcPr>
          <w:p w14:paraId="6569919F">
            <w:pPr>
              <w:widowControl/>
              <w:jc w:val="center"/>
              <w:textAlignment w:val="center"/>
              <w:rPr>
                <w:rFonts w:hint="eastAsia"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bidi="ar"/>
              </w:rPr>
              <w:t>200L配置罐</w:t>
            </w:r>
            <w:r>
              <w:rPr>
                <w:rFonts w:hint="eastAsia" w:ascii="Times New Roman" w:hAnsi="Times New Roman" w:eastAsia="宋体" w:cs="宋体"/>
                <w:color w:val="auto"/>
                <w:sz w:val="24"/>
                <w:szCs w:val="24"/>
                <w:highlight w:val="none"/>
                <w:lang w:eastAsia="zh-CN" w:bidi="ar"/>
              </w:rPr>
              <w:t>（</w:t>
            </w:r>
            <w:r>
              <w:rPr>
                <w:rFonts w:hint="eastAsia" w:ascii="Times New Roman" w:hAnsi="Times New Roman" w:eastAsia="宋体" w:cs="宋体"/>
                <w:color w:val="auto"/>
                <w:sz w:val="24"/>
                <w:szCs w:val="24"/>
                <w:highlight w:val="none"/>
                <w:lang w:val="en-US" w:eastAsia="zh-CN" w:bidi="ar"/>
              </w:rPr>
              <w:t>除盐水</w:t>
            </w:r>
            <w:r>
              <w:rPr>
                <w:rFonts w:hint="eastAsia" w:ascii="Times New Roman" w:hAnsi="Times New Roman" w:eastAsia="宋体" w:cs="宋体"/>
                <w:color w:val="auto"/>
                <w:sz w:val="24"/>
                <w:szCs w:val="24"/>
                <w:highlight w:val="none"/>
                <w:lang w:eastAsia="zh-CN" w:bidi="ar"/>
              </w:rPr>
              <w:t>），</w:t>
            </w:r>
            <w:r>
              <w:rPr>
                <w:rFonts w:hint="eastAsia" w:ascii="Times New Roman" w:hAnsi="Times New Roman" w:eastAsia="宋体" w:cs="宋体"/>
                <w:color w:val="auto"/>
                <w:sz w:val="24"/>
                <w:szCs w:val="24"/>
                <w:highlight w:val="none"/>
                <w:lang w:val="en-US" w:eastAsia="zh-CN" w:bidi="ar"/>
              </w:rPr>
              <w:t>1m³配制罐（废水）</w:t>
            </w:r>
          </w:p>
        </w:tc>
        <w:tc>
          <w:tcPr>
            <w:tcW w:w="732" w:type="dxa"/>
            <w:vAlign w:val="center"/>
          </w:tcPr>
          <w:p w14:paraId="1E045D13">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bidi="ar"/>
              </w:rPr>
              <w:t>袋装</w:t>
            </w:r>
          </w:p>
        </w:tc>
        <w:tc>
          <w:tcPr>
            <w:tcW w:w="1239" w:type="dxa"/>
            <w:vAlign w:val="center"/>
          </w:tcPr>
          <w:p w14:paraId="2873735A">
            <w:pPr>
              <w:widowControl/>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bidi="ar"/>
              </w:rPr>
              <w:t xml:space="preserve">2.4 </w:t>
            </w:r>
          </w:p>
        </w:tc>
        <w:tc>
          <w:tcPr>
            <w:tcW w:w="1105" w:type="dxa"/>
            <w:vAlign w:val="center"/>
          </w:tcPr>
          <w:p w14:paraId="701D082D">
            <w:pPr>
              <w:widowControl/>
              <w:jc w:val="center"/>
              <w:textAlignment w:val="center"/>
              <w:rPr>
                <w:rFonts w:ascii="Times New Roman" w:hAnsi="Times New Roman" w:eastAsia="宋体" w:cs="宋体"/>
                <w:color w:val="auto"/>
                <w:sz w:val="24"/>
                <w:szCs w:val="24"/>
                <w:highlight w:val="none"/>
                <w:lang w:bidi="ar"/>
              </w:rPr>
            </w:pPr>
          </w:p>
        </w:tc>
      </w:tr>
      <w:tr w14:paraId="584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10" w:type="dxa"/>
            <w:vAlign w:val="center"/>
          </w:tcPr>
          <w:p w14:paraId="31A8419C">
            <w:pPr>
              <w:widowControl/>
              <w:jc w:val="center"/>
              <w:textAlignment w:val="center"/>
              <w:rPr>
                <w:rFonts w:hint="default"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3</w:t>
            </w:r>
          </w:p>
        </w:tc>
        <w:tc>
          <w:tcPr>
            <w:tcW w:w="1587" w:type="dxa"/>
            <w:vAlign w:val="center"/>
          </w:tcPr>
          <w:p w14:paraId="1EE9C41B">
            <w:pPr>
              <w:widowControl/>
              <w:jc w:val="both"/>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固体柠檬酸</w:t>
            </w:r>
          </w:p>
        </w:tc>
        <w:tc>
          <w:tcPr>
            <w:tcW w:w="1316" w:type="dxa"/>
            <w:vAlign w:val="center"/>
          </w:tcPr>
          <w:p w14:paraId="09150FC3">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除盐水</w:t>
            </w:r>
          </w:p>
        </w:tc>
        <w:tc>
          <w:tcPr>
            <w:tcW w:w="937" w:type="dxa"/>
            <w:vAlign w:val="center"/>
          </w:tcPr>
          <w:p w14:paraId="080A580D">
            <w:pPr>
              <w:widowControl/>
              <w:jc w:val="center"/>
              <w:textAlignment w:val="center"/>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val="en-US" w:eastAsia="zh-CN"/>
              </w:rPr>
              <w:t>固体</w:t>
            </w:r>
          </w:p>
        </w:tc>
        <w:tc>
          <w:tcPr>
            <w:tcW w:w="2319" w:type="dxa"/>
            <w:vAlign w:val="center"/>
          </w:tcPr>
          <w:p w14:paraId="0FE0A4A5">
            <w:pPr>
              <w:widowControl/>
              <w:jc w:val="center"/>
              <w:textAlignment w:val="center"/>
              <w:rPr>
                <w:rFonts w:hint="eastAsia"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val="en-US" w:eastAsia="zh-CN" w:bidi="ar"/>
              </w:rPr>
              <w:t>/</w:t>
            </w:r>
          </w:p>
        </w:tc>
        <w:tc>
          <w:tcPr>
            <w:tcW w:w="732" w:type="dxa"/>
            <w:vAlign w:val="center"/>
          </w:tcPr>
          <w:p w14:paraId="38191114">
            <w:pPr>
              <w:widowControl/>
              <w:jc w:val="center"/>
              <w:textAlignment w:val="center"/>
              <w:rPr>
                <w:rFonts w:ascii="Times New Roman" w:hAnsi="Times New Roman" w:eastAsia="宋体" w:cs="宋体"/>
                <w:color w:val="auto"/>
                <w:sz w:val="24"/>
                <w:szCs w:val="24"/>
                <w:highlight w:val="none"/>
                <w:lang w:bidi="ar"/>
              </w:rPr>
            </w:pPr>
            <w:r>
              <w:rPr>
                <w:rFonts w:hint="eastAsia" w:ascii="Times New Roman" w:hAnsi="Times New Roman" w:eastAsia="宋体" w:cs="宋体"/>
                <w:color w:val="auto"/>
                <w:sz w:val="24"/>
                <w:szCs w:val="24"/>
                <w:highlight w:val="none"/>
                <w:lang w:bidi="ar"/>
              </w:rPr>
              <w:t>袋装</w:t>
            </w:r>
          </w:p>
        </w:tc>
        <w:tc>
          <w:tcPr>
            <w:tcW w:w="1239" w:type="dxa"/>
            <w:vAlign w:val="center"/>
          </w:tcPr>
          <w:p w14:paraId="34B0FC84">
            <w:pPr>
              <w:widowControl/>
              <w:jc w:val="center"/>
              <w:textAlignment w:val="center"/>
              <w:rPr>
                <w:rFonts w:hint="default"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3.5</w:t>
            </w:r>
          </w:p>
        </w:tc>
        <w:tc>
          <w:tcPr>
            <w:tcW w:w="1105" w:type="dxa"/>
            <w:vAlign w:val="center"/>
          </w:tcPr>
          <w:p w14:paraId="04D41C0A">
            <w:pPr>
              <w:widowControl/>
              <w:jc w:val="center"/>
              <w:textAlignment w:val="center"/>
              <w:rPr>
                <w:rFonts w:ascii="Times New Roman" w:hAnsi="Times New Roman" w:eastAsia="宋体" w:cs="宋体"/>
                <w:color w:val="auto"/>
                <w:sz w:val="24"/>
                <w:szCs w:val="24"/>
                <w:highlight w:val="none"/>
                <w:lang w:bidi="ar"/>
              </w:rPr>
            </w:pPr>
          </w:p>
        </w:tc>
      </w:tr>
      <w:tr w14:paraId="260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gridSpan w:val="6"/>
            <w:vAlign w:val="bottom"/>
          </w:tcPr>
          <w:p w14:paraId="66C37882">
            <w:pPr>
              <w:keepNext w:val="0"/>
              <w:keepLines w:val="0"/>
              <w:pageBreakBefore w:val="0"/>
              <w:widowControl w:val="0"/>
              <w:kinsoku/>
              <w:wordWrap/>
              <w:overflowPunct/>
              <w:topLinePunct w:val="0"/>
              <w:autoSpaceDE w:val="0"/>
              <w:autoSpaceDN w:val="0"/>
              <w:bidi w:val="0"/>
              <w:adjustRightInd w:val="0"/>
              <w:snapToGrid/>
              <w:spacing w:before="100" w:line="360" w:lineRule="auto"/>
              <w:jc w:val="center"/>
              <w:textAlignment w:val="auto"/>
              <w:rPr>
                <w:rFonts w:ascii="Times New Roman" w:hAnsi="Times New Roman" w:eastAsia="宋体" w:cs="宋体"/>
                <w:color w:val="auto"/>
                <w:sz w:val="24"/>
                <w:szCs w:val="24"/>
                <w:highlight w:val="none"/>
              </w:rPr>
            </w:pPr>
            <w:r>
              <w:rPr>
                <w:rStyle w:val="59"/>
                <w:rFonts w:hint="default" w:ascii="Times New Roman" w:hAnsi="Times New Roman" w:eastAsia="宋体"/>
                <w:color w:val="auto"/>
                <w:sz w:val="24"/>
                <w:szCs w:val="24"/>
                <w:highlight w:val="none"/>
                <w:lang w:bidi="ar"/>
              </w:rPr>
              <w:t>合计</w:t>
            </w:r>
          </w:p>
        </w:tc>
        <w:tc>
          <w:tcPr>
            <w:tcW w:w="1239" w:type="dxa"/>
            <w:vAlign w:val="center"/>
          </w:tcPr>
          <w:p w14:paraId="73F2FBF9">
            <w:pPr>
              <w:widowControl/>
              <w:jc w:val="center"/>
              <w:textAlignment w:val="center"/>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21.7</w:t>
            </w:r>
          </w:p>
        </w:tc>
        <w:tc>
          <w:tcPr>
            <w:tcW w:w="1105" w:type="dxa"/>
            <w:vAlign w:val="center"/>
          </w:tcPr>
          <w:p w14:paraId="4BB97D1D">
            <w:pPr>
              <w:widowControl/>
              <w:jc w:val="center"/>
              <w:textAlignment w:val="center"/>
              <w:rPr>
                <w:rFonts w:ascii="Times New Roman" w:hAnsi="Times New Roman" w:eastAsia="宋体" w:cs="宋体"/>
                <w:color w:val="auto"/>
                <w:sz w:val="24"/>
                <w:szCs w:val="24"/>
                <w:highlight w:val="none"/>
                <w:lang w:bidi="ar"/>
              </w:rPr>
            </w:pPr>
          </w:p>
        </w:tc>
      </w:tr>
    </w:tbl>
    <w:p w14:paraId="5EF784E5">
      <w:pPr>
        <w:spacing w:line="360" w:lineRule="auto"/>
        <w:ind w:firstLine="48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2.主要技术指标</w:t>
      </w:r>
    </w:p>
    <w:p w14:paraId="58B23C54">
      <w:pPr>
        <w:autoSpaceDE/>
        <w:autoSpaceDN/>
        <w:adjustRightInd/>
        <w:spacing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（1）阻垢缓蚀剂</w:t>
      </w:r>
    </w:p>
    <w:p w14:paraId="48C13503">
      <w:pPr>
        <w:spacing w:line="360" w:lineRule="auto"/>
        <w:ind w:firstLine="480" w:firstLineChars="200"/>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kern w:val="2"/>
          <w:sz w:val="24"/>
          <w:szCs w:val="24"/>
          <w:highlight w:val="none"/>
          <w:lang w:val="en-US" w:eastAsia="zh-CN"/>
        </w:rPr>
        <w:t>阻</w:t>
      </w:r>
      <w:r>
        <w:rPr>
          <w:rFonts w:hint="eastAsia" w:ascii="Times New Roman" w:hAnsi="Times New Roman" w:eastAsia="宋体" w:cs="宋体"/>
          <w:bCs/>
          <w:color w:val="auto"/>
          <w:kern w:val="2"/>
          <w:sz w:val="24"/>
          <w:szCs w:val="24"/>
          <w:highlight w:val="none"/>
        </w:rPr>
        <w:t>垢缓蚀剂须选用无磷配方，且符合《水处理药剂阻垢缓蚀剂II》（HG/T2430-2018）产品质量及检测标准：</w:t>
      </w:r>
    </w:p>
    <w:p w14:paraId="7CACBFD3">
      <w:pPr>
        <w:spacing w:line="360" w:lineRule="auto"/>
        <w:ind w:firstLine="314" w:firstLineChars="131"/>
        <w:jc w:val="center"/>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表1  阻垢缓蚀剂主要技术指标</w:t>
      </w:r>
    </w:p>
    <w:p w14:paraId="0A480C80">
      <w:pPr>
        <w:rPr>
          <w:rFonts w:ascii="Times New Roman" w:hAnsi="Times New Roman" w:eastAsia="宋体" w:cs="宋体"/>
          <w:bCs/>
          <w:color w:val="auto"/>
          <w:sz w:val="24"/>
          <w:szCs w:val="24"/>
          <w:highlight w:val="none"/>
        </w:rPr>
      </w:pPr>
      <w:r>
        <w:rPr>
          <w:rFonts w:ascii="Times New Roman" w:hAnsi="Times New Roman" w:eastAsia="宋体"/>
          <w:color w:val="auto"/>
          <w:sz w:val="24"/>
          <w:szCs w:val="24"/>
          <w:highlight w:val="none"/>
        </w:rPr>
        <w:drawing>
          <wp:anchor distT="0" distB="0" distL="0" distR="0" simplePos="0" relativeHeight="251660288" behindDoc="0" locked="0" layoutInCell="1" allowOverlap="1">
            <wp:simplePos x="0" y="0"/>
            <wp:positionH relativeFrom="column">
              <wp:posOffset>293370</wp:posOffset>
            </wp:positionH>
            <wp:positionV relativeFrom="paragraph">
              <wp:posOffset>29845</wp:posOffset>
            </wp:positionV>
            <wp:extent cx="5668645" cy="2420620"/>
            <wp:effectExtent l="0" t="0" r="8255" b="17780"/>
            <wp:wrapSquare wrapText="bothSides"/>
            <wp:docPr id="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up of a document&#10;&#10;AI-generated content may be incorrect."/>
                    <pic:cNvPicPr>
                      <a:picLocks noChangeAspect="1"/>
                    </pic:cNvPicPr>
                  </pic:nvPicPr>
                  <pic:blipFill>
                    <a:blip r:embed="rId14"/>
                    <a:stretch>
                      <a:fillRect/>
                    </a:stretch>
                  </pic:blipFill>
                  <pic:spPr>
                    <a:xfrm>
                      <a:off x="0" y="0"/>
                      <a:ext cx="5668645" cy="2420620"/>
                    </a:xfrm>
                    <a:prstGeom prst="rect">
                      <a:avLst/>
                    </a:prstGeom>
                  </pic:spPr>
                </pic:pic>
              </a:graphicData>
            </a:graphic>
          </wp:anchor>
        </w:drawing>
      </w:r>
    </w:p>
    <w:p w14:paraId="032A1509">
      <w:pPr>
        <w:rPr>
          <w:rFonts w:ascii="Times New Roman" w:hAnsi="Times New Roman" w:eastAsia="宋体"/>
          <w:color w:val="auto"/>
          <w:sz w:val="24"/>
          <w:szCs w:val="24"/>
          <w:highlight w:val="none"/>
        </w:rPr>
      </w:pPr>
    </w:p>
    <w:p w14:paraId="3E99FE6C">
      <w:pPr>
        <w:pStyle w:val="27"/>
        <w:spacing w:line="420" w:lineRule="exact"/>
        <w:jc w:val="center"/>
        <w:rPr>
          <w:rFonts w:ascii="Times New Roman" w:hAnsi="Times New Roman" w:eastAsia="宋体" w:cs="宋体"/>
          <w:color w:val="auto"/>
          <w:sz w:val="24"/>
          <w:szCs w:val="24"/>
          <w:highlight w:val="none"/>
        </w:rPr>
      </w:pPr>
    </w:p>
    <w:p w14:paraId="027AFA9B">
      <w:pPr>
        <w:pStyle w:val="27"/>
        <w:spacing w:line="420" w:lineRule="exact"/>
        <w:ind w:firstLine="0" w:firstLineChars="0"/>
        <w:jc w:val="left"/>
        <w:rPr>
          <w:rFonts w:ascii="Times New Roman" w:hAnsi="Times New Roman" w:eastAsia="宋体" w:cs="宋体"/>
          <w:color w:val="auto"/>
          <w:sz w:val="24"/>
          <w:szCs w:val="24"/>
          <w:highlight w:val="none"/>
        </w:rPr>
      </w:pPr>
    </w:p>
    <w:p w14:paraId="65339E13">
      <w:pPr>
        <w:pStyle w:val="27"/>
        <w:spacing w:line="420" w:lineRule="exact"/>
        <w:ind w:firstLine="0" w:firstLineChars="0"/>
        <w:jc w:val="left"/>
        <w:rPr>
          <w:rFonts w:ascii="Times New Roman" w:hAnsi="Times New Roman" w:eastAsia="宋体" w:cs="宋体"/>
          <w:color w:val="auto"/>
          <w:sz w:val="24"/>
          <w:szCs w:val="24"/>
          <w:highlight w:val="none"/>
        </w:rPr>
      </w:pPr>
    </w:p>
    <w:p w14:paraId="7039D2CD">
      <w:pPr>
        <w:pStyle w:val="27"/>
        <w:spacing w:line="420" w:lineRule="exact"/>
        <w:ind w:firstLine="0" w:firstLineChars="0"/>
        <w:jc w:val="left"/>
        <w:rPr>
          <w:rFonts w:ascii="Times New Roman" w:hAnsi="Times New Roman" w:eastAsia="宋体" w:cs="宋体"/>
          <w:color w:val="auto"/>
          <w:sz w:val="24"/>
          <w:szCs w:val="24"/>
          <w:highlight w:val="none"/>
        </w:rPr>
      </w:pPr>
    </w:p>
    <w:p w14:paraId="668E7801">
      <w:pPr>
        <w:pStyle w:val="27"/>
        <w:spacing w:line="420" w:lineRule="exact"/>
        <w:ind w:firstLine="0" w:firstLineChars="0"/>
        <w:jc w:val="left"/>
        <w:rPr>
          <w:rFonts w:ascii="Times New Roman" w:hAnsi="Times New Roman" w:eastAsia="宋体" w:cs="宋体"/>
          <w:color w:val="auto"/>
          <w:sz w:val="24"/>
          <w:szCs w:val="24"/>
          <w:highlight w:val="none"/>
        </w:rPr>
      </w:pPr>
    </w:p>
    <w:p w14:paraId="5AAC71D2">
      <w:pPr>
        <w:pStyle w:val="27"/>
        <w:spacing w:line="420" w:lineRule="exact"/>
        <w:ind w:firstLine="0" w:firstLineChars="0"/>
        <w:jc w:val="left"/>
        <w:rPr>
          <w:rFonts w:ascii="Times New Roman" w:hAnsi="Times New Roman" w:eastAsia="宋体" w:cs="宋体"/>
          <w:color w:val="auto"/>
          <w:sz w:val="24"/>
          <w:szCs w:val="24"/>
          <w:highlight w:val="none"/>
        </w:rPr>
      </w:pPr>
    </w:p>
    <w:p w14:paraId="0ADE755A">
      <w:pPr>
        <w:pStyle w:val="27"/>
        <w:spacing w:line="420" w:lineRule="exact"/>
        <w:jc w:val="left"/>
        <w:rPr>
          <w:rFonts w:hint="eastAsia" w:ascii="Times New Roman" w:hAnsi="Times New Roman" w:eastAsia="宋体" w:cs="宋体"/>
          <w:color w:val="auto"/>
          <w:sz w:val="24"/>
          <w:szCs w:val="24"/>
          <w:highlight w:val="none"/>
          <w:lang w:val="zh-CN"/>
        </w:rPr>
      </w:pPr>
    </w:p>
    <w:p w14:paraId="75836B92">
      <w:pPr>
        <w:pStyle w:val="27"/>
        <w:spacing w:line="420" w:lineRule="exact"/>
        <w:jc w:val="left"/>
        <w:rPr>
          <w:rFonts w:hint="eastAsia" w:ascii="Times New Roman" w:hAnsi="Times New Roman" w:eastAsia="宋体" w:cs="宋体"/>
          <w:color w:val="auto"/>
          <w:sz w:val="24"/>
          <w:szCs w:val="24"/>
          <w:highlight w:val="none"/>
          <w:lang w:val="zh-CN"/>
        </w:rPr>
      </w:pPr>
    </w:p>
    <w:p w14:paraId="79856EA2">
      <w:pPr>
        <w:pStyle w:val="27"/>
        <w:spacing w:line="420" w:lineRule="exact"/>
        <w:jc w:val="left"/>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lang w:val="zh-CN"/>
        </w:rPr>
        <w:t>）</w:t>
      </w:r>
      <w:r>
        <w:rPr>
          <w:rFonts w:hint="eastAsia" w:ascii="Times New Roman" w:hAnsi="Times New Roman" w:eastAsia="宋体" w:cs="宋体"/>
          <w:color w:val="auto"/>
          <w:sz w:val="24"/>
          <w:szCs w:val="24"/>
          <w:highlight w:val="none"/>
        </w:rPr>
        <w:t>亚硫酸氢钠（还原剂）</w:t>
      </w:r>
    </w:p>
    <w:p w14:paraId="0EF23ABC">
      <w:pPr>
        <w:autoSpaceDE/>
        <w:autoSpaceDN/>
        <w:adjustRightInd/>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亚硫酸氢钠应符合下表《水处理剂 亚硫酸氢钠》（HG/T 3492-2003）质量及检测标准并且达到以下标准要求：</w:t>
      </w:r>
    </w:p>
    <w:p w14:paraId="7DC3F7C3">
      <w:pPr>
        <w:autoSpaceDE/>
        <w:autoSpaceDN/>
        <w:adjustRightInd/>
        <w:spacing w:line="360" w:lineRule="auto"/>
        <w:ind w:firstLine="480" w:firstLineChars="200"/>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表</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rPr>
        <w:t xml:space="preserve">  亚硫酸氢钠主要技术指标</w:t>
      </w:r>
    </w:p>
    <w:tbl>
      <w:tblPr>
        <w:tblStyle w:val="67"/>
        <w:tblW w:w="9566"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0"/>
        <w:gridCol w:w="1185"/>
        <w:gridCol w:w="2987"/>
        <w:gridCol w:w="2774"/>
      </w:tblGrid>
      <w:tr w14:paraId="3E23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5" w:type="dxa"/>
            <w:gridSpan w:val="2"/>
            <w:vAlign w:val="center"/>
          </w:tcPr>
          <w:p w14:paraId="62050041">
            <w:pPr>
              <w:pStyle w:val="64"/>
              <w:keepNext w:val="0"/>
              <w:keepLines w:val="0"/>
              <w:pageBreakBefore w:val="0"/>
              <w:widowControl w:val="0"/>
              <w:kinsoku/>
              <w:wordWrap/>
              <w:overflowPunct/>
              <w:topLinePunct w:val="0"/>
              <w:autoSpaceDE w:val="0"/>
              <w:autoSpaceDN w:val="0"/>
              <w:bidi w:val="0"/>
              <w:adjustRightInd w:val="0"/>
              <w:snapToGrid/>
              <w:spacing w:before="100" w:line="220"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项目</w:t>
            </w:r>
          </w:p>
        </w:tc>
        <w:tc>
          <w:tcPr>
            <w:tcW w:w="2987" w:type="dxa"/>
            <w:vAlign w:val="center"/>
          </w:tcPr>
          <w:p w14:paraId="74E7A6BC">
            <w:pPr>
              <w:pStyle w:val="64"/>
              <w:keepNext w:val="0"/>
              <w:keepLines w:val="0"/>
              <w:pageBreakBefore w:val="0"/>
              <w:widowControl w:val="0"/>
              <w:kinsoku/>
              <w:wordWrap/>
              <w:overflowPunct/>
              <w:topLinePunct w:val="0"/>
              <w:autoSpaceDE w:val="0"/>
              <w:autoSpaceDN w:val="0"/>
              <w:bidi w:val="0"/>
              <w:adjustRightInd w:val="0"/>
              <w:snapToGrid/>
              <w:spacing w:before="100" w:line="220"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分析纯</w:t>
            </w:r>
          </w:p>
        </w:tc>
        <w:tc>
          <w:tcPr>
            <w:tcW w:w="2774" w:type="dxa"/>
            <w:vAlign w:val="center"/>
          </w:tcPr>
          <w:p w14:paraId="75F4746D">
            <w:pPr>
              <w:pStyle w:val="64"/>
              <w:keepNext w:val="0"/>
              <w:keepLines w:val="0"/>
              <w:pageBreakBefore w:val="0"/>
              <w:widowControl w:val="0"/>
              <w:kinsoku/>
              <w:wordWrap/>
              <w:overflowPunct/>
              <w:topLinePunct w:val="0"/>
              <w:autoSpaceDE w:val="0"/>
              <w:autoSpaceDN w:val="0"/>
              <w:bidi w:val="0"/>
              <w:adjustRightInd w:val="0"/>
              <w:snapToGrid/>
              <w:spacing w:before="100" w:line="221"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化学纯</w:t>
            </w:r>
          </w:p>
        </w:tc>
      </w:tr>
      <w:tr w14:paraId="7B274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620" w:type="dxa"/>
            <w:tcBorders>
              <w:right w:val="nil"/>
            </w:tcBorders>
            <w:vAlign w:val="center"/>
          </w:tcPr>
          <w:p w14:paraId="72777A0B">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含量(以SO₂计)，%</w:t>
            </w:r>
          </w:p>
        </w:tc>
        <w:tc>
          <w:tcPr>
            <w:tcW w:w="1185" w:type="dxa"/>
            <w:tcBorders>
              <w:left w:val="nil"/>
            </w:tcBorders>
            <w:vAlign w:val="center"/>
          </w:tcPr>
          <w:p w14:paraId="6C91F353">
            <w:pPr>
              <w:pStyle w:val="64"/>
              <w:keepNext w:val="0"/>
              <w:keepLines w:val="0"/>
              <w:pageBreakBefore w:val="0"/>
              <w:widowControl w:val="0"/>
              <w:kinsoku/>
              <w:wordWrap/>
              <w:overflowPunct/>
              <w:topLinePunct w:val="0"/>
              <w:autoSpaceDE w:val="0"/>
              <w:autoSpaceDN w:val="0"/>
              <w:bidi w:val="0"/>
              <w:adjustRightInd w:val="0"/>
              <w:snapToGrid/>
              <w:spacing w:before="100" w:line="183"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3630B6C2">
            <w:pPr>
              <w:pStyle w:val="64"/>
              <w:keepNext w:val="0"/>
              <w:keepLines w:val="0"/>
              <w:pageBreakBefore w:val="0"/>
              <w:widowControl w:val="0"/>
              <w:kinsoku/>
              <w:wordWrap/>
              <w:overflowPunct/>
              <w:topLinePunct w:val="0"/>
              <w:autoSpaceDE w:val="0"/>
              <w:autoSpaceDN w:val="0"/>
              <w:bidi w:val="0"/>
              <w:adjustRightInd w:val="0"/>
              <w:snapToGrid/>
              <w:spacing w:before="100" w:line="19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58.5</w:t>
            </w:r>
          </w:p>
        </w:tc>
        <w:tc>
          <w:tcPr>
            <w:tcW w:w="2774" w:type="dxa"/>
            <w:vAlign w:val="center"/>
          </w:tcPr>
          <w:p w14:paraId="05DFF0D8">
            <w:pPr>
              <w:pStyle w:val="64"/>
              <w:keepNext w:val="0"/>
              <w:keepLines w:val="0"/>
              <w:pageBreakBefore w:val="0"/>
              <w:widowControl w:val="0"/>
              <w:kinsoku/>
              <w:wordWrap/>
              <w:overflowPunct/>
              <w:topLinePunct w:val="0"/>
              <w:autoSpaceDE w:val="0"/>
              <w:autoSpaceDN w:val="0"/>
              <w:bidi w:val="0"/>
              <w:adjustRightInd w:val="0"/>
              <w:snapToGrid/>
              <w:spacing w:before="100" w:line="19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58.5</w:t>
            </w:r>
          </w:p>
        </w:tc>
      </w:tr>
      <w:tr w14:paraId="3AE7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620" w:type="dxa"/>
            <w:tcBorders>
              <w:right w:val="nil"/>
            </w:tcBorders>
            <w:vAlign w:val="center"/>
          </w:tcPr>
          <w:p w14:paraId="2C44D0A6">
            <w:pPr>
              <w:pStyle w:val="64"/>
              <w:keepNext w:val="0"/>
              <w:keepLines w:val="0"/>
              <w:pageBreakBefore w:val="0"/>
              <w:widowControl w:val="0"/>
              <w:kinsoku/>
              <w:wordWrap/>
              <w:overflowPunct/>
              <w:topLinePunct w:val="0"/>
              <w:autoSpaceDE w:val="0"/>
              <w:autoSpaceDN w:val="0"/>
              <w:bidi w:val="0"/>
              <w:adjustRightInd w:val="0"/>
              <w:snapToGrid/>
              <w:spacing w:before="100" w:line="220"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澄清度试验</w:t>
            </w:r>
          </w:p>
        </w:tc>
        <w:tc>
          <w:tcPr>
            <w:tcW w:w="1185" w:type="dxa"/>
            <w:tcBorders>
              <w:left w:val="nil"/>
            </w:tcBorders>
            <w:vAlign w:val="center"/>
          </w:tcPr>
          <w:p w14:paraId="67053251">
            <w:pPr>
              <w:keepNext w:val="0"/>
              <w:keepLines w:val="0"/>
              <w:pageBreakBefore w:val="0"/>
              <w:widowControl w:val="0"/>
              <w:kinsoku/>
              <w:wordWrap/>
              <w:overflowPunct/>
              <w:topLinePunct w:val="0"/>
              <w:autoSpaceDE w:val="0"/>
              <w:autoSpaceDN w:val="0"/>
              <w:bidi w:val="0"/>
              <w:adjustRightInd w:val="0"/>
              <w:snapToGrid/>
              <w:spacing w:before="100" w:line="208" w:lineRule="exact"/>
              <w:jc w:val="right"/>
              <w:textAlignment w:val="auto"/>
              <w:rPr>
                <w:rFonts w:hint="eastAsia" w:ascii="Times New Roman" w:hAnsi="Times New Roman" w:eastAsia="宋体" w:cs="宋体"/>
                <w:color w:val="auto"/>
                <w:kern w:val="2"/>
                <w:sz w:val="24"/>
                <w:szCs w:val="24"/>
                <w:highlight w:val="none"/>
              </w:rPr>
            </w:pPr>
          </w:p>
        </w:tc>
        <w:tc>
          <w:tcPr>
            <w:tcW w:w="2987" w:type="dxa"/>
            <w:vAlign w:val="center"/>
          </w:tcPr>
          <w:p w14:paraId="4D68283D">
            <w:pPr>
              <w:pStyle w:val="64"/>
              <w:keepNext w:val="0"/>
              <w:keepLines w:val="0"/>
              <w:pageBreakBefore w:val="0"/>
              <w:widowControl w:val="0"/>
              <w:kinsoku/>
              <w:wordWrap/>
              <w:overflowPunct/>
              <w:topLinePunct w:val="0"/>
              <w:autoSpaceDE w:val="0"/>
              <w:autoSpaceDN w:val="0"/>
              <w:bidi w:val="0"/>
              <w:adjustRightInd w:val="0"/>
              <w:snapToGrid/>
              <w:spacing w:before="100" w:line="219"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合格</w:t>
            </w:r>
          </w:p>
        </w:tc>
        <w:tc>
          <w:tcPr>
            <w:tcW w:w="2774" w:type="dxa"/>
            <w:vAlign w:val="center"/>
          </w:tcPr>
          <w:p w14:paraId="2FDC8BB2">
            <w:pPr>
              <w:pStyle w:val="64"/>
              <w:keepNext w:val="0"/>
              <w:keepLines w:val="0"/>
              <w:pageBreakBefore w:val="0"/>
              <w:widowControl w:val="0"/>
              <w:kinsoku/>
              <w:wordWrap/>
              <w:overflowPunct/>
              <w:topLinePunct w:val="0"/>
              <w:autoSpaceDE w:val="0"/>
              <w:autoSpaceDN w:val="0"/>
              <w:bidi w:val="0"/>
              <w:adjustRightInd w:val="0"/>
              <w:snapToGrid/>
              <w:spacing w:before="100" w:line="219"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合格</w:t>
            </w:r>
          </w:p>
        </w:tc>
      </w:tr>
      <w:tr w14:paraId="2D680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20" w:type="dxa"/>
            <w:tcBorders>
              <w:right w:val="nil"/>
            </w:tcBorders>
            <w:vAlign w:val="center"/>
          </w:tcPr>
          <w:p w14:paraId="6FCF3290">
            <w:pPr>
              <w:pStyle w:val="64"/>
              <w:keepNext w:val="0"/>
              <w:keepLines w:val="0"/>
              <w:pageBreakBefore w:val="0"/>
              <w:widowControl w:val="0"/>
              <w:kinsoku/>
              <w:wordWrap/>
              <w:overflowPunct/>
              <w:topLinePunct w:val="0"/>
              <w:autoSpaceDE w:val="0"/>
              <w:autoSpaceDN w:val="0"/>
              <w:bidi w:val="0"/>
              <w:adjustRightInd w:val="0"/>
              <w:snapToGrid/>
              <w:spacing w:before="100" w:line="213"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水不溶物，%</w:t>
            </w:r>
          </w:p>
        </w:tc>
        <w:tc>
          <w:tcPr>
            <w:tcW w:w="1185" w:type="dxa"/>
            <w:tcBorders>
              <w:left w:val="nil"/>
            </w:tcBorders>
            <w:vAlign w:val="center"/>
          </w:tcPr>
          <w:p w14:paraId="7AD3A902">
            <w:pPr>
              <w:pStyle w:val="64"/>
              <w:keepNext w:val="0"/>
              <w:keepLines w:val="0"/>
              <w:pageBreakBefore w:val="0"/>
              <w:widowControl w:val="0"/>
              <w:kinsoku/>
              <w:wordWrap/>
              <w:overflowPunct/>
              <w:topLinePunct w:val="0"/>
              <w:autoSpaceDE w:val="0"/>
              <w:autoSpaceDN w:val="0"/>
              <w:bidi w:val="0"/>
              <w:adjustRightInd w:val="0"/>
              <w:snapToGrid/>
              <w:spacing w:before="100" w:line="210"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2507A4BE">
            <w:pPr>
              <w:pStyle w:val="64"/>
              <w:keepNext w:val="0"/>
              <w:keepLines w:val="0"/>
              <w:pageBreakBefore w:val="0"/>
              <w:widowControl w:val="0"/>
              <w:kinsoku/>
              <w:wordWrap/>
              <w:overflowPunct/>
              <w:topLinePunct w:val="0"/>
              <w:autoSpaceDE w:val="0"/>
              <w:autoSpaceDN w:val="0"/>
              <w:bidi w:val="0"/>
              <w:adjustRightInd w:val="0"/>
              <w:snapToGrid/>
              <w:spacing w:before="100" w:line="208"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0.005</w:t>
            </w:r>
          </w:p>
        </w:tc>
        <w:tc>
          <w:tcPr>
            <w:tcW w:w="2774" w:type="dxa"/>
            <w:vAlign w:val="center"/>
          </w:tcPr>
          <w:p w14:paraId="3147DFF8">
            <w:pPr>
              <w:pStyle w:val="64"/>
              <w:keepNext w:val="0"/>
              <w:keepLines w:val="0"/>
              <w:pageBreakBefore w:val="0"/>
              <w:widowControl w:val="0"/>
              <w:kinsoku/>
              <w:wordWrap/>
              <w:overflowPunct/>
              <w:topLinePunct w:val="0"/>
              <w:autoSpaceDE w:val="0"/>
              <w:autoSpaceDN w:val="0"/>
              <w:bidi w:val="0"/>
              <w:adjustRightInd w:val="0"/>
              <w:snapToGrid/>
              <w:spacing w:before="100" w:line="208"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0.01</w:t>
            </w:r>
          </w:p>
        </w:tc>
      </w:tr>
      <w:tr w14:paraId="38CA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620" w:type="dxa"/>
            <w:tcBorders>
              <w:right w:val="nil"/>
            </w:tcBorders>
            <w:vAlign w:val="center"/>
          </w:tcPr>
          <w:p w14:paraId="0B4EEB75">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氧化物(CI)，%</w:t>
            </w:r>
          </w:p>
        </w:tc>
        <w:tc>
          <w:tcPr>
            <w:tcW w:w="1185" w:type="dxa"/>
            <w:tcBorders>
              <w:left w:val="nil"/>
            </w:tcBorders>
            <w:vAlign w:val="center"/>
          </w:tcPr>
          <w:p w14:paraId="6DAB9342">
            <w:pPr>
              <w:pStyle w:val="64"/>
              <w:keepNext w:val="0"/>
              <w:keepLines w:val="0"/>
              <w:pageBreakBefore w:val="0"/>
              <w:widowControl w:val="0"/>
              <w:kinsoku/>
              <w:wordWrap/>
              <w:overflowPunct/>
              <w:topLinePunct w:val="0"/>
              <w:autoSpaceDE w:val="0"/>
              <w:autoSpaceDN w:val="0"/>
              <w:bidi w:val="0"/>
              <w:adjustRightInd w:val="0"/>
              <w:snapToGrid/>
              <w:spacing w:before="100" w:line="195"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6A3D4E2C">
            <w:pPr>
              <w:pStyle w:val="64"/>
              <w:keepNext w:val="0"/>
              <w:keepLines w:val="0"/>
              <w:pageBreakBefore w:val="0"/>
              <w:widowControl w:val="0"/>
              <w:kinsoku/>
              <w:wordWrap/>
              <w:overflowPunct/>
              <w:topLinePunct w:val="0"/>
              <w:autoSpaceDE w:val="0"/>
              <w:autoSpaceDN w:val="0"/>
              <w:bidi w:val="0"/>
              <w:adjustRightInd w:val="0"/>
              <w:snapToGrid/>
              <w:spacing w:before="100" w:line="20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0.01</w:t>
            </w:r>
          </w:p>
        </w:tc>
        <w:tc>
          <w:tcPr>
            <w:tcW w:w="2774" w:type="dxa"/>
            <w:vAlign w:val="center"/>
          </w:tcPr>
          <w:p w14:paraId="4CECF049">
            <w:pPr>
              <w:pStyle w:val="64"/>
              <w:keepNext w:val="0"/>
              <w:keepLines w:val="0"/>
              <w:pageBreakBefore w:val="0"/>
              <w:widowControl w:val="0"/>
              <w:kinsoku/>
              <w:wordWrap/>
              <w:overflowPunct/>
              <w:topLinePunct w:val="0"/>
              <w:autoSpaceDE w:val="0"/>
              <w:autoSpaceDN w:val="0"/>
              <w:bidi w:val="0"/>
              <w:adjustRightInd w:val="0"/>
              <w:snapToGrid/>
              <w:spacing w:before="100" w:line="207"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0.02</w:t>
            </w:r>
          </w:p>
        </w:tc>
      </w:tr>
      <w:tr w14:paraId="25B2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620" w:type="dxa"/>
            <w:tcBorders>
              <w:right w:val="nil"/>
            </w:tcBorders>
            <w:vAlign w:val="center"/>
          </w:tcPr>
          <w:p w14:paraId="5D389580">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铁(Fe)，%</w:t>
            </w:r>
          </w:p>
        </w:tc>
        <w:tc>
          <w:tcPr>
            <w:tcW w:w="1185" w:type="dxa"/>
            <w:tcBorders>
              <w:left w:val="nil"/>
            </w:tcBorders>
            <w:vAlign w:val="center"/>
          </w:tcPr>
          <w:p w14:paraId="5ECC2837">
            <w:pPr>
              <w:pStyle w:val="64"/>
              <w:keepNext w:val="0"/>
              <w:keepLines w:val="0"/>
              <w:pageBreakBefore w:val="0"/>
              <w:widowControl w:val="0"/>
              <w:kinsoku/>
              <w:wordWrap/>
              <w:overflowPunct/>
              <w:topLinePunct w:val="0"/>
              <w:autoSpaceDE w:val="0"/>
              <w:autoSpaceDN w:val="0"/>
              <w:bidi w:val="0"/>
              <w:adjustRightInd w:val="0"/>
              <w:snapToGrid/>
              <w:spacing w:before="100" w:line="222"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592FA237">
            <w:pPr>
              <w:pStyle w:val="64"/>
              <w:keepNext w:val="0"/>
              <w:keepLines w:val="0"/>
              <w:pageBreakBefore w:val="0"/>
              <w:widowControl w:val="0"/>
              <w:kinsoku/>
              <w:wordWrap/>
              <w:overflowPunct/>
              <w:topLinePunct w:val="0"/>
              <w:autoSpaceDE w:val="0"/>
              <w:autoSpaceDN w:val="0"/>
              <w:bidi w:val="0"/>
              <w:adjustRightInd w:val="0"/>
              <w:snapToGrid/>
              <w:spacing w:before="100" w:line="205"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0.001</w:t>
            </w:r>
          </w:p>
        </w:tc>
        <w:tc>
          <w:tcPr>
            <w:tcW w:w="2774" w:type="dxa"/>
            <w:vAlign w:val="center"/>
          </w:tcPr>
          <w:p w14:paraId="136F08D3">
            <w:pPr>
              <w:pStyle w:val="64"/>
              <w:keepNext w:val="0"/>
              <w:keepLines w:val="0"/>
              <w:pageBreakBefore w:val="0"/>
              <w:widowControl w:val="0"/>
              <w:kinsoku/>
              <w:wordWrap/>
              <w:overflowPunct/>
              <w:topLinePunct w:val="0"/>
              <w:autoSpaceDE w:val="0"/>
              <w:autoSpaceDN w:val="0"/>
              <w:bidi w:val="0"/>
              <w:adjustRightInd w:val="0"/>
              <w:snapToGrid/>
              <w:spacing w:before="100" w:line="205"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0.002</w:t>
            </w:r>
          </w:p>
        </w:tc>
      </w:tr>
      <w:tr w14:paraId="4A1F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620" w:type="dxa"/>
            <w:tcBorders>
              <w:right w:val="nil"/>
            </w:tcBorders>
            <w:vAlign w:val="center"/>
          </w:tcPr>
          <w:p w14:paraId="44977131">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砷(As)，%</w:t>
            </w:r>
          </w:p>
        </w:tc>
        <w:tc>
          <w:tcPr>
            <w:tcW w:w="1185" w:type="dxa"/>
            <w:tcBorders>
              <w:left w:val="nil"/>
            </w:tcBorders>
            <w:vAlign w:val="center"/>
          </w:tcPr>
          <w:p w14:paraId="00DE32F5">
            <w:pPr>
              <w:pStyle w:val="64"/>
              <w:keepNext w:val="0"/>
              <w:keepLines w:val="0"/>
              <w:pageBreakBefore w:val="0"/>
              <w:widowControl w:val="0"/>
              <w:kinsoku/>
              <w:wordWrap/>
              <w:overflowPunct/>
              <w:topLinePunct w:val="0"/>
              <w:autoSpaceDE w:val="0"/>
              <w:autoSpaceDN w:val="0"/>
              <w:bidi w:val="0"/>
              <w:adjustRightInd w:val="0"/>
              <w:snapToGrid/>
              <w:spacing w:before="100" w:line="192"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67557F6C">
            <w:pPr>
              <w:pStyle w:val="64"/>
              <w:keepNext w:val="0"/>
              <w:keepLines w:val="0"/>
              <w:pageBreakBefore w:val="0"/>
              <w:widowControl w:val="0"/>
              <w:kinsoku/>
              <w:wordWrap/>
              <w:overflowPunct/>
              <w:topLinePunct w:val="0"/>
              <w:autoSpaceDE w:val="0"/>
              <w:autoSpaceDN w:val="0"/>
              <w:bidi w:val="0"/>
              <w:adjustRightInd w:val="0"/>
              <w:snapToGrid/>
              <w:spacing w:before="100" w:line="204"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0.0001</w:t>
            </w:r>
          </w:p>
        </w:tc>
        <w:tc>
          <w:tcPr>
            <w:tcW w:w="2774" w:type="dxa"/>
            <w:vAlign w:val="center"/>
          </w:tcPr>
          <w:p w14:paraId="560648B2">
            <w:pPr>
              <w:pStyle w:val="64"/>
              <w:keepNext w:val="0"/>
              <w:keepLines w:val="0"/>
              <w:pageBreakBefore w:val="0"/>
              <w:widowControl w:val="0"/>
              <w:kinsoku/>
              <w:wordWrap/>
              <w:overflowPunct/>
              <w:topLinePunct w:val="0"/>
              <w:autoSpaceDE w:val="0"/>
              <w:autoSpaceDN w:val="0"/>
              <w:bidi w:val="0"/>
              <w:adjustRightInd w:val="0"/>
              <w:snapToGrid/>
              <w:spacing w:before="100" w:line="204"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0.0002</w:t>
            </w:r>
          </w:p>
        </w:tc>
      </w:tr>
      <w:tr w14:paraId="0E30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20" w:type="dxa"/>
            <w:tcBorders>
              <w:right w:val="nil"/>
            </w:tcBorders>
            <w:vAlign w:val="center"/>
          </w:tcPr>
          <w:p w14:paraId="3F2DFD3D">
            <w:pPr>
              <w:pStyle w:val="64"/>
              <w:keepNext w:val="0"/>
              <w:keepLines w:val="0"/>
              <w:pageBreakBefore w:val="0"/>
              <w:widowControl w:val="0"/>
              <w:kinsoku/>
              <w:wordWrap/>
              <w:overflowPunct/>
              <w:topLinePunct w:val="0"/>
              <w:autoSpaceDE w:val="0"/>
              <w:autoSpaceDN w:val="0"/>
              <w:bidi w:val="0"/>
              <w:adjustRightInd w:val="0"/>
              <w:snapToGrid/>
              <w:spacing w:before="100" w:line="216" w:lineRule="auto"/>
              <w:ind w:left="55"/>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重金属(以Pb计)，%</w:t>
            </w:r>
          </w:p>
        </w:tc>
        <w:tc>
          <w:tcPr>
            <w:tcW w:w="1185" w:type="dxa"/>
            <w:tcBorders>
              <w:left w:val="nil"/>
            </w:tcBorders>
            <w:vAlign w:val="center"/>
          </w:tcPr>
          <w:p w14:paraId="6258E6B3">
            <w:pPr>
              <w:pStyle w:val="64"/>
              <w:keepNext w:val="0"/>
              <w:keepLines w:val="0"/>
              <w:pageBreakBefore w:val="0"/>
              <w:widowControl w:val="0"/>
              <w:kinsoku/>
              <w:wordWrap/>
              <w:overflowPunct/>
              <w:topLinePunct w:val="0"/>
              <w:autoSpaceDE w:val="0"/>
              <w:autoSpaceDN w:val="0"/>
              <w:bidi w:val="0"/>
              <w:adjustRightInd w:val="0"/>
              <w:snapToGrid/>
              <w:spacing w:before="100" w:line="176" w:lineRule="auto"/>
              <w:jc w:val="righ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w:t>
            </w:r>
          </w:p>
        </w:tc>
        <w:tc>
          <w:tcPr>
            <w:tcW w:w="2987" w:type="dxa"/>
            <w:vAlign w:val="center"/>
          </w:tcPr>
          <w:p w14:paraId="07973D31">
            <w:pPr>
              <w:pStyle w:val="64"/>
              <w:keepNext w:val="0"/>
              <w:keepLines w:val="0"/>
              <w:pageBreakBefore w:val="0"/>
              <w:widowControl w:val="0"/>
              <w:kinsoku/>
              <w:wordWrap/>
              <w:overflowPunct/>
              <w:topLinePunct w:val="0"/>
              <w:autoSpaceDE w:val="0"/>
              <w:autoSpaceDN w:val="0"/>
              <w:bidi w:val="0"/>
              <w:adjustRightInd w:val="0"/>
              <w:snapToGrid/>
              <w:spacing w:before="100" w:line="203"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0.001</w:t>
            </w:r>
          </w:p>
        </w:tc>
        <w:tc>
          <w:tcPr>
            <w:tcW w:w="2774" w:type="dxa"/>
            <w:vAlign w:val="center"/>
          </w:tcPr>
          <w:p w14:paraId="5013444F">
            <w:pPr>
              <w:pStyle w:val="64"/>
              <w:keepNext w:val="0"/>
              <w:keepLines w:val="0"/>
              <w:pageBreakBefore w:val="0"/>
              <w:widowControl w:val="0"/>
              <w:kinsoku/>
              <w:wordWrap/>
              <w:overflowPunct/>
              <w:topLinePunct w:val="0"/>
              <w:autoSpaceDE w:val="0"/>
              <w:autoSpaceDN w:val="0"/>
              <w:bidi w:val="0"/>
              <w:adjustRightInd w:val="0"/>
              <w:snapToGrid/>
              <w:spacing w:before="100" w:line="203" w:lineRule="auto"/>
              <w:jc w:val="center"/>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0.002</w:t>
            </w:r>
          </w:p>
        </w:tc>
      </w:tr>
      <w:tr w14:paraId="13B4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66" w:type="dxa"/>
            <w:gridSpan w:val="4"/>
            <w:vAlign w:val="center"/>
          </w:tcPr>
          <w:p w14:paraId="75568838">
            <w:pPr>
              <w:pStyle w:val="64"/>
              <w:keepNext w:val="0"/>
              <w:keepLines w:val="0"/>
              <w:pageBreakBefore w:val="0"/>
              <w:widowControl w:val="0"/>
              <w:kinsoku/>
              <w:wordWrap/>
              <w:overflowPunct/>
              <w:topLinePunct w:val="0"/>
              <w:autoSpaceDE w:val="0"/>
              <w:autoSpaceDN w:val="0"/>
              <w:bidi w:val="0"/>
              <w:adjustRightInd w:val="0"/>
              <w:snapToGrid/>
              <w:spacing w:before="100" w:line="219" w:lineRule="auto"/>
              <w:jc w:val="left"/>
              <w:textAlignment w:val="auto"/>
              <w:rPr>
                <w:rFonts w:hint="eastAsia" w:ascii="Times New Roman" w:hAnsi="Times New Roman" w:eastAsia="宋体" w:cs="宋体"/>
                <w:color w:val="auto"/>
                <w:kern w:val="2"/>
                <w:sz w:val="24"/>
                <w:szCs w:val="24"/>
                <w:highlight w:val="none"/>
                <w:lang w:eastAsia="zh-CN"/>
              </w:rPr>
            </w:pPr>
            <w:r>
              <w:rPr>
                <w:rFonts w:hint="eastAsia" w:ascii="Times New Roman" w:hAnsi="Times New Roman" w:eastAsia="宋体" w:cs="宋体"/>
                <w:color w:val="auto"/>
                <w:kern w:val="2"/>
                <w:sz w:val="24"/>
                <w:szCs w:val="24"/>
                <w:highlight w:val="none"/>
                <w:lang w:eastAsia="zh-CN"/>
              </w:rPr>
              <w:t>注：表中“%”指质量分数。</w:t>
            </w:r>
          </w:p>
        </w:tc>
      </w:tr>
    </w:tbl>
    <w:p w14:paraId="6635769E">
      <w:pPr>
        <w:autoSpaceDE/>
        <w:autoSpaceDN/>
        <w:adjustRightInd/>
        <w:spacing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2"/>
          <w:sz w:val="24"/>
          <w:szCs w:val="24"/>
          <w:highlight w:val="none"/>
        </w:rPr>
        <w:t>（</w:t>
      </w:r>
      <w:r>
        <w:rPr>
          <w:rFonts w:hint="eastAsia" w:ascii="Times New Roman" w:hAnsi="Times New Roman" w:eastAsia="宋体" w:cs="宋体"/>
          <w:color w:val="auto"/>
          <w:kern w:val="2"/>
          <w:sz w:val="24"/>
          <w:szCs w:val="24"/>
          <w:highlight w:val="none"/>
          <w:lang w:val="en-US" w:eastAsia="zh-CN"/>
        </w:rPr>
        <w:t>3</w:t>
      </w:r>
      <w:r>
        <w:rPr>
          <w:rFonts w:hint="eastAsia" w:ascii="Times New Roman" w:hAnsi="Times New Roman" w:eastAsia="宋体" w:cs="宋体"/>
          <w:color w:val="auto"/>
          <w:kern w:val="2"/>
          <w:sz w:val="24"/>
          <w:szCs w:val="24"/>
          <w:highlight w:val="none"/>
        </w:rPr>
        <w:t>）固体柠檬酸</w:t>
      </w:r>
    </w:p>
    <w:p w14:paraId="57159808">
      <w:pPr>
        <w:spacing w:line="360" w:lineRule="auto"/>
        <w:ind w:firstLine="480"/>
        <w:jc w:val="both"/>
        <w:rPr>
          <w:rFonts w:ascii="Times New Roman" w:hAnsi="Times New Roman" w:eastAsia="宋体" w:cstheme="minorBidi"/>
          <w:color w:val="auto"/>
          <w:kern w:val="2"/>
          <w:sz w:val="24"/>
          <w:szCs w:val="24"/>
          <w:highlight w:val="none"/>
        </w:rPr>
      </w:pPr>
      <w:r>
        <w:rPr>
          <w:rFonts w:hint="eastAsia" w:ascii="Times New Roman" w:hAnsi="Times New Roman" w:eastAsia="宋体" w:cstheme="minorBidi"/>
          <w:color w:val="auto"/>
          <w:kern w:val="2"/>
          <w:sz w:val="24"/>
          <w:szCs w:val="24"/>
          <w:highlight w:val="none"/>
        </w:rPr>
        <w:t>产品为固体，用于除盐水系统的化学清洗。产品必须符合《柠檬酸》（GB/T 8269</w:t>
      </w:r>
      <w:r>
        <w:rPr>
          <w:rFonts w:hint="eastAsia" w:ascii="Times New Roman" w:hAnsi="Times New Roman" w:eastAsia="宋体" w:cstheme="minorBidi"/>
          <w:color w:val="auto"/>
          <w:kern w:val="2"/>
          <w:sz w:val="24"/>
          <w:szCs w:val="24"/>
          <w:highlight w:val="none"/>
          <w:lang w:val="en-US" w:eastAsia="zh-CN"/>
        </w:rPr>
        <w:t>.1</w:t>
      </w:r>
      <w:r>
        <w:rPr>
          <w:rFonts w:hint="eastAsia" w:ascii="Times New Roman" w:hAnsi="Times New Roman" w:eastAsia="宋体" w:cstheme="minorBidi"/>
          <w:color w:val="auto"/>
          <w:kern w:val="2"/>
          <w:sz w:val="24"/>
          <w:szCs w:val="24"/>
          <w:highlight w:val="none"/>
        </w:rPr>
        <w:t>-20</w:t>
      </w:r>
      <w:r>
        <w:rPr>
          <w:rFonts w:hint="eastAsia" w:ascii="Times New Roman" w:hAnsi="Times New Roman" w:eastAsia="宋体" w:cstheme="minorBidi"/>
          <w:color w:val="auto"/>
          <w:kern w:val="2"/>
          <w:sz w:val="24"/>
          <w:szCs w:val="24"/>
          <w:highlight w:val="none"/>
          <w:lang w:val="en-US" w:eastAsia="zh-CN"/>
        </w:rPr>
        <w:t>25</w:t>
      </w:r>
      <w:r>
        <w:rPr>
          <w:rFonts w:hint="eastAsia" w:ascii="Times New Roman" w:hAnsi="Times New Roman" w:eastAsia="宋体" w:cstheme="minorBidi"/>
          <w:color w:val="auto"/>
          <w:kern w:val="2"/>
          <w:sz w:val="24"/>
          <w:szCs w:val="24"/>
          <w:highlight w:val="none"/>
        </w:rPr>
        <w:t>）一水柠檬酸二级的质量及检测标准，其中主要技术指标要求如下：</w:t>
      </w:r>
    </w:p>
    <w:p w14:paraId="546F61FB">
      <w:pPr>
        <w:spacing w:line="360" w:lineRule="auto"/>
        <w:ind w:firstLine="314" w:firstLineChars="131"/>
        <w:jc w:val="center"/>
        <w:rPr>
          <w:rFonts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表</w:t>
      </w:r>
      <w:r>
        <w:rPr>
          <w:rFonts w:hint="eastAsia" w:ascii="Times New Roman" w:hAnsi="Times New Roman" w:eastAsia="宋体"/>
          <w:bCs/>
          <w:color w:val="auto"/>
          <w:sz w:val="24"/>
          <w:szCs w:val="24"/>
          <w:highlight w:val="none"/>
          <w:lang w:val="en-US" w:eastAsia="zh-CN"/>
        </w:rPr>
        <w:t>3</w:t>
      </w:r>
      <w:r>
        <w:rPr>
          <w:rFonts w:ascii="Times New Roman" w:hAnsi="Times New Roman" w:eastAsia="宋体"/>
          <w:bCs/>
          <w:color w:val="auto"/>
          <w:sz w:val="24"/>
          <w:szCs w:val="24"/>
          <w:highlight w:val="none"/>
        </w:rPr>
        <w:t xml:space="preserve">  </w:t>
      </w:r>
      <w:r>
        <w:rPr>
          <w:rFonts w:hint="eastAsia" w:ascii="Times New Roman" w:hAnsi="Times New Roman" w:eastAsia="宋体"/>
          <w:bCs/>
          <w:color w:val="auto"/>
          <w:sz w:val="24"/>
          <w:szCs w:val="24"/>
          <w:highlight w:val="none"/>
        </w:rPr>
        <w:t>固体柠檬酸</w:t>
      </w:r>
      <w:r>
        <w:rPr>
          <w:rFonts w:ascii="Times New Roman" w:hAnsi="Times New Roman" w:eastAsia="宋体"/>
          <w:bCs/>
          <w:color w:val="auto"/>
          <w:sz w:val="24"/>
          <w:szCs w:val="24"/>
          <w:highlight w:val="none"/>
        </w:rPr>
        <w:t>主要技术指标</w:t>
      </w:r>
    </w:p>
    <w:tbl>
      <w:tblPr>
        <w:tblStyle w:val="2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1160"/>
        <w:gridCol w:w="4530"/>
      </w:tblGrid>
      <w:tr w14:paraId="4B53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jc w:val="center"/>
        </w:trPr>
        <w:tc>
          <w:tcPr>
            <w:tcW w:w="5038" w:type="dxa"/>
            <w:gridSpan w:val="2"/>
            <w:vAlign w:val="center"/>
          </w:tcPr>
          <w:p w14:paraId="0F0A0E32">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指标项目</w:t>
            </w:r>
          </w:p>
        </w:tc>
        <w:tc>
          <w:tcPr>
            <w:tcW w:w="4530" w:type="dxa"/>
            <w:vAlign w:val="center"/>
          </w:tcPr>
          <w:p w14:paraId="34C30C98">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指标</w:t>
            </w:r>
          </w:p>
        </w:tc>
      </w:tr>
      <w:tr w14:paraId="0C81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8" w:type="dxa"/>
            <w:gridSpan w:val="2"/>
            <w:vAlign w:val="center"/>
          </w:tcPr>
          <w:p w14:paraId="772C0E0F">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hint="eastAsia"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柠檬酸含量/(g/100g)</w:t>
            </w:r>
          </w:p>
        </w:tc>
        <w:tc>
          <w:tcPr>
            <w:tcW w:w="4530" w:type="dxa"/>
          </w:tcPr>
          <w:p w14:paraId="097D9B2E">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99.0~100.5</w:t>
            </w:r>
          </w:p>
        </w:tc>
      </w:tr>
      <w:tr w14:paraId="4A34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8" w:type="dxa"/>
            <w:tcBorders>
              <w:right w:val="nil"/>
            </w:tcBorders>
            <w:vAlign w:val="center"/>
          </w:tcPr>
          <w:p w14:paraId="5366FC3E">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hint="default" w:ascii="Times New Roman" w:hAnsi="Times New Roman" w:eastAsia="宋体"/>
                <w:bCs/>
                <w:color w:val="auto"/>
                <w:sz w:val="24"/>
                <w:szCs w:val="24"/>
                <w:highlight w:val="none"/>
                <w:lang w:val="en-US" w:eastAsia="zh-CN"/>
              </w:rPr>
            </w:pPr>
            <w:r>
              <w:rPr>
                <w:rFonts w:hint="eastAsia" w:ascii="Times New Roman" w:hAnsi="Times New Roman" w:eastAsia="宋体"/>
                <w:bCs/>
                <w:color w:val="auto"/>
                <w:sz w:val="24"/>
                <w:szCs w:val="24"/>
                <w:highlight w:val="none"/>
              </w:rPr>
              <w:t>硫酸灰分/(g/100g)</w:t>
            </w:r>
          </w:p>
        </w:tc>
        <w:tc>
          <w:tcPr>
            <w:tcW w:w="1160" w:type="dxa"/>
            <w:tcBorders>
              <w:left w:val="nil"/>
            </w:tcBorders>
            <w:vAlign w:val="top"/>
          </w:tcPr>
          <w:p w14:paraId="319A8302">
            <w:pPr>
              <w:keepNext w:val="0"/>
              <w:keepLines w:val="0"/>
              <w:pageBreakBefore w:val="0"/>
              <w:widowControl w:val="0"/>
              <w:kinsoku/>
              <w:wordWrap/>
              <w:overflowPunct/>
              <w:topLinePunct w:val="0"/>
              <w:autoSpaceDE w:val="0"/>
              <w:autoSpaceDN w:val="0"/>
              <w:bidi w:val="0"/>
              <w:adjustRightInd w:val="0"/>
              <w:snapToGrid/>
              <w:spacing w:before="100" w:line="360" w:lineRule="auto"/>
              <w:jc w:val="right"/>
              <w:textAlignment w:val="auto"/>
              <w:rPr>
                <w:rFonts w:hint="eastAsia"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w:t>
            </w:r>
          </w:p>
        </w:tc>
        <w:tc>
          <w:tcPr>
            <w:tcW w:w="4530" w:type="dxa"/>
          </w:tcPr>
          <w:p w14:paraId="45CD9DA6">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0.1</w:t>
            </w:r>
          </w:p>
        </w:tc>
      </w:tr>
      <w:tr w14:paraId="5F6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878" w:type="dxa"/>
            <w:tcBorders>
              <w:right w:val="nil"/>
            </w:tcBorders>
            <w:vAlign w:val="center"/>
          </w:tcPr>
          <w:p w14:paraId="41E0E328">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氯化物/(g/100g)</w:t>
            </w:r>
            <w:r>
              <w:rPr>
                <w:rFonts w:hint="eastAsia" w:ascii="Times New Roman" w:hAnsi="Times New Roman" w:eastAsia="宋体"/>
                <w:bCs/>
                <w:color w:val="auto"/>
                <w:sz w:val="24"/>
                <w:szCs w:val="24"/>
                <w:highlight w:val="none"/>
                <w:lang w:val="en-US" w:eastAsia="zh-CN"/>
              </w:rPr>
              <w:t xml:space="preserve">             </w:t>
            </w:r>
          </w:p>
        </w:tc>
        <w:tc>
          <w:tcPr>
            <w:tcW w:w="1160" w:type="dxa"/>
            <w:tcBorders>
              <w:left w:val="nil"/>
            </w:tcBorders>
            <w:vAlign w:val="top"/>
          </w:tcPr>
          <w:p w14:paraId="0206C6FC">
            <w:pPr>
              <w:keepNext w:val="0"/>
              <w:keepLines w:val="0"/>
              <w:pageBreakBefore w:val="0"/>
              <w:widowControl w:val="0"/>
              <w:kinsoku/>
              <w:wordWrap/>
              <w:overflowPunct/>
              <w:topLinePunct w:val="0"/>
              <w:autoSpaceDE w:val="0"/>
              <w:autoSpaceDN w:val="0"/>
              <w:bidi w:val="0"/>
              <w:adjustRightInd w:val="0"/>
              <w:snapToGrid/>
              <w:spacing w:before="100" w:line="360" w:lineRule="auto"/>
              <w:jc w:val="right"/>
              <w:textAlignment w:val="auto"/>
              <w:rPr>
                <w:rFonts w:hint="eastAsia"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w:t>
            </w:r>
          </w:p>
        </w:tc>
        <w:tc>
          <w:tcPr>
            <w:tcW w:w="4530" w:type="dxa"/>
          </w:tcPr>
          <w:p w14:paraId="258BDE97">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0.01</w:t>
            </w:r>
          </w:p>
        </w:tc>
      </w:tr>
      <w:tr w14:paraId="7C0B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878" w:type="dxa"/>
            <w:tcBorders>
              <w:right w:val="nil"/>
            </w:tcBorders>
            <w:vAlign w:val="center"/>
          </w:tcPr>
          <w:p w14:paraId="24AA373B">
            <w:pPr>
              <w:keepNext w:val="0"/>
              <w:keepLines w:val="0"/>
              <w:pageBreakBefore w:val="0"/>
              <w:widowControl w:val="0"/>
              <w:kinsoku/>
              <w:wordWrap/>
              <w:overflowPunct/>
              <w:topLinePunct w:val="0"/>
              <w:autoSpaceDE w:val="0"/>
              <w:autoSpaceDN w:val="0"/>
              <w:bidi w:val="0"/>
              <w:adjustRightInd w:val="0"/>
              <w:snapToGrid/>
              <w:spacing w:before="100" w:line="360" w:lineRule="auto"/>
              <w:jc w:val="both"/>
              <w:textAlignment w:val="auto"/>
              <w:rPr>
                <w:rFonts w:hint="eastAsia" w:ascii="Times New Roman" w:hAnsi="Times New Roman" w:eastAsia="宋体"/>
                <w:bCs/>
                <w:color w:val="auto"/>
                <w:sz w:val="24"/>
                <w:szCs w:val="24"/>
                <w:highlight w:val="none"/>
                <w:lang w:val="en-US" w:eastAsia="zh-CN"/>
              </w:rPr>
            </w:pPr>
            <w:r>
              <w:rPr>
                <w:rFonts w:hint="eastAsia" w:ascii="Times New Roman" w:hAnsi="Times New Roman" w:eastAsia="宋体"/>
                <w:bCs/>
                <w:color w:val="auto"/>
                <w:sz w:val="24"/>
                <w:szCs w:val="24"/>
                <w:highlight w:val="none"/>
              </w:rPr>
              <w:t>硫酸盐/(g/100g)</w:t>
            </w:r>
            <w:r>
              <w:rPr>
                <w:rFonts w:hint="eastAsia" w:ascii="Times New Roman" w:hAnsi="Times New Roman" w:eastAsia="宋体"/>
                <w:bCs/>
                <w:color w:val="auto"/>
                <w:sz w:val="24"/>
                <w:szCs w:val="24"/>
                <w:highlight w:val="none"/>
                <w:lang w:val="en-US" w:eastAsia="zh-CN"/>
              </w:rPr>
              <w:t xml:space="preserve">             </w:t>
            </w:r>
          </w:p>
        </w:tc>
        <w:tc>
          <w:tcPr>
            <w:tcW w:w="1160" w:type="dxa"/>
            <w:tcBorders>
              <w:left w:val="nil"/>
            </w:tcBorders>
            <w:vAlign w:val="top"/>
          </w:tcPr>
          <w:p w14:paraId="5A3F6B60">
            <w:pPr>
              <w:keepNext w:val="0"/>
              <w:keepLines w:val="0"/>
              <w:pageBreakBefore w:val="0"/>
              <w:widowControl w:val="0"/>
              <w:kinsoku/>
              <w:wordWrap/>
              <w:overflowPunct/>
              <w:topLinePunct w:val="0"/>
              <w:autoSpaceDE w:val="0"/>
              <w:autoSpaceDN w:val="0"/>
              <w:bidi w:val="0"/>
              <w:adjustRightInd w:val="0"/>
              <w:snapToGrid/>
              <w:spacing w:before="100" w:line="360" w:lineRule="auto"/>
              <w:jc w:val="right"/>
              <w:textAlignment w:val="auto"/>
              <w:rPr>
                <w:rFonts w:hint="eastAsia" w:ascii="Times New Roman" w:hAnsi="Times New Roman" w:eastAsia="宋体"/>
                <w:bCs/>
                <w:color w:val="auto"/>
                <w:sz w:val="24"/>
                <w:szCs w:val="24"/>
                <w:highlight w:val="none"/>
              </w:rPr>
            </w:pPr>
            <w:r>
              <w:rPr>
                <w:rFonts w:ascii="Times New Roman" w:hAnsi="Times New Roman" w:eastAsia="宋体"/>
                <w:bCs/>
                <w:color w:val="auto"/>
                <w:sz w:val="24"/>
                <w:szCs w:val="24"/>
                <w:highlight w:val="none"/>
              </w:rPr>
              <w:t>≤</w:t>
            </w:r>
          </w:p>
        </w:tc>
        <w:tc>
          <w:tcPr>
            <w:tcW w:w="4530" w:type="dxa"/>
          </w:tcPr>
          <w:p w14:paraId="33255E11">
            <w:pPr>
              <w:keepNext w:val="0"/>
              <w:keepLines w:val="0"/>
              <w:pageBreakBefore w:val="0"/>
              <w:widowControl w:val="0"/>
              <w:kinsoku/>
              <w:wordWrap/>
              <w:overflowPunct/>
              <w:topLinePunct w:val="0"/>
              <w:autoSpaceDE w:val="0"/>
              <w:autoSpaceDN w:val="0"/>
              <w:bidi w:val="0"/>
              <w:adjustRightInd w:val="0"/>
              <w:snapToGrid/>
              <w:spacing w:before="100" w:line="360" w:lineRule="auto"/>
              <w:ind w:firstLine="314" w:firstLineChars="131"/>
              <w:jc w:val="center"/>
              <w:textAlignment w:val="auto"/>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0.05</w:t>
            </w:r>
          </w:p>
        </w:tc>
      </w:tr>
    </w:tbl>
    <w:p w14:paraId="5003957E">
      <w:pPr>
        <w:pStyle w:val="27"/>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4</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供货期间，如有发布最新的行业标准或国家标准，采购人有权根据项目实际情况及有关行业标准或国家标准对合同的主要技术指标进行变更调整，供货单位应无条件接受。</w:t>
      </w:r>
    </w:p>
    <w:p w14:paraId="348AE4DB">
      <w:pPr>
        <w:pStyle w:val="27"/>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5</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供货单位所供产品的真实质量，必须满足本用户需求书的所有技术指标。</w:t>
      </w:r>
    </w:p>
    <w:p w14:paraId="4F7A767B">
      <w:pPr>
        <w:pStyle w:val="27"/>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6</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供货单位须根据采购人的情况，提供满足厂区正常生产运营的产品</w:t>
      </w:r>
      <w:r>
        <w:rPr>
          <w:rFonts w:hint="eastAsia" w:ascii="Times New Roman" w:hAnsi="Times New Roman" w:eastAsia="宋体" w:cs="宋体"/>
          <w:color w:val="auto"/>
          <w:sz w:val="24"/>
          <w:szCs w:val="24"/>
          <w:highlight w:val="none"/>
          <w:lang w:val="en-US" w:eastAsia="zh-CN"/>
        </w:rPr>
        <w:t>及相应数量</w:t>
      </w:r>
      <w:r>
        <w:rPr>
          <w:rFonts w:hint="eastAsia" w:ascii="Times New Roman" w:hAnsi="Times New Roman" w:eastAsia="宋体" w:cs="宋体"/>
          <w:color w:val="auto"/>
          <w:sz w:val="24"/>
          <w:szCs w:val="24"/>
          <w:highlight w:val="none"/>
        </w:rPr>
        <w:t>。</w:t>
      </w:r>
    </w:p>
    <w:p w14:paraId="756FA8F8">
      <w:pPr>
        <w:autoSpaceDE/>
        <w:autoSpaceDN/>
        <w:adjustRightInd/>
        <w:spacing w:line="360" w:lineRule="auto"/>
        <w:ind w:firstLine="482" w:firstLineChars="200"/>
        <w:jc w:val="both"/>
        <w:rPr>
          <w:rFonts w:ascii="Times New Roman" w:hAnsi="Times New Roman" w:eastAsia="宋体" w:cs="宋体"/>
          <w:b/>
          <w:bCs/>
          <w:color w:val="auto"/>
          <w:kern w:val="2"/>
          <w:sz w:val="24"/>
          <w:szCs w:val="24"/>
          <w:highlight w:val="none"/>
        </w:rPr>
      </w:pPr>
      <w:r>
        <w:rPr>
          <w:rFonts w:hint="eastAsia" w:ascii="Times New Roman" w:hAnsi="Times New Roman" w:eastAsia="宋体" w:cs="宋体"/>
          <w:b/>
          <w:bCs/>
          <w:color w:val="auto"/>
          <w:kern w:val="2"/>
          <w:sz w:val="24"/>
          <w:szCs w:val="24"/>
          <w:highlight w:val="none"/>
        </w:rPr>
        <w:t>三、供货要求</w:t>
      </w:r>
    </w:p>
    <w:p w14:paraId="57B22076">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交货地点：东莞市污泥集中处理处置项目现场（广东省东莞市沙田镇立沙中路）。</w:t>
      </w:r>
    </w:p>
    <w:p w14:paraId="67943E22">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供货单位与采购人签订合同后，供货单位按采购人供货计划进行供货；供货单位接到采购人的供货通知后须</w:t>
      </w:r>
      <w:r>
        <w:rPr>
          <w:rFonts w:hint="eastAsia" w:ascii="Times New Roman" w:hAnsi="Times New Roman" w:eastAsia="宋体" w:cs="宋体"/>
          <w:color w:val="auto"/>
          <w:kern w:val="2"/>
          <w:sz w:val="24"/>
          <w:szCs w:val="24"/>
          <w:highlight w:val="none"/>
          <w:lang w:val="en-US" w:eastAsia="zh-CN"/>
        </w:rPr>
        <w:t>72小时</w:t>
      </w:r>
      <w:r>
        <w:rPr>
          <w:rFonts w:hint="eastAsia" w:ascii="Times New Roman" w:hAnsi="Times New Roman" w:eastAsia="宋体" w:cs="宋体"/>
          <w:color w:val="auto"/>
          <w:kern w:val="2"/>
          <w:sz w:val="24"/>
          <w:szCs w:val="24"/>
          <w:highlight w:val="none"/>
        </w:rPr>
        <w:t>内送达，并负责送至储药间或储罐。如采购人要求加急供货，供货单位应在</w:t>
      </w:r>
      <w:r>
        <w:rPr>
          <w:rFonts w:hint="eastAsia" w:ascii="Times New Roman" w:hAnsi="Times New Roman" w:eastAsia="宋体" w:cs="宋体"/>
          <w:color w:val="auto"/>
          <w:kern w:val="2"/>
          <w:sz w:val="24"/>
          <w:szCs w:val="24"/>
          <w:highlight w:val="none"/>
          <w:lang w:val="en-US" w:eastAsia="zh-CN"/>
        </w:rPr>
        <w:t>48</w:t>
      </w:r>
      <w:r>
        <w:rPr>
          <w:rFonts w:hint="eastAsia" w:ascii="Times New Roman" w:hAnsi="Times New Roman" w:eastAsia="宋体" w:cs="宋体"/>
          <w:color w:val="auto"/>
          <w:kern w:val="2"/>
          <w:sz w:val="24"/>
          <w:szCs w:val="24"/>
          <w:highlight w:val="none"/>
        </w:rPr>
        <w:t>小时内将货物送达采购人指定地点，且采购人无需因加急供货而额外支付任何费用。</w:t>
      </w:r>
    </w:p>
    <w:p w14:paraId="3D209470">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3</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供货单位自行负责将药剂运送至指定位置（储药间或储罐），并承担相应的运输、装卸、二次搬运等费用，运输人员应配备足够防护器具。如在运输及装卸过程中，</w:t>
      </w:r>
      <w:r>
        <w:rPr>
          <w:rFonts w:hint="eastAsia" w:ascii="Times New Roman" w:hAnsi="Times New Roman" w:eastAsia="宋体" w:cs="宋体"/>
          <w:color w:val="auto"/>
          <w:kern w:val="2"/>
          <w:sz w:val="24"/>
          <w:szCs w:val="24"/>
          <w:highlight w:val="none"/>
          <w:lang w:val="en-US" w:eastAsia="zh-CN"/>
        </w:rPr>
        <w:t>生产药剂</w:t>
      </w:r>
      <w:r>
        <w:rPr>
          <w:rFonts w:hint="eastAsia" w:ascii="Times New Roman" w:hAnsi="Times New Roman" w:eastAsia="宋体" w:cs="宋体"/>
          <w:color w:val="auto"/>
          <w:kern w:val="2"/>
          <w:sz w:val="24"/>
          <w:szCs w:val="24"/>
          <w:highlight w:val="none"/>
        </w:rPr>
        <w:t>发生泄漏，应由供货单位负责清理收集，避免造成人员伤害或环境污染。</w:t>
      </w:r>
    </w:p>
    <w:p w14:paraId="25EB70B8">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4</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每次送货到交货地方和卸货离开后，须经过污泥项目厂内的电子地磅进行称重，实际供货数量以污泥项目电子地磅出具的称重单为准。</w:t>
      </w:r>
    </w:p>
    <w:p w14:paraId="54500920">
      <w:pPr>
        <w:autoSpaceDE/>
        <w:autoSpaceDN/>
        <w:adjustRightInd/>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5</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14:paraId="1D7AF901">
      <w:pPr>
        <w:spacing w:line="360" w:lineRule="auto"/>
        <w:ind w:firstLine="480" w:firstLineChars="200"/>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6</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供货期间，在收到采购人供货通知前，供货单位无需为合同履行准备工作，因此造成的损失采购人不负任何责任。</w:t>
      </w:r>
    </w:p>
    <w:p w14:paraId="11AF4FD1">
      <w:pPr>
        <w:spacing w:line="360" w:lineRule="auto"/>
        <w:ind w:firstLine="480" w:firstLineChars="200"/>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7</w:t>
      </w:r>
      <w:r>
        <w:rPr>
          <w:rFonts w:hint="eastAsia" w:ascii="Times New Roman" w:hAnsi="Times New Roman" w:eastAsia="宋体" w:cs="宋体"/>
          <w:color w:val="auto"/>
          <w:kern w:val="2"/>
          <w:sz w:val="24"/>
          <w:szCs w:val="24"/>
          <w:highlight w:val="none"/>
          <w:lang w:val="en-US" w:eastAsia="zh-CN"/>
        </w:rPr>
        <w:t>.</w:t>
      </w:r>
      <w:r>
        <w:rPr>
          <w:rFonts w:ascii="Times New Roman" w:hAnsi="Times New Roman" w:eastAsia="宋体" w:cs="宋体"/>
          <w:color w:val="auto"/>
          <w:kern w:val="2"/>
          <w:sz w:val="24"/>
          <w:szCs w:val="24"/>
          <w:highlight w:val="none"/>
        </w:rPr>
        <w:t>药剂的运送及输送方式应符合国家或行业规范标准</w:t>
      </w:r>
      <w:r>
        <w:rPr>
          <w:rFonts w:hint="eastAsia" w:ascii="Times New Roman" w:hAnsi="Times New Roman" w:eastAsia="宋体" w:cs="宋体"/>
          <w:color w:val="auto"/>
          <w:kern w:val="2"/>
          <w:sz w:val="24"/>
          <w:szCs w:val="24"/>
          <w:highlight w:val="none"/>
        </w:rPr>
        <w:t>。</w:t>
      </w:r>
    </w:p>
    <w:p w14:paraId="0D95BE19">
      <w:pPr>
        <w:autoSpaceDE/>
        <w:autoSpaceDN/>
        <w:adjustRightInd/>
        <w:spacing w:line="360" w:lineRule="auto"/>
        <w:ind w:firstLine="480" w:firstLineChars="200"/>
        <w:jc w:val="both"/>
        <w:rPr>
          <w:rFonts w:ascii="Times New Roman" w:hAnsi="Times New Roman" w:eastAsia="宋体"/>
          <w:color w:val="auto"/>
          <w:sz w:val="24"/>
          <w:szCs w:val="24"/>
          <w:highlight w:val="none"/>
        </w:rPr>
      </w:pPr>
      <w:r>
        <w:rPr>
          <w:rFonts w:hint="eastAsia" w:ascii="Times New Roman" w:hAnsi="Times New Roman" w:eastAsia="宋体" w:cs="宋体"/>
          <w:color w:val="auto"/>
          <w:kern w:val="2"/>
          <w:sz w:val="24"/>
          <w:szCs w:val="24"/>
          <w:highlight w:val="none"/>
        </w:rPr>
        <w:t>8</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供货期间，采购人有权根据项目实际情况及有关法律法规、政策的规定进行合法变更调整。在变更调整后，供货单位应遵照执行。采购人的实际需求数量以采购人每次的供货通知为准，在供货期内供货单位不得因采购人实际采购数量的减少或增加而要求提供任何形式的补偿或赔偿，或要求采购人按暂定数量采购相应货物。</w:t>
      </w:r>
    </w:p>
    <w:p w14:paraId="5E46D06F">
      <w:pPr>
        <w:autoSpaceDE/>
        <w:autoSpaceDN/>
        <w:adjustRightInd/>
        <w:spacing w:line="360" w:lineRule="auto"/>
        <w:ind w:firstLine="482" w:firstLineChars="200"/>
        <w:jc w:val="both"/>
        <w:rPr>
          <w:rFonts w:ascii="Times New Roman" w:hAnsi="Times New Roman" w:eastAsia="宋体" w:cs="宋体"/>
          <w:b/>
          <w:color w:val="auto"/>
          <w:kern w:val="2"/>
          <w:sz w:val="24"/>
          <w:szCs w:val="24"/>
          <w:highlight w:val="none"/>
        </w:rPr>
      </w:pPr>
      <w:r>
        <w:rPr>
          <w:rFonts w:hint="eastAsia" w:ascii="Times New Roman" w:hAnsi="Times New Roman" w:eastAsia="宋体" w:cs="宋体"/>
          <w:b/>
          <w:color w:val="auto"/>
          <w:kern w:val="2"/>
          <w:sz w:val="24"/>
          <w:szCs w:val="24"/>
          <w:highlight w:val="none"/>
        </w:rPr>
        <w:t>四、验收要求</w:t>
      </w:r>
    </w:p>
    <w:p w14:paraId="5DB71D05">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验收分为货到交货地点的初步验收和货物检验合格后的最终验收。</w:t>
      </w:r>
    </w:p>
    <w:p w14:paraId="54E13BD5">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（1）初步验收：</w:t>
      </w:r>
    </w:p>
    <w:p w14:paraId="5FC12D3F">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1）货物运抵交货地点，采购人、供货单位共同验货。采购人按照本项目合同及用户需求书，对货物的数量、品种、随车产品质量检验报告</w:t>
      </w:r>
      <w:r>
        <w:rPr>
          <w:rFonts w:hint="eastAsia" w:ascii="Times New Roman" w:hAnsi="Times New Roman" w:eastAsia="宋体" w:cs="宋体"/>
          <w:color w:val="auto"/>
          <w:sz w:val="24"/>
          <w:szCs w:val="24"/>
          <w:highlight w:val="none"/>
        </w:rPr>
        <w:t>（包含本需求书表1至表</w:t>
      </w:r>
      <w:r>
        <w:rPr>
          <w:rFonts w:hint="eastAsia" w:ascii="Times New Roman" w:hAnsi="Times New Roman" w:eastAsia="宋体"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对应药剂的全部技术指标）</w:t>
      </w:r>
      <w:r>
        <w:rPr>
          <w:rFonts w:hint="eastAsia" w:ascii="Times New Roman" w:hAnsi="Times New Roman" w:eastAsia="宋体" w:cs="宋体"/>
          <w:color w:val="auto"/>
          <w:kern w:val="2"/>
          <w:sz w:val="24"/>
          <w:szCs w:val="24"/>
          <w:highlight w:val="none"/>
        </w:rPr>
        <w:t>、产品合格证、供货单据等进行核对。</w:t>
      </w:r>
    </w:p>
    <w:p w14:paraId="10F1C60C">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2）核对完成后，采购人、供货单位双方对随车产品质量检验报告、供货单据进行签收手续视为完成初步验收，初步验收仅限于双方共同对</w:t>
      </w:r>
      <w:r>
        <w:rPr>
          <w:rFonts w:hint="eastAsia" w:ascii="Times New Roman" w:hAnsi="Times New Roman" w:eastAsia="宋体" w:cs="宋体"/>
          <w:color w:val="auto"/>
          <w:kern w:val="2"/>
          <w:sz w:val="24"/>
          <w:szCs w:val="24"/>
          <w:highlight w:val="none"/>
          <w:lang w:eastAsia="zh-CN"/>
        </w:rPr>
        <w:t>供货单位</w:t>
      </w:r>
      <w:r>
        <w:rPr>
          <w:rFonts w:hint="eastAsia" w:ascii="Times New Roman" w:hAnsi="Times New Roman" w:eastAsia="宋体" w:cs="宋体"/>
          <w:color w:val="auto"/>
          <w:kern w:val="2"/>
          <w:sz w:val="24"/>
          <w:szCs w:val="24"/>
          <w:highlight w:val="none"/>
        </w:rPr>
        <w:t>所供货物数量、品种、随车产品质量检验报告、供货单据等符合合同技术指标要求的书面确认。</w:t>
      </w:r>
    </w:p>
    <w:p w14:paraId="26476D03">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（2）最终验收</w:t>
      </w:r>
    </w:p>
    <w:p w14:paraId="1D2DDDD7">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1）采购人对每次供货货物检验，检验指标由采购人根据需要选择，货物批按需检验指标由采购人根据采购人关于药剂的管理制度及要求适时调整。采购人对每次供货货物检验，每次货到现场时可由双方共同取样，供货货物合格判定以采购人实验室检验结果为准。若</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无正当理由拒绝或未能按采购人通知派员参与共同取样，则视为</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授权采购人单独取样，该取样结果及据此进行的检验结果对</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具有同等约束力。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14:paraId="03A43B1B">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lang w:val="en-US" w:eastAsia="zh-CN"/>
        </w:rPr>
        <w:t>2）</w:t>
      </w:r>
      <w:r>
        <w:rPr>
          <w:rFonts w:hint="eastAsia" w:ascii="Times New Roman" w:hAnsi="Times New Roman" w:eastAsia="宋体" w:cs="宋体"/>
          <w:color w:val="auto"/>
          <w:kern w:val="2"/>
          <w:sz w:val="24"/>
          <w:szCs w:val="24"/>
          <w:highlight w:val="none"/>
        </w:rPr>
        <w:t>供货期间，如有发布最新的行业标准或国家标准，货物检验方法按发布的最新行业标准或国家标准执行。</w:t>
      </w:r>
    </w:p>
    <w:p w14:paraId="4E7C1E8D">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2</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14:paraId="0AACD35A">
      <w:pPr>
        <w:spacing w:line="360" w:lineRule="auto"/>
        <w:ind w:firstLine="480" w:firstLineChars="200"/>
        <w:jc w:val="both"/>
        <w:rPr>
          <w:rFonts w:ascii="Times New Roman" w:hAnsi="Times New Roman" w:eastAsia="宋体" w:cs="宋体"/>
          <w:color w:val="auto"/>
          <w:kern w:val="2"/>
          <w:sz w:val="24"/>
          <w:szCs w:val="24"/>
          <w:highlight w:val="none"/>
        </w:rPr>
      </w:pPr>
      <w:r>
        <w:rPr>
          <w:rFonts w:hint="eastAsia" w:ascii="Times New Roman" w:hAnsi="Times New Roman" w:eastAsia="宋体" w:cs="宋体"/>
          <w:color w:val="auto"/>
          <w:kern w:val="2"/>
          <w:sz w:val="24"/>
          <w:szCs w:val="24"/>
          <w:highlight w:val="none"/>
        </w:rPr>
        <w:t>3</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采购人根据本条规定对货物所做出的验收，仅作为起算付款及质保期之用，不视为双方对于货物质量的最终认可，供货单位仍应在质保期内对产品质量承担保证责任</w:t>
      </w:r>
      <w:r>
        <w:rPr>
          <w:rFonts w:hint="eastAsia" w:ascii="Times New Roman" w:hAnsi="Times New Roman" w:eastAsia="宋体" w:cs="宋体"/>
          <w:color w:val="auto"/>
          <w:sz w:val="24"/>
          <w:szCs w:val="24"/>
          <w:highlight w:val="none"/>
        </w:rPr>
        <w:t>，不能免除乙方其后因产品实际情况与要求不符而导致</w:t>
      </w:r>
      <w:r>
        <w:rPr>
          <w:rFonts w:hint="eastAsia" w:ascii="Times New Roman" w:cs="宋体"/>
          <w:color w:val="auto"/>
          <w:sz w:val="24"/>
          <w:szCs w:val="24"/>
          <w:highlight w:val="none"/>
          <w:lang w:val="en-US" w:eastAsia="zh-CN"/>
        </w:rPr>
        <w:t>采购人</w:t>
      </w:r>
      <w:r>
        <w:rPr>
          <w:rFonts w:hint="eastAsia" w:ascii="Times New Roman" w:hAnsi="Times New Roman" w:cs="宋体"/>
          <w:color w:val="auto"/>
          <w:sz w:val="24"/>
          <w:szCs w:val="24"/>
          <w:highlight w:val="none"/>
          <w:lang w:val="en-US" w:eastAsia="zh-CN"/>
        </w:rPr>
        <w:t>要求</w:t>
      </w:r>
      <w:r>
        <w:rPr>
          <w:rFonts w:hint="eastAsia" w:ascii="Times New Roman" w:hAnsi="Times New Roman" w:eastAsia="宋体" w:cs="宋体"/>
          <w:color w:val="auto"/>
          <w:sz w:val="24"/>
          <w:szCs w:val="24"/>
          <w:highlight w:val="none"/>
        </w:rPr>
        <w:t>退货</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换货</w:t>
      </w:r>
      <w:r>
        <w:rPr>
          <w:rFonts w:hint="eastAsia" w:ascii="Times New Roman" w:hAnsi="Times New Roman" w:eastAsia="宋体" w:cs="宋体"/>
          <w:color w:val="auto"/>
          <w:sz w:val="24"/>
          <w:szCs w:val="24"/>
          <w:highlight w:val="none"/>
        </w:rPr>
        <w:t>的责任承担</w:t>
      </w:r>
      <w:r>
        <w:rPr>
          <w:rFonts w:hint="eastAsia" w:ascii="Times New Roman" w:hAnsi="Times New Roman" w:eastAsia="宋体" w:cs="宋体"/>
          <w:color w:val="auto"/>
          <w:kern w:val="2"/>
          <w:sz w:val="24"/>
          <w:szCs w:val="24"/>
          <w:highlight w:val="none"/>
        </w:rPr>
        <w:t>。</w:t>
      </w:r>
    </w:p>
    <w:p w14:paraId="2334EC27">
      <w:pPr>
        <w:spacing w:line="360" w:lineRule="auto"/>
        <w:ind w:firstLine="480" w:firstLineChars="200"/>
        <w:jc w:val="both"/>
        <w:rPr>
          <w:rFonts w:ascii="Times New Roman" w:hAnsi="Times New Roman" w:eastAsia="宋体" w:cs="宋体"/>
          <w:b/>
          <w:bCs/>
          <w:color w:val="auto"/>
          <w:kern w:val="2"/>
          <w:sz w:val="24"/>
          <w:szCs w:val="24"/>
          <w:highlight w:val="none"/>
        </w:rPr>
      </w:pPr>
      <w:r>
        <w:rPr>
          <w:rFonts w:hint="eastAsia" w:ascii="Times New Roman" w:hAnsi="Times New Roman" w:eastAsia="宋体" w:cs="宋体"/>
          <w:color w:val="auto"/>
          <w:kern w:val="2"/>
          <w:sz w:val="24"/>
          <w:szCs w:val="24"/>
          <w:highlight w:val="none"/>
        </w:rPr>
        <w:t>4</w:t>
      </w:r>
      <w:r>
        <w:rPr>
          <w:rFonts w:hint="eastAsia" w:ascii="Times New Roman" w:hAnsi="Times New Roman" w:eastAsia="宋体" w:cs="宋体"/>
          <w:color w:val="auto"/>
          <w:kern w:val="2"/>
          <w:sz w:val="24"/>
          <w:szCs w:val="24"/>
          <w:highlight w:val="none"/>
          <w:lang w:val="en-US" w:eastAsia="zh-CN"/>
        </w:rPr>
        <w:t>.</w:t>
      </w:r>
      <w:r>
        <w:rPr>
          <w:rFonts w:hint="eastAsia" w:ascii="Times New Roman" w:hAnsi="Times New Roman" w:eastAsia="宋体" w:cs="宋体"/>
          <w:color w:val="auto"/>
          <w:kern w:val="2"/>
          <w:sz w:val="24"/>
          <w:szCs w:val="24"/>
          <w:highlight w:val="none"/>
        </w:rPr>
        <w:t>货物在经最终验收合格前，其损耗、毁损、灭失等风险及责任由供货单位承担，如因发生前述情形，导致供货单位所提供的货物不能通过采购人验收的，供货单位应按采购人要求无条件予以退换货，费用由</w:t>
      </w:r>
      <w:r>
        <w:rPr>
          <w:rFonts w:hint="eastAsia" w:ascii="Times New Roman" w:cs="宋体"/>
          <w:color w:val="auto"/>
          <w:kern w:val="2"/>
          <w:sz w:val="24"/>
          <w:szCs w:val="24"/>
          <w:highlight w:val="none"/>
          <w:lang w:val="en-US" w:eastAsia="zh-CN"/>
        </w:rPr>
        <w:t>供货单位</w:t>
      </w:r>
      <w:r>
        <w:rPr>
          <w:rFonts w:hint="eastAsia" w:ascii="Times New Roman" w:hAnsi="Times New Roman" w:eastAsia="宋体" w:cs="宋体"/>
          <w:color w:val="auto"/>
          <w:kern w:val="2"/>
          <w:sz w:val="24"/>
          <w:szCs w:val="24"/>
          <w:highlight w:val="none"/>
        </w:rPr>
        <w:t>承担，给采购人造成损失的供货单位须承担全部的赔偿责任，且交货时间不予顺延。</w:t>
      </w:r>
    </w:p>
    <w:p w14:paraId="0004CBD0">
      <w:pPr>
        <w:spacing w:line="360" w:lineRule="auto"/>
        <w:ind w:firstLine="482"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
          <w:color w:val="auto"/>
          <w:kern w:val="2"/>
          <w:sz w:val="24"/>
          <w:szCs w:val="24"/>
          <w:highlight w:val="none"/>
        </w:rPr>
        <w:t>五、售后要求</w:t>
      </w:r>
    </w:p>
    <w:p w14:paraId="530B883C">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1</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供货单位应具有相应的技术人员，具备供货及售前售后的服务能力。</w:t>
      </w:r>
    </w:p>
    <w:p w14:paraId="7C763CF0">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2</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供货单位在接到质量问题通知后24小时内自费派工程师到达现场对问题进行处理。</w:t>
      </w:r>
    </w:p>
    <w:p w14:paraId="5F0CB467">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3</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14:paraId="0571BEF2">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4</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14:paraId="77B6F020">
      <w:pPr>
        <w:spacing w:line="360" w:lineRule="auto"/>
        <w:ind w:firstLine="480"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Cs/>
          <w:color w:val="auto"/>
          <w:kern w:val="2"/>
          <w:sz w:val="24"/>
          <w:szCs w:val="24"/>
          <w:highlight w:val="none"/>
        </w:rPr>
        <w:t>5</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自采购人通知供货单位货物检验不合格或货物使用过程中出现质量问题后，采购人有权要求供货单位按照加急供货的规定，将等量的合格货物送交采购人，否则按加急供货的违约规定进行处理。</w:t>
      </w:r>
    </w:p>
    <w:p w14:paraId="30811DD1">
      <w:pPr>
        <w:spacing w:line="360" w:lineRule="auto"/>
        <w:ind w:firstLine="482"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
          <w:color w:val="auto"/>
          <w:kern w:val="2"/>
          <w:sz w:val="24"/>
          <w:szCs w:val="24"/>
          <w:highlight w:val="none"/>
        </w:rPr>
        <w:t>六、付款方式</w:t>
      </w:r>
    </w:p>
    <w:p w14:paraId="6461BA88">
      <w:pPr>
        <w:spacing w:line="360" w:lineRule="auto"/>
        <w:ind w:firstLine="480" w:firstLineChars="200"/>
        <w:rPr>
          <w:rFonts w:ascii="Times New Roman" w:hAnsi="Times New Roman" w:eastAsia="宋体" w:cs="宋体"/>
          <w:bCs/>
          <w:color w:val="auto"/>
          <w:kern w:val="2"/>
          <w:sz w:val="24"/>
          <w:szCs w:val="24"/>
          <w:highlight w:val="none"/>
        </w:rPr>
      </w:pPr>
      <w:r>
        <w:rPr>
          <w:rFonts w:hint="eastAsia" w:ascii="Times New Roman" w:hAnsi="Times New Roman" w:eastAsia="宋体" w:cs="宋体"/>
          <w:bCs/>
          <w:color w:val="auto"/>
          <w:kern w:val="2"/>
          <w:sz w:val="24"/>
          <w:szCs w:val="24"/>
          <w:highlight w:val="none"/>
        </w:rPr>
        <w:t>1</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货物的款项按月支付，在收到货物并最终验收合格后，每月中旬办理支付上月实际供货量的100%货款。</w:t>
      </w:r>
    </w:p>
    <w:p w14:paraId="143DEAEB">
      <w:pPr>
        <w:spacing w:line="360" w:lineRule="auto"/>
        <w:ind w:firstLine="480" w:firstLineChars="200"/>
        <w:rPr>
          <w:rFonts w:ascii="Times New Roman" w:hAnsi="Times New Roman" w:eastAsia="宋体" w:cs="宋体"/>
          <w:b/>
          <w:color w:val="auto"/>
          <w:kern w:val="2"/>
          <w:sz w:val="24"/>
          <w:szCs w:val="24"/>
          <w:highlight w:val="none"/>
        </w:rPr>
      </w:pPr>
      <w:r>
        <w:rPr>
          <w:rFonts w:hint="eastAsia" w:ascii="Times New Roman" w:hAnsi="Times New Roman" w:eastAsia="宋体" w:cs="宋体"/>
          <w:bCs/>
          <w:color w:val="auto"/>
          <w:kern w:val="2"/>
          <w:sz w:val="24"/>
          <w:szCs w:val="24"/>
          <w:highlight w:val="none"/>
        </w:rPr>
        <w:t>2</w:t>
      </w:r>
      <w:r>
        <w:rPr>
          <w:rFonts w:hint="eastAsia" w:ascii="Times New Roman" w:hAnsi="Times New Roman" w:eastAsia="宋体" w:cs="宋体"/>
          <w:bCs/>
          <w:color w:val="auto"/>
          <w:kern w:val="2"/>
          <w:sz w:val="24"/>
          <w:szCs w:val="24"/>
          <w:highlight w:val="none"/>
          <w:lang w:val="en-US" w:eastAsia="zh-CN"/>
        </w:rPr>
        <w:t>.</w:t>
      </w:r>
      <w:r>
        <w:rPr>
          <w:rFonts w:hint="eastAsia" w:ascii="Times New Roman" w:hAnsi="Times New Roman" w:eastAsia="宋体" w:cs="宋体"/>
          <w:bCs/>
          <w:color w:val="auto"/>
          <w:kern w:val="2"/>
          <w:sz w:val="24"/>
          <w:szCs w:val="24"/>
          <w:highlight w:val="none"/>
        </w:rPr>
        <w:t>每次付款前，投标人需提交请款报告和增值税专用发票，</w:t>
      </w:r>
      <w:r>
        <w:rPr>
          <w:rFonts w:hint="eastAsia" w:ascii="Times New Roman" w:hAnsi="Times New Roman" w:eastAsia="宋体" w:cs="宋体"/>
          <w:bCs/>
          <w:color w:val="auto"/>
          <w:kern w:val="2"/>
          <w:sz w:val="24"/>
          <w:szCs w:val="24"/>
          <w:highlight w:val="none"/>
          <w:lang w:eastAsia="zh-CN"/>
        </w:rPr>
        <w:t>采购人</w:t>
      </w:r>
      <w:r>
        <w:rPr>
          <w:rFonts w:hint="eastAsia" w:ascii="Times New Roman" w:hAnsi="Times New Roman" w:eastAsia="宋体" w:cs="宋体"/>
          <w:bCs/>
          <w:color w:val="auto"/>
          <w:kern w:val="2"/>
          <w:sz w:val="24"/>
          <w:szCs w:val="24"/>
          <w:highlight w:val="none"/>
        </w:rPr>
        <w:t>在收到请款报告和增值税专用发票后30 个工作日内支付货款。</w:t>
      </w:r>
    </w:p>
    <w:p w14:paraId="4CCF030A">
      <w:pPr>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kern w:val="2"/>
          <w:sz w:val="24"/>
          <w:szCs w:val="24"/>
          <w:highlight w:val="none"/>
        </w:rPr>
        <w:t>七、其他要求</w:t>
      </w:r>
    </w:p>
    <w:p w14:paraId="7B4EBB47">
      <w:pPr>
        <w:spacing w:line="360" w:lineRule="auto"/>
        <w:ind w:firstLine="480" w:firstLineChars="200"/>
        <w:rPr>
          <w:rFonts w:ascii="Times New Roman" w:hAnsi="Times New Roman" w:eastAsia="宋体"/>
          <w:color w:val="auto"/>
          <w:highlight w:val="none"/>
          <w:lang w:val="zh-CN"/>
        </w:rPr>
      </w:pPr>
      <w:r>
        <w:rPr>
          <w:rFonts w:hint="eastAsia" w:ascii="Times New Roman" w:hAnsi="Times New Roman" w:eastAsia="宋体" w:cs="宋体"/>
          <w:bCs/>
          <w:color w:val="auto"/>
          <w:kern w:val="2"/>
          <w:sz w:val="24"/>
          <w:szCs w:val="24"/>
          <w:highlight w:val="none"/>
        </w:rPr>
        <w:t>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价结论为不合格的，采购人有权取消供货单位的供货资格并单方解除合同。</w:t>
      </w:r>
    </w:p>
    <w:p w14:paraId="167380B7">
      <w:pPr>
        <w:pageBreakBefore/>
        <w:jc w:val="center"/>
        <w:rPr>
          <w:rFonts w:ascii="Times New Roman" w:hAnsi="Times New Roman" w:eastAsia="宋体"/>
          <w:b/>
          <w:bCs/>
          <w:color w:val="auto"/>
          <w:sz w:val="36"/>
          <w:szCs w:val="36"/>
          <w:highlight w:val="none"/>
        </w:rPr>
      </w:pPr>
      <w:r>
        <w:rPr>
          <w:rFonts w:hint="eastAsia" w:ascii="Times New Roman" w:hAnsi="Times New Roman" w:eastAsia="宋体"/>
          <w:b/>
          <w:bCs/>
          <w:color w:val="auto"/>
          <w:sz w:val="36"/>
          <w:szCs w:val="36"/>
          <w:highlight w:val="none"/>
        </w:rPr>
        <w:t>验收报告</w:t>
      </w:r>
    </w:p>
    <w:tbl>
      <w:tblPr>
        <w:tblStyle w:val="20"/>
        <w:tblpPr w:leftFromText="180" w:rightFromText="180" w:vertAnchor="text" w:horzAnchor="page" w:tblpXSpec="center" w:tblpY="250"/>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76F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81DB1F0">
            <w:pPr>
              <w:widowControl/>
              <w:jc w:val="center"/>
              <w:textAlignment w:val="center"/>
              <w:rPr>
                <w:rFonts w:ascii="Times New Roman" w:hAnsi="Times New Roman" w:eastAsia="宋体"/>
                <w:b/>
                <w:color w:val="auto"/>
                <w:sz w:val="24"/>
                <w:szCs w:val="24"/>
                <w:highlight w:val="none"/>
              </w:rPr>
            </w:pPr>
            <w:r>
              <w:rPr>
                <w:rFonts w:hint="eastAsia" w:ascii="Times New Roman" w:hAnsi="Times New Roman" w:eastAsia="宋体" w:cs="宋体"/>
                <w:b/>
                <w:color w:val="auto"/>
                <w:sz w:val="24"/>
                <w:szCs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6402CA3">
            <w:pPr>
              <w:widowControl/>
              <w:jc w:val="center"/>
              <w:textAlignment w:val="center"/>
              <w:rPr>
                <w:rFonts w:ascii="Times New Roman" w:hAnsi="Times New Roman" w:eastAsia="宋体"/>
                <w:b/>
                <w:color w:val="auto"/>
                <w:sz w:val="24"/>
                <w:szCs w:val="24"/>
                <w:highlight w:val="none"/>
              </w:rPr>
            </w:pPr>
          </w:p>
        </w:tc>
      </w:tr>
      <w:tr w14:paraId="4FA5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E32F40C">
            <w:pPr>
              <w:widowControl/>
              <w:jc w:val="center"/>
              <w:textAlignment w:val="center"/>
              <w:rPr>
                <w:rFonts w:ascii="Times New Roman" w:hAnsi="Times New Roman" w:eastAsia="宋体"/>
                <w:b/>
                <w:color w:val="auto"/>
                <w:sz w:val="24"/>
                <w:szCs w:val="24"/>
                <w:highlight w:val="none"/>
              </w:rPr>
            </w:pPr>
            <w:r>
              <w:rPr>
                <w:rFonts w:hint="eastAsia" w:ascii="Times New Roman" w:hAnsi="Times New Roman" w:eastAsia="宋体" w:cs="宋体"/>
                <w:b/>
                <w:color w:val="auto"/>
                <w:sz w:val="24"/>
                <w:szCs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3C96147">
            <w:pPr>
              <w:widowControl/>
              <w:jc w:val="center"/>
              <w:textAlignment w:val="center"/>
              <w:rPr>
                <w:rFonts w:ascii="Times New Roman" w:hAnsi="Times New Roman" w:eastAsia="宋体"/>
                <w:b/>
                <w:color w:val="auto"/>
                <w:sz w:val="24"/>
                <w:szCs w:val="24"/>
                <w:highlight w:val="none"/>
              </w:rPr>
            </w:pPr>
          </w:p>
        </w:tc>
      </w:tr>
      <w:tr w14:paraId="0933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26EBC1D">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336EF1">
            <w:pPr>
              <w:widowControl/>
              <w:jc w:val="center"/>
              <w:textAlignment w:val="center"/>
              <w:rPr>
                <w:rFonts w:ascii="Times New Roman" w:hAnsi="Times New Roman" w:eastAsia="宋体"/>
                <w:b/>
                <w:color w:val="auto"/>
                <w:sz w:val="24"/>
                <w:szCs w:val="24"/>
                <w:highlight w:val="none"/>
              </w:rPr>
            </w:pPr>
          </w:p>
        </w:tc>
      </w:tr>
      <w:tr w14:paraId="45C9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48670C6">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A129B4">
            <w:pPr>
              <w:widowControl/>
              <w:jc w:val="center"/>
              <w:textAlignment w:val="center"/>
              <w:rPr>
                <w:rFonts w:ascii="Times New Roman" w:hAnsi="Times New Roman" w:eastAsia="宋体"/>
                <w:b/>
                <w:color w:val="auto"/>
                <w:sz w:val="24"/>
                <w:szCs w:val="24"/>
                <w:highlight w:val="none"/>
              </w:rPr>
            </w:pPr>
          </w:p>
        </w:tc>
      </w:tr>
      <w:tr w14:paraId="6E8D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9CC9D27">
            <w:pPr>
              <w:widowControl/>
              <w:jc w:val="center"/>
              <w:textAlignment w:val="center"/>
              <w:rPr>
                <w:rFonts w:ascii="Times New Roman" w:hAnsi="Times New Roman" w:eastAsia="宋体"/>
                <w:b/>
                <w:color w:val="auto"/>
                <w:sz w:val="24"/>
                <w:szCs w:val="24"/>
                <w:highlight w:val="none"/>
              </w:rPr>
            </w:pPr>
            <w:r>
              <w:rPr>
                <w:rFonts w:hint="eastAsia" w:ascii="Times New Roman" w:hAnsi="Times New Roman" w:eastAsia="宋体" w:cs="宋体"/>
                <w:b/>
                <w:color w:val="auto"/>
                <w:sz w:val="24"/>
                <w:szCs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9B5BFCD">
            <w:pPr>
              <w:widowControl/>
              <w:jc w:val="center"/>
              <w:textAlignment w:val="center"/>
              <w:rPr>
                <w:rFonts w:ascii="Times New Roman" w:hAnsi="Times New Roman" w:eastAsia="宋体" w:cs="宋体"/>
                <w:b/>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C8C051E">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2AD5473">
            <w:pPr>
              <w:widowControl/>
              <w:jc w:val="center"/>
              <w:textAlignment w:val="center"/>
              <w:rPr>
                <w:rFonts w:ascii="Times New Roman" w:hAnsi="Times New Roman" w:eastAsia="宋体" w:cs="宋体"/>
                <w:b/>
                <w:color w:val="auto"/>
                <w:sz w:val="24"/>
                <w:szCs w:val="24"/>
                <w:highlight w:val="none"/>
              </w:rPr>
            </w:pPr>
          </w:p>
        </w:tc>
      </w:tr>
      <w:tr w14:paraId="6070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56880D1">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522B1C2">
            <w:pPr>
              <w:widowControl/>
              <w:jc w:val="center"/>
              <w:textAlignment w:val="center"/>
              <w:rPr>
                <w:rFonts w:ascii="Times New Roman" w:hAnsi="Times New Roman" w:eastAsia="宋体" w:cs="宋体"/>
                <w:b/>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F0A4588">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81A3505">
            <w:pPr>
              <w:widowControl/>
              <w:jc w:val="center"/>
              <w:textAlignment w:val="center"/>
              <w:rPr>
                <w:rFonts w:ascii="Times New Roman" w:hAnsi="Times New Roman" w:eastAsia="宋体" w:cs="宋体"/>
                <w:b/>
                <w:color w:val="auto"/>
                <w:sz w:val="24"/>
                <w:szCs w:val="24"/>
                <w:highlight w:val="none"/>
              </w:rPr>
            </w:pPr>
          </w:p>
        </w:tc>
      </w:tr>
      <w:tr w14:paraId="49F1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181B33B">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7C5D1F9">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B151ABF">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3AFCA55">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检测值</w:t>
            </w:r>
          </w:p>
        </w:tc>
      </w:tr>
      <w:tr w14:paraId="13AC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247969">
            <w:pPr>
              <w:widowControl/>
              <w:jc w:val="center"/>
              <w:textAlignment w:val="center"/>
              <w:rPr>
                <w:rFonts w:ascii="Times New Roman" w:hAnsi="Times New Roman" w:eastAsia="宋体" w:cs="宋体"/>
                <w:bCs/>
                <w:color w:val="auto"/>
                <w:sz w:val="24"/>
                <w:szCs w:val="24"/>
                <w:highlight w:val="none"/>
              </w:rPr>
            </w:pPr>
            <w:r>
              <w:rPr>
                <w:rFonts w:ascii="Times New Roman" w:hAnsi="Times New Roman" w:eastAsia="宋体" w:cs="宋体"/>
                <w:bCs/>
                <w:color w:val="auto"/>
                <w:sz w:val="24"/>
                <w:szCs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529AB9">
            <w:pPr>
              <w:widowControl/>
              <w:jc w:val="center"/>
              <w:textAlignment w:val="center"/>
              <w:rPr>
                <w:rFonts w:ascii="Times New Roman" w:hAnsi="Times New Roman" w:eastAsia="宋体"/>
                <w:b/>
                <w:bCs/>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1065C0F">
            <w:pPr>
              <w:widowControl/>
              <w:jc w:val="center"/>
              <w:textAlignment w:val="center"/>
              <w:rPr>
                <w:rFonts w:ascii="Times New Roman" w:hAnsi="Times New Roman" w:eastAsia="宋体" w:cs="宋体"/>
                <w:b/>
                <w:color w:val="auto"/>
                <w:sz w:val="24"/>
                <w:szCs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C0695C6">
            <w:pPr>
              <w:widowControl/>
              <w:jc w:val="center"/>
              <w:textAlignment w:val="center"/>
              <w:rPr>
                <w:rFonts w:ascii="Times New Roman" w:hAnsi="Times New Roman" w:eastAsia="宋体"/>
                <w:color w:val="auto"/>
                <w:sz w:val="24"/>
                <w:szCs w:val="24"/>
                <w:highlight w:val="none"/>
              </w:rPr>
            </w:pPr>
          </w:p>
        </w:tc>
      </w:tr>
      <w:tr w14:paraId="420C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013D5EB">
            <w:pPr>
              <w:widowControl/>
              <w:jc w:val="center"/>
              <w:textAlignment w:val="center"/>
              <w:rPr>
                <w:rFonts w:ascii="Times New Roman" w:hAnsi="Times New Roman" w:eastAsia="宋体" w:cs="宋体"/>
                <w:bCs/>
                <w:color w:val="auto"/>
                <w:sz w:val="24"/>
                <w:szCs w:val="24"/>
                <w:highlight w:val="none"/>
              </w:rPr>
            </w:pPr>
            <w:r>
              <w:rPr>
                <w:rFonts w:ascii="Times New Roman" w:hAnsi="Times New Roman" w:eastAsia="宋体" w:cs="宋体"/>
                <w:bCs/>
                <w:color w:val="auto"/>
                <w:sz w:val="24"/>
                <w:szCs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40292A7">
            <w:pPr>
              <w:widowControl/>
              <w:jc w:val="center"/>
              <w:textAlignment w:val="center"/>
              <w:rPr>
                <w:rFonts w:ascii="Times New Roman" w:hAnsi="Times New Roman" w:eastAsia="宋体"/>
                <w:b/>
                <w:bCs/>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1C0FB4B">
            <w:pPr>
              <w:widowControl/>
              <w:jc w:val="center"/>
              <w:textAlignment w:val="center"/>
              <w:rPr>
                <w:rFonts w:ascii="Times New Roman" w:hAnsi="Times New Roman" w:eastAsia="宋体" w:cs="宋体"/>
                <w:b/>
                <w:color w:val="auto"/>
                <w:sz w:val="24"/>
                <w:szCs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753202">
            <w:pPr>
              <w:widowControl/>
              <w:jc w:val="center"/>
              <w:textAlignment w:val="center"/>
              <w:rPr>
                <w:rFonts w:ascii="Times New Roman" w:hAnsi="Times New Roman" w:eastAsia="宋体"/>
                <w:color w:val="auto"/>
                <w:sz w:val="24"/>
                <w:szCs w:val="24"/>
                <w:highlight w:val="none"/>
              </w:rPr>
            </w:pPr>
          </w:p>
        </w:tc>
      </w:tr>
      <w:tr w14:paraId="0FA3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859F773">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E76D3B0">
            <w:pPr>
              <w:widowControl/>
              <w:jc w:val="center"/>
              <w:textAlignment w:val="center"/>
              <w:rPr>
                <w:rFonts w:ascii="Times New Roman" w:hAnsi="Times New Roman" w:eastAsia="宋体"/>
                <w:color w:val="auto"/>
                <w:sz w:val="24"/>
                <w:szCs w:val="24"/>
                <w:highlight w:val="none"/>
              </w:rPr>
            </w:pPr>
          </w:p>
        </w:tc>
      </w:tr>
      <w:tr w14:paraId="4FC6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E4BF473">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2ED96FF">
            <w:pPr>
              <w:widowControl/>
              <w:jc w:val="center"/>
              <w:textAlignment w:val="center"/>
              <w:rPr>
                <w:rFonts w:ascii="Times New Roman" w:hAnsi="Times New Roman" w:eastAsia="宋体"/>
                <w:color w:val="auto"/>
                <w:sz w:val="24"/>
                <w:szCs w:val="24"/>
                <w:highlight w:val="none"/>
              </w:rPr>
            </w:pPr>
          </w:p>
        </w:tc>
      </w:tr>
      <w:tr w14:paraId="6FBD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453D672">
            <w:pPr>
              <w:widowControl/>
              <w:jc w:val="center"/>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F568E01">
            <w:pPr>
              <w:widowControl/>
              <w:jc w:val="center"/>
              <w:textAlignment w:val="center"/>
              <w:rPr>
                <w:rFonts w:ascii="Times New Roman" w:hAnsi="Times New Roman" w:eastAsia="宋体"/>
                <w:color w:val="auto"/>
                <w:sz w:val="24"/>
                <w:szCs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92BE36">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981594">
            <w:pPr>
              <w:widowControl/>
              <w:jc w:val="center"/>
              <w:textAlignment w:val="center"/>
              <w:rPr>
                <w:rFonts w:ascii="Times New Roman" w:hAnsi="Times New Roman" w:eastAsia="宋体"/>
                <w:color w:val="auto"/>
                <w:sz w:val="24"/>
                <w:szCs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380A130">
            <w:pPr>
              <w:widowControl/>
              <w:jc w:val="center"/>
              <w:textAlignment w:val="center"/>
              <w:rPr>
                <w:rFonts w:ascii="Times New Roman" w:hAnsi="Times New Roman" w:eastAsia="宋体"/>
                <w:color w:val="auto"/>
                <w:sz w:val="24"/>
                <w:szCs w:val="24"/>
                <w:highlight w:val="none"/>
              </w:rPr>
            </w:pPr>
            <w:r>
              <w:rPr>
                <w:rFonts w:hint="eastAsia" w:ascii="Times New Roman" w:hAnsi="Times New Roman" w:eastAsia="宋体"/>
                <w:b/>
                <w:bCs/>
                <w:color w:val="auto"/>
                <w:sz w:val="24"/>
                <w:szCs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8B480C8">
            <w:pPr>
              <w:widowControl/>
              <w:jc w:val="center"/>
              <w:textAlignment w:val="center"/>
              <w:rPr>
                <w:rFonts w:ascii="Times New Roman" w:hAnsi="Times New Roman" w:eastAsia="宋体"/>
                <w:color w:val="auto"/>
                <w:sz w:val="24"/>
                <w:szCs w:val="24"/>
                <w:highlight w:val="none"/>
              </w:rPr>
            </w:pPr>
          </w:p>
        </w:tc>
      </w:tr>
      <w:tr w14:paraId="2B2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noWrap/>
            <w:tcMar>
              <w:top w:w="15" w:type="dxa"/>
              <w:left w:w="15" w:type="dxa"/>
              <w:right w:w="15" w:type="dxa"/>
            </w:tcMar>
          </w:tcPr>
          <w:p w14:paraId="50A79A8E">
            <w:pPr>
              <w:jc w:val="center"/>
              <w:rPr>
                <w:rFonts w:ascii="Times New Roman" w:hAnsi="Times New Roman" w:eastAsia="宋体"/>
                <w:b/>
                <w:bCs/>
                <w:color w:val="auto"/>
                <w:sz w:val="24"/>
                <w:szCs w:val="24"/>
                <w:highlight w:val="none"/>
              </w:rPr>
            </w:pPr>
          </w:p>
          <w:p w14:paraId="48E108C9">
            <w:pPr>
              <w:widowControl/>
              <w:ind w:firstLine="241" w:firstLineChars="100"/>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验收单位：</w:t>
            </w:r>
          </w:p>
          <w:p w14:paraId="7C1AE0A1">
            <w:pPr>
              <w:widowControl/>
              <w:textAlignment w:val="center"/>
              <w:rPr>
                <w:rFonts w:ascii="Times New Roman" w:hAnsi="Times New Roman" w:eastAsia="宋体" w:cs="宋体"/>
                <w:b/>
                <w:color w:val="auto"/>
                <w:sz w:val="24"/>
                <w:szCs w:val="24"/>
                <w:highlight w:val="none"/>
              </w:rPr>
            </w:pPr>
          </w:p>
          <w:p w14:paraId="2E2889FC">
            <w:pPr>
              <w:widowControl/>
              <w:ind w:firstLine="241" w:firstLineChars="100"/>
              <w:textAlignment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验收人1（签名）：</w:t>
            </w:r>
          </w:p>
          <w:p w14:paraId="64424802">
            <w:pPr>
              <w:widowControl/>
              <w:textAlignment w:val="center"/>
              <w:rPr>
                <w:rFonts w:ascii="Times New Roman" w:hAnsi="Times New Roman" w:eastAsia="宋体" w:cs="宋体"/>
                <w:b/>
                <w:color w:val="auto"/>
                <w:sz w:val="24"/>
                <w:szCs w:val="24"/>
                <w:highlight w:val="none"/>
              </w:rPr>
            </w:pPr>
          </w:p>
          <w:p w14:paraId="5DD16F28">
            <w:pPr>
              <w:widowControl/>
              <w:ind w:firstLine="241" w:firstLineChars="100"/>
              <w:textAlignment w:val="center"/>
              <w:rPr>
                <w:rFonts w:ascii="Times New Roman" w:hAnsi="Times New Roman" w:eastAsia="宋体"/>
                <w:b/>
                <w:bCs/>
                <w:color w:val="auto"/>
                <w:sz w:val="24"/>
                <w:szCs w:val="24"/>
                <w:highlight w:val="none"/>
              </w:rPr>
            </w:pPr>
            <w:r>
              <w:rPr>
                <w:rFonts w:hint="eastAsia" w:ascii="Times New Roman" w:hAnsi="Times New Roman" w:eastAsia="宋体" w:cs="宋体"/>
                <w:b/>
                <w:color w:val="auto"/>
                <w:sz w:val="24"/>
                <w:szCs w:val="24"/>
                <w:highlight w:val="none"/>
              </w:rPr>
              <w:t xml:space="preserve">验收人2（签名）： </w:t>
            </w:r>
          </w:p>
        </w:tc>
        <w:tc>
          <w:tcPr>
            <w:tcW w:w="4720" w:type="dxa"/>
            <w:gridSpan w:val="4"/>
            <w:noWrap/>
            <w:tcMar>
              <w:top w:w="15" w:type="dxa"/>
              <w:left w:w="15" w:type="dxa"/>
              <w:right w:w="15" w:type="dxa"/>
            </w:tcMar>
          </w:tcPr>
          <w:p w14:paraId="46A24A17">
            <w:pPr>
              <w:jc w:val="center"/>
              <w:rPr>
                <w:rFonts w:ascii="Times New Roman" w:hAnsi="Times New Roman" w:eastAsia="宋体"/>
                <w:b/>
                <w:bCs/>
                <w:color w:val="auto"/>
                <w:sz w:val="24"/>
                <w:szCs w:val="24"/>
                <w:highlight w:val="none"/>
              </w:rPr>
            </w:pPr>
          </w:p>
          <w:p w14:paraId="5B013829">
            <w:pPr>
              <w:ind w:firstLine="241" w:firstLineChars="1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供货单位（盖章）：</w:t>
            </w:r>
          </w:p>
          <w:p w14:paraId="58D454A2">
            <w:pPr>
              <w:ind w:firstLine="241" w:firstLineChars="100"/>
              <w:rPr>
                <w:rFonts w:ascii="Times New Roman" w:hAnsi="Times New Roman" w:eastAsia="宋体" w:cs="宋体"/>
                <w:b/>
                <w:color w:val="auto"/>
                <w:sz w:val="24"/>
                <w:szCs w:val="24"/>
                <w:highlight w:val="none"/>
              </w:rPr>
            </w:pPr>
          </w:p>
          <w:p w14:paraId="64BFBF97">
            <w:pPr>
              <w:ind w:firstLine="241" w:firstLineChars="1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供货单位代表（签名）：</w:t>
            </w:r>
          </w:p>
        </w:tc>
      </w:tr>
      <w:tr w14:paraId="4E3A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noWrap/>
            <w:tcMar>
              <w:top w:w="15" w:type="dxa"/>
              <w:left w:w="15" w:type="dxa"/>
              <w:right w:w="15" w:type="dxa"/>
            </w:tcMar>
            <w:vAlign w:val="center"/>
          </w:tcPr>
          <w:p w14:paraId="66B10798">
            <w:pPr>
              <w:ind w:firstLine="482" w:firstLineChars="200"/>
              <w:rPr>
                <w:rFonts w:ascii="Times New Roman" w:hAnsi="Times New Roman" w:eastAsia="宋体"/>
                <w:color w:val="auto"/>
                <w:sz w:val="24"/>
                <w:szCs w:val="24"/>
                <w:highlight w:val="none"/>
              </w:rPr>
            </w:pPr>
            <w:r>
              <w:rPr>
                <w:rFonts w:hint="eastAsia" w:ascii="Times New Roman" w:hAnsi="Times New Roman" w:eastAsia="宋体" w:cs="宋体"/>
                <w:b/>
                <w:color w:val="auto"/>
                <w:sz w:val="24"/>
                <w:szCs w:val="24"/>
                <w:highlight w:val="none"/>
              </w:rPr>
              <w:t>日期：</w:t>
            </w:r>
          </w:p>
        </w:tc>
        <w:tc>
          <w:tcPr>
            <w:tcW w:w="4720" w:type="dxa"/>
            <w:gridSpan w:val="4"/>
            <w:noWrap/>
            <w:tcMar>
              <w:top w:w="15" w:type="dxa"/>
              <w:left w:w="15" w:type="dxa"/>
              <w:right w:w="15" w:type="dxa"/>
            </w:tcMar>
            <w:vAlign w:val="center"/>
          </w:tcPr>
          <w:p w14:paraId="307D33DA">
            <w:pPr>
              <w:ind w:firstLine="482" w:firstLineChars="200"/>
              <w:rPr>
                <w:rFonts w:ascii="Times New Roman" w:hAnsi="Times New Roman" w:eastAsia="宋体"/>
                <w:color w:val="auto"/>
                <w:sz w:val="24"/>
                <w:szCs w:val="24"/>
                <w:highlight w:val="none"/>
              </w:rPr>
            </w:pPr>
            <w:r>
              <w:rPr>
                <w:rFonts w:hint="eastAsia" w:ascii="Times New Roman" w:hAnsi="Times New Roman" w:eastAsia="宋体" w:cs="宋体"/>
                <w:b/>
                <w:color w:val="auto"/>
                <w:sz w:val="24"/>
                <w:szCs w:val="24"/>
                <w:highlight w:val="none"/>
              </w:rPr>
              <w:t>日期：</w:t>
            </w:r>
          </w:p>
        </w:tc>
      </w:tr>
    </w:tbl>
    <w:p w14:paraId="486F3C48">
      <w:pPr>
        <w:rPr>
          <w:rFonts w:ascii="Times New Roman" w:hAnsi="Times New Roman" w:eastAsia="宋体"/>
          <w:color w:val="auto"/>
          <w:highlight w:val="none"/>
          <w:lang w:val="zh-CN"/>
        </w:rPr>
        <w:sectPr>
          <w:footerReference r:id="rId11" w:type="first"/>
          <w:footerReference r:id="rId10" w:type="default"/>
          <w:pgSz w:w="12240" w:h="15840"/>
          <w:pgMar w:top="1191" w:right="1357"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tbl>
      <w:tblPr>
        <w:tblStyle w:val="20"/>
        <w:tblpPr w:leftFromText="180" w:rightFromText="180" w:vertAnchor="text" w:horzAnchor="page" w:tblpX="792" w:tblpY="742"/>
        <w:tblOverlap w:val="never"/>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785"/>
        <w:gridCol w:w="55"/>
        <w:gridCol w:w="1824"/>
        <w:gridCol w:w="733"/>
        <w:gridCol w:w="705"/>
        <w:gridCol w:w="719"/>
        <w:gridCol w:w="6"/>
      </w:tblGrid>
      <w:tr w14:paraId="664F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9981" w:type="dxa"/>
            <w:gridSpan w:val="8"/>
            <w:tcBorders>
              <w:top w:val="nil"/>
              <w:left w:val="nil"/>
              <w:bottom w:val="single" w:color="auto" w:sz="4" w:space="0"/>
              <w:right w:val="nil"/>
            </w:tcBorders>
            <w:vAlign w:val="center"/>
          </w:tcPr>
          <w:p w14:paraId="76C55862">
            <w:pPr>
              <w:spacing w:line="360" w:lineRule="auto"/>
              <w:jc w:val="center"/>
              <w:rPr>
                <w:rFonts w:ascii="Times New Roman" w:hAnsi="Times New Roman" w:eastAsia="宋体"/>
                <w:color w:val="auto"/>
                <w:sz w:val="22"/>
                <w:szCs w:val="22"/>
                <w:highlight w:val="none"/>
              </w:rPr>
            </w:pPr>
            <w:r>
              <w:rPr>
                <w:rFonts w:hint="eastAsia" w:ascii="Times New Roman" w:hAnsi="Times New Roman" w:eastAsia="宋体" w:cs="宋体"/>
                <w:b/>
                <w:color w:val="auto"/>
                <w:sz w:val="36"/>
                <w:szCs w:val="36"/>
                <w:highlight w:val="none"/>
              </w:rPr>
              <w:t>供应商履约评价表</w:t>
            </w:r>
          </w:p>
        </w:tc>
      </w:tr>
      <w:tr w14:paraId="7414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tcBorders>
              <w:top w:val="single" w:color="auto" w:sz="4" w:space="0"/>
            </w:tcBorders>
            <w:vAlign w:val="center"/>
          </w:tcPr>
          <w:p w14:paraId="35F6CE52">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合同名称</w:t>
            </w:r>
          </w:p>
        </w:tc>
        <w:tc>
          <w:tcPr>
            <w:tcW w:w="7821" w:type="dxa"/>
            <w:gridSpan w:val="6"/>
            <w:tcBorders>
              <w:top w:val="single" w:color="auto" w:sz="4" w:space="0"/>
            </w:tcBorders>
            <w:vAlign w:val="center"/>
          </w:tcPr>
          <w:p w14:paraId="5855F13C">
            <w:pPr>
              <w:widowControl/>
              <w:snapToGrid w:val="0"/>
              <w:jc w:val="center"/>
              <w:rPr>
                <w:rFonts w:ascii="Times New Roman" w:hAnsi="Times New Roman" w:eastAsia="宋体"/>
                <w:color w:val="auto"/>
                <w:sz w:val="22"/>
                <w:szCs w:val="22"/>
                <w:highlight w:val="none"/>
              </w:rPr>
            </w:pPr>
          </w:p>
        </w:tc>
      </w:tr>
      <w:tr w14:paraId="0C3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4FF21587">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合同编号</w:t>
            </w:r>
          </w:p>
        </w:tc>
        <w:tc>
          <w:tcPr>
            <w:tcW w:w="7821" w:type="dxa"/>
            <w:gridSpan w:val="6"/>
            <w:vAlign w:val="center"/>
          </w:tcPr>
          <w:p w14:paraId="1530CD1D">
            <w:pPr>
              <w:widowControl/>
              <w:snapToGrid w:val="0"/>
              <w:rPr>
                <w:rFonts w:ascii="Times New Roman" w:hAnsi="Times New Roman" w:eastAsia="宋体"/>
                <w:color w:val="auto"/>
                <w:sz w:val="22"/>
                <w:szCs w:val="22"/>
                <w:highlight w:val="none"/>
              </w:rPr>
            </w:pPr>
          </w:p>
        </w:tc>
      </w:tr>
      <w:tr w14:paraId="6A4B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163D6F6D">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甲方名称</w:t>
            </w:r>
          </w:p>
        </w:tc>
        <w:tc>
          <w:tcPr>
            <w:tcW w:w="7821" w:type="dxa"/>
            <w:gridSpan w:val="6"/>
            <w:vAlign w:val="center"/>
          </w:tcPr>
          <w:p w14:paraId="4DE877DF">
            <w:pPr>
              <w:widowControl/>
              <w:snapToGrid w:val="0"/>
              <w:jc w:val="center"/>
              <w:rPr>
                <w:rFonts w:ascii="Times New Roman" w:hAnsi="Times New Roman" w:eastAsia="宋体"/>
                <w:color w:val="auto"/>
                <w:sz w:val="22"/>
                <w:szCs w:val="22"/>
                <w:highlight w:val="none"/>
              </w:rPr>
            </w:pPr>
          </w:p>
        </w:tc>
      </w:tr>
      <w:tr w14:paraId="270B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6E77543A">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供应商</w:t>
            </w:r>
            <w:r>
              <w:rPr>
                <w:rFonts w:hint="eastAsia" w:ascii="Times New Roman" w:hAnsi="Times New Roman" w:eastAsia="宋体"/>
                <w:color w:val="auto"/>
                <w:sz w:val="22"/>
                <w:szCs w:val="22"/>
                <w:highlight w:val="none"/>
              </w:rPr>
              <w:t>名称</w:t>
            </w:r>
          </w:p>
        </w:tc>
        <w:tc>
          <w:tcPr>
            <w:tcW w:w="7821" w:type="dxa"/>
            <w:gridSpan w:val="6"/>
            <w:vAlign w:val="center"/>
          </w:tcPr>
          <w:p w14:paraId="72E71B32">
            <w:pPr>
              <w:widowControl/>
              <w:snapToGrid w:val="0"/>
              <w:jc w:val="center"/>
              <w:rPr>
                <w:rFonts w:ascii="Times New Roman" w:hAnsi="Times New Roman" w:eastAsia="宋体"/>
                <w:color w:val="auto"/>
                <w:sz w:val="22"/>
                <w:szCs w:val="22"/>
                <w:highlight w:val="none"/>
              </w:rPr>
            </w:pPr>
          </w:p>
        </w:tc>
      </w:tr>
      <w:tr w14:paraId="4033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7536FCD4">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供应货物名称</w:t>
            </w:r>
          </w:p>
        </w:tc>
        <w:tc>
          <w:tcPr>
            <w:tcW w:w="7821" w:type="dxa"/>
            <w:gridSpan w:val="6"/>
            <w:vAlign w:val="center"/>
          </w:tcPr>
          <w:p w14:paraId="598E392A">
            <w:pPr>
              <w:widowControl/>
              <w:snapToGrid w:val="0"/>
              <w:jc w:val="center"/>
              <w:rPr>
                <w:rFonts w:ascii="Times New Roman" w:hAnsi="Times New Roman" w:eastAsia="宋体"/>
                <w:bCs/>
                <w:color w:val="auto"/>
                <w:sz w:val="22"/>
                <w:szCs w:val="22"/>
                <w:highlight w:val="none"/>
              </w:rPr>
            </w:pPr>
          </w:p>
        </w:tc>
      </w:tr>
      <w:tr w14:paraId="3A1C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2160" w:type="dxa"/>
            <w:gridSpan w:val="2"/>
            <w:vAlign w:val="center"/>
          </w:tcPr>
          <w:p w14:paraId="230BA2AF">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交货地点</w:t>
            </w:r>
          </w:p>
        </w:tc>
        <w:tc>
          <w:tcPr>
            <w:tcW w:w="7821" w:type="dxa"/>
            <w:gridSpan w:val="6"/>
            <w:vAlign w:val="center"/>
          </w:tcPr>
          <w:p w14:paraId="106CD464">
            <w:pPr>
              <w:widowControl/>
              <w:snapToGrid w:val="0"/>
              <w:jc w:val="center"/>
              <w:rPr>
                <w:rFonts w:ascii="Times New Roman" w:hAnsi="Times New Roman" w:eastAsia="宋体"/>
                <w:bCs/>
                <w:color w:val="auto"/>
                <w:sz w:val="22"/>
                <w:szCs w:val="22"/>
                <w:highlight w:val="none"/>
              </w:rPr>
            </w:pPr>
          </w:p>
        </w:tc>
      </w:tr>
      <w:tr w14:paraId="055A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9" w:hRule="atLeast"/>
        </w:trPr>
        <w:tc>
          <w:tcPr>
            <w:tcW w:w="425" w:type="dxa"/>
            <w:vAlign w:val="center"/>
          </w:tcPr>
          <w:p w14:paraId="7ADA0F9E">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序号</w:t>
            </w:r>
          </w:p>
        </w:tc>
        <w:tc>
          <w:tcPr>
            <w:tcW w:w="1735" w:type="dxa"/>
            <w:vAlign w:val="center"/>
          </w:tcPr>
          <w:p w14:paraId="1A960AF3">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履约评价项目</w:t>
            </w:r>
          </w:p>
        </w:tc>
        <w:tc>
          <w:tcPr>
            <w:tcW w:w="3785" w:type="dxa"/>
            <w:vAlign w:val="center"/>
          </w:tcPr>
          <w:p w14:paraId="092ECB25">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评价标准</w:t>
            </w:r>
          </w:p>
        </w:tc>
        <w:tc>
          <w:tcPr>
            <w:tcW w:w="1879" w:type="dxa"/>
            <w:gridSpan w:val="2"/>
            <w:vAlign w:val="center"/>
          </w:tcPr>
          <w:p w14:paraId="63340D20">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评分说明</w:t>
            </w:r>
          </w:p>
        </w:tc>
        <w:tc>
          <w:tcPr>
            <w:tcW w:w="733" w:type="dxa"/>
            <w:vAlign w:val="center"/>
          </w:tcPr>
          <w:p w14:paraId="5EE877CA">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分值</w:t>
            </w:r>
          </w:p>
        </w:tc>
        <w:tc>
          <w:tcPr>
            <w:tcW w:w="705" w:type="dxa"/>
            <w:vAlign w:val="center"/>
          </w:tcPr>
          <w:p w14:paraId="17486131">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实得分</w:t>
            </w:r>
          </w:p>
        </w:tc>
        <w:tc>
          <w:tcPr>
            <w:tcW w:w="719" w:type="dxa"/>
            <w:vAlign w:val="center"/>
          </w:tcPr>
          <w:p w14:paraId="4EC5625A">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扣分情况说明</w:t>
            </w:r>
          </w:p>
        </w:tc>
      </w:tr>
      <w:tr w14:paraId="7A66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trPr>
        <w:tc>
          <w:tcPr>
            <w:tcW w:w="425" w:type="dxa"/>
            <w:vAlign w:val="center"/>
          </w:tcPr>
          <w:p w14:paraId="0CC7A993">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w:t>
            </w:r>
          </w:p>
        </w:tc>
        <w:tc>
          <w:tcPr>
            <w:tcW w:w="1735" w:type="dxa"/>
            <w:vAlign w:val="center"/>
          </w:tcPr>
          <w:p w14:paraId="62C1238C">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质量</w:t>
            </w:r>
          </w:p>
        </w:tc>
        <w:tc>
          <w:tcPr>
            <w:tcW w:w="3785" w:type="dxa"/>
            <w:vAlign w:val="center"/>
          </w:tcPr>
          <w:p w14:paraId="267DA613">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（1）货物未出现全部拒收或换货等质量问题；</w:t>
            </w:r>
          </w:p>
          <w:p w14:paraId="3D58F62D">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（2）货物主要技术指标符合合同规定；</w:t>
            </w:r>
          </w:p>
          <w:p w14:paraId="18E8FCEF">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（3）每次货物质量稳定，投加效果良好，未出现由于每次货物质量参差不齐导致厂区药剂投加量增加或出现污染排放超标风险等情况。</w:t>
            </w:r>
          </w:p>
        </w:tc>
        <w:tc>
          <w:tcPr>
            <w:tcW w:w="1879" w:type="dxa"/>
            <w:gridSpan w:val="2"/>
            <w:vAlign w:val="center"/>
          </w:tcPr>
          <w:p w14:paraId="3D3C1578">
            <w:pPr>
              <w:widowControl/>
              <w:snapToGrid w:val="0"/>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达到标准的得满分，每月每次货物有一项未达到标准的扣4分，每次货物最多扣4分。</w:t>
            </w:r>
          </w:p>
        </w:tc>
        <w:tc>
          <w:tcPr>
            <w:tcW w:w="733" w:type="dxa"/>
            <w:vAlign w:val="center"/>
          </w:tcPr>
          <w:p w14:paraId="451082B9">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20</w:t>
            </w:r>
          </w:p>
        </w:tc>
        <w:tc>
          <w:tcPr>
            <w:tcW w:w="705" w:type="dxa"/>
            <w:vAlign w:val="center"/>
          </w:tcPr>
          <w:p w14:paraId="2573BCCA">
            <w:pPr>
              <w:widowControl/>
              <w:snapToGrid w:val="0"/>
              <w:jc w:val="center"/>
              <w:rPr>
                <w:rFonts w:ascii="Times New Roman" w:hAnsi="Times New Roman" w:eastAsia="宋体"/>
                <w:bCs/>
                <w:color w:val="auto"/>
                <w:sz w:val="22"/>
                <w:szCs w:val="22"/>
                <w:highlight w:val="none"/>
              </w:rPr>
            </w:pPr>
          </w:p>
        </w:tc>
        <w:tc>
          <w:tcPr>
            <w:tcW w:w="719" w:type="dxa"/>
            <w:vAlign w:val="center"/>
          </w:tcPr>
          <w:p w14:paraId="641E5318">
            <w:pPr>
              <w:widowControl/>
              <w:snapToGrid w:val="0"/>
              <w:jc w:val="center"/>
              <w:rPr>
                <w:rFonts w:ascii="Times New Roman" w:hAnsi="Times New Roman" w:eastAsia="宋体"/>
                <w:bCs/>
                <w:color w:val="auto"/>
                <w:sz w:val="22"/>
                <w:szCs w:val="22"/>
                <w:highlight w:val="none"/>
              </w:rPr>
            </w:pPr>
          </w:p>
        </w:tc>
      </w:tr>
      <w:tr w14:paraId="3E4B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trPr>
        <w:tc>
          <w:tcPr>
            <w:tcW w:w="425" w:type="dxa"/>
            <w:vAlign w:val="center"/>
          </w:tcPr>
          <w:p w14:paraId="4ED5A0D5">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w:t>
            </w:r>
          </w:p>
        </w:tc>
        <w:tc>
          <w:tcPr>
            <w:tcW w:w="1735" w:type="dxa"/>
            <w:vAlign w:val="center"/>
          </w:tcPr>
          <w:p w14:paraId="7487FA7F">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包装、运输</w:t>
            </w:r>
          </w:p>
        </w:tc>
        <w:tc>
          <w:tcPr>
            <w:tcW w:w="3785" w:type="dxa"/>
            <w:vAlign w:val="center"/>
          </w:tcPr>
          <w:p w14:paraId="1FA1C24A">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货物的包装、运输符合合同规定及国家、行业有关标准规范；未出现由于包装、运输方式不当造成以下不良后果：</w:t>
            </w:r>
          </w:p>
          <w:p w14:paraId="1BA756F1">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（1）影响货物输送或储存质量；</w:t>
            </w:r>
          </w:p>
          <w:p w14:paraId="7DBF2F04">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（2）货物质量下降；</w:t>
            </w:r>
          </w:p>
          <w:p w14:paraId="2A7BB9FF">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（3）货物泄漏导致供货量不足；</w:t>
            </w:r>
          </w:p>
          <w:p w14:paraId="679B23C2">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（4）造成环境污染。</w:t>
            </w:r>
          </w:p>
        </w:tc>
        <w:tc>
          <w:tcPr>
            <w:tcW w:w="1879" w:type="dxa"/>
            <w:gridSpan w:val="2"/>
            <w:vAlign w:val="center"/>
          </w:tcPr>
          <w:p w14:paraId="45B7A530">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达到标准的得满分，每月每次货物有一项未达到标准的扣3分，每次货物最多扣3分。</w:t>
            </w:r>
          </w:p>
        </w:tc>
        <w:tc>
          <w:tcPr>
            <w:tcW w:w="733" w:type="dxa"/>
            <w:vAlign w:val="center"/>
          </w:tcPr>
          <w:p w14:paraId="314908DE">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15</w:t>
            </w:r>
          </w:p>
        </w:tc>
        <w:tc>
          <w:tcPr>
            <w:tcW w:w="705" w:type="dxa"/>
            <w:vAlign w:val="center"/>
          </w:tcPr>
          <w:p w14:paraId="59E5EBBD">
            <w:pPr>
              <w:widowControl/>
              <w:snapToGrid w:val="0"/>
              <w:jc w:val="center"/>
              <w:rPr>
                <w:rFonts w:ascii="Times New Roman" w:hAnsi="Times New Roman" w:eastAsia="宋体"/>
                <w:bCs/>
                <w:color w:val="auto"/>
                <w:sz w:val="22"/>
                <w:szCs w:val="22"/>
                <w:highlight w:val="none"/>
              </w:rPr>
            </w:pPr>
          </w:p>
        </w:tc>
        <w:tc>
          <w:tcPr>
            <w:tcW w:w="719" w:type="dxa"/>
            <w:vAlign w:val="center"/>
          </w:tcPr>
          <w:p w14:paraId="64918940">
            <w:pPr>
              <w:widowControl/>
              <w:snapToGrid w:val="0"/>
              <w:jc w:val="center"/>
              <w:rPr>
                <w:rFonts w:ascii="Times New Roman" w:hAnsi="Times New Roman" w:eastAsia="宋体"/>
                <w:bCs/>
                <w:color w:val="auto"/>
                <w:sz w:val="22"/>
                <w:szCs w:val="22"/>
                <w:highlight w:val="none"/>
              </w:rPr>
            </w:pPr>
          </w:p>
        </w:tc>
      </w:tr>
      <w:tr w14:paraId="6D01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68582BA7">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w:t>
            </w:r>
          </w:p>
        </w:tc>
        <w:tc>
          <w:tcPr>
            <w:tcW w:w="1735" w:type="dxa"/>
            <w:vAlign w:val="center"/>
          </w:tcPr>
          <w:p w14:paraId="198F8F05">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货物交付</w:t>
            </w:r>
          </w:p>
        </w:tc>
        <w:tc>
          <w:tcPr>
            <w:tcW w:w="3785" w:type="dxa"/>
            <w:vAlign w:val="center"/>
          </w:tcPr>
          <w:p w14:paraId="336E7521">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（1）按合同要求的期限供货（包括加急供货）；</w:t>
            </w:r>
          </w:p>
          <w:p w14:paraId="2F904350">
            <w:pP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（2）每次供货配合提供出厂检验报告或质量合格证等技术资料；</w:t>
            </w:r>
          </w:p>
          <w:p w14:paraId="4C73231D">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（3）交付人员专业性强，工作效率高，熟悉交付操作流程；</w:t>
            </w:r>
          </w:p>
          <w:p w14:paraId="7816DB36">
            <w:pPr>
              <w:widowControl/>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（4）未出现因库存、运力不足等原因影响供货量的情况。</w:t>
            </w:r>
          </w:p>
        </w:tc>
        <w:tc>
          <w:tcPr>
            <w:tcW w:w="1879" w:type="dxa"/>
            <w:gridSpan w:val="2"/>
            <w:vAlign w:val="center"/>
          </w:tcPr>
          <w:p w14:paraId="1FE491FE">
            <w:pPr>
              <w:widowControl/>
              <w:snapToGrid w:val="0"/>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达到标准的得满分，每月每次货物有一项未达到标准的扣3分，每次货物最多扣3分。</w:t>
            </w:r>
          </w:p>
        </w:tc>
        <w:tc>
          <w:tcPr>
            <w:tcW w:w="733" w:type="dxa"/>
            <w:vAlign w:val="center"/>
          </w:tcPr>
          <w:p w14:paraId="1EC17BFE">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20</w:t>
            </w:r>
          </w:p>
        </w:tc>
        <w:tc>
          <w:tcPr>
            <w:tcW w:w="705" w:type="dxa"/>
            <w:vAlign w:val="center"/>
          </w:tcPr>
          <w:p w14:paraId="7FBE7405">
            <w:pPr>
              <w:widowControl/>
              <w:snapToGrid w:val="0"/>
              <w:jc w:val="center"/>
              <w:rPr>
                <w:rFonts w:ascii="Times New Roman" w:hAnsi="Times New Roman" w:eastAsia="宋体"/>
                <w:bCs/>
                <w:color w:val="auto"/>
                <w:sz w:val="22"/>
                <w:szCs w:val="22"/>
                <w:highlight w:val="none"/>
              </w:rPr>
            </w:pPr>
          </w:p>
        </w:tc>
        <w:tc>
          <w:tcPr>
            <w:tcW w:w="719" w:type="dxa"/>
            <w:vAlign w:val="center"/>
          </w:tcPr>
          <w:p w14:paraId="4875DF39">
            <w:pPr>
              <w:widowControl/>
              <w:snapToGrid w:val="0"/>
              <w:jc w:val="center"/>
              <w:rPr>
                <w:rFonts w:ascii="Times New Roman" w:hAnsi="Times New Roman" w:eastAsia="宋体"/>
                <w:bCs/>
                <w:color w:val="auto"/>
                <w:sz w:val="22"/>
                <w:szCs w:val="22"/>
                <w:highlight w:val="none"/>
              </w:rPr>
            </w:pPr>
          </w:p>
        </w:tc>
      </w:tr>
      <w:tr w14:paraId="4F4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6ADFACAA">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4</w:t>
            </w:r>
          </w:p>
        </w:tc>
        <w:tc>
          <w:tcPr>
            <w:tcW w:w="1735" w:type="dxa"/>
            <w:vAlign w:val="center"/>
          </w:tcPr>
          <w:p w14:paraId="21EFF4C3">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验收</w:t>
            </w:r>
          </w:p>
        </w:tc>
        <w:tc>
          <w:tcPr>
            <w:tcW w:w="3785" w:type="dxa"/>
            <w:vAlign w:val="center"/>
          </w:tcPr>
          <w:p w14:paraId="0D8DB230">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（1）及时提供货物的各项技术资料，技术资料齐全、规范；</w:t>
            </w:r>
          </w:p>
          <w:p w14:paraId="0FF98AA5">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（2）未出现因对检测结果存在异议而影响供货的情况；</w:t>
            </w:r>
          </w:p>
          <w:p w14:paraId="7348A00C">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（3）未出现因货物检验不合格，或因货物不合格影响厂区生产效果的情况。</w:t>
            </w:r>
          </w:p>
        </w:tc>
        <w:tc>
          <w:tcPr>
            <w:tcW w:w="1879" w:type="dxa"/>
            <w:gridSpan w:val="2"/>
            <w:vAlign w:val="center"/>
          </w:tcPr>
          <w:p w14:paraId="4430F0D5">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达到标准的得满分，每月每次货物有一项未达到标准的扣4分，每次货物最多扣4分。</w:t>
            </w:r>
          </w:p>
        </w:tc>
        <w:tc>
          <w:tcPr>
            <w:tcW w:w="733" w:type="dxa"/>
            <w:vAlign w:val="center"/>
          </w:tcPr>
          <w:p w14:paraId="2493FA9D">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20</w:t>
            </w:r>
          </w:p>
        </w:tc>
        <w:tc>
          <w:tcPr>
            <w:tcW w:w="705" w:type="dxa"/>
            <w:vAlign w:val="center"/>
          </w:tcPr>
          <w:p w14:paraId="5C022DB4">
            <w:pPr>
              <w:widowControl/>
              <w:snapToGrid w:val="0"/>
              <w:jc w:val="center"/>
              <w:rPr>
                <w:rFonts w:ascii="Times New Roman" w:hAnsi="Times New Roman" w:eastAsia="宋体"/>
                <w:bCs/>
                <w:color w:val="auto"/>
                <w:sz w:val="22"/>
                <w:szCs w:val="22"/>
                <w:highlight w:val="none"/>
              </w:rPr>
            </w:pPr>
          </w:p>
        </w:tc>
        <w:tc>
          <w:tcPr>
            <w:tcW w:w="719" w:type="dxa"/>
            <w:vAlign w:val="center"/>
          </w:tcPr>
          <w:p w14:paraId="5AA035F8">
            <w:pPr>
              <w:widowControl/>
              <w:snapToGrid w:val="0"/>
              <w:jc w:val="center"/>
              <w:rPr>
                <w:rFonts w:ascii="Times New Roman" w:hAnsi="Times New Roman" w:eastAsia="宋体"/>
                <w:bCs/>
                <w:color w:val="auto"/>
                <w:sz w:val="22"/>
                <w:szCs w:val="22"/>
                <w:highlight w:val="none"/>
              </w:rPr>
            </w:pPr>
          </w:p>
        </w:tc>
      </w:tr>
      <w:tr w14:paraId="43A0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65059BFB">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5</w:t>
            </w:r>
          </w:p>
        </w:tc>
        <w:tc>
          <w:tcPr>
            <w:tcW w:w="1735" w:type="dxa"/>
            <w:vAlign w:val="center"/>
          </w:tcPr>
          <w:p w14:paraId="233DEB1D">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安全</w:t>
            </w:r>
          </w:p>
        </w:tc>
        <w:tc>
          <w:tcPr>
            <w:tcW w:w="3785" w:type="dxa"/>
            <w:vAlign w:val="center"/>
          </w:tcPr>
          <w:p w14:paraId="197185D7">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（1）运输服务商资质、运输人员、运输车辆符合合同规定及国家相关法律法规要求；</w:t>
            </w:r>
          </w:p>
          <w:p w14:paraId="33283577">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（2）未出现超载或非法运输等情况；</w:t>
            </w:r>
          </w:p>
          <w:p w14:paraId="2897DE17">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（3）未出现由于运输服务商资质不符、超载或非法运输、未按厂区指示行驶及停放造成第三方或厂区事故、损失的情况；</w:t>
            </w:r>
          </w:p>
          <w:p w14:paraId="652FD33F">
            <w:pPr>
              <w:outlineLvl w:val="2"/>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（4）未出现卸货安全事故。</w:t>
            </w:r>
          </w:p>
        </w:tc>
        <w:tc>
          <w:tcPr>
            <w:tcW w:w="1879" w:type="dxa"/>
            <w:gridSpan w:val="2"/>
            <w:vAlign w:val="center"/>
          </w:tcPr>
          <w:p w14:paraId="76C80F3F">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达到标准的得满分，每月每次货物有一项未达到标准的扣3分，每次货物最多扣3分。</w:t>
            </w:r>
          </w:p>
        </w:tc>
        <w:tc>
          <w:tcPr>
            <w:tcW w:w="733" w:type="dxa"/>
            <w:vAlign w:val="center"/>
          </w:tcPr>
          <w:p w14:paraId="73FDCB49">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15</w:t>
            </w:r>
          </w:p>
        </w:tc>
        <w:tc>
          <w:tcPr>
            <w:tcW w:w="705" w:type="dxa"/>
            <w:vAlign w:val="center"/>
          </w:tcPr>
          <w:p w14:paraId="6A6CA2D5">
            <w:pPr>
              <w:widowControl/>
              <w:snapToGrid w:val="0"/>
              <w:jc w:val="center"/>
              <w:rPr>
                <w:rFonts w:ascii="Times New Roman" w:hAnsi="Times New Roman" w:eastAsia="宋体"/>
                <w:bCs/>
                <w:color w:val="auto"/>
                <w:sz w:val="22"/>
                <w:szCs w:val="22"/>
                <w:highlight w:val="none"/>
              </w:rPr>
            </w:pPr>
          </w:p>
        </w:tc>
        <w:tc>
          <w:tcPr>
            <w:tcW w:w="719" w:type="dxa"/>
            <w:vAlign w:val="center"/>
          </w:tcPr>
          <w:p w14:paraId="64AFB432">
            <w:pPr>
              <w:widowControl/>
              <w:snapToGrid w:val="0"/>
              <w:jc w:val="center"/>
              <w:rPr>
                <w:rFonts w:ascii="Times New Roman" w:hAnsi="Times New Roman" w:eastAsia="宋体"/>
                <w:bCs/>
                <w:color w:val="auto"/>
                <w:sz w:val="22"/>
                <w:szCs w:val="22"/>
                <w:highlight w:val="none"/>
              </w:rPr>
            </w:pPr>
          </w:p>
        </w:tc>
      </w:tr>
      <w:tr w14:paraId="1F19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425" w:type="dxa"/>
            <w:vAlign w:val="center"/>
          </w:tcPr>
          <w:p w14:paraId="0C10B93B">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6</w:t>
            </w:r>
          </w:p>
        </w:tc>
        <w:tc>
          <w:tcPr>
            <w:tcW w:w="1735" w:type="dxa"/>
            <w:vAlign w:val="center"/>
          </w:tcPr>
          <w:p w14:paraId="789ED077">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售后服务</w:t>
            </w:r>
          </w:p>
        </w:tc>
        <w:tc>
          <w:tcPr>
            <w:tcW w:w="3785" w:type="dxa"/>
            <w:vAlign w:val="center"/>
          </w:tcPr>
          <w:p w14:paraId="7FB062BB">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（1）人员：</w:t>
            </w:r>
          </w:p>
          <w:p w14:paraId="2CC8A9BA">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①管理、技术及服务人员均符合申请文件的承诺，服务队伍稳定，人员充足、专业性强，充分配合甲方供货需求；</w:t>
            </w:r>
          </w:p>
          <w:p w14:paraId="29241FE9">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②对接人员与甲方沟通良好、理解到位、执行力强，能及时发现、解决问题，并未雨绸缪地因应各厂区实际情况提供合理化的供配货建议；</w:t>
            </w:r>
          </w:p>
          <w:p w14:paraId="69E8F13A">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③未出现推诿，借故不肯签署合同规定的文件或者敷衍了事、置之不理等情况。</w:t>
            </w:r>
          </w:p>
          <w:p w14:paraId="287B3821">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（2）配合：</w:t>
            </w:r>
          </w:p>
          <w:p w14:paraId="1A251FB5">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①售后服务流程完善，跟踪到位，响应速度快；</w:t>
            </w:r>
          </w:p>
          <w:p w14:paraId="1D3E34CE">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②就货物储存保质方式、方法提出合理化建议并能提供专业技术指导；</w:t>
            </w:r>
          </w:p>
          <w:p w14:paraId="767C7256">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③积极配合甲方进行试验、积极协助甲方接受政府管理部门的检查工作及提供各类资质证明材料；</w:t>
            </w:r>
          </w:p>
          <w:p w14:paraId="1F3B5397">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④能根据甲方要求提供专业培训。</w:t>
            </w:r>
          </w:p>
          <w:p w14:paraId="4202958E">
            <w:pPr>
              <w:outlineLvl w:val="2"/>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⑤高效处理退换货工作、态度良好。</w:t>
            </w:r>
          </w:p>
        </w:tc>
        <w:tc>
          <w:tcPr>
            <w:tcW w:w="1879" w:type="dxa"/>
            <w:gridSpan w:val="2"/>
            <w:vAlign w:val="center"/>
          </w:tcPr>
          <w:p w14:paraId="78305049">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达到标准的得满分，每月每次货物有一项未达到标准的扣2分，每次货物最多扣2分。</w:t>
            </w:r>
          </w:p>
        </w:tc>
        <w:tc>
          <w:tcPr>
            <w:tcW w:w="733" w:type="dxa"/>
            <w:vAlign w:val="center"/>
          </w:tcPr>
          <w:p w14:paraId="7084E957">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10</w:t>
            </w:r>
          </w:p>
        </w:tc>
        <w:tc>
          <w:tcPr>
            <w:tcW w:w="705" w:type="dxa"/>
            <w:vAlign w:val="center"/>
          </w:tcPr>
          <w:p w14:paraId="35F8B34E">
            <w:pPr>
              <w:widowControl/>
              <w:snapToGrid w:val="0"/>
              <w:jc w:val="center"/>
              <w:rPr>
                <w:rFonts w:ascii="Times New Roman" w:hAnsi="Times New Roman" w:eastAsia="宋体"/>
                <w:bCs/>
                <w:color w:val="auto"/>
                <w:sz w:val="22"/>
                <w:szCs w:val="22"/>
                <w:highlight w:val="none"/>
              </w:rPr>
            </w:pPr>
          </w:p>
        </w:tc>
        <w:tc>
          <w:tcPr>
            <w:tcW w:w="719" w:type="dxa"/>
            <w:vAlign w:val="center"/>
          </w:tcPr>
          <w:p w14:paraId="21038530">
            <w:pPr>
              <w:widowControl/>
              <w:snapToGrid w:val="0"/>
              <w:jc w:val="center"/>
              <w:rPr>
                <w:rFonts w:ascii="Times New Roman" w:hAnsi="Times New Roman" w:eastAsia="宋体"/>
                <w:bCs/>
                <w:color w:val="auto"/>
                <w:sz w:val="22"/>
                <w:szCs w:val="22"/>
                <w:highlight w:val="none"/>
              </w:rPr>
            </w:pPr>
          </w:p>
        </w:tc>
      </w:tr>
      <w:tr w14:paraId="268C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trPr>
        <w:tc>
          <w:tcPr>
            <w:tcW w:w="7824" w:type="dxa"/>
            <w:gridSpan w:val="5"/>
            <w:vAlign w:val="center"/>
          </w:tcPr>
          <w:p w14:paraId="296093B4">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合计</w:t>
            </w:r>
          </w:p>
        </w:tc>
        <w:tc>
          <w:tcPr>
            <w:tcW w:w="733" w:type="dxa"/>
            <w:vAlign w:val="center"/>
          </w:tcPr>
          <w:p w14:paraId="790F1909">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1</w:t>
            </w:r>
            <w:r>
              <w:rPr>
                <w:rFonts w:ascii="Times New Roman" w:hAnsi="Times New Roman" w:eastAsia="宋体"/>
                <w:bCs/>
                <w:color w:val="auto"/>
                <w:sz w:val="22"/>
                <w:szCs w:val="22"/>
                <w:highlight w:val="none"/>
              </w:rPr>
              <w:t>00</w:t>
            </w:r>
          </w:p>
        </w:tc>
        <w:tc>
          <w:tcPr>
            <w:tcW w:w="705" w:type="dxa"/>
            <w:vAlign w:val="center"/>
          </w:tcPr>
          <w:p w14:paraId="53405465">
            <w:pPr>
              <w:widowControl/>
              <w:snapToGrid w:val="0"/>
              <w:jc w:val="center"/>
              <w:rPr>
                <w:rFonts w:ascii="Times New Roman" w:hAnsi="Times New Roman" w:eastAsia="宋体"/>
                <w:bCs/>
                <w:color w:val="auto"/>
                <w:sz w:val="22"/>
                <w:szCs w:val="22"/>
                <w:highlight w:val="none"/>
              </w:rPr>
            </w:pPr>
          </w:p>
        </w:tc>
        <w:tc>
          <w:tcPr>
            <w:tcW w:w="719" w:type="dxa"/>
            <w:vAlign w:val="center"/>
          </w:tcPr>
          <w:p w14:paraId="65F296B5">
            <w:pPr>
              <w:widowControl/>
              <w:snapToGrid w:val="0"/>
              <w:jc w:val="center"/>
              <w:rPr>
                <w:rFonts w:ascii="Times New Roman" w:hAnsi="Times New Roman" w:eastAsia="宋体"/>
                <w:bCs/>
                <w:color w:val="auto"/>
                <w:sz w:val="22"/>
                <w:szCs w:val="22"/>
                <w:highlight w:val="none"/>
              </w:rPr>
            </w:pPr>
          </w:p>
        </w:tc>
      </w:tr>
      <w:tr w14:paraId="2BFE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trPr>
        <w:tc>
          <w:tcPr>
            <w:tcW w:w="2160" w:type="dxa"/>
            <w:gridSpan w:val="2"/>
            <w:vAlign w:val="center"/>
          </w:tcPr>
          <w:p w14:paraId="79024F4A">
            <w:pPr>
              <w:widowControl/>
              <w:snapToGrid w:val="0"/>
              <w:jc w:val="center"/>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评审结论</w:t>
            </w:r>
          </w:p>
        </w:tc>
        <w:tc>
          <w:tcPr>
            <w:tcW w:w="7821" w:type="dxa"/>
            <w:gridSpan w:val="6"/>
          </w:tcPr>
          <w:p w14:paraId="68A8BA46">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□合计分值不低于</w:t>
            </w:r>
            <w:r>
              <w:rPr>
                <w:rFonts w:ascii="Times New Roman" w:hAnsi="Times New Roman" w:eastAsia="宋体"/>
                <w:bCs/>
                <w:color w:val="auto"/>
                <w:sz w:val="22"/>
                <w:szCs w:val="22"/>
                <w:highlight w:val="none"/>
              </w:rPr>
              <w:t>8</w:t>
            </w:r>
            <w:r>
              <w:rPr>
                <w:rFonts w:hint="eastAsia" w:ascii="Times New Roman" w:hAnsi="Times New Roman" w:eastAsia="宋体"/>
                <w:bCs/>
                <w:color w:val="auto"/>
                <w:sz w:val="22"/>
                <w:szCs w:val="22"/>
                <w:highlight w:val="none"/>
              </w:rPr>
              <w:t>0的，评审结论合格</w:t>
            </w:r>
            <w:r>
              <w:rPr>
                <w:rFonts w:hint="eastAsia" w:ascii="Times New Roman" w:hAnsi="Times New Roman" w:eastAsia="宋体"/>
                <w:bCs/>
                <w:color w:val="auto"/>
                <w:sz w:val="22"/>
                <w:szCs w:val="22"/>
                <w:highlight w:val="none"/>
              </w:rPr>
              <w:br w:type="textWrapping"/>
            </w:r>
            <w:r>
              <w:rPr>
                <w:rFonts w:hint="eastAsia" w:ascii="Times New Roman" w:hAnsi="Times New Roman" w:eastAsia="宋体"/>
                <w:bCs/>
                <w:color w:val="auto"/>
                <w:sz w:val="22"/>
                <w:szCs w:val="22"/>
                <w:highlight w:val="none"/>
              </w:rPr>
              <w:t>□评审结论不合格，说明：</w:t>
            </w:r>
            <w:r>
              <w:rPr>
                <w:rFonts w:hint="eastAsia" w:ascii="Times New Roman" w:hAnsi="Times New Roman" w:eastAsia="宋体"/>
                <w:bCs/>
                <w:color w:val="auto"/>
                <w:sz w:val="22"/>
                <w:szCs w:val="22"/>
                <w:highlight w:val="none"/>
                <w:u w:val="single"/>
              </w:rPr>
              <w:t xml:space="preserve">              </w:t>
            </w:r>
          </w:p>
        </w:tc>
      </w:tr>
      <w:tr w14:paraId="7AB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160" w:type="dxa"/>
            <w:gridSpan w:val="2"/>
            <w:vMerge w:val="restart"/>
            <w:vAlign w:val="center"/>
          </w:tcPr>
          <w:p w14:paraId="6FEE2F37">
            <w:pPr>
              <w:widowControl/>
              <w:snapToGrid w:val="0"/>
              <w:jc w:val="center"/>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履约评审运营项目</w:t>
            </w:r>
            <w:r>
              <w:rPr>
                <w:rFonts w:hint="eastAsia" w:ascii="Times New Roman" w:hAnsi="Times New Roman" w:eastAsia="宋体"/>
                <w:color w:val="auto"/>
                <w:sz w:val="22"/>
                <w:szCs w:val="22"/>
                <w:highlight w:val="none"/>
              </w:rPr>
              <w:t>其他</w:t>
            </w:r>
            <w:r>
              <w:rPr>
                <w:rFonts w:hint="eastAsia" w:ascii="Times New Roman" w:hAnsi="Times New Roman" w:eastAsia="宋体"/>
                <w:bCs/>
                <w:color w:val="auto"/>
                <w:sz w:val="22"/>
                <w:szCs w:val="22"/>
                <w:highlight w:val="none"/>
              </w:rPr>
              <w:t>意见及签署</w:t>
            </w:r>
          </w:p>
        </w:tc>
        <w:tc>
          <w:tcPr>
            <w:tcW w:w="3840" w:type="dxa"/>
            <w:gridSpan w:val="2"/>
            <w:vAlign w:val="center"/>
          </w:tcPr>
          <w:p w14:paraId="1F964340">
            <w:pPr>
              <w:widowControl/>
              <w:snapToGrid w:val="0"/>
              <w:rPr>
                <w:rFonts w:ascii="Times New Roman" w:hAnsi="Times New Roman" w:eastAsia="宋体"/>
                <w:color w:val="auto"/>
                <w:sz w:val="22"/>
                <w:szCs w:val="22"/>
                <w:highlight w:val="none"/>
              </w:rPr>
            </w:pPr>
            <w:r>
              <w:rPr>
                <w:rFonts w:hint="eastAsia" w:ascii="Times New Roman" w:hAnsi="Times New Roman" w:eastAsia="宋体"/>
                <w:bCs/>
                <w:color w:val="auto"/>
                <w:sz w:val="22"/>
                <w:szCs w:val="22"/>
                <w:highlight w:val="none"/>
              </w:rPr>
              <w:t>经办人</w:t>
            </w:r>
          </w:p>
        </w:tc>
        <w:tc>
          <w:tcPr>
            <w:tcW w:w="3987" w:type="dxa"/>
            <w:gridSpan w:val="5"/>
            <w:vAlign w:val="center"/>
          </w:tcPr>
          <w:p w14:paraId="629EA1E0">
            <w:pPr>
              <w:widowControl/>
              <w:snapToGrid w:val="0"/>
              <w:rPr>
                <w:rFonts w:ascii="Times New Roman" w:hAnsi="Times New Roman" w:eastAsia="宋体"/>
                <w:bCs/>
                <w:color w:val="auto"/>
                <w:sz w:val="22"/>
                <w:szCs w:val="22"/>
                <w:highlight w:val="none"/>
              </w:rPr>
            </w:pPr>
          </w:p>
        </w:tc>
      </w:tr>
      <w:tr w14:paraId="4E7B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160" w:type="dxa"/>
            <w:gridSpan w:val="2"/>
            <w:vMerge w:val="continue"/>
          </w:tcPr>
          <w:p w14:paraId="0A1AADB3">
            <w:pPr>
              <w:widowControl/>
              <w:snapToGrid w:val="0"/>
              <w:rPr>
                <w:rFonts w:ascii="Times New Roman" w:hAnsi="Times New Roman" w:eastAsia="宋体"/>
                <w:bCs/>
                <w:color w:val="auto"/>
                <w:sz w:val="22"/>
                <w:szCs w:val="22"/>
                <w:highlight w:val="none"/>
              </w:rPr>
            </w:pPr>
          </w:p>
        </w:tc>
        <w:tc>
          <w:tcPr>
            <w:tcW w:w="3840" w:type="dxa"/>
            <w:gridSpan w:val="2"/>
            <w:vAlign w:val="center"/>
          </w:tcPr>
          <w:p w14:paraId="3C8654B7">
            <w:pPr>
              <w:widowControl/>
              <w:snapToGrid w:val="0"/>
              <w:rPr>
                <w:rFonts w:ascii="Times New Roman" w:hAnsi="Times New Roman" w:eastAsia="宋体"/>
                <w:bCs/>
                <w:color w:val="auto"/>
                <w:sz w:val="22"/>
                <w:szCs w:val="22"/>
                <w:highlight w:val="none"/>
              </w:rPr>
            </w:pPr>
            <w:r>
              <w:rPr>
                <w:rFonts w:hint="eastAsia" w:ascii="Times New Roman" w:hAnsi="Times New Roman" w:eastAsia="宋体"/>
                <w:bCs/>
                <w:color w:val="auto"/>
                <w:sz w:val="22"/>
                <w:szCs w:val="22"/>
                <w:highlight w:val="none"/>
              </w:rPr>
              <w:t>运营项目负责人</w:t>
            </w:r>
          </w:p>
        </w:tc>
        <w:tc>
          <w:tcPr>
            <w:tcW w:w="3987" w:type="dxa"/>
            <w:gridSpan w:val="5"/>
            <w:vAlign w:val="center"/>
          </w:tcPr>
          <w:p w14:paraId="086CBC29">
            <w:pPr>
              <w:widowControl/>
              <w:snapToGrid w:val="0"/>
              <w:rPr>
                <w:rFonts w:ascii="Times New Roman" w:hAnsi="Times New Roman" w:eastAsia="宋体"/>
                <w:bCs/>
                <w:color w:val="auto"/>
                <w:sz w:val="22"/>
                <w:szCs w:val="22"/>
                <w:highlight w:val="none"/>
              </w:rPr>
            </w:pPr>
          </w:p>
        </w:tc>
      </w:tr>
      <w:tr w14:paraId="7FDF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160" w:type="dxa"/>
            <w:gridSpan w:val="2"/>
          </w:tcPr>
          <w:p w14:paraId="6215AFB8">
            <w:pPr>
              <w:widowControl/>
              <w:snapToGrid w:val="0"/>
              <w:rPr>
                <w:rFonts w:ascii="Times New Roman" w:hAnsi="Times New Roman" w:eastAsia="宋体"/>
                <w:bCs/>
                <w:color w:val="auto"/>
                <w:sz w:val="22"/>
                <w:szCs w:val="22"/>
                <w:highlight w:val="none"/>
              </w:rPr>
            </w:pPr>
            <w:r>
              <w:rPr>
                <w:rFonts w:hint="eastAsia" w:hAnsi="宋体"/>
                <w:color w:val="auto"/>
                <w:sz w:val="24"/>
                <w:szCs w:val="24"/>
                <w:highlight w:val="none"/>
                <w:lang w:val="en-US" w:eastAsia="zh-CN"/>
              </w:rPr>
              <w:t>供应商确认及签署</w:t>
            </w:r>
          </w:p>
        </w:tc>
        <w:tc>
          <w:tcPr>
            <w:tcW w:w="7827" w:type="dxa"/>
            <w:gridSpan w:val="7"/>
            <w:vAlign w:val="center"/>
          </w:tcPr>
          <w:p w14:paraId="0E3A779F">
            <w:pPr>
              <w:widowControl/>
              <w:snapToGrid w:val="0"/>
              <w:rPr>
                <w:rFonts w:ascii="Times New Roman" w:hAnsi="Times New Roman" w:eastAsia="宋体"/>
                <w:bCs/>
                <w:color w:val="auto"/>
                <w:sz w:val="22"/>
                <w:szCs w:val="22"/>
                <w:highlight w:val="none"/>
              </w:rPr>
            </w:pPr>
          </w:p>
        </w:tc>
      </w:tr>
    </w:tbl>
    <w:p w14:paraId="41076AF7">
      <w:pPr>
        <w:rPr>
          <w:rFonts w:ascii="Times New Roman" w:hAnsi="Times New Roman" w:eastAsia="宋体" w:cs="宋体"/>
          <w:color w:val="auto"/>
          <w:highlight w:val="none"/>
        </w:rPr>
      </w:pPr>
    </w:p>
    <w:p w14:paraId="289C08E1">
      <w:pPr>
        <w:pStyle w:val="56"/>
        <w:ind w:firstLine="0" w:firstLineChars="0"/>
        <w:rPr>
          <w:rFonts w:ascii="Times New Roman" w:hAnsi="Times New Roman" w:eastAsia="宋体"/>
          <w:color w:val="auto"/>
          <w:highlight w:val="none"/>
          <w:lang w:val="en-US"/>
        </w:rPr>
      </w:pPr>
    </w:p>
    <w:p w14:paraId="246A5312">
      <w:pPr>
        <w:spacing w:line="360" w:lineRule="auto"/>
        <w:ind w:firstLine="420" w:firstLineChars="200"/>
        <w:rPr>
          <w:rFonts w:hint="eastAsia" w:hAnsi="宋体" w:cs="宋体"/>
          <w:bCs/>
          <w:color w:val="auto"/>
          <w:kern w:val="2"/>
          <w:sz w:val="21"/>
          <w:szCs w:val="21"/>
          <w:highlight w:val="none"/>
        </w:rPr>
      </w:pPr>
    </w:p>
    <w:p w14:paraId="4790D2EA">
      <w:pPr>
        <w:keepNext w:val="0"/>
        <w:keepLines w:val="0"/>
        <w:pageBreakBefore/>
        <w:widowControl w:val="0"/>
        <w:kinsoku/>
        <w:wordWrap/>
        <w:overflowPunct/>
        <w:topLinePunct w:val="0"/>
        <w:autoSpaceDE w:val="0"/>
        <w:autoSpaceDN w:val="0"/>
        <w:bidi w:val="0"/>
        <w:adjustRightInd w:val="0"/>
        <w:snapToGrid/>
        <w:spacing w:line="420" w:lineRule="exact"/>
        <w:textAlignment w:val="auto"/>
        <w:outlineLvl w:val="1"/>
        <w:rPr>
          <w:rFonts w:ascii="Times New Roman" w:hAnsi="Times New Roman" w:eastAsia="宋体" w:cs="仿宋_GB2312"/>
          <w:b/>
          <w:bCs/>
          <w:color w:val="auto"/>
          <w:sz w:val="28"/>
          <w:szCs w:val="28"/>
          <w:highlight w:val="none"/>
        </w:rPr>
      </w:pPr>
      <w:r>
        <w:rPr>
          <w:rFonts w:ascii="Times New Roman" w:hAnsi="Times New Roman" w:eastAsia="宋体" w:cs="仿宋_GB2312"/>
          <w:b/>
          <w:bCs/>
          <w:color w:val="auto"/>
          <w:sz w:val="28"/>
          <w:szCs w:val="28"/>
          <w:highlight w:val="none"/>
        </w:rPr>
        <w:t>附件</w:t>
      </w:r>
      <w:r>
        <w:rPr>
          <w:rFonts w:hint="eastAsia" w:ascii="Times New Roman" w:cs="仿宋_GB2312"/>
          <w:b/>
          <w:bCs/>
          <w:color w:val="auto"/>
          <w:sz w:val="28"/>
          <w:szCs w:val="28"/>
          <w:highlight w:val="none"/>
          <w:lang w:val="en-US" w:eastAsia="zh-CN"/>
        </w:rPr>
        <w:t>二</w:t>
      </w:r>
      <w:r>
        <w:rPr>
          <w:rFonts w:ascii="Times New Roman" w:hAnsi="Times New Roman" w:eastAsia="宋体" w:cs="仿宋_GB2312"/>
          <w:b/>
          <w:bCs/>
          <w:color w:val="auto"/>
          <w:sz w:val="28"/>
          <w:szCs w:val="28"/>
          <w:highlight w:val="none"/>
        </w:rPr>
        <w:t>：</w:t>
      </w:r>
    </w:p>
    <w:p w14:paraId="506807D5">
      <w:pPr>
        <w:keepNext w:val="0"/>
        <w:keepLines w:val="0"/>
        <w:pageBreakBefore w:val="0"/>
        <w:widowControl w:val="0"/>
        <w:kinsoku/>
        <w:wordWrap/>
        <w:overflowPunct/>
        <w:topLinePunct w:val="0"/>
        <w:bidi w:val="0"/>
        <w:snapToGrid/>
        <w:ind w:firstLine="723" w:firstLineChars="200"/>
        <w:jc w:val="center"/>
        <w:textAlignment w:val="auto"/>
        <w:rPr>
          <w:rFonts w:ascii="Times New Roman" w:hAnsi="Times New Roman" w:eastAsia="宋体" w:cs="仿宋"/>
          <w:b/>
          <w:bCs/>
          <w:color w:val="auto"/>
          <w:sz w:val="36"/>
          <w:szCs w:val="36"/>
          <w:highlight w:val="none"/>
        </w:rPr>
      </w:pPr>
      <w:r>
        <w:rPr>
          <w:rFonts w:hint="eastAsia" w:ascii="Times New Roman" w:hAnsi="Times New Roman" w:eastAsia="宋体" w:cs="仿宋"/>
          <w:b/>
          <w:bCs/>
          <w:color w:val="auto"/>
          <w:sz w:val="36"/>
          <w:szCs w:val="36"/>
          <w:highlight w:val="none"/>
        </w:rPr>
        <w:t>安全生产管理协议</w:t>
      </w:r>
    </w:p>
    <w:p w14:paraId="4CC0266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rPr>
        <w:t>甲方：</w:t>
      </w:r>
      <w:r>
        <w:rPr>
          <w:rFonts w:hint="eastAsia" w:ascii="Times New Roman" w:hAnsi="Times New Roman" w:eastAsia="宋体" w:cs="宋体"/>
          <w:color w:val="auto"/>
          <w:sz w:val="21"/>
          <w:szCs w:val="21"/>
          <w:highlight w:val="none"/>
          <w:u w:val="single"/>
        </w:rPr>
        <w:t>东莞市尚源环能科技有限公司</w:t>
      </w:r>
    </w:p>
    <w:p w14:paraId="578608D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rPr>
        <w:t>地址：</w:t>
      </w:r>
      <w:r>
        <w:rPr>
          <w:rFonts w:hint="eastAsia" w:ascii="Times New Roman" w:hAnsi="Times New Roman" w:eastAsia="宋体" w:cs="宋体"/>
          <w:color w:val="auto"/>
          <w:sz w:val="21"/>
          <w:szCs w:val="21"/>
          <w:highlight w:val="none"/>
          <w:u w:val="single"/>
        </w:rPr>
        <w:t>广东省东莞市沙田镇立沙中路</w:t>
      </w:r>
    </w:p>
    <w:p w14:paraId="4B7835C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Times New Roman" w:hAnsi="Times New Roman" w:eastAsia="宋体" w:cs="宋体"/>
          <w:color w:val="auto"/>
          <w:sz w:val="21"/>
          <w:szCs w:val="21"/>
          <w:highlight w:val="none"/>
          <w:u w:val="single"/>
        </w:rPr>
      </w:pPr>
    </w:p>
    <w:p w14:paraId="5B4FFB7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rPr>
        <w:t>乙方：</w:t>
      </w:r>
    </w:p>
    <w:p w14:paraId="4112147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地址：</w:t>
      </w:r>
    </w:p>
    <w:p w14:paraId="16D6FB6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电话：</w:t>
      </w:r>
    </w:p>
    <w:p w14:paraId="5EB0D6E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p>
    <w:p w14:paraId="6AD5E7EC">
      <w:pPr>
        <w:pStyle w:val="9"/>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rPr>
        <w:t>根据《中华人民共和国安全生产法》和《建设工程安全生产管理条例》等法规要求，为加强作业现场的安全管理，落实各自</w:t>
      </w:r>
      <w:r>
        <w:rPr>
          <w:rFonts w:hint="eastAsia" w:ascii="Times New Roman" w:hAnsi="Times New Roman" w:eastAsia="宋体" w:cs="宋体"/>
          <w:color w:val="auto"/>
          <w:sz w:val="21"/>
          <w:szCs w:val="21"/>
          <w:highlight w:val="none"/>
        </w:rPr>
        <w:t>的安全生产职责，进一步加强作业的安全管理，杜绝作业人员因安全管理不善而引发的各类安全事故，保证甲、乙双方的财产和员工的人身安全不受侵害，经甲乙双方协商一致，签订协议如下：</w:t>
      </w:r>
    </w:p>
    <w:p w14:paraId="1D9FA2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rPr>
        <w:t>项目名称：</w:t>
      </w:r>
      <w:r>
        <w:rPr>
          <w:rFonts w:hint="eastAsia" w:ascii="Times New Roman" w:cs="宋体"/>
          <w:color w:val="auto"/>
          <w:sz w:val="21"/>
          <w:szCs w:val="21"/>
          <w:highlight w:val="none"/>
          <w:u w:val="single"/>
          <w:lang w:eastAsia="zh-CN"/>
        </w:rPr>
        <w:t>东莞市污泥集中处理处置项目膜系统等相关药剂采购项目</w:t>
      </w:r>
    </w:p>
    <w:p w14:paraId="22ACB5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rPr>
        <w:t>项目地点：</w:t>
      </w:r>
      <w:r>
        <w:rPr>
          <w:rFonts w:hint="eastAsia" w:ascii="Times New Roman" w:hAnsi="Times New Roman" w:eastAsia="宋体" w:cs="宋体"/>
          <w:color w:val="auto"/>
          <w:sz w:val="21"/>
          <w:szCs w:val="21"/>
          <w:highlight w:val="none"/>
          <w:u w:val="single"/>
        </w:rPr>
        <w:t>广东省东莞市沙田镇立沙中路</w:t>
      </w:r>
      <w:r>
        <w:rPr>
          <w:rFonts w:hint="eastAsia" w:ascii="Times New Roman" w:hAnsi="Times New Roman" w:eastAsia="宋体" w:cs="宋体"/>
          <w:color w:val="auto"/>
          <w:sz w:val="21"/>
          <w:szCs w:val="21"/>
          <w:highlight w:val="none"/>
        </w:rPr>
        <w:t xml:space="preserve">                                                   </w:t>
      </w:r>
    </w:p>
    <w:p w14:paraId="1D79DE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项目时间：</w:t>
      </w:r>
      <w:r>
        <w:rPr>
          <w:rFonts w:hint="eastAsia" w:ascii="Times New Roman" w:hAnsi="Times New Roman" w:eastAsia="宋体" w:cs="宋体"/>
          <w:color w:val="auto"/>
          <w:sz w:val="21"/>
          <w:szCs w:val="21"/>
          <w:highlight w:val="none"/>
          <w:u w:val="single"/>
        </w:rPr>
        <w:t>自本合同签订之日始至本合同权利义务履行完毕时止。</w:t>
      </w:r>
    </w:p>
    <w:p w14:paraId="6093AFF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一、污水处理厂风险辨识</w:t>
      </w:r>
    </w:p>
    <w:p w14:paraId="675973CF">
      <w:pPr>
        <w:keepNext w:val="0"/>
        <w:keepLines w:val="0"/>
        <w:pageBreakBefore w:val="0"/>
        <w:widowControl w:val="0"/>
        <w:kinsoku/>
        <w:wordWrap/>
        <w:overflowPunct/>
        <w:topLinePunct w:val="0"/>
        <w:bidi w:val="0"/>
        <w:snapToGrid/>
        <w:spacing w:line="360" w:lineRule="auto"/>
        <w:ind w:left="100" w:right="99" w:firstLine="420" w:firstLineChars="200"/>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r>
        <w:rPr>
          <w:rFonts w:hint="eastAsia" w:ascii="Times New Roman" w:hAnsi="Times New Roman" w:eastAsia="宋体" w:cs="宋体"/>
          <w:color w:val="auto"/>
          <w:sz w:val="21"/>
          <w:szCs w:val="21"/>
          <w:highlight w:val="none"/>
          <w:lang w:val="en-US" w:eastAsia="zh-CN"/>
        </w:rPr>
        <w:t>.</w:t>
      </w:r>
      <w:r>
        <w:rPr>
          <w:rFonts w:hint="eastAsia" w:ascii="Times New Roman" w:hAnsi="Times New Roman" w:eastAsia="宋体" w:cs="宋体"/>
          <w:color w:val="auto"/>
          <w:sz w:val="21"/>
          <w:szCs w:val="21"/>
          <w:highlight w:val="none"/>
        </w:rPr>
        <w:t>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94E5B6F">
      <w:pPr>
        <w:keepNext w:val="0"/>
        <w:keepLines w:val="0"/>
        <w:pageBreakBefore w:val="0"/>
        <w:widowControl w:val="0"/>
        <w:kinsoku/>
        <w:wordWrap/>
        <w:overflowPunct/>
        <w:topLinePunct w:val="0"/>
        <w:bidi w:val="0"/>
        <w:snapToGrid/>
        <w:spacing w:line="360" w:lineRule="auto"/>
        <w:ind w:left="100" w:right="99" w:firstLine="420" w:firstLineChars="200"/>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w:t>
      </w:r>
      <w:r>
        <w:rPr>
          <w:rFonts w:hint="eastAsia" w:ascii="Times New Roman" w:hAnsi="Times New Roman" w:eastAsia="宋体" w:cs="宋体"/>
          <w:color w:val="auto"/>
          <w:sz w:val="21"/>
          <w:szCs w:val="21"/>
          <w:highlight w:val="none"/>
          <w:lang w:val="en-US" w:eastAsia="zh-CN"/>
        </w:rPr>
        <w:t>.</w:t>
      </w:r>
      <w:r>
        <w:rPr>
          <w:rFonts w:hint="eastAsia" w:ascii="Times New Roman" w:hAnsi="Times New Roman" w:eastAsia="宋体" w:cs="宋体"/>
          <w:color w:val="auto"/>
          <w:sz w:val="21"/>
          <w:szCs w:val="21"/>
          <w:highlight w:val="none"/>
        </w:rPr>
        <w:t>其他有限空间辨识，如:建筑施工未完工的地下暗室、管道及管道井等封闭、半封闭的设施及场所（地下隐蔽工程、密闭容器、长期不用的设施或通风不畅的场所等）等。</w:t>
      </w:r>
    </w:p>
    <w:p w14:paraId="374D0041">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二、危害因素分析</w:t>
      </w:r>
    </w:p>
    <w:p w14:paraId="088617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5B320C0C">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三、协议实施条款</w:t>
      </w:r>
    </w:p>
    <w:p w14:paraId="7EF1F25C">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“相关方”是指：在公司从事与公司生产经营活动有关的、在公司内从事各种公务活动和进行业务往来的外部单位和个人（以下简称“相关方”）。主要包括：</w:t>
      </w:r>
    </w:p>
    <w:p w14:paraId="058E7940">
      <w:pPr>
        <w:keepNext w:val="0"/>
        <w:keepLines w:val="0"/>
        <w:pageBreakBefore w:val="0"/>
        <w:widowControl w:val="0"/>
        <w:numPr>
          <w:ilvl w:val="255"/>
          <w:numId w:val="0"/>
        </w:numPr>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（1）依照与公司订立的有关合同，在公司内从事基建、设备安装、维修保养、运输、后勤服务、劳务输出以及其他承包各种项目的外来单位或个人。 </w:t>
      </w:r>
    </w:p>
    <w:p w14:paraId="3569E6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进入单位内进行商务洽谈、参观访问、工作检查、学习交流及其他各类公务活动的外来单位或个人。</w:t>
      </w:r>
    </w:p>
    <w:p w14:paraId="757BE7B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目前我司相关方包括但不限于保安人员、绿化环卫人员、安装施工人员、配送人员、参观人员等。</w:t>
      </w:r>
    </w:p>
    <w:p w14:paraId="3066D99B">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危险作业包括但不限于以下内容：临水作业、进入受限空间作业、临时用电作业、高处作业、断路作业、破土作业、吊装作业、盲板抽堵作业。（以下简称：危险作业）</w:t>
      </w:r>
    </w:p>
    <w:p w14:paraId="53490613">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2D12CAB">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安全交底。每次进行危险作业等其他可能存在危险的作业前需由乙方的带班人员对作业人员进行安全交底。</w:t>
      </w:r>
    </w:p>
    <w:p w14:paraId="5BFD0A0A">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乙方需完善并加强对相关方的的日常考勤管理，严格遵守厂区对进出人员的管理要求。</w:t>
      </w:r>
    </w:p>
    <w:p w14:paraId="33FDAC07">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7840C150">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乙方使用被派遣劳动者的，应当将被派遣劳动者纳入本单位从业人员统一管理，对被派遣劳动者进行岗位安全操作规程和安全操作技能的教育和培训。</w:t>
      </w:r>
    </w:p>
    <w:p w14:paraId="2B42C038">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乙方应制定与作业范围相适应的应急处置预案，并定期组织演练或者参加甲方组织的演练。</w:t>
      </w:r>
    </w:p>
    <w:p w14:paraId="54592B78">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BD2C895">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乙方应当教育和督促从业人员严格执行本单位的安全生产规章制度和安全操作规程；并向从业人员如实告知作业场所和工作岗位存在的危险因素、防范措施以及事故应急措施。</w:t>
      </w:r>
    </w:p>
    <w:p w14:paraId="5D20EF5F">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乙方依法参加工伤保险，为从业人员缴纳保险费，并应当为从事危险作业的人员办理意外伤害保险。</w:t>
      </w:r>
    </w:p>
    <w:p w14:paraId="202CE73A">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乙方应严格遵守国家、地方政府有关安全生产及劳动保护的法律法规、标准、规定，贯彻执行甲方的各项安全管理规章制度，严格按照生产场所操作规程制度。</w:t>
      </w:r>
    </w:p>
    <w:p w14:paraId="3F5F0A9B">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3838CBE">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F4A9E33">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9EAABF2">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46F7B23C">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8F0158E">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6808936E">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6B6C22D9">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7FCDFABD">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因乙方原因，造成乙方损失，由乙方自负，给甲方造成财产损失和人员伤害，乙方要负全部责任，并全额赔偿甲方。</w:t>
      </w:r>
    </w:p>
    <w:p w14:paraId="26F74290">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非因甲方原因，造成乙方损失的，甲方不承担任何责任，由乙方自行承担全部责任。</w:t>
      </w:r>
    </w:p>
    <w:p w14:paraId="007D706D">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乙方应严格遵守法律法规以及甲方的安全管理要求，并接受甲方的安全生产工作协调和监督，积极消除安全隐患。安全管理的基本要求包括但不限于以下条款：</w:t>
      </w:r>
    </w:p>
    <w:p w14:paraId="493B574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①禁火区内严禁吸烟、动火。有火灾危险的作业区域，乙方必须配置足够的灭火设施。</w:t>
      </w:r>
    </w:p>
    <w:p w14:paraId="54A32AF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②焊接、气割作业时两瓶距离必须达到5M及以上，气瓶距可能产生火花的电器、设备和其它火源的间距必须达到10M及以上。</w:t>
      </w:r>
    </w:p>
    <w:p w14:paraId="0CE8EFC2">
      <w:pPr>
        <w:keepNext w:val="0"/>
        <w:keepLines w:val="0"/>
        <w:pageBreakBefore w:val="0"/>
        <w:widowControl w:val="0"/>
        <w:kinsoku/>
        <w:wordWrap/>
        <w:overflowPunct/>
        <w:topLinePunct w:val="0"/>
        <w:bidi w:val="0"/>
        <w:snapToGrid/>
        <w:spacing w:line="360" w:lineRule="auto"/>
        <w:ind w:left="600" w:leftChars="25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③严禁在厂内道路、消防通道内搭建临时建筑或堆放物资；</w:t>
      </w:r>
    </w:p>
    <w:p w14:paraId="5E901D4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严禁占用、堵塞、遮掩、挪用、损毁、破坏或因装修作业等工作或其他原因导致消防设施设备损坏。</w:t>
      </w:r>
    </w:p>
    <w:p w14:paraId="775BE4E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④作业场所的电动工具、电焊机等须有漏电保护器和相应的安全防护装置。</w:t>
      </w:r>
    </w:p>
    <w:p w14:paraId="48F62C3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⑤作业现场及居住室、办公室内的用电设施必须符合要求，严禁电线乱接、乱拉，刀闸和开关无盖，在电器设施上堆放物品。</w:t>
      </w:r>
    </w:p>
    <w:p w14:paraId="6E44E96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⑥防雷、防静电设施及用电设施要有良好接地。</w:t>
      </w:r>
    </w:p>
    <w:p w14:paraId="73FCE5A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⑦作业现场的危险区域，如临边、深坑、土方堆填区等，必须设置围栏和危险标志，夜间要设信号灯。</w:t>
      </w:r>
    </w:p>
    <w:p w14:paraId="536CD30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0F772D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01882D7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3AECEEC">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1F8F38B5">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必须接受甲方的检查与监督，并应主动配合，做好安全工作。乙方若有出现违反本协议“第三条，协议实施条款”任一情形的，甲方有权要求乙方立即整改，且甲方有权视情况从工程结算款/服务价款中扣除2000元/次作为违约金。</w:t>
      </w:r>
    </w:p>
    <w:p w14:paraId="644C5383">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若乙方有下列情形之一的或在整改后仍违反协议的，甲方有权单方解除合同，甲方有权要求乙方向甲方支付本合同总金额的10%作为违约金，同时甲方有权要求乙方承担第25条的违约金。造成甲方损失的，乙方需另行赔偿：</w:t>
      </w:r>
    </w:p>
    <w:p w14:paraId="12718D2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①乙方不能提供与项目相匹配的营业执照、施工资质、安全生产许可证、技术人员、特种作业人员、安全员和设备设施的；</w:t>
      </w:r>
    </w:p>
    <w:p w14:paraId="43EFDB7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②乙方未对作业人员进行岗位安全操作规程和安全操作技能的教育和培训的；没有向作业人员提供劳动防护用品的；</w:t>
      </w:r>
    </w:p>
    <w:p w14:paraId="7B099E7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③乙方未对所属员工定期开展安全教育培训的；</w:t>
      </w:r>
    </w:p>
    <w:p w14:paraId="7397974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④在开展涉及危险性较高的作业时，乙方未在作业前报甲方的；</w:t>
      </w:r>
    </w:p>
    <w:p w14:paraId="1DCA221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⑤乙方违章作业或违章指挥作业的；</w:t>
      </w:r>
    </w:p>
    <w:p w14:paraId="009F1AE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⑥乙方现场安全管理不到位或不服从甲方安全管理的；</w:t>
      </w:r>
    </w:p>
    <w:p w14:paraId="1B42AD6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⑦发生事故后，乙方未及时开展应急救援工作的；</w:t>
      </w:r>
    </w:p>
    <w:p w14:paraId="3399536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⑨未制定与作业范围相适应的应急处置预案；</w:t>
      </w:r>
    </w:p>
    <w:p w14:paraId="6C54577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⑩乙方不履行协议义务或者未按协议约定履行义务的其他情况。</w:t>
      </w:r>
    </w:p>
    <w:p w14:paraId="3D602221">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61E95D0E">
      <w:pPr>
        <w:keepNext w:val="0"/>
        <w:keepLines w:val="0"/>
        <w:pageBreakBefore w:val="0"/>
        <w:widowControl w:val="0"/>
        <w:numPr>
          <w:ilvl w:val="0"/>
          <w:numId w:val="3"/>
        </w:numPr>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乙方在实施临水作业时，需设一名或以上监护人员；作业存在多种危险作业情况下，需严格落实2人或2人以上为一组协同作业或交替作业，不能单独作业。</w:t>
      </w:r>
    </w:p>
    <w:p w14:paraId="40B23F20">
      <w:pPr>
        <w:keepNext w:val="0"/>
        <w:keepLines w:val="0"/>
        <w:pageBreakBefore w:val="0"/>
        <w:widowControl w:val="0"/>
        <w:numPr>
          <w:ilvl w:val="0"/>
          <w:numId w:val="3"/>
        </w:numPr>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危险作业前，必须检查作业工具是否完好，做好交底工作。</w:t>
      </w:r>
    </w:p>
    <w:p w14:paraId="3F32C6A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（3）危险作业时，必须做好安全防护措施（穿戴救生衣、安全绳（带）、水鞋、手套、不得穿拖鞋或凉鞋等），严格落实2人或2人以上为一组进行协同作业，不得单独作业。</w:t>
      </w:r>
    </w:p>
    <w:p w14:paraId="036D532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（4）如遇阴雨及大雾、雷暴雨、台风等恶劣天气，禁止危险作业。</w:t>
      </w:r>
    </w:p>
    <w:p w14:paraId="1580F66C">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乙方对作业过程中潜在的安全风险不明确的，不可盲目作业，否则，造成的后果由乙方独自承担。</w:t>
      </w:r>
    </w:p>
    <w:p w14:paraId="267158F4">
      <w:pPr>
        <w:keepNext w:val="0"/>
        <w:keepLines w:val="0"/>
        <w:pageBreakBefore w:val="0"/>
        <w:widowControl w:val="0"/>
        <w:numPr>
          <w:ilvl w:val="0"/>
          <w:numId w:val="1"/>
        </w:numPr>
        <w:kinsoku/>
        <w:wordWrap/>
        <w:overflowPunct/>
        <w:topLinePunct w:val="0"/>
        <w:bidi w:val="0"/>
        <w:snapToGrid/>
        <w:spacing w:line="360" w:lineRule="auto"/>
        <w:ind w:left="0" w:leftChars="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本协议一式</w:t>
      </w:r>
      <w:r>
        <w:rPr>
          <w:rFonts w:hint="eastAsia" w:ascii="Times New Roman" w:hAnsi="Times New Roman" w:eastAsia="宋体" w:cs="宋体"/>
          <w:color w:val="auto"/>
          <w:sz w:val="21"/>
          <w:szCs w:val="21"/>
          <w:highlight w:val="none"/>
          <w:u w:val="single"/>
        </w:rPr>
        <w:t xml:space="preserve">  肆 </w:t>
      </w:r>
      <w:r>
        <w:rPr>
          <w:rFonts w:hint="eastAsia" w:ascii="Times New Roman" w:hAnsi="Times New Roman" w:eastAsia="宋体" w:cs="宋体"/>
          <w:color w:val="auto"/>
          <w:sz w:val="21"/>
          <w:szCs w:val="21"/>
          <w:highlight w:val="none"/>
        </w:rPr>
        <w:t>份，甲方执</w:t>
      </w:r>
      <w:r>
        <w:rPr>
          <w:rFonts w:hint="eastAsia" w:ascii="Times New Roman" w:hAnsi="Times New Roman" w:eastAsia="宋体" w:cs="宋体"/>
          <w:color w:val="auto"/>
          <w:sz w:val="21"/>
          <w:szCs w:val="21"/>
          <w:highlight w:val="none"/>
          <w:u w:val="single"/>
        </w:rPr>
        <w:t xml:space="preserve">  叁  </w:t>
      </w:r>
      <w:r>
        <w:rPr>
          <w:rFonts w:hint="eastAsia" w:ascii="Times New Roman" w:hAnsi="Times New Roman" w:eastAsia="宋体" w:cs="宋体"/>
          <w:color w:val="auto"/>
          <w:sz w:val="21"/>
          <w:szCs w:val="21"/>
          <w:highlight w:val="none"/>
        </w:rPr>
        <w:t>份，乙方执</w:t>
      </w:r>
      <w:r>
        <w:rPr>
          <w:rFonts w:hint="eastAsia" w:ascii="Times New Roman" w:hAnsi="Times New Roman" w:eastAsia="宋体" w:cs="宋体"/>
          <w:color w:val="auto"/>
          <w:sz w:val="21"/>
          <w:szCs w:val="21"/>
          <w:highlight w:val="none"/>
          <w:u w:val="single"/>
        </w:rPr>
        <w:t xml:space="preserve">  壹  </w:t>
      </w:r>
      <w:r>
        <w:rPr>
          <w:rFonts w:hint="eastAsia" w:ascii="Times New Roman" w:hAnsi="Times New Roman" w:eastAsia="宋体" w:cs="宋体"/>
          <w:color w:val="auto"/>
          <w:sz w:val="21"/>
          <w:szCs w:val="21"/>
          <w:highlight w:val="none"/>
        </w:rPr>
        <w:t>份，自双方盖章并由双方法定代表人签字后生效。</w:t>
      </w:r>
    </w:p>
    <w:p w14:paraId="1967C13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p>
    <w:p w14:paraId="7DC3D70C">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乙方声明：</w:t>
      </w:r>
    </w:p>
    <w:p w14:paraId="5CF7893D">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乙方已认真阅读协议内容，对协议条款、现场的安全管理要求、安全风险充分理解，并自愿承担因违约造成的一切后果。</w:t>
      </w:r>
    </w:p>
    <w:p w14:paraId="2368E26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（以下无正文）</w:t>
      </w:r>
    </w:p>
    <w:p w14:paraId="3330846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2D8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F37E855">
            <w:pPr>
              <w:keepNext w:val="0"/>
              <w:keepLines w:val="0"/>
              <w:pageBreakBefore w:val="0"/>
              <w:widowControl w:val="0"/>
              <w:kinsoku/>
              <w:wordWrap/>
              <w:overflowPunct/>
              <w:topLinePunct w:val="0"/>
              <w:bidi w:val="0"/>
              <w:snapToGrid/>
              <w:spacing w:line="360" w:lineRule="auto"/>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甲方（盖章）：东莞市尚源环能科技有限公司</w:t>
            </w:r>
          </w:p>
          <w:p w14:paraId="32BE971A">
            <w:pPr>
              <w:keepNext w:val="0"/>
              <w:keepLines w:val="0"/>
              <w:pageBreakBefore w:val="0"/>
              <w:widowControl w:val="0"/>
              <w:kinsoku/>
              <w:wordWrap/>
              <w:overflowPunct/>
              <w:topLinePunct w:val="0"/>
              <w:bidi w:val="0"/>
              <w:snapToGrid/>
              <w:spacing w:line="360" w:lineRule="auto"/>
              <w:jc w:val="both"/>
              <w:textAlignment w:val="auto"/>
              <w:rPr>
                <w:rFonts w:hint="eastAsia" w:ascii="Times New Roman" w:hAnsi="Times New Roman" w:eastAsia="宋体" w:cs="宋体"/>
                <w:color w:val="auto"/>
                <w:sz w:val="21"/>
                <w:szCs w:val="21"/>
                <w:highlight w:val="none"/>
              </w:rPr>
            </w:pPr>
          </w:p>
        </w:tc>
        <w:tc>
          <w:tcPr>
            <w:tcW w:w="5102" w:type="dxa"/>
            <w:tcBorders>
              <w:tl2br w:val="nil"/>
              <w:tr2bl w:val="nil"/>
            </w:tcBorders>
            <w:tcMar>
              <w:top w:w="0" w:type="dxa"/>
              <w:left w:w="57" w:type="dxa"/>
              <w:bottom w:w="0" w:type="dxa"/>
              <w:right w:w="57" w:type="dxa"/>
            </w:tcMar>
          </w:tcPr>
          <w:p w14:paraId="0C08C1D2">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乙方（盖章）：</w:t>
            </w:r>
          </w:p>
        </w:tc>
      </w:tr>
      <w:tr w14:paraId="049A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9B02C97">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Times New Roman" w:hAnsi="Times New Roman" w:eastAsia="宋体" w:cs="宋体"/>
                <w:color w:val="auto"/>
                <w:sz w:val="21"/>
                <w:szCs w:val="21"/>
                <w:highlight w:val="none"/>
              </w:rPr>
            </w:pPr>
          </w:p>
          <w:p w14:paraId="1A6D6FDB">
            <w:pPr>
              <w:keepNext w:val="0"/>
              <w:keepLines w:val="0"/>
              <w:pageBreakBefore w:val="0"/>
              <w:widowControl w:val="0"/>
              <w:kinsoku/>
              <w:wordWrap/>
              <w:overflowPunct/>
              <w:topLinePunct w:val="0"/>
              <w:bidi w:val="0"/>
              <w:snapToGrid/>
              <w:spacing w:line="360" w:lineRule="auto"/>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w:t>
            </w:r>
          </w:p>
        </w:tc>
        <w:tc>
          <w:tcPr>
            <w:tcW w:w="5102" w:type="dxa"/>
            <w:tcBorders>
              <w:tl2br w:val="nil"/>
              <w:tr2bl w:val="nil"/>
            </w:tcBorders>
            <w:tcMar>
              <w:top w:w="0" w:type="dxa"/>
              <w:left w:w="57" w:type="dxa"/>
              <w:bottom w:w="0" w:type="dxa"/>
              <w:right w:w="57" w:type="dxa"/>
            </w:tcMar>
          </w:tcPr>
          <w:p w14:paraId="18C2FA5C">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 xml:space="preserve">       </w:t>
            </w:r>
          </w:p>
          <w:p w14:paraId="67EBB9C0">
            <w:pPr>
              <w:keepNext w:val="0"/>
              <w:keepLines w:val="0"/>
              <w:pageBreakBefore w:val="0"/>
              <w:widowControl w:val="0"/>
              <w:kinsoku/>
              <w:wordWrap/>
              <w:overflowPunct/>
              <w:topLinePunct w:val="0"/>
              <w:bidi w:val="0"/>
              <w:snapToGrid/>
              <w:spacing w:line="360" w:lineRule="auto"/>
              <w:jc w:val="both"/>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w:t>
            </w:r>
          </w:p>
        </w:tc>
      </w:tr>
    </w:tbl>
    <w:p w14:paraId="1C0E9D1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签订日期：</w:t>
      </w:r>
    </w:p>
    <w:p w14:paraId="1334BAC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签订地点：广东省东莞市</w:t>
      </w:r>
    </w:p>
    <w:p w14:paraId="3C12E0C7">
      <w:pPr>
        <w:spacing w:line="360" w:lineRule="auto"/>
        <w:ind w:firstLine="420" w:firstLineChars="200"/>
        <w:rPr>
          <w:rFonts w:hint="eastAsia" w:hAnsi="宋体" w:cs="宋体"/>
          <w:bCs/>
          <w:color w:val="auto"/>
          <w:kern w:val="2"/>
          <w:sz w:val="21"/>
          <w:szCs w:val="21"/>
          <w:highlight w:val="none"/>
          <w:lang w:val="zh-CN"/>
        </w:rPr>
      </w:pPr>
    </w:p>
    <w:p w14:paraId="04324911">
      <w:pPr>
        <w:rPr>
          <w:rFonts w:hAnsi="宋体" w:cs="宋体"/>
          <w:color w:val="auto"/>
          <w:highlight w:val="none"/>
        </w:rPr>
      </w:pPr>
    </w:p>
    <w:p w14:paraId="5C104D7D">
      <w:pPr>
        <w:pStyle w:val="56"/>
        <w:ind w:firstLine="0" w:firstLineChars="0"/>
        <w:rPr>
          <w:color w:val="auto"/>
          <w:highlight w:val="none"/>
          <w:lang w:val="en-US"/>
        </w:rPr>
      </w:pPr>
    </w:p>
    <w:p w14:paraId="75641D57">
      <w:pPr>
        <w:autoSpaceDE/>
        <w:autoSpaceDN/>
        <w:adjustRightInd/>
        <w:spacing w:line="360" w:lineRule="auto"/>
        <w:ind w:firstLine="422" w:firstLineChars="200"/>
        <w:jc w:val="both"/>
        <w:rPr>
          <w:rFonts w:ascii="Times New Roman" w:hAnsi="Times New Roman" w:eastAsia="宋体" w:cs="宋体"/>
          <w:b/>
          <w:bCs/>
          <w:color w:val="auto"/>
          <w:kern w:val="2"/>
          <w:sz w:val="21"/>
          <w:szCs w:val="21"/>
          <w:highlight w:val="none"/>
        </w:rPr>
      </w:pPr>
    </w:p>
    <w:p w14:paraId="72F909C3">
      <w:pPr>
        <w:rPr>
          <w:rFonts w:ascii="Times New Roman" w:hAnsi="Times New Roman" w:eastAsia="宋体" w:cs="宋体"/>
          <w:b/>
          <w:color w:val="auto"/>
          <w:sz w:val="22"/>
          <w:highlight w:val="none"/>
        </w:rPr>
      </w:pPr>
      <w:r>
        <w:rPr>
          <w:rFonts w:hint="eastAsia" w:ascii="Times New Roman" w:hAnsi="Times New Roman" w:eastAsia="宋体" w:cs="宋体"/>
          <w:b/>
          <w:color w:val="auto"/>
          <w:sz w:val="22"/>
          <w:highlight w:val="none"/>
        </w:rPr>
        <w:br w:type="page"/>
      </w:r>
    </w:p>
    <w:p w14:paraId="0029447E">
      <w:pPr>
        <w:pageBreakBefore/>
        <w:spacing w:line="600" w:lineRule="exact"/>
        <w:outlineLvl w:val="1"/>
        <w:rPr>
          <w:rFonts w:ascii="Times New Roman" w:hAnsi="Times New Roman" w:eastAsia="宋体" w:cs="仿宋_GB2312"/>
          <w:b/>
          <w:bCs/>
          <w:color w:val="auto"/>
          <w:sz w:val="28"/>
          <w:szCs w:val="28"/>
          <w:highlight w:val="none"/>
        </w:rPr>
      </w:pPr>
      <w:r>
        <w:rPr>
          <w:rFonts w:hint="eastAsia" w:ascii="Times New Roman" w:hAnsi="Times New Roman" w:eastAsia="宋体" w:cs="仿宋_GB2312"/>
          <w:b/>
          <w:bCs/>
          <w:color w:val="auto"/>
          <w:sz w:val="28"/>
          <w:szCs w:val="28"/>
          <w:highlight w:val="none"/>
        </w:rPr>
        <w:t>附件四：</w:t>
      </w:r>
    </w:p>
    <w:p w14:paraId="4A355829">
      <w:pPr>
        <w:spacing w:line="580" w:lineRule="exact"/>
        <w:jc w:val="center"/>
        <w:rPr>
          <w:rFonts w:ascii="Times New Roman" w:hAnsi="Times New Roman" w:eastAsia="宋体"/>
          <w:bCs/>
          <w:color w:val="auto"/>
          <w:sz w:val="36"/>
          <w:szCs w:val="36"/>
          <w:highlight w:val="none"/>
        </w:rPr>
      </w:pPr>
      <w:r>
        <w:rPr>
          <w:rFonts w:ascii="Times New Roman" w:hAnsi="Times New Roman" w:eastAsia="宋体"/>
          <w:bCs/>
          <w:color w:val="auto"/>
          <w:sz w:val="36"/>
          <w:szCs w:val="36"/>
          <w:highlight w:val="none"/>
        </w:rPr>
        <w:t>阳光合作告知函</w:t>
      </w:r>
    </w:p>
    <w:p w14:paraId="7B83F42F">
      <w:pPr>
        <w:spacing w:line="420" w:lineRule="exact"/>
        <w:rPr>
          <w:rFonts w:ascii="Times New Roman" w:hAnsi="Times New Roman" w:eastAsia="宋体"/>
          <w:b/>
          <w:bCs/>
          <w:color w:val="auto"/>
          <w:sz w:val="32"/>
          <w:szCs w:val="32"/>
          <w:highlight w:val="none"/>
        </w:rPr>
      </w:pPr>
    </w:p>
    <w:p w14:paraId="70986058">
      <w:pPr>
        <w:spacing w:line="480" w:lineRule="auto"/>
        <w:ind w:left="1405" w:hanging="1054" w:hangingChars="500"/>
        <w:rPr>
          <w:rFonts w:hint="eastAsia" w:ascii="Times New Roman" w:hAnsi="Times New Roman" w:eastAsia="宋体" w:cstheme="minorEastAsia"/>
          <w:b/>
          <w:bCs/>
          <w:color w:val="auto"/>
          <w:sz w:val="21"/>
          <w:szCs w:val="21"/>
          <w:highlight w:val="none"/>
          <w:lang w:eastAsia="zh-CN"/>
        </w:rPr>
      </w:pPr>
      <w:r>
        <w:rPr>
          <w:rFonts w:hint="eastAsia" w:ascii="Times New Roman" w:hAnsi="Times New Roman" w:eastAsia="宋体" w:cstheme="minorEastAsia"/>
          <w:b/>
          <w:bCs/>
          <w:color w:val="auto"/>
          <w:sz w:val="21"/>
          <w:szCs w:val="21"/>
          <w:highlight w:val="none"/>
        </w:rPr>
        <w:t>项目名称：</w:t>
      </w:r>
      <w:r>
        <w:rPr>
          <w:rFonts w:hint="eastAsia" w:ascii="Times New Roman" w:cstheme="minorEastAsia"/>
          <w:b/>
          <w:bCs/>
          <w:color w:val="auto"/>
          <w:sz w:val="21"/>
          <w:szCs w:val="21"/>
          <w:highlight w:val="none"/>
          <w:lang w:eastAsia="zh-CN"/>
        </w:rPr>
        <w:t>东莞市污泥集中处理处置项目膜系统等相关药剂采购项目</w:t>
      </w:r>
    </w:p>
    <w:p w14:paraId="5CABE95E">
      <w:pPr>
        <w:spacing w:line="480" w:lineRule="auto"/>
        <w:ind w:left="1405" w:hanging="1050" w:hangingChars="500"/>
        <w:rPr>
          <w:rFonts w:ascii="Times New Roman" w:hAnsi="Times New Roman" w:eastAsia="宋体" w:cstheme="minorEastAsia"/>
          <w:b/>
          <w:bCs/>
          <w:color w:val="auto"/>
          <w:sz w:val="21"/>
          <w:szCs w:val="21"/>
          <w:highlight w:val="none"/>
        </w:rPr>
      </w:pPr>
      <w:r>
        <w:rPr>
          <w:rFonts w:hint="eastAsia" w:ascii="Times New Roman" w:hAnsi="Times New Roman" w:eastAsia="宋体" w:cstheme="minorEastAsia"/>
          <w:color w:val="auto"/>
          <w:sz w:val="21"/>
          <w:szCs w:val="21"/>
          <w:highlight w:val="none"/>
        </w:rPr>
        <w:t>（采购编号：</w:t>
      </w:r>
      <w:r>
        <w:rPr>
          <w:rFonts w:hint="eastAsia" w:ascii="Times New Roman" w:cstheme="minorEastAsia"/>
          <w:color w:val="auto"/>
          <w:sz w:val="21"/>
          <w:szCs w:val="21"/>
          <w:highlight w:val="none"/>
          <w:u w:val="single"/>
          <w:shd w:val="clear" w:color="auto" w:fill="FFFFFF"/>
          <w:lang w:val="en-US" w:eastAsia="zh-CN"/>
        </w:rPr>
        <w:t>JS-2026-036</w:t>
      </w:r>
      <w:r>
        <w:rPr>
          <w:rFonts w:hint="eastAsia" w:ascii="Times New Roman" w:hAnsi="Times New Roman" w:eastAsia="宋体" w:cstheme="minorEastAsia"/>
          <w:color w:val="auto"/>
          <w:sz w:val="21"/>
          <w:szCs w:val="21"/>
          <w:highlight w:val="none"/>
        </w:rPr>
        <w:t>）</w:t>
      </w:r>
    </w:p>
    <w:p w14:paraId="4A24B163">
      <w:pPr>
        <w:spacing w:line="480" w:lineRule="auto"/>
        <w:rPr>
          <w:rFonts w:ascii="Times New Roman" w:hAnsi="Times New Roman" w:eastAsia="宋体" w:cstheme="minorEastAsia"/>
          <w:color w:val="auto"/>
          <w:sz w:val="21"/>
          <w:szCs w:val="21"/>
          <w:highlight w:val="none"/>
          <w:u w:val="single"/>
        </w:rPr>
      </w:pPr>
      <w:r>
        <w:rPr>
          <w:rFonts w:hint="eastAsia" w:ascii="Times New Roman" w:hAnsi="Times New Roman" w:eastAsia="宋体" w:cstheme="minorEastAsia"/>
          <w:color w:val="auto"/>
          <w:sz w:val="21"/>
          <w:szCs w:val="21"/>
          <w:highlight w:val="none"/>
          <w:u w:val="single"/>
        </w:rPr>
        <w:t xml:space="preserve"> </w:t>
      </w:r>
      <w:r>
        <w:rPr>
          <w:rFonts w:hint="eastAsia" w:ascii="Times New Roman" w:cstheme="minorEastAsia"/>
          <w:color w:val="auto"/>
          <w:sz w:val="21"/>
          <w:szCs w:val="21"/>
          <w:highlight w:val="none"/>
          <w:u w:val="single"/>
          <w:lang w:val="en-US" w:eastAsia="zh-CN"/>
        </w:rPr>
        <w:t xml:space="preserve">                     </w:t>
      </w:r>
      <w:r>
        <w:rPr>
          <w:rFonts w:hint="eastAsia" w:ascii="Times New Roman" w:hAnsi="Times New Roman" w:eastAsia="宋体" w:cstheme="minorEastAsia"/>
          <w:color w:val="auto"/>
          <w:sz w:val="21"/>
          <w:szCs w:val="21"/>
          <w:highlight w:val="none"/>
        </w:rPr>
        <w:t>：</w:t>
      </w:r>
    </w:p>
    <w:p w14:paraId="7CB5EE90">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为保证我集团人员廉洁从业，规范和鼓励诚信交易行为，防止腐败和商业贿赂发生，推动双方建立阳光合作关系，现将我方推行阳光合作的相关管理规定函告如下：</w:t>
      </w:r>
    </w:p>
    <w:p w14:paraId="6A8E1514">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一、我方负责对本单位有关人员进行阳光合作教育和管理。</w:t>
      </w:r>
    </w:p>
    <w:p w14:paraId="67CB8963">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二、我方人员有责任向贵方介绍本单位有关阳光合作的相关规定。</w:t>
      </w:r>
    </w:p>
    <w:p w14:paraId="0662951A">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三、我方人员应本着诚实守信、公平公开、平等互利原则开展交易合作，遵守国家相关法律法规。</w:t>
      </w:r>
    </w:p>
    <w:p w14:paraId="0EFEBCC6">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四、我方人员应廉洁从业，自觉抵制商业贿赂及不正当交易行为，在交易业务中涉及本人、亲属或其他相关人员时，应主动提请回避。</w:t>
      </w:r>
    </w:p>
    <w:p w14:paraId="5D9C9F7E">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五、在业务合作过程中，我方人员不得有以下违法违规行为：</w:t>
      </w:r>
    </w:p>
    <w:p w14:paraId="5C9F7B04">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（一）合作过程中通过各种方式向贵方索贿、行贿，或为亲属、其他相关人员索取其他协助或服务； </w:t>
      </w:r>
    </w:p>
    <w:p w14:paraId="6D3F24EA">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2A780465">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（三）擅自截留、挪用或侵占贵方财物； </w:t>
      </w:r>
    </w:p>
    <w:p w14:paraId="594D5302">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（四）以各种形式参与民间借贷，帮助贵方过桥借贷； </w:t>
      </w:r>
    </w:p>
    <w:p w14:paraId="06765609">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（五）参与黄、赌、毒等违法犯罪活动；</w:t>
      </w:r>
    </w:p>
    <w:p w14:paraId="04CF56BD">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（六）其他违反国家法律法规和违反廉洁从业的行为。 </w:t>
      </w:r>
    </w:p>
    <w:p w14:paraId="213F3E5E">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14:paraId="12486E59">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14:paraId="7FBE09C5">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14:paraId="3889C8AC">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九、如贵方经办人员或其他相关人员主动诱使我方人员作出本告知函第五点列明的违法违规行为的，我方有权终止双方的合作，由此造成的损失由贵方承担。</w:t>
      </w:r>
    </w:p>
    <w:p w14:paraId="18E43CF0">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十、我方对如实举报和严格遵守阳光合作精神的合作方，在同等条件下给予后续合作的优先权。</w:t>
      </w:r>
    </w:p>
    <w:p w14:paraId="07027D7C">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十一、</w:t>
      </w:r>
      <w:bookmarkStart w:id="23" w:name="OLE_LINK1"/>
      <w:r>
        <w:rPr>
          <w:rFonts w:hint="eastAsia" w:ascii="Times New Roman" w:hAnsi="Times New Roman" w:eastAsia="宋体" w:cstheme="minorEastAsia"/>
          <w:color w:val="auto"/>
          <w:sz w:val="21"/>
          <w:szCs w:val="21"/>
          <w:highlight w:val="none"/>
        </w:rPr>
        <w:t>其他</w:t>
      </w:r>
    </w:p>
    <w:p w14:paraId="0594BDAA">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（一）本告知函所言“其他相关人员”是指经办人以外的与合作项目有直接或间接利益关系的人员，包括但不仅限于项目经办人的亲友。</w:t>
      </w:r>
    </w:p>
    <w:bookmarkEnd w:id="23"/>
    <w:p w14:paraId="363CDE67">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（二）我方常设投诉举报受理部门及联系方式： </w:t>
      </w:r>
    </w:p>
    <w:p w14:paraId="582CDF5F">
      <w:pPr>
        <w:pStyle w:val="55"/>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1.投诉举报受理部门：</w:t>
      </w:r>
      <w:r>
        <w:rPr>
          <w:rFonts w:hint="eastAsia" w:ascii="Times New Roman" w:hAnsi="Times New Roman" w:eastAsia="宋体" w:cstheme="minorEastAsia"/>
          <w:color w:val="auto"/>
          <w:sz w:val="21"/>
          <w:szCs w:val="21"/>
          <w:highlight w:val="none"/>
        </w:rPr>
        <w:t>东莞市水务环境投资控股集团有限公司纪检监察部；</w:t>
      </w:r>
    </w:p>
    <w:p w14:paraId="4C822411">
      <w:pPr>
        <w:pStyle w:val="55"/>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2.投诉举报电话：</w:t>
      </w:r>
      <w:r>
        <w:rPr>
          <w:rFonts w:hint="eastAsia" w:ascii="Times New Roman" w:hAnsi="Times New Roman" w:cstheme="minorEastAsia"/>
          <w:color w:val="auto"/>
          <w:highlight w:val="none"/>
        </w:rPr>
        <w:t>0769–23076092</w:t>
      </w:r>
      <w:r>
        <w:rPr>
          <w:rFonts w:hint="eastAsia" w:ascii="Times New Roman" w:hAnsi="Times New Roman" w:eastAsia="宋体" w:cstheme="minorEastAsia"/>
          <w:color w:val="auto"/>
          <w:sz w:val="21"/>
          <w:szCs w:val="21"/>
          <w:highlight w:val="none"/>
        </w:rPr>
        <w:t>（星期一至星期五：8:30-17:30）；</w:t>
      </w:r>
    </w:p>
    <w:p w14:paraId="37AE70E0">
      <w:pPr>
        <w:pStyle w:val="55"/>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3.联系地址：</w:t>
      </w:r>
      <w:r>
        <w:rPr>
          <w:rFonts w:hint="eastAsia" w:ascii="Times New Roman" w:hAnsi="Times New Roman" w:cstheme="minorEastAsia"/>
          <w:color w:val="auto"/>
          <w:highlight w:val="none"/>
        </w:rPr>
        <w:t>广东省东莞市南城街道宏北路16号水业大厦</w:t>
      </w:r>
      <w:r>
        <w:rPr>
          <w:rFonts w:hint="eastAsia" w:ascii="Times New Roman" w:hAnsi="Times New Roman" w:eastAsia="宋体" w:cstheme="minorEastAsia"/>
          <w:color w:val="auto"/>
          <w:sz w:val="21"/>
          <w:szCs w:val="21"/>
          <w:highlight w:val="none"/>
        </w:rPr>
        <w:t>；</w:t>
      </w:r>
    </w:p>
    <w:p w14:paraId="3A2D0CE7">
      <w:pPr>
        <w:pStyle w:val="55"/>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4.邮编：</w:t>
      </w:r>
      <w:r>
        <w:rPr>
          <w:rFonts w:hint="eastAsia" w:ascii="Times New Roman" w:hAnsi="Times New Roman" w:eastAsia="宋体" w:cstheme="minorEastAsia"/>
          <w:color w:val="auto"/>
          <w:sz w:val="21"/>
          <w:szCs w:val="21"/>
          <w:highlight w:val="none"/>
        </w:rPr>
        <w:t>523000。</w:t>
      </w:r>
    </w:p>
    <w:p w14:paraId="6D54D75A">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让我们共同为建立健康、公平的商业秩序和实现双赢而努力。</w:t>
      </w:r>
    </w:p>
    <w:p w14:paraId="6AD684F0">
      <w:pPr>
        <w:pStyle w:val="55"/>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特此致函。</w:t>
      </w:r>
    </w:p>
    <w:p w14:paraId="7D7FB7EF">
      <w:pPr>
        <w:pStyle w:val="55"/>
        <w:snapToGrid w:val="0"/>
        <w:spacing w:line="480" w:lineRule="auto"/>
        <w:ind w:firstLine="420" w:firstLineChars="200"/>
        <w:rPr>
          <w:rFonts w:ascii="Times New Roman" w:hAnsi="Times New Roman" w:eastAsia="宋体" w:cstheme="minorEastAsia"/>
          <w:color w:val="auto"/>
          <w:sz w:val="21"/>
          <w:szCs w:val="21"/>
          <w:highlight w:val="none"/>
        </w:rPr>
      </w:pPr>
    </w:p>
    <w:p w14:paraId="27C05372">
      <w:pPr>
        <w:pStyle w:val="55"/>
        <w:wordWrap w:val="0"/>
        <w:snapToGrid w:val="0"/>
        <w:spacing w:line="480" w:lineRule="auto"/>
        <w:ind w:firstLine="64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东莞市尚源环能科技有限公司</w:t>
      </w:r>
    </w:p>
    <w:p w14:paraId="62C709F5">
      <w:pPr>
        <w:pStyle w:val="55"/>
        <w:snapToGrid w:val="0"/>
        <w:spacing w:line="480" w:lineRule="auto"/>
        <w:ind w:firstLine="3990" w:firstLineChars="1900"/>
        <w:jc w:val="right"/>
        <w:rPr>
          <w:rFonts w:ascii="Times New Roman" w:hAnsi="Times New Roman" w:eastAsia="宋体"/>
          <w:color w:val="auto"/>
          <w:sz w:val="32"/>
          <w:szCs w:val="32"/>
          <w:highlight w:val="none"/>
        </w:rPr>
      </w:pPr>
      <w:r>
        <w:rPr>
          <w:rFonts w:hint="eastAsia" w:ascii="Times New Roman" w:hAnsi="Times New Roman" w:eastAsia="宋体" w:cstheme="minorEastAsia"/>
          <w:color w:val="auto"/>
          <w:sz w:val="21"/>
          <w:szCs w:val="21"/>
          <w:highlight w:val="none"/>
        </w:rPr>
        <w:t xml:space="preserve">  年   月  日</w:t>
      </w:r>
      <w:bookmarkStart w:id="24" w:name="设计变更通知单"/>
      <w:bookmarkEnd w:id="24"/>
      <w:bookmarkStart w:id="25" w:name="现场签证通知单"/>
      <w:bookmarkEnd w:id="25"/>
    </w:p>
    <w:p w14:paraId="74284F13">
      <w:pPr>
        <w:pStyle w:val="55"/>
        <w:keepNext w:val="0"/>
        <w:keepLines w:val="0"/>
        <w:pageBreakBefore/>
        <w:widowControl w:val="0"/>
        <w:kinsoku/>
        <w:wordWrap/>
        <w:overflowPunct/>
        <w:topLinePunct w:val="0"/>
        <w:autoSpaceDE w:val="0"/>
        <w:autoSpaceDN w:val="0"/>
        <w:bidi w:val="0"/>
        <w:adjustRightInd w:val="0"/>
        <w:snapToGrid w:val="0"/>
        <w:spacing w:line="580" w:lineRule="exact"/>
        <w:ind w:firstLine="0"/>
        <w:jc w:val="center"/>
        <w:textAlignment w:val="baseline"/>
        <w:rPr>
          <w:rFonts w:ascii="Times New Roman" w:hAnsi="Times New Roman" w:eastAsia="宋体"/>
          <w:color w:val="auto"/>
          <w:sz w:val="36"/>
          <w:szCs w:val="36"/>
          <w:highlight w:val="none"/>
          <w:lang w:val="zh-CN"/>
        </w:rPr>
      </w:pPr>
      <w:r>
        <w:rPr>
          <w:rFonts w:hint="eastAsia" w:ascii="Times New Roman" w:hAnsi="Times New Roman" w:eastAsia="宋体"/>
          <w:color w:val="auto"/>
          <w:sz w:val="36"/>
          <w:szCs w:val="36"/>
          <w:highlight w:val="none"/>
          <w:lang w:val="zh-CN"/>
        </w:rPr>
        <w:t>阳光合作告知函回执</w:t>
      </w:r>
    </w:p>
    <w:p w14:paraId="496E92D9">
      <w:pPr>
        <w:pStyle w:val="55"/>
        <w:snapToGrid w:val="0"/>
        <w:spacing w:line="580" w:lineRule="exact"/>
        <w:ind w:firstLine="600"/>
        <w:jc w:val="center"/>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 xml:space="preserve">                            </w:t>
      </w:r>
    </w:p>
    <w:p w14:paraId="32046DEB">
      <w:pPr>
        <w:pStyle w:val="55"/>
        <w:snapToGrid w:val="0"/>
        <w:spacing w:line="480" w:lineRule="auto"/>
        <w:ind w:firstLine="60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w:t>
      </w:r>
      <w:r>
        <w:rPr>
          <w:rFonts w:hint="eastAsia" w:ascii="Times New Roman" w:hAnsi="Times New Roman" w:eastAsia="宋体" w:cstheme="minorEastAsia"/>
          <w:color w:val="auto"/>
          <w:sz w:val="21"/>
          <w:szCs w:val="21"/>
          <w:highlight w:val="none"/>
          <w:lang w:val="zh-CN"/>
        </w:rPr>
        <w:t>编号：JS-2026-036</w:t>
      </w:r>
    </w:p>
    <w:p w14:paraId="6EF9971A">
      <w:pPr>
        <w:pStyle w:val="55"/>
        <w:snapToGrid w:val="0"/>
        <w:spacing w:line="480" w:lineRule="auto"/>
        <w:ind w:firstLine="560"/>
        <w:jc w:val="center"/>
        <w:rPr>
          <w:rFonts w:ascii="Times New Roman" w:hAnsi="Times New Roman" w:eastAsia="宋体" w:cstheme="minorEastAsia"/>
          <w:color w:val="auto"/>
          <w:sz w:val="21"/>
          <w:szCs w:val="21"/>
          <w:highlight w:val="none"/>
          <w:lang w:val="zh-CN"/>
        </w:rPr>
      </w:pPr>
    </w:p>
    <w:p w14:paraId="7826AC44">
      <w:pPr>
        <w:spacing w:line="480" w:lineRule="auto"/>
        <w:ind w:firstLine="525" w:firstLineChars="250"/>
        <w:rPr>
          <w:rFonts w:ascii="Times New Roman" w:hAnsi="Times New Roman" w:eastAsia="宋体" w:cstheme="minorEastAsia"/>
          <w:color w:val="auto"/>
          <w:sz w:val="21"/>
          <w:szCs w:val="21"/>
          <w:highlight w:val="none"/>
          <w:lang w:val="zh-CN"/>
        </w:rPr>
      </w:pPr>
      <w:r>
        <w:rPr>
          <w:rFonts w:hint="eastAsia" w:ascii="Times New Roman" w:hAnsi="Times New Roman" w:eastAsia="宋体" w:cstheme="minorEastAsia"/>
          <w:color w:val="auto"/>
          <w:sz w:val="21"/>
          <w:szCs w:val="21"/>
          <w:highlight w:val="none"/>
          <w:lang w:val="zh-CN"/>
        </w:rPr>
        <w:t>我单位于</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年</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月</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日收到东莞市尚源环能科技有限公司的《阳光合作告知函》，承诺理解函告内容并告知相关人员严格执行其中规定。</w:t>
      </w:r>
    </w:p>
    <w:p w14:paraId="7EAB9539">
      <w:pPr>
        <w:snapToGrid w:val="0"/>
        <w:spacing w:line="480" w:lineRule="auto"/>
        <w:rPr>
          <w:rFonts w:ascii="Times New Roman" w:hAnsi="Times New Roman" w:eastAsia="宋体" w:cstheme="minorEastAsia"/>
          <w:color w:val="auto"/>
          <w:sz w:val="21"/>
          <w:szCs w:val="21"/>
          <w:highlight w:val="none"/>
          <w:lang w:val="zh-CN"/>
        </w:rPr>
      </w:pPr>
    </w:p>
    <w:p w14:paraId="1788BAE6">
      <w:pPr>
        <w:snapToGrid w:val="0"/>
        <w:spacing w:line="480" w:lineRule="auto"/>
        <w:jc w:val="right"/>
        <w:rPr>
          <w:rFonts w:ascii="Times New Roman" w:hAnsi="Times New Roman" w:eastAsia="宋体" w:cstheme="minorEastAsia"/>
          <w:color w:val="auto"/>
          <w:sz w:val="21"/>
          <w:szCs w:val="21"/>
          <w:highlight w:val="none"/>
          <w:lang w:val="zh-CN"/>
        </w:rPr>
      </w:pPr>
      <w:r>
        <w:rPr>
          <w:rFonts w:hint="eastAsia" w:ascii="Times New Roman" w:hAnsi="Times New Roman" w:eastAsia="宋体" w:cstheme="minorEastAsia"/>
          <w:color w:val="auto"/>
          <w:sz w:val="21"/>
          <w:szCs w:val="21"/>
          <w:highlight w:val="none"/>
          <w:lang w:val="zh-CN"/>
        </w:rPr>
        <w:t xml:space="preserve">                      </w:t>
      </w:r>
      <w:r>
        <w:rPr>
          <w:rFonts w:hint="eastAsia" w:ascii="Times New Roman" w:hAnsi="Times New Roman" w:eastAsia="宋体" w:cstheme="minorEastAsia"/>
          <w:bCs/>
          <w:color w:val="auto"/>
          <w:sz w:val="21"/>
          <w:szCs w:val="21"/>
          <w:highlight w:val="none"/>
        </w:rPr>
        <w:t xml:space="preserve">      </w:t>
      </w:r>
      <w:r>
        <w:rPr>
          <w:rFonts w:hint="eastAsia" w:ascii="Times New Roman" w:hAnsi="Times New Roman" w:eastAsia="宋体" w:cstheme="minorEastAsia"/>
          <w:bCs/>
          <w:color w:val="auto"/>
          <w:sz w:val="21"/>
          <w:szCs w:val="21"/>
          <w:highlight w:val="none"/>
          <w:u w:val="single"/>
        </w:rPr>
        <w:t xml:space="preserve"> </w:t>
      </w:r>
      <w:r>
        <w:rPr>
          <w:rFonts w:hint="eastAsia" w:ascii="Times New Roman" w:cstheme="minorEastAsia"/>
          <w:bCs/>
          <w:color w:val="auto"/>
          <w:sz w:val="21"/>
          <w:szCs w:val="21"/>
          <w:highlight w:val="none"/>
          <w:u w:val="single"/>
          <w:lang w:val="en-US" w:eastAsia="zh-CN"/>
        </w:rPr>
        <w:t xml:space="preserve">                         </w:t>
      </w:r>
      <w:r>
        <w:rPr>
          <w:rFonts w:hint="eastAsia" w:ascii="Times New Roman" w:hAnsi="Times New Roman" w:eastAsia="宋体" w:cstheme="minorEastAsia"/>
          <w:bCs/>
          <w:color w:val="auto"/>
          <w:sz w:val="21"/>
          <w:szCs w:val="21"/>
          <w:highlight w:val="none"/>
          <w:u w:val="single"/>
          <w:lang w:val="en-US" w:eastAsia="zh-CN"/>
        </w:rPr>
        <w:t xml:space="preserve"> </w:t>
      </w:r>
      <w:r>
        <w:rPr>
          <w:rFonts w:hint="eastAsia" w:ascii="Times New Roman" w:hAnsi="Times New Roman" w:eastAsia="宋体" w:cstheme="minorEastAsia"/>
          <w:color w:val="auto"/>
          <w:sz w:val="21"/>
          <w:szCs w:val="21"/>
          <w:highlight w:val="none"/>
          <w:lang w:val="zh-CN"/>
        </w:rPr>
        <w:t>（盖章）</w:t>
      </w:r>
    </w:p>
    <w:p w14:paraId="7376C186">
      <w:pPr>
        <w:snapToGrid w:val="0"/>
        <w:spacing w:line="480" w:lineRule="auto"/>
        <w:jc w:val="right"/>
        <w:rPr>
          <w:rFonts w:ascii="Times New Roman" w:hAnsi="Times New Roman" w:eastAsia="宋体" w:cstheme="minorEastAsia"/>
          <w:color w:val="auto"/>
          <w:sz w:val="21"/>
          <w:szCs w:val="21"/>
          <w:highlight w:val="none"/>
          <w:lang w:val="zh-CN"/>
        </w:rPr>
      </w:pPr>
    </w:p>
    <w:p w14:paraId="2DEB25D2">
      <w:pPr>
        <w:snapToGrid w:val="0"/>
        <w:spacing w:line="480" w:lineRule="auto"/>
        <w:ind w:right="1280" w:firstLine="3360" w:firstLineChars="160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法定代表人：           </w:t>
      </w:r>
    </w:p>
    <w:p w14:paraId="3116B1BF">
      <w:pPr>
        <w:wordWrap w:val="0"/>
        <w:snapToGrid w:val="0"/>
        <w:spacing w:line="480" w:lineRule="auto"/>
        <w:jc w:val="right"/>
        <w:rPr>
          <w:rFonts w:ascii="Times New Roman" w:hAnsi="Times New Roman" w:eastAsia="宋体" w:cstheme="minorEastAsia"/>
          <w:color w:val="auto"/>
          <w:sz w:val="21"/>
          <w:szCs w:val="21"/>
          <w:highlight w:val="none"/>
        </w:rPr>
      </w:pPr>
    </w:p>
    <w:p w14:paraId="6B94E36A">
      <w:pPr>
        <w:spacing w:line="480" w:lineRule="auto"/>
        <w:ind w:firstLine="3780" w:firstLineChars="1800"/>
        <w:jc w:val="center"/>
        <w:rPr>
          <w:rFonts w:ascii="Times New Roman" w:hAnsi="Times New Roman" w:eastAsia="宋体"/>
          <w:b/>
          <w:color w:val="auto"/>
          <w:sz w:val="21"/>
          <w:szCs w:val="21"/>
          <w:highlight w:val="none"/>
        </w:rPr>
      </w:pPr>
      <w:r>
        <w:rPr>
          <w:rFonts w:hint="eastAsia" w:ascii="Times New Roman" w:hAnsi="Times New Roman" w:eastAsia="宋体" w:cstheme="minorEastAsia"/>
          <w:color w:val="auto"/>
          <w:sz w:val="21"/>
          <w:szCs w:val="21"/>
          <w:highlight w:val="none"/>
          <w:lang w:val="en-US" w:eastAsia="zh-CN"/>
        </w:rPr>
        <w:t xml:space="preserve">        </w:t>
      </w:r>
      <w:r>
        <w:rPr>
          <w:rFonts w:hint="eastAsia" w:ascii="Times New Roman" w:hAnsi="Times New Roman" w:eastAsia="宋体" w:cstheme="minorEastAsia"/>
          <w:color w:val="auto"/>
          <w:sz w:val="21"/>
          <w:szCs w:val="21"/>
          <w:highlight w:val="none"/>
        </w:rPr>
        <w:t>年    月    日</w:t>
      </w:r>
    </w:p>
    <w:p w14:paraId="58E4353E">
      <w:pPr>
        <w:spacing w:line="360" w:lineRule="auto"/>
        <w:jc w:val="center"/>
        <w:rPr>
          <w:b/>
          <w:color w:val="000000" w:themeColor="text1"/>
          <w14:textFill>
            <w14:solidFill>
              <w14:schemeClr w14:val="tx1"/>
            </w14:solidFill>
          </w14:textFill>
        </w:rPr>
      </w:pPr>
    </w:p>
    <w:p w14:paraId="01D3BFB8">
      <w:pPr>
        <w:spacing w:line="360" w:lineRule="auto"/>
        <w:rPr>
          <w:b/>
          <w:color w:val="000000" w:themeColor="text1"/>
          <w14:textFill>
            <w14:solidFill>
              <w14:schemeClr w14:val="tx1"/>
            </w14:solidFill>
          </w14:textFill>
        </w:rPr>
      </w:pPr>
    </w:p>
    <w:p w14:paraId="47103A24">
      <w:pPr>
        <w:spacing w:line="360" w:lineRule="auto"/>
        <w:rPr>
          <w:b/>
          <w:color w:val="000000" w:themeColor="text1"/>
          <w14:textFill>
            <w14:solidFill>
              <w14:schemeClr w14:val="tx1"/>
            </w14:solidFill>
          </w14:textFill>
        </w:rPr>
      </w:pPr>
    </w:p>
    <w:p w14:paraId="2B78417E">
      <w:pPr>
        <w:spacing w:line="360" w:lineRule="auto"/>
        <w:rPr>
          <w:b/>
          <w:color w:val="000000" w:themeColor="text1"/>
          <w14:textFill>
            <w14:solidFill>
              <w14:schemeClr w14:val="tx1"/>
            </w14:solidFill>
          </w14:textFill>
        </w:rPr>
      </w:pPr>
    </w:p>
    <w:p w14:paraId="1A5F1FC4">
      <w:pPr>
        <w:spacing w:line="360" w:lineRule="auto"/>
        <w:rPr>
          <w:b/>
          <w:color w:val="000000" w:themeColor="text1"/>
          <w14:textFill>
            <w14:solidFill>
              <w14:schemeClr w14:val="tx1"/>
            </w14:solidFill>
          </w14:textFill>
        </w:rPr>
      </w:pPr>
    </w:p>
    <w:p w14:paraId="2EA18F71">
      <w:pPr>
        <w:spacing w:line="360" w:lineRule="auto"/>
        <w:rPr>
          <w:b/>
          <w:color w:val="000000" w:themeColor="text1"/>
          <w14:textFill>
            <w14:solidFill>
              <w14:schemeClr w14:val="tx1"/>
            </w14:solidFill>
          </w14:textFill>
        </w:rPr>
      </w:pPr>
    </w:p>
    <w:p w14:paraId="583E2843">
      <w:pPr>
        <w:spacing w:line="360" w:lineRule="auto"/>
        <w:rPr>
          <w:b/>
          <w:color w:val="000000" w:themeColor="text1"/>
          <w14:textFill>
            <w14:solidFill>
              <w14:schemeClr w14:val="tx1"/>
            </w14:solidFill>
          </w14:textFill>
        </w:rPr>
      </w:pPr>
    </w:p>
    <w:p w14:paraId="68AC4591">
      <w:pPr>
        <w:spacing w:line="360" w:lineRule="auto"/>
        <w:rPr>
          <w:b/>
          <w:color w:val="000000" w:themeColor="text1"/>
          <w14:textFill>
            <w14:solidFill>
              <w14:schemeClr w14:val="tx1"/>
            </w14:solidFill>
          </w14:textFill>
        </w:rPr>
      </w:pPr>
    </w:p>
    <w:p w14:paraId="3D6E351B">
      <w:pPr>
        <w:spacing w:line="360" w:lineRule="auto"/>
        <w:rPr>
          <w:b/>
          <w:color w:val="000000" w:themeColor="text1"/>
          <w14:textFill>
            <w14:solidFill>
              <w14:schemeClr w14:val="tx1"/>
            </w14:solidFill>
          </w14:textFill>
        </w:rPr>
      </w:pPr>
    </w:p>
    <w:p w14:paraId="66E43524">
      <w:pPr>
        <w:spacing w:line="360" w:lineRule="auto"/>
        <w:rPr>
          <w:b/>
          <w:color w:val="000000" w:themeColor="text1"/>
          <w14:textFill>
            <w14:solidFill>
              <w14:schemeClr w14:val="tx1"/>
            </w14:solidFill>
          </w14:textFill>
        </w:rPr>
      </w:pPr>
    </w:p>
    <w:p w14:paraId="7C3D14D6">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368F3E4B">
      <w:pPr>
        <w:spacing w:line="360" w:lineRule="auto"/>
        <w:rPr>
          <w:b/>
          <w:color w:val="000000" w:themeColor="text1"/>
          <w14:textFill>
            <w14:solidFill>
              <w14:schemeClr w14:val="tx1"/>
            </w14:solidFill>
          </w14:textFill>
        </w:rPr>
      </w:pPr>
    </w:p>
    <w:p w14:paraId="39B45ECF">
      <w:pPr>
        <w:pStyle w:val="2"/>
        <w:spacing w:before="0" w:after="0"/>
        <w:jc w:val="center"/>
        <w:rPr>
          <w:rFonts w:hAnsi="宋体" w:cs="宋体"/>
          <w:szCs w:val="32"/>
        </w:rPr>
      </w:pPr>
      <w:bookmarkStart w:id="26" w:name="_Toc29476707"/>
      <w:r>
        <w:rPr>
          <w:rFonts w:hint="eastAsia" w:hAnsi="宋体" w:cs="宋体"/>
          <w:szCs w:val="32"/>
        </w:rPr>
        <w:t>第四章 报价须知</w:t>
      </w:r>
      <w:bookmarkEnd w:id="26"/>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ascii="Times New Roman"/>
          <w:lang w:val="en-US" w:eastAsia="zh-CN"/>
        </w:rPr>
        <w:t>液体</w:t>
      </w:r>
      <w:r>
        <w:rPr>
          <w:rFonts w:hint="eastAsia" w:ascii="Times New Roman" w:hAnsi="Times New Roman" w:eastAsia="宋体" w:cs="宋体"/>
          <w:color w:val="auto"/>
          <w:sz w:val="24"/>
          <w:szCs w:val="24"/>
          <w:highlight w:val="none"/>
        </w:rPr>
        <w:t>阻垢缓蚀剂</w:t>
      </w:r>
      <w:r>
        <w:rPr>
          <w:rFonts w:hint="eastAsia" w:asci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rPr>
        <w:t>固体亚硫酸氢钠</w:t>
      </w:r>
      <w:r>
        <w:rPr>
          <w:rFonts w:hint="eastAsia" w:asci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bidi="ar"/>
        </w:rPr>
        <w:t>固体柠檬酸</w:t>
      </w:r>
      <w:r>
        <w:rPr>
          <w:rFonts w:hint="eastAsia" w:ascii="Times New Roman"/>
        </w:rPr>
        <w:t>供货业绩</w:t>
      </w:r>
      <w:r>
        <w:rPr>
          <w:rFonts w:hint="eastAsia" w:ascii="Times New Roman"/>
          <w:lang w:eastAsia="zh-CN"/>
        </w:rPr>
        <w:t>，业绩可为一份或多份，种类涵盖前述药剂</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ascii="Times New Roman" w:cs="宋体"/>
          <w:b/>
          <w:bCs/>
        </w:rPr>
        <w:t>9</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2"/>
        <w:spacing w:before="0" w:after="0"/>
        <w:jc w:val="center"/>
        <w:rPr>
          <w:rFonts w:hAnsi="宋体" w:cs="宋体"/>
          <w:szCs w:val="32"/>
        </w:rPr>
      </w:pPr>
      <w:bookmarkStart w:id="27" w:name="_Toc29476708"/>
      <w:r>
        <w:rPr>
          <w:rFonts w:hint="eastAsia" w:hAnsi="宋体" w:cs="宋体"/>
          <w:szCs w:val="32"/>
        </w:rPr>
        <w:t>第五章 报价文件（格式）</w:t>
      </w:r>
      <w:bookmarkEnd w:id="27"/>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东莞市污泥集中处理处置项目膜系统等相关药剂采购项目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4"/>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4"/>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hAnsi="Times New Roman" w:eastAsia="宋体" w:cs="宋体"/>
                <w:b/>
                <w:bCs/>
                <w:color w:val="auto"/>
                <w:kern w:val="2"/>
                <w:sz w:val="24"/>
                <w:szCs w:val="24"/>
                <w:highlight w:val="none"/>
                <w:lang w:val="en-US" w:eastAsia="zh-CN"/>
              </w:rPr>
              <w:t>188,023.89</w:t>
            </w:r>
            <w:r>
              <w:rPr>
                <w:rFonts w:hint="eastAsia" w:ascii="Times New Roman"/>
                <w:b/>
                <w:bCs/>
              </w:rPr>
              <w:t>元），</w:t>
            </w:r>
            <w:r>
              <w:rPr>
                <w:rFonts w:ascii="Times New Roman"/>
                <w:b/>
                <w:bCs/>
              </w:rPr>
              <w:t>否则视为无效报价。</w:t>
            </w:r>
          </w:p>
          <w:p w14:paraId="1565FCEB">
            <w:pPr>
              <w:numPr>
                <w:ilvl w:val="0"/>
                <w:numId w:val="4"/>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4"/>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12"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pgNumType w:fmt="decimal"/>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东莞市污泥集中处理处置项目膜系统等相关药剂采购项目分</w:t>
      </w:r>
      <w:r>
        <w:rPr>
          <w:rFonts w:hint="eastAsia" w:hAnsi="宋体" w:cs="宋体"/>
          <w:b/>
          <w:bCs/>
          <w:i w:val="0"/>
          <w:iCs w:val="0"/>
          <w:caps w:val="0"/>
          <w:color w:val="FF0000"/>
          <w:spacing w:val="0"/>
          <w:sz w:val="24"/>
          <w:szCs w:val="24"/>
          <w:shd w:val="clear" w:fill="FFFFFF"/>
          <w:lang w:val="en-US" w:eastAsia="zh-CN"/>
        </w:rPr>
        <w:t>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8" w:name="_Hlk26973180"/>
      <w:r>
        <w:rPr>
          <w:rFonts w:hint="eastAsia" w:hAnsi="宋体" w:cs="宋体"/>
          <w:b/>
          <w:color w:val="000000"/>
          <w:sz w:val="28"/>
          <w:szCs w:val="28"/>
        </w:rPr>
        <w:t>响应声明</w:t>
      </w:r>
    </w:p>
    <w:bookmarkEnd w:id="28"/>
    <w:p w14:paraId="00145D58">
      <w:pPr>
        <w:spacing w:line="360" w:lineRule="auto"/>
        <w:ind w:firstLine="480" w:firstLineChars="200"/>
        <w:rPr>
          <w:rFonts w:hAnsi="宋体" w:cs="宋体"/>
        </w:rPr>
      </w:pPr>
      <w:bookmarkStart w:id="29" w:name="_Toc534701786"/>
      <w:bookmarkStart w:id="30" w:name="_Toc534278252"/>
      <w:bookmarkStart w:id="31"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液体</w:t>
      </w:r>
      <w:r>
        <w:rPr>
          <w:rFonts w:hint="eastAsia" w:hAnsi="宋体" w:cs="宋体"/>
          <w:b/>
          <w:sz w:val="28"/>
          <w:szCs w:val="28"/>
        </w:rPr>
        <w:t>阻垢缓蚀剂</w:t>
      </w:r>
      <w:r>
        <w:rPr>
          <w:rFonts w:hint="eastAsia" w:hAnsi="宋体" w:cs="宋体"/>
          <w:b/>
          <w:sz w:val="28"/>
          <w:szCs w:val="28"/>
          <w:lang w:eastAsia="zh-CN"/>
        </w:rPr>
        <w:t>、</w:t>
      </w:r>
      <w:r>
        <w:rPr>
          <w:rFonts w:hint="eastAsia" w:hAnsi="宋体" w:cs="宋体"/>
          <w:b/>
          <w:sz w:val="28"/>
          <w:szCs w:val="28"/>
        </w:rPr>
        <w:t>固体亚硫酸氢钠</w:t>
      </w:r>
      <w:r>
        <w:rPr>
          <w:rFonts w:hint="eastAsia" w:hAnsi="宋体" w:cs="宋体"/>
          <w:b/>
          <w:sz w:val="28"/>
          <w:szCs w:val="28"/>
          <w:lang w:eastAsia="zh-CN"/>
        </w:rPr>
        <w:t>、</w:t>
      </w:r>
      <w:r>
        <w:rPr>
          <w:rFonts w:hint="eastAsia" w:hAnsi="宋体" w:cs="宋体"/>
          <w:b/>
          <w:sz w:val="28"/>
          <w:szCs w:val="28"/>
        </w:rPr>
        <w:t>固体柠檬酸供货业绩</w:t>
      </w:r>
      <w:r>
        <w:rPr>
          <w:rFonts w:hint="eastAsia" w:hAnsi="宋体" w:cs="宋体"/>
          <w:b/>
          <w:sz w:val="28"/>
          <w:szCs w:val="28"/>
          <w:lang w:eastAsia="zh-CN"/>
        </w:rPr>
        <w:t>，业绩可为一份或多份，种类涵盖前述药剂</w:t>
      </w:r>
      <w:r>
        <w:rPr>
          <w:rFonts w:hint="eastAsia" w:hAnsi="宋体" w:cs="宋体"/>
          <w:b/>
          <w:sz w:val="28"/>
          <w:szCs w:val="28"/>
        </w:rPr>
        <w:t>（合同签订日期为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东莞市污泥集中处理处置项目膜系统等相关药剂采购项目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9"/>
    <w:bookmarkEnd w:id="30"/>
    <w:bookmarkEnd w:id="31"/>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ptos">
    <w:altName w:val="Segoe Print"/>
    <w:panose1 w:val="020B000402020202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5FD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AB76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8AB76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0CD6">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EFC14">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4EFC14">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4EC2">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154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8A154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A5C1">
    <w:pPr>
      <w:pStyle w:val="12"/>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90880" cy="345440"/>
              <wp:effectExtent l="0" t="0" r="0" b="0"/>
              <wp:wrapNone/>
              <wp:docPr id="1175980483" name="Text Box 2" descr="General"/>
              <wp:cNvGraphicFramePr/>
              <a:graphic xmlns:a="http://schemas.openxmlformats.org/drawingml/2006/main">
                <a:graphicData uri="http://schemas.microsoft.com/office/word/2010/wordprocessingShape">
                  <wps:wsp>
                    <wps:cNvSpPr txBox="1"/>
                    <wps:spPr>
                      <a:xfrm>
                        <a:off x="0" y="0"/>
                        <a:ext cx="690880" cy="345440"/>
                      </a:xfrm>
                      <a:prstGeom prst="rect">
                        <a:avLst/>
                      </a:prstGeom>
                      <a:noFill/>
                      <a:ln>
                        <a:noFill/>
                      </a:ln>
                    </wps:spPr>
                    <wps:txbx>
                      <w:txbxContent>
                        <w:p w14:paraId="0E1602CC">
                          <w:pPr>
                            <w:rPr>
                              <w:rFonts w:ascii="Aptos" w:hAnsi="Aptos" w:eastAsia="Aptos" w:cs="Aptos"/>
                              <w:color w:val="000000"/>
                              <w:sz w:val="20"/>
                              <w:szCs w:val="20"/>
                            </w:rPr>
                          </w:pPr>
                          <w:r>
                            <w:rPr>
                              <w:rFonts w:ascii="Aptos" w:hAnsi="Aptos" w:eastAsia="Aptos" w:cs="Aptos"/>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General" type="#_x0000_t202" style="position:absolute;left:0pt;height:27.2pt;width:54.4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iugn0wAAAAQBAAAPAAAAAAAAAAEAIAAAACIAAABkcnMvZG93bnJldi54bWxQ&#10;SwECFAAUAAAACACHTuJAVrLnQTUCAABsBAAADgAAAAAAAAABACAAAAAiAQAAZHJzL2Uyb0RvYy54&#10;bWxQSwUGAAAAAAYABgBZAQAAyQUAAAAA&#10;">
              <v:fill on="f" focussize="0,0"/>
              <v:stroke on="f"/>
              <v:imagedata o:title=""/>
              <o:lock v:ext="edit" aspectratio="f"/>
              <v:textbox inset="20pt,0mm,0mm,15pt" style="mso-fit-shape-to-text:t;">
                <w:txbxContent>
                  <w:p w14:paraId="0E1602CC">
                    <w:pPr>
                      <w:rPr>
                        <w:rFonts w:ascii="Aptos" w:hAnsi="Aptos" w:eastAsia="Aptos" w:cs="Aptos"/>
                        <w:color w:val="000000"/>
                        <w:sz w:val="20"/>
                        <w:szCs w:val="20"/>
                      </w:rPr>
                    </w:pPr>
                    <w:r>
                      <w:rPr>
                        <w:rFonts w:ascii="Aptos" w:hAnsi="Aptos" w:eastAsia="Aptos" w:cs="Aptos"/>
                        <w:color w:val="000000"/>
                        <w:sz w:val="20"/>
                        <w:szCs w:val="20"/>
                      </w:rPr>
                      <w:t>General</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D698">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34AEC">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B34AEC">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84CF">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92B9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892B9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849C">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C9A4B">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5C9A4B">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669288AD"/>
    <w:multiLevelType w:val="singleLevel"/>
    <w:tmpl w:val="669288AD"/>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E27ADA"/>
    <w:rsid w:val="07440B95"/>
    <w:rsid w:val="11714165"/>
    <w:rsid w:val="12567973"/>
    <w:rsid w:val="166C3E5C"/>
    <w:rsid w:val="1CFF214E"/>
    <w:rsid w:val="1E190503"/>
    <w:rsid w:val="21217D8A"/>
    <w:rsid w:val="2386555D"/>
    <w:rsid w:val="24435D01"/>
    <w:rsid w:val="250F1AC0"/>
    <w:rsid w:val="262A4E03"/>
    <w:rsid w:val="27E162AD"/>
    <w:rsid w:val="282E038C"/>
    <w:rsid w:val="29E140BF"/>
    <w:rsid w:val="2A631000"/>
    <w:rsid w:val="2BCE6231"/>
    <w:rsid w:val="2C3562B0"/>
    <w:rsid w:val="2CCD3838"/>
    <w:rsid w:val="45120AE5"/>
    <w:rsid w:val="462E7BA0"/>
    <w:rsid w:val="4DC81F78"/>
    <w:rsid w:val="4F7244C4"/>
    <w:rsid w:val="500501A6"/>
    <w:rsid w:val="51492FE2"/>
    <w:rsid w:val="54AF4891"/>
    <w:rsid w:val="5A313B60"/>
    <w:rsid w:val="5BED3CEF"/>
    <w:rsid w:val="5C6F4617"/>
    <w:rsid w:val="5D9600A9"/>
    <w:rsid w:val="5F9D2B92"/>
    <w:rsid w:val="60A60CCB"/>
    <w:rsid w:val="62F85366"/>
    <w:rsid w:val="63143EF4"/>
    <w:rsid w:val="639579B5"/>
    <w:rsid w:val="65316E3C"/>
    <w:rsid w:val="6AED5C1F"/>
    <w:rsid w:val="6F420807"/>
    <w:rsid w:val="70714B0F"/>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next w:val="9"/>
    <w:link w:val="34"/>
    <w:qFormat/>
    <w:uiPriority w:val="99"/>
    <w:pPr>
      <w:spacing w:after="120"/>
    </w:pPr>
    <w:rPr>
      <w:rFonts w:ascii="Times New Roman"/>
    </w:rPr>
  </w:style>
  <w:style w:type="paragraph" w:styleId="9">
    <w:name w:val="Body Text Indent"/>
    <w:basedOn w:val="1"/>
    <w:next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53</Pages>
  <Words>5764</Words>
  <Characters>6124</Characters>
  <Lines>138</Lines>
  <Paragraphs>39</Paragraphs>
  <TotalTime>7</TotalTime>
  <ScaleCrop>false</ScaleCrop>
  <LinksUpToDate>false</LinksUpToDate>
  <CharactersWithSpaces>6302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2026-04-12T05:22:35Z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