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E8B60">
      <w:pPr>
        <w:spacing w:line="360" w:lineRule="auto"/>
        <w:ind w:right="-26"/>
        <w:jc w:val="center"/>
        <w:rPr>
          <w:rFonts w:hAnsi="宋体" w:cs="宋体"/>
          <w:b/>
          <w:bCs/>
          <w:kern w:val="2"/>
          <w:sz w:val="48"/>
          <w:szCs w:val="48"/>
          <w:lang w:val="zh-CN"/>
        </w:rPr>
      </w:pPr>
    </w:p>
    <w:p w14:paraId="59930912">
      <w:pPr>
        <w:spacing w:line="360" w:lineRule="auto"/>
        <w:ind w:right="-26"/>
        <w:jc w:val="center"/>
        <w:rPr>
          <w:rFonts w:hAnsi="宋体" w:cs="宋体"/>
          <w:b/>
          <w:bCs/>
          <w:kern w:val="2"/>
          <w:sz w:val="48"/>
          <w:szCs w:val="48"/>
          <w:lang w:val="zh-CN"/>
        </w:rPr>
      </w:pPr>
    </w:p>
    <w:p w14:paraId="2F6AED34">
      <w:pPr>
        <w:spacing w:line="360" w:lineRule="auto"/>
        <w:ind w:right="-26"/>
        <w:jc w:val="center"/>
        <w:rPr>
          <w:rFonts w:hint="eastAsia" w:hAnsi="宋体" w:eastAsia="宋体" w:cs="宋体"/>
          <w:b/>
          <w:bCs/>
          <w:kern w:val="2"/>
          <w:sz w:val="48"/>
          <w:szCs w:val="48"/>
          <w:lang w:eastAsia="zh-CN"/>
        </w:rPr>
      </w:pPr>
      <w:r>
        <w:rPr>
          <w:rFonts w:hint="eastAsia" w:hAnsi="宋体" w:cs="宋体"/>
          <w:b/>
          <w:bCs/>
          <w:kern w:val="2"/>
          <w:sz w:val="48"/>
          <w:szCs w:val="48"/>
        </w:rPr>
        <w:t xml:space="preserve"> </w:t>
      </w:r>
      <w:r>
        <w:rPr>
          <w:rFonts w:hint="eastAsia" w:hAnsi="宋体" w:cs="宋体"/>
          <w:b/>
          <w:bCs/>
          <w:kern w:val="2"/>
          <w:sz w:val="48"/>
          <w:szCs w:val="48"/>
          <w:lang w:eastAsia="zh-CN"/>
        </w:rPr>
        <w:t>东莞市尚源环能科技有限公司试运行初期污泥运输服务单位采购项目</w:t>
      </w:r>
    </w:p>
    <w:p w14:paraId="56F7A678">
      <w:pPr>
        <w:spacing w:line="360" w:lineRule="auto"/>
        <w:ind w:right="-26"/>
        <w:jc w:val="center"/>
        <w:rPr>
          <w:rFonts w:hAnsi="宋体" w:cs="宋体"/>
          <w:b/>
          <w:bCs/>
          <w:kern w:val="2"/>
          <w:sz w:val="48"/>
          <w:szCs w:val="48"/>
        </w:rPr>
      </w:pPr>
    </w:p>
    <w:p w14:paraId="34153BB9">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询比文件</w:t>
      </w:r>
    </w:p>
    <w:p w14:paraId="3BB3707F">
      <w:pPr>
        <w:spacing w:line="360" w:lineRule="auto"/>
        <w:ind w:right="-26"/>
        <w:jc w:val="center"/>
        <w:rPr>
          <w:rFonts w:hAnsi="宋体" w:cs="宋体"/>
          <w:b/>
          <w:bCs/>
          <w:kern w:val="2"/>
          <w:sz w:val="48"/>
          <w:szCs w:val="48"/>
          <w:lang w:val="zh-CN"/>
        </w:rPr>
      </w:pPr>
    </w:p>
    <w:p w14:paraId="06AC5B4D">
      <w:pPr>
        <w:spacing w:line="360" w:lineRule="auto"/>
        <w:ind w:right="-26"/>
        <w:jc w:val="center"/>
        <w:rPr>
          <w:rFonts w:hAnsi="宋体" w:cs="宋体"/>
          <w:b/>
          <w:bCs/>
          <w:kern w:val="2"/>
          <w:sz w:val="48"/>
          <w:szCs w:val="48"/>
          <w:lang w:val="zh-CN"/>
        </w:rPr>
      </w:pPr>
    </w:p>
    <w:p w14:paraId="59C5DE36">
      <w:pPr>
        <w:spacing w:line="360" w:lineRule="auto"/>
        <w:ind w:right="-26"/>
        <w:jc w:val="center"/>
        <w:rPr>
          <w:rFonts w:hAnsi="宋体" w:cs="宋体"/>
          <w:b/>
          <w:bCs/>
          <w:kern w:val="2"/>
          <w:sz w:val="48"/>
          <w:szCs w:val="48"/>
          <w:lang w:val="zh-CN"/>
        </w:rPr>
      </w:pPr>
    </w:p>
    <w:p w14:paraId="7D34E284">
      <w:pPr>
        <w:spacing w:line="360" w:lineRule="auto"/>
        <w:ind w:right="-26"/>
        <w:jc w:val="center"/>
        <w:rPr>
          <w:rFonts w:hAnsi="宋体" w:cs="宋体"/>
          <w:b/>
          <w:bCs/>
          <w:kern w:val="2"/>
          <w:sz w:val="48"/>
          <w:szCs w:val="48"/>
          <w:lang w:val="zh-CN"/>
        </w:rPr>
      </w:pPr>
    </w:p>
    <w:p w14:paraId="423F9CD5">
      <w:pPr>
        <w:spacing w:line="360" w:lineRule="auto"/>
        <w:ind w:right="-26"/>
        <w:jc w:val="center"/>
        <w:rPr>
          <w:rFonts w:hAnsi="宋体" w:cs="宋体"/>
          <w:b/>
          <w:bCs/>
          <w:kern w:val="2"/>
          <w:sz w:val="48"/>
          <w:szCs w:val="48"/>
          <w:lang w:val="zh-CN"/>
        </w:rPr>
      </w:pPr>
    </w:p>
    <w:p w14:paraId="6A8F4F4F">
      <w:pPr>
        <w:spacing w:line="360" w:lineRule="auto"/>
        <w:ind w:right="-26"/>
        <w:jc w:val="center"/>
        <w:rPr>
          <w:rFonts w:hAnsi="宋体" w:cs="宋体"/>
          <w:b/>
          <w:bCs/>
          <w:kern w:val="2"/>
          <w:sz w:val="48"/>
          <w:szCs w:val="48"/>
          <w:lang w:val="zh-CN"/>
        </w:rPr>
      </w:pPr>
    </w:p>
    <w:p w14:paraId="7CFC8BC2">
      <w:pPr>
        <w:spacing w:line="360" w:lineRule="auto"/>
        <w:ind w:right="-26"/>
        <w:jc w:val="center"/>
        <w:rPr>
          <w:rFonts w:hAnsi="宋体" w:cs="宋体"/>
          <w:b/>
          <w:bCs/>
          <w:kern w:val="2"/>
          <w:sz w:val="48"/>
          <w:szCs w:val="48"/>
          <w:lang w:val="zh-CN"/>
        </w:rPr>
      </w:pPr>
    </w:p>
    <w:p w14:paraId="3A43E7D5">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4306DEBE">
      <w:pPr>
        <w:spacing w:after="156" w:line="360" w:lineRule="auto"/>
        <w:jc w:val="center"/>
        <w:rPr>
          <w:rFonts w:hAnsi="宋体" w:cs="宋体"/>
          <w:b/>
          <w:bCs/>
          <w:kern w:val="2"/>
          <w:sz w:val="32"/>
          <w:szCs w:val="32"/>
          <w:lang w:val="zh-CN"/>
        </w:rPr>
        <w:sectPr>
          <w:footerReference r:id="rId3" w:type="default"/>
          <w:pgSz w:w="12240" w:h="15840"/>
          <w:pgMar w:top="1191" w:right="1117" w:bottom="1191" w:left="1043" w:header="720" w:footer="720" w:gutter="0"/>
          <w:cols w:space="0" w:num="1"/>
          <w:rtlGutter w:val="0"/>
          <w:docGrid w:linePitch="332" w:charSpace="0"/>
        </w:sectPr>
      </w:pPr>
      <w:r>
        <w:rPr>
          <w:rFonts w:hint="eastAsia" w:hAnsi="宋体" w:cs="宋体"/>
          <w:b/>
          <w:bCs/>
          <w:kern w:val="2"/>
          <w:sz w:val="32"/>
          <w:szCs w:val="32"/>
          <w:lang w:val="zh-CN"/>
        </w:rPr>
        <w:t>202</w:t>
      </w:r>
      <w:r>
        <w:rPr>
          <w:rFonts w:hAnsi="宋体" w:cs="宋体"/>
          <w:b/>
          <w:bCs/>
          <w:kern w:val="2"/>
          <w:sz w:val="32"/>
          <w:szCs w:val="32"/>
          <w:lang w:val="zh-CN"/>
        </w:rPr>
        <w:t>6</w:t>
      </w:r>
      <w:r>
        <w:rPr>
          <w:rFonts w:hint="eastAsia" w:hAnsi="宋体" w:cs="宋体"/>
          <w:b/>
          <w:bCs/>
          <w:kern w:val="2"/>
          <w:sz w:val="32"/>
          <w:szCs w:val="32"/>
          <w:lang w:val="zh-CN"/>
        </w:rPr>
        <w:t>年</w:t>
      </w:r>
      <w:r>
        <w:rPr>
          <w:rFonts w:hint="eastAsia" w:hAnsi="宋体" w:cs="宋体"/>
          <w:b/>
          <w:bCs/>
          <w:color w:val="000000" w:themeColor="text1"/>
          <w:kern w:val="2"/>
          <w:sz w:val="32"/>
          <w:szCs w:val="32"/>
          <w:lang w:val="en-US" w:eastAsia="zh-CN"/>
          <w14:textFill>
            <w14:solidFill>
              <w14:schemeClr w14:val="tx1"/>
            </w14:solidFill>
          </w14:textFill>
        </w:rPr>
        <w:t>4</w:t>
      </w:r>
      <w:r>
        <w:rPr>
          <w:rFonts w:hint="eastAsia" w:hAnsi="宋体" w:cs="宋体"/>
          <w:b/>
          <w:bCs/>
          <w:kern w:val="2"/>
          <w:sz w:val="32"/>
          <w:szCs w:val="32"/>
          <w:lang w:val="zh-CN"/>
        </w:rPr>
        <w:t>月</w:t>
      </w:r>
      <w:r>
        <w:rPr>
          <w:rFonts w:hint="eastAsia" w:hAnsi="宋体" w:cs="宋体"/>
          <w:b/>
          <w:bCs/>
          <w:color w:val="000000" w:themeColor="text1"/>
          <w:kern w:val="2"/>
          <w:sz w:val="32"/>
          <w:szCs w:val="32"/>
          <w:lang w:val="en-US" w:eastAsia="zh-CN"/>
          <w14:textFill>
            <w14:solidFill>
              <w14:schemeClr w14:val="tx1"/>
            </w14:solidFill>
          </w14:textFill>
        </w:rPr>
        <w:t>9</w:t>
      </w:r>
      <w:r>
        <w:rPr>
          <w:rFonts w:hint="eastAsia" w:hAnsi="宋体" w:cs="宋体"/>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eastAsia" w:ascii="宋体" w:hAnsi="宋体" w:eastAsia="宋体" w:cs="宋体"/>
          <w:b/>
          <w:bCs/>
          <w:color w:val="auto"/>
          <w:sz w:val="24"/>
          <w:szCs w:val="24"/>
          <w:lang w:val="zh-CN"/>
        </w:rPr>
      </w:sdtEndPr>
      <w:sdtContent>
        <w:p w14:paraId="523DD224">
          <w:pPr>
            <w:pStyle w:val="32"/>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10259AD3">
          <w:pPr>
            <w:pStyle w:val="17"/>
            <w:tabs>
              <w:tab w:val="right" w:leader="dot" w:pos="8300"/>
              <w:tab w:val="clear" w:pos="8296"/>
            </w:tabs>
            <w:jc w:val="center"/>
          </w:pPr>
          <w:r>
            <w:rPr>
              <w:rFonts w:hint="eastAsia" w:hAnsi="宋体" w:cs="宋体"/>
              <w:sz w:val="40"/>
              <w:szCs w:val="40"/>
            </w:rPr>
            <w:fldChar w:fldCharType="begin"/>
          </w:r>
          <w:r>
            <w:rPr>
              <w:rFonts w:hint="eastAsia" w:hAnsi="宋体" w:cs="宋体"/>
              <w:sz w:val="40"/>
              <w:szCs w:val="40"/>
            </w:rPr>
            <w:instrText xml:space="preserve"> TOC \o "1-3" \h \z \u </w:instrText>
          </w:r>
          <w:r>
            <w:rPr>
              <w:rFonts w:hint="eastAsia" w:hAnsi="宋体" w:cs="宋体"/>
              <w:sz w:val="40"/>
              <w:szCs w:val="40"/>
            </w:rPr>
            <w:fldChar w:fldCharType="separate"/>
          </w:r>
          <w:r>
            <w:rPr>
              <w:rFonts w:hint="eastAsia" w:hAnsi="宋体" w:cs="宋体"/>
              <w:szCs w:val="40"/>
            </w:rPr>
            <w:fldChar w:fldCharType="begin"/>
          </w:r>
          <w:r>
            <w:rPr>
              <w:rFonts w:hint="eastAsia" w:hAnsi="宋体" w:cs="宋体"/>
              <w:szCs w:val="40"/>
            </w:rPr>
            <w:instrText xml:space="preserve"> HYPERLINK \l _Toc26867 </w:instrText>
          </w:r>
          <w:r>
            <w:rPr>
              <w:rFonts w:hint="eastAsia" w:hAnsi="宋体" w:cs="宋体"/>
              <w:szCs w:val="40"/>
            </w:rPr>
            <w:fldChar w:fldCharType="separate"/>
          </w:r>
          <w:r>
            <w:rPr>
              <w:rFonts w:hint="eastAsia" w:hAnsi="宋体" w:cs="宋体"/>
              <w:szCs w:val="32"/>
            </w:rPr>
            <w:t>第一章 询比公告</w:t>
          </w:r>
          <w:r>
            <w:tab/>
          </w:r>
          <w:r>
            <w:fldChar w:fldCharType="begin"/>
          </w:r>
          <w:r>
            <w:instrText xml:space="preserve"> PAGEREF _Toc26867 \h </w:instrText>
          </w:r>
          <w:r>
            <w:fldChar w:fldCharType="separate"/>
          </w:r>
          <w:r>
            <w:t>3</w:t>
          </w:r>
          <w:r>
            <w:fldChar w:fldCharType="end"/>
          </w:r>
          <w:r>
            <w:rPr>
              <w:rFonts w:hint="eastAsia" w:hAnsi="宋体" w:cs="宋体"/>
              <w:szCs w:val="40"/>
            </w:rPr>
            <w:fldChar w:fldCharType="end"/>
          </w:r>
        </w:p>
        <w:p w14:paraId="7CF8A3B8">
          <w:pPr>
            <w:pStyle w:val="17"/>
            <w:tabs>
              <w:tab w:val="right" w:leader="dot" w:pos="8300"/>
              <w:tab w:val="clear" w:pos="8296"/>
            </w:tabs>
            <w:jc w:val="center"/>
          </w:pPr>
          <w:r>
            <w:rPr>
              <w:rFonts w:hint="eastAsia" w:hAnsi="宋体" w:cs="宋体"/>
              <w:szCs w:val="40"/>
              <w:lang w:val="zh-CN"/>
            </w:rPr>
            <w:fldChar w:fldCharType="begin"/>
          </w:r>
          <w:r>
            <w:rPr>
              <w:rFonts w:hint="eastAsia" w:hAnsi="宋体" w:cs="宋体"/>
              <w:szCs w:val="40"/>
              <w:lang w:val="zh-CN"/>
            </w:rPr>
            <w:instrText xml:space="preserve"> HYPERLINK \l _Toc12580 </w:instrText>
          </w:r>
          <w:r>
            <w:rPr>
              <w:rFonts w:hint="eastAsia" w:hAnsi="宋体" w:cs="宋体"/>
              <w:szCs w:val="40"/>
              <w:lang w:val="zh-CN"/>
            </w:rPr>
            <w:fldChar w:fldCharType="separate"/>
          </w:r>
          <w:r>
            <w:rPr>
              <w:rFonts w:hint="eastAsia" w:hAnsi="宋体" w:cs="宋体"/>
              <w:szCs w:val="32"/>
            </w:rPr>
            <w:t>第二章 用户需求</w:t>
          </w:r>
          <w:r>
            <w:tab/>
          </w:r>
          <w:r>
            <w:fldChar w:fldCharType="begin"/>
          </w:r>
          <w:r>
            <w:instrText xml:space="preserve"> PAGEREF _Toc12580 \h </w:instrText>
          </w:r>
          <w:r>
            <w:fldChar w:fldCharType="separate"/>
          </w:r>
          <w:r>
            <w:t>4</w:t>
          </w:r>
          <w:r>
            <w:fldChar w:fldCharType="end"/>
          </w:r>
          <w:r>
            <w:rPr>
              <w:rFonts w:hint="eastAsia" w:hAnsi="宋体" w:cs="宋体"/>
              <w:szCs w:val="40"/>
              <w:lang w:val="zh-CN"/>
            </w:rPr>
            <w:fldChar w:fldCharType="end"/>
          </w:r>
        </w:p>
        <w:p w14:paraId="10C34E18">
          <w:pPr>
            <w:pStyle w:val="17"/>
            <w:tabs>
              <w:tab w:val="right" w:leader="dot" w:pos="8300"/>
              <w:tab w:val="clear" w:pos="8296"/>
            </w:tabs>
            <w:jc w:val="center"/>
          </w:pPr>
          <w:r>
            <w:rPr>
              <w:rFonts w:hint="eastAsia" w:hAnsi="宋体" w:cs="宋体"/>
              <w:szCs w:val="40"/>
              <w:lang w:val="zh-CN"/>
            </w:rPr>
            <w:fldChar w:fldCharType="begin"/>
          </w:r>
          <w:r>
            <w:rPr>
              <w:rFonts w:hint="eastAsia" w:hAnsi="宋体" w:cs="宋体"/>
              <w:szCs w:val="40"/>
              <w:lang w:val="zh-CN"/>
            </w:rPr>
            <w:instrText xml:space="preserve"> HYPERLINK \l _Toc12163 </w:instrText>
          </w:r>
          <w:r>
            <w:rPr>
              <w:rFonts w:hint="eastAsia" w:hAnsi="宋体" w:cs="宋体"/>
              <w:szCs w:val="40"/>
              <w:lang w:val="zh-CN"/>
            </w:rPr>
            <w:fldChar w:fldCharType="separate"/>
          </w:r>
          <w:r>
            <w:rPr>
              <w:rFonts w:hint="eastAsia" w:hAnsi="宋体" w:cs="宋体"/>
              <w:szCs w:val="32"/>
            </w:rPr>
            <w:t>第三章 合同条款</w:t>
          </w:r>
          <w:r>
            <w:tab/>
          </w:r>
          <w:r>
            <w:fldChar w:fldCharType="begin"/>
          </w:r>
          <w:r>
            <w:instrText xml:space="preserve"> PAGEREF _Toc12163 \h </w:instrText>
          </w:r>
          <w:r>
            <w:fldChar w:fldCharType="separate"/>
          </w:r>
          <w:r>
            <w:t>17</w:t>
          </w:r>
          <w:r>
            <w:fldChar w:fldCharType="end"/>
          </w:r>
          <w:r>
            <w:rPr>
              <w:rFonts w:hint="eastAsia" w:hAnsi="宋体" w:cs="宋体"/>
              <w:szCs w:val="40"/>
              <w:lang w:val="zh-CN"/>
            </w:rPr>
            <w:fldChar w:fldCharType="end"/>
          </w:r>
        </w:p>
        <w:p w14:paraId="771B10B1">
          <w:pPr>
            <w:pStyle w:val="17"/>
            <w:tabs>
              <w:tab w:val="right" w:leader="dot" w:pos="8300"/>
              <w:tab w:val="clear" w:pos="8296"/>
            </w:tabs>
            <w:jc w:val="center"/>
          </w:pPr>
          <w:r>
            <w:rPr>
              <w:rFonts w:hint="eastAsia" w:hAnsi="宋体" w:cs="宋体"/>
              <w:szCs w:val="40"/>
              <w:lang w:val="zh-CN"/>
            </w:rPr>
            <w:fldChar w:fldCharType="begin"/>
          </w:r>
          <w:r>
            <w:rPr>
              <w:rFonts w:hint="eastAsia" w:hAnsi="宋体" w:cs="宋体"/>
              <w:szCs w:val="40"/>
              <w:lang w:val="zh-CN"/>
            </w:rPr>
            <w:instrText xml:space="preserve"> HYPERLINK \l _Toc31294 </w:instrText>
          </w:r>
          <w:r>
            <w:rPr>
              <w:rFonts w:hint="eastAsia" w:hAnsi="宋体" w:cs="宋体"/>
              <w:szCs w:val="40"/>
              <w:lang w:val="zh-CN"/>
            </w:rPr>
            <w:fldChar w:fldCharType="separate"/>
          </w:r>
          <w:r>
            <w:rPr>
              <w:rFonts w:hint="eastAsia" w:hAnsi="宋体" w:cs="宋体"/>
              <w:szCs w:val="32"/>
            </w:rPr>
            <w:t xml:space="preserve">第四章 </w:t>
          </w:r>
          <w:r>
            <w:rPr>
              <w:rFonts w:hint="eastAsia" w:hAnsi="宋体" w:cs="宋体"/>
              <w:szCs w:val="32"/>
              <w:lang w:val="en-US" w:eastAsia="zh-CN"/>
            </w:rPr>
            <w:t>响应</w:t>
          </w:r>
          <w:r>
            <w:rPr>
              <w:rFonts w:hint="eastAsia" w:hAnsi="宋体" w:cs="宋体"/>
              <w:szCs w:val="32"/>
            </w:rPr>
            <w:t>须知</w:t>
          </w:r>
          <w:r>
            <w:tab/>
          </w:r>
          <w:r>
            <w:fldChar w:fldCharType="begin"/>
          </w:r>
          <w:r>
            <w:instrText xml:space="preserve"> PAGEREF _Toc31294 \h </w:instrText>
          </w:r>
          <w:r>
            <w:fldChar w:fldCharType="separate"/>
          </w:r>
          <w:r>
            <w:t>31</w:t>
          </w:r>
          <w:r>
            <w:fldChar w:fldCharType="end"/>
          </w:r>
          <w:r>
            <w:rPr>
              <w:rFonts w:hint="eastAsia" w:hAnsi="宋体" w:cs="宋体"/>
              <w:szCs w:val="40"/>
              <w:lang w:val="zh-CN"/>
            </w:rPr>
            <w:fldChar w:fldCharType="end"/>
          </w:r>
        </w:p>
        <w:p w14:paraId="43827230">
          <w:pPr>
            <w:pStyle w:val="17"/>
            <w:tabs>
              <w:tab w:val="right" w:leader="dot" w:pos="8300"/>
              <w:tab w:val="clear" w:pos="8296"/>
            </w:tabs>
            <w:jc w:val="center"/>
          </w:pPr>
          <w:r>
            <w:rPr>
              <w:rFonts w:hint="eastAsia" w:hAnsi="宋体" w:cs="宋体"/>
              <w:szCs w:val="40"/>
              <w:lang w:val="zh-CN"/>
            </w:rPr>
            <w:fldChar w:fldCharType="begin"/>
          </w:r>
          <w:r>
            <w:rPr>
              <w:rFonts w:hint="eastAsia" w:hAnsi="宋体" w:cs="宋体"/>
              <w:szCs w:val="40"/>
              <w:lang w:val="zh-CN"/>
            </w:rPr>
            <w:instrText xml:space="preserve"> HYPERLINK \l _Toc10359 </w:instrText>
          </w:r>
          <w:r>
            <w:rPr>
              <w:rFonts w:hint="eastAsia" w:hAnsi="宋体" w:cs="宋体"/>
              <w:szCs w:val="40"/>
              <w:lang w:val="zh-CN"/>
            </w:rPr>
            <w:fldChar w:fldCharType="separate"/>
          </w:r>
          <w:r>
            <w:rPr>
              <w:rFonts w:hint="eastAsia" w:hAnsi="宋体" w:cs="宋体"/>
              <w:szCs w:val="32"/>
            </w:rPr>
            <w:t>第五章 响应文件格式</w:t>
          </w:r>
          <w:r>
            <w:tab/>
          </w:r>
          <w:r>
            <w:fldChar w:fldCharType="begin"/>
          </w:r>
          <w:r>
            <w:instrText xml:space="preserve"> PAGEREF _Toc10359 \h </w:instrText>
          </w:r>
          <w:r>
            <w:fldChar w:fldCharType="separate"/>
          </w:r>
          <w:r>
            <w:t>38</w:t>
          </w:r>
          <w:r>
            <w:fldChar w:fldCharType="end"/>
          </w:r>
          <w:r>
            <w:rPr>
              <w:rFonts w:hint="eastAsia" w:hAnsi="宋体" w:cs="宋体"/>
              <w:szCs w:val="40"/>
              <w:lang w:val="zh-CN"/>
            </w:rPr>
            <w:fldChar w:fldCharType="end"/>
          </w:r>
        </w:p>
        <w:p w14:paraId="47774339">
          <w:pPr>
            <w:spacing w:line="360" w:lineRule="auto"/>
            <w:jc w:val="center"/>
            <w:rPr>
              <w:rFonts w:hAnsi="宋体" w:cs="宋体"/>
              <w:sz w:val="32"/>
              <w:szCs w:val="32"/>
            </w:rPr>
            <w:sectPr>
              <w:pgSz w:w="12240" w:h="15840"/>
              <w:pgMar w:top="1191" w:right="1117" w:bottom="1191" w:left="1043" w:header="720" w:footer="720" w:gutter="0"/>
              <w:cols w:space="0" w:num="1"/>
              <w:rtlGutter w:val="0"/>
              <w:docGrid w:linePitch="332" w:charSpace="0"/>
            </w:sectPr>
          </w:pPr>
          <w:r>
            <w:rPr>
              <w:rFonts w:hint="eastAsia" w:hAnsi="宋体" w:cs="宋体"/>
              <w:szCs w:val="40"/>
              <w:lang w:val="zh-CN"/>
            </w:rPr>
            <w:fldChar w:fldCharType="end"/>
          </w:r>
        </w:p>
      </w:sdtContent>
    </w:sdt>
    <w:p w14:paraId="20B68C34">
      <w:pPr>
        <w:pStyle w:val="2"/>
        <w:spacing w:before="0" w:after="0"/>
        <w:jc w:val="center"/>
        <w:rPr>
          <w:rFonts w:hAnsi="宋体" w:cs="宋体"/>
          <w:b w:val="0"/>
          <w:bCs w:val="0"/>
          <w:szCs w:val="32"/>
        </w:rPr>
      </w:pPr>
      <w:bookmarkStart w:id="1" w:name="_Toc29476690"/>
      <w:bookmarkStart w:id="2" w:name="_Toc26867"/>
      <w:r>
        <w:rPr>
          <w:rFonts w:hint="eastAsia" w:hAnsi="宋体" w:cs="宋体"/>
          <w:szCs w:val="32"/>
        </w:rPr>
        <w:t>第一章 询比</w:t>
      </w:r>
      <w:bookmarkEnd w:id="1"/>
      <w:r>
        <w:rPr>
          <w:rFonts w:hint="eastAsia" w:hAnsi="宋体" w:cs="宋体"/>
          <w:szCs w:val="32"/>
        </w:rPr>
        <w:t>公告</w:t>
      </w:r>
      <w:bookmarkEnd w:id="2"/>
    </w:p>
    <w:p w14:paraId="2DF494F3">
      <w:pPr>
        <w:keepNext w:val="0"/>
        <w:keepLines w:val="0"/>
        <w:pageBreakBefore w:val="0"/>
        <w:widowControl w:val="0"/>
        <w:kinsoku/>
        <w:wordWrap/>
        <w:overflowPunct/>
        <w:topLinePunct w:val="0"/>
        <w:autoSpaceDE w:val="0"/>
        <w:autoSpaceDN w:val="0"/>
        <w:bidi w:val="0"/>
        <w:snapToGrid/>
        <w:spacing w:line="400" w:lineRule="exact"/>
        <w:textAlignment w:val="auto"/>
        <w:rPr>
          <w:rFonts w:hAnsi="宋体" w:cs="宋体"/>
        </w:rPr>
      </w:pPr>
      <w:r>
        <w:rPr>
          <w:rFonts w:hint="eastAsia" w:hAnsi="宋体" w:cs="宋体"/>
        </w:rPr>
        <w:t>各供应商：</w:t>
      </w:r>
    </w:p>
    <w:p w14:paraId="06D33500">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东莞市尚源环能科技有限公司试运行初期污泥运输服务单位采购项目</w:t>
      </w:r>
      <w:r>
        <w:rPr>
          <w:rFonts w:hint="eastAsia" w:hAnsi="宋体" w:cs="宋体"/>
          <w:u w:val="single"/>
        </w:rPr>
        <w:t>”</w:t>
      </w:r>
      <w:r>
        <w:rPr>
          <w:rFonts w:hint="eastAsia" w:hAnsi="宋体" w:cs="宋体"/>
        </w:rPr>
        <w:t>正式开展，现邀请符合条件的供应商进行询比。具体采购信息如下：</w:t>
      </w:r>
    </w:p>
    <w:p w14:paraId="69BE1902">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hint="eastAsia" w:hAnsi="宋体" w:cs="宋体"/>
        </w:rPr>
        <w:t>一、采购编号：</w:t>
      </w:r>
      <w:r>
        <w:rPr>
          <w:rFonts w:hint="eastAsia" w:ascii="Times New Roman"/>
        </w:rPr>
        <w:t>JS-2026-040</w:t>
      </w:r>
    </w:p>
    <w:p w14:paraId="7A07B9C4">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hint="eastAsia" w:ascii="Times New Roman" w:eastAsia="宋体"/>
          <w:lang w:eastAsia="zh-CN"/>
        </w:rPr>
      </w:pPr>
      <w:r>
        <w:rPr>
          <w:rFonts w:ascii="Times New Roman"/>
        </w:rPr>
        <w:t>二、采购项目名称：</w:t>
      </w:r>
      <w:r>
        <w:rPr>
          <w:rFonts w:hint="eastAsia" w:ascii="Times New Roman"/>
          <w:u w:val="single"/>
          <w:lang w:eastAsia="zh-CN"/>
        </w:rPr>
        <w:t>东莞市尚源环能科技有限公司试运行初期污泥运输服务单位采购项目</w:t>
      </w:r>
    </w:p>
    <w:p w14:paraId="31D577C3">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三、采购</w:t>
      </w:r>
      <w:r>
        <w:rPr>
          <w:rFonts w:hint="eastAsia" w:ascii="Times New Roman"/>
        </w:rPr>
        <w:t>限价</w:t>
      </w:r>
      <w:r>
        <w:rPr>
          <w:rFonts w:ascii="Times New Roman"/>
        </w:rPr>
        <w:t>：</w:t>
      </w:r>
      <w:r>
        <w:rPr>
          <w:rFonts w:hint="eastAsia" w:ascii="Times New Roman" w:hAnsi="Times New Roman" w:cs="宋体"/>
          <w:color w:val="auto"/>
          <w:highlight w:val="none"/>
          <w:u w:val="single"/>
          <w:lang w:val="en-US" w:eastAsia="zh-CN"/>
        </w:rPr>
        <w:t>不含税</w:t>
      </w:r>
      <w:r>
        <w:rPr>
          <w:rFonts w:hint="eastAsia" w:ascii="Times New Roman" w:hAnsi="Times New Roman" w:eastAsia="宋体" w:cs="宋体"/>
          <w:color w:val="auto"/>
          <w:highlight w:val="none"/>
          <w:u w:val="single"/>
          <w:lang w:val="en-US" w:eastAsia="zh-CN"/>
        </w:rPr>
        <w:t>最高限价为0.885元/(吨·公里)</w:t>
      </w:r>
      <w:r>
        <w:rPr>
          <w:rFonts w:ascii="Times New Roman"/>
        </w:rPr>
        <w:t>。</w:t>
      </w:r>
    </w:p>
    <w:p w14:paraId="5E8D6DC7">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四、采购内容：</w:t>
      </w:r>
      <w:r>
        <w:rPr>
          <w:rFonts w:hint="eastAsia" w:ascii="Times New Roman"/>
          <w:u w:val="single"/>
          <w:lang w:eastAsia="zh-CN"/>
        </w:rPr>
        <w:t>污泥运输</w:t>
      </w:r>
      <w:r>
        <w:rPr>
          <w:rFonts w:ascii="Times New Roman"/>
          <w:u w:val="single"/>
        </w:rPr>
        <w:t>服务</w:t>
      </w:r>
      <w:r>
        <w:rPr>
          <w:rFonts w:ascii="Times New Roman"/>
        </w:rPr>
        <w:t>（具体详见用户需求书）</w:t>
      </w:r>
    </w:p>
    <w:p w14:paraId="372CF354">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五、资格要求：</w:t>
      </w:r>
    </w:p>
    <w:p w14:paraId="302F9246">
      <w:pPr>
        <w:keepNext w:val="0"/>
        <w:keepLines w:val="0"/>
        <w:pageBreakBefore w:val="0"/>
        <w:widowControl w:val="0"/>
        <w:kinsoku/>
        <w:wordWrap/>
        <w:overflowPunct/>
        <w:topLinePunct w:val="0"/>
        <w:autoSpaceDE w:val="0"/>
        <w:autoSpaceDN w:val="0"/>
        <w:bidi w:val="0"/>
        <w:snapToGrid/>
        <w:spacing w:line="400" w:lineRule="exact"/>
        <w:ind w:firstLine="424" w:firstLineChars="177"/>
        <w:textAlignment w:val="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r>
        <w:rPr>
          <w:rFonts w:hint="eastAsia" w:ascii="Times New Roman"/>
          <w:color w:val="000000" w:themeColor="text1"/>
          <w:lang w:val="en-US" w:eastAsia="zh-CN"/>
          <w14:textFill>
            <w14:solidFill>
              <w14:schemeClr w14:val="tx1"/>
            </w14:solidFill>
          </w14:textFill>
        </w:rPr>
        <w:t>供应商</w:t>
      </w:r>
      <w:r>
        <w:rPr>
          <w:rFonts w:hint="eastAsia" w:hAnsi="宋体" w:cs="宋体"/>
        </w:rPr>
        <w:t>在中华人民共和国境内登记注册的、合法存续、正常经营且具有独立承担民事责任能力的法人或其他组织</w:t>
      </w:r>
      <w:r>
        <w:rPr>
          <w:rFonts w:ascii="Times New Roman"/>
          <w:color w:val="000000" w:themeColor="text1"/>
          <w14:textFill>
            <w14:solidFill>
              <w14:schemeClr w14:val="tx1"/>
            </w14:solidFill>
          </w14:textFill>
        </w:rPr>
        <w:t>。</w:t>
      </w:r>
    </w:p>
    <w:p w14:paraId="5BBECD48">
      <w:pPr>
        <w:keepNext w:val="0"/>
        <w:keepLines w:val="0"/>
        <w:pageBreakBefore w:val="0"/>
        <w:widowControl w:val="0"/>
        <w:kinsoku/>
        <w:wordWrap/>
        <w:overflowPunct/>
        <w:topLinePunct w:val="0"/>
        <w:autoSpaceDE w:val="0"/>
        <w:autoSpaceDN w:val="0"/>
        <w:bidi w:val="0"/>
        <w:snapToGrid/>
        <w:spacing w:line="400" w:lineRule="exact"/>
        <w:ind w:firstLine="424" w:firstLineChars="177"/>
        <w:textAlignment w:val="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r>
        <w:rPr>
          <w:rFonts w:hint="eastAsia" w:ascii="Times New Roman"/>
          <w:color w:val="000000" w:themeColor="text1"/>
          <w:lang w:val="en-US" w:eastAsia="zh-CN"/>
          <w14:textFill>
            <w14:solidFill>
              <w14:schemeClr w14:val="tx1"/>
            </w14:solidFill>
          </w14:textFill>
        </w:rPr>
        <w:t>供应商</w:t>
      </w:r>
      <w:r>
        <w:rPr>
          <w:rFonts w:hint="eastAsia" w:ascii="Times New Roman"/>
          <w:color w:val="000000" w:themeColor="text1"/>
          <w14:textFill>
            <w14:solidFill>
              <w14:schemeClr w14:val="tx1"/>
            </w14:solidFill>
          </w14:textFill>
        </w:rPr>
        <w:t>自2023年1月1日以来，至少具备一份运输服务项目业绩（合同签订日期为2023年1月1日或以后）</w:t>
      </w:r>
      <w:r>
        <w:rPr>
          <w:rFonts w:hint="eastAsia" w:hAnsi="宋体" w:cs="宋体"/>
          <w:color w:val="000000" w:themeColor="text1"/>
          <w14:textFill>
            <w14:solidFill>
              <w14:schemeClr w14:val="tx1"/>
            </w14:solidFill>
          </w14:textFill>
        </w:rPr>
        <w:t>。</w:t>
      </w:r>
    </w:p>
    <w:p w14:paraId="58FE37B1">
      <w:pPr>
        <w:keepNext w:val="0"/>
        <w:keepLines w:val="0"/>
        <w:pageBreakBefore w:val="0"/>
        <w:widowControl w:val="0"/>
        <w:kinsoku/>
        <w:wordWrap/>
        <w:overflowPunct/>
        <w:topLinePunct w:val="0"/>
        <w:autoSpaceDE w:val="0"/>
        <w:autoSpaceDN w:val="0"/>
        <w:bidi w:val="0"/>
        <w:snapToGrid/>
        <w:spacing w:line="400" w:lineRule="exact"/>
        <w:ind w:firstLine="424" w:firstLineChars="177"/>
        <w:textAlignment w:val="auto"/>
        <w:rPr>
          <w:rFonts w:hAnsi="宋体" w:cs="宋体"/>
        </w:rPr>
      </w:pPr>
      <w:r>
        <w:rPr>
          <w:rFonts w:ascii="Times New Roman"/>
          <w:color w:val="000000" w:themeColor="text1"/>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供应商</w:t>
      </w:r>
      <w:r>
        <w:rPr>
          <w:rFonts w:hint="eastAsia" w:ascii="Times New Roman"/>
          <w:color w:val="000000" w:themeColor="text1"/>
          <w14:textFill>
            <w14:solidFill>
              <w14:schemeClr w14:val="tx1"/>
            </w14:solidFill>
          </w14:textFill>
        </w:rPr>
        <w:t>未被列入“信用中国”网站（www.creditchina.gov.cn）失信被执行人、重大税收违法失信主体</w:t>
      </w:r>
      <w:r>
        <w:rPr>
          <w:rFonts w:hint="eastAsia" w:hAnsi="宋体" w:cs="宋体"/>
        </w:rPr>
        <w:t>、政府采购严重违法失信行为记录名单（处罚期限届满的除外）。</w:t>
      </w:r>
    </w:p>
    <w:p w14:paraId="6192BB5D">
      <w:pPr>
        <w:keepNext w:val="0"/>
        <w:keepLines w:val="0"/>
        <w:pageBreakBefore w:val="0"/>
        <w:widowControl w:val="0"/>
        <w:kinsoku/>
        <w:wordWrap/>
        <w:overflowPunct/>
        <w:topLinePunct w:val="0"/>
        <w:autoSpaceDE w:val="0"/>
        <w:autoSpaceDN w:val="0"/>
        <w:bidi w:val="0"/>
        <w:snapToGrid/>
        <w:spacing w:line="400" w:lineRule="exact"/>
        <w:ind w:firstLine="424" w:firstLineChars="177"/>
        <w:textAlignment w:val="auto"/>
        <w:rPr>
          <w:rFonts w:hAnsi="宋体" w:cs="宋体"/>
        </w:rPr>
      </w:pPr>
      <w:r>
        <w:rPr>
          <w:rFonts w:hint="eastAsia" w:hAnsi="宋体" w:cs="宋体"/>
        </w:rPr>
        <w:t>4</w:t>
      </w:r>
      <w:r>
        <w:rPr>
          <w:rFonts w:hAnsi="宋体" w:cs="宋体"/>
        </w:rPr>
        <w:t>.</w:t>
      </w:r>
      <w:r>
        <w:rPr>
          <w:rFonts w:hint="eastAsia" w:hAnsi="宋体" w:cs="宋体"/>
        </w:rPr>
        <w:t>本项目不接受联合体</w:t>
      </w:r>
      <w:r>
        <w:rPr>
          <w:rFonts w:hint="eastAsia" w:hAnsi="宋体" w:cs="宋体"/>
          <w:lang w:val="en-US" w:eastAsia="zh-CN"/>
        </w:rPr>
        <w:t>响应</w:t>
      </w:r>
      <w:r>
        <w:rPr>
          <w:rFonts w:hint="eastAsia" w:hAnsi="宋体" w:cs="宋体"/>
        </w:rPr>
        <w:t>。</w:t>
      </w:r>
    </w:p>
    <w:p w14:paraId="2CDAEEB0">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六、成交原则：</w:t>
      </w:r>
      <w:r>
        <w:rPr>
          <w:rFonts w:ascii="Times New Roman"/>
          <w:b/>
        </w:rPr>
        <w:t>从实质性满足采购需求的供应商中，按照综合评分法，以综合得分最高者确定为成交供应商。</w:t>
      </w:r>
    </w:p>
    <w:p w14:paraId="112F92D6">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七、响应文件递交截止时间：</w:t>
      </w:r>
      <w:bookmarkStart w:id="3" w:name="_Hlk27138379"/>
      <w:r>
        <w:rPr>
          <w:rFonts w:ascii="Times New Roman"/>
        </w:rPr>
        <w:t>2026年4月</w:t>
      </w:r>
      <w:r>
        <w:rPr>
          <w:rFonts w:hint="eastAsia" w:ascii="Times New Roman"/>
          <w:lang w:val="en-US" w:eastAsia="zh-CN"/>
        </w:rPr>
        <w:t>15</w:t>
      </w:r>
      <w:r>
        <w:rPr>
          <w:rFonts w:ascii="Times New Roman"/>
        </w:rPr>
        <w:t>日14时30分</w:t>
      </w:r>
      <w:bookmarkEnd w:id="3"/>
      <w:r>
        <w:rPr>
          <w:rFonts w:ascii="Times New Roman"/>
        </w:rPr>
        <w:t>。</w:t>
      </w:r>
    </w:p>
    <w:p w14:paraId="44332A28">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八、响应文件递交地点：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bookmarkStart w:id="55" w:name="_GoBack"/>
      <w:bookmarkEnd w:id="55"/>
    </w:p>
    <w:p w14:paraId="3C1CA635">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九、响应文件开封时间：2026年4月</w:t>
      </w:r>
      <w:r>
        <w:rPr>
          <w:rFonts w:hint="eastAsia" w:ascii="Times New Roman"/>
          <w:lang w:val="en-US" w:eastAsia="zh-CN"/>
        </w:rPr>
        <w:t>15</w:t>
      </w:r>
      <w:r>
        <w:rPr>
          <w:rFonts w:ascii="Times New Roman"/>
        </w:rPr>
        <w:t>日14时30分。</w:t>
      </w:r>
    </w:p>
    <w:p w14:paraId="4EAC4CD9">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十、开封地点：</w:t>
      </w:r>
      <w:r>
        <w:rPr>
          <w:rFonts w:hint="eastAsia" w:hAnsi="宋体" w:cs="宋体"/>
        </w:rPr>
        <w:t>东莞市水务环境投资控股集团净水有限公司</w:t>
      </w:r>
      <w:r>
        <w:rPr>
          <w:rFonts w:hAnsi="宋体" w:cs="宋体"/>
        </w:rPr>
        <w:t>10</w:t>
      </w:r>
      <w:r>
        <w:rPr>
          <w:rFonts w:hint="eastAsia" w:hAnsi="宋体" w:cs="宋体"/>
        </w:rPr>
        <w:t>楼开标室</w:t>
      </w:r>
      <w:r>
        <w:rPr>
          <w:rFonts w:ascii="Times New Roman"/>
        </w:rPr>
        <w:t>。</w:t>
      </w:r>
    </w:p>
    <w:p w14:paraId="73426207">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十一、采购人联系方式：</w:t>
      </w:r>
    </w:p>
    <w:p w14:paraId="796AF7E9">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hint="default" w:ascii="Times New Roman" w:eastAsia="宋体"/>
          <w:lang w:val="en-US" w:eastAsia="zh-CN"/>
        </w:rPr>
      </w:pPr>
      <w:bookmarkStart w:id="4" w:name="_Hlk27138405"/>
      <w:r>
        <w:rPr>
          <w:rFonts w:ascii="Times New Roman"/>
        </w:rPr>
        <w:t>采购联系人：</w:t>
      </w:r>
      <w:r>
        <w:rPr>
          <w:rFonts w:hint="eastAsia" w:ascii="Times New Roman"/>
          <w:lang w:val="en-US" w:eastAsia="zh-CN"/>
        </w:rPr>
        <w:t>黄工</w:t>
      </w:r>
    </w:p>
    <w:p w14:paraId="42989D6E">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联系电话：</w:t>
      </w:r>
      <w:r>
        <w:rPr>
          <w:rFonts w:hint="eastAsia" w:ascii="Times New Roman"/>
        </w:rPr>
        <w:t>0769-28823252</w:t>
      </w:r>
    </w:p>
    <w:p w14:paraId="4E11339D">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联系地址：</w:t>
      </w:r>
      <w:bookmarkEnd w:id="4"/>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180A7519">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p>
    <w:p w14:paraId="5CEAB287">
      <w:pPr>
        <w:keepNext w:val="0"/>
        <w:keepLines w:val="0"/>
        <w:pageBreakBefore w:val="0"/>
        <w:widowControl w:val="0"/>
        <w:kinsoku/>
        <w:wordWrap/>
        <w:overflowPunct/>
        <w:topLinePunct w:val="0"/>
        <w:autoSpaceDE w:val="0"/>
        <w:autoSpaceDN w:val="0"/>
        <w:bidi w:val="0"/>
        <w:snapToGrid/>
        <w:spacing w:line="400" w:lineRule="exact"/>
        <w:ind w:firstLine="480" w:firstLineChars="200"/>
        <w:textAlignment w:val="auto"/>
        <w:rPr>
          <w:rFonts w:ascii="Times New Roman"/>
        </w:rPr>
      </w:pPr>
      <w:r>
        <w:rPr>
          <w:rFonts w:ascii="Times New Roman"/>
        </w:rPr>
        <w:tab/>
      </w:r>
    </w:p>
    <w:p w14:paraId="0248ED2F">
      <w:pPr>
        <w:keepNext w:val="0"/>
        <w:keepLines w:val="0"/>
        <w:pageBreakBefore w:val="0"/>
        <w:widowControl w:val="0"/>
        <w:kinsoku/>
        <w:wordWrap/>
        <w:overflowPunct/>
        <w:topLinePunct w:val="0"/>
        <w:autoSpaceDE w:val="0"/>
        <w:autoSpaceDN w:val="0"/>
        <w:bidi w:val="0"/>
        <w:snapToGrid/>
        <w:spacing w:line="400" w:lineRule="exact"/>
        <w:ind w:firstLine="3600" w:firstLineChars="1500"/>
        <w:textAlignment w:val="auto"/>
        <w:rPr>
          <w:rFonts w:ascii="Times New Roman"/>
        </w:rPr>
      </w:pPr>
      <w:bookmarkStart w:id="5" w:name="_Hlk27138410"/>
      <w:r>
        <w:rPr>
          <w:rFonts w:ascii="Times New Roman"/>
        </w:rPr>
        <w:t>东莞市水务环境投资控股集团净水有限公司</w:t>
      </w:r>
    </w:p>
    <w:p w14:paraId="3ECF9C41">
      <w:pPr>
        <w:keepNext w:val="0"/>
        <w:keepLines w:val="0"/>
        <w:pageBreakBefore w:val="0"/>
        <w:widowControl w:val="0"/>
        <w:kinsoku/>
        <w:wordWrap/>
        <w:overflowPunct/>
        <w:topLinePunct w:val="0"/>
        <w:autoSpaceDE w:val="0"/>
        <w:autoSpaceDN w:val="0"/>
        <w:bidi w:val="0"/>
        <w:snapToGrid/>
        <w:spacing w:line="400" w:lineRule="exact"/>
        <w:ind w:firstLine="5520" w:firstLineChars="2300"/>
        <w:textAlignment w:val="auto"/>
        <w:rPr>
          <w:rFonts w:ascii="Times New Roman"/>
          <w:color w:val="000000" w:themeColor="text1"/>
          <w:sz w:val="21"/>
          <w:szCs w:val="21"/>
          <w14:textFill>
            <w14:solidFill>
              <w14:schemeClr w14:val="tx1"/>
            </w14:solidFill>
          </w14:textFill>
        </w:rPr>
      </w:pPr>
      <w:r>
        <w:rPr>
          <w:rFonts w:ascii="Times New Roman"/>
        </w:rPr>
        <w:t>2026年</w:t>
      </w:r>
      <w:r>
        <w:rPr>
          <w:rFonts w:hint="eastAsia" w:ascii="Times New Roman"/>
          <w:lang w:val="en-US" w:eastAsia="zh-CN"/>
        </w:rPr>
        <w:t>4</w:t>
      </w:r>
      <w:r>
        <w:rPr>
          <w:rFonts w:ascii="Times New Roman"/>
        </w:rPr>
        <w:t>月</w:t>
      </w:r>
      <w:r>
        <w:rPr>
          <w:rFonts w:hint="eastAsia" w:ascii="Times New Roman"/>
          <w:lang w:val="en-US" w:eastAsia="zh-CN"/>
        </w:rPr>
        <w:t>9</w:t>
      </w:r>
      <w:r>
        <w:rPr>
          <w:rFonts w:ascii="Times New Roman"/>
        </w:rPr>
        <w:t xml:space="preserve">日  </w:t>
      </w:r>
      <w:r>
        <w:rPr>
          <w:rFonts w:ascii="Times New Roman"/>
          <w:color w:val="000000" w:themeColor="text1"/>
          <w:sz w:val="21"/>
          <w:szCs w:val="21"/>
          <w14:textFill>
            <w14:solidFill>
              <w14:schemeClr w14:val="tx1"/>
            </w14:solidFill>
          </w14:textFill>
        </w:rPr>
        <w:t xml:space="preserve">    </w:t>
      </w:r>
      <w:bookmarkEnd w:id="5"/>
    </w:p>
    <w:p w14:paraId="69E9241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Ansi="宋体" w:cs="宋体"/>
          <w:sz w:val="21"/>
          <w:szCs w:val="21"/>
        </w:rPr>
        <w:sectPr>
          <w:pgSz w:w="12240" w:h="15840"/>
          <w:pgMar w:top="1191" w:right="1117" w:bottom="1191" w:left="1043" w:header="720" w:footer="720" w:gutter="0"/>
          <w:cols w:space="0" w:num="1"/>
          <w:rtlGutter w:val="0"/>
          <w:docGrid w:linePitch="332" w:charSpace="0"/>
        </w:sectPr>
      </w:pPr>
    </w:p>
    <w:p w14:paraId="49CA74BB">
      <w:pPr>
        <w:pStyle w:val="2"/>
        <w:spacing w:before="0" w:after="0"/>
        <w:jc w:val="center"/>
        <w:rPr>
          <w:rFonts w:hAnsi="宋体" w:cs="宋体"/>
          <w:szCs w:val="32"/>
        </w:rPr>
      </w:pPr>
      <w:bookmarkStart w:id="6" w:name="_Toc29476691"/>
      <w:bookmarkStart w:id="7" w:name="_Toc12580"/>
      <w:r>
        <w:rPr>
          <w:rFonts w:hint="eastAsia" w:hAnsi="宋体" w:cs="宋体"/>
          <w:szCs w:val="32"/>
        </w:rPr>
        <w:t>第二章 用户需求</w:t>
      </w:r>
      <w:bookmarkEnd w:id="6"/>
      <w:bookmarkEnd w:id="7"/>
    </w:p>
    <w:p w14:paraId="69B3ACED">
      <w:pPr>
        <w:spacing w:line="360" w:lineRule="auto"/>
        <w:ind w:firstLine="422" w:firstLineChars="200"/>
        <w:contextualSpacing/>
        <w:rPr>
          <w:rFonts w:hint="eastAsia" w:ascii="宋体" w:hAnsi="宋体" w:eastAsia="宋体" w:cs="宋体"/>
          <w:b/>
          <w:color w:val="auto"/>
          <w:sz w:val="21"/>
          <w:szCs w:val="21"/>
          <w:highlight w:val="none"/>
        </w:rPr>
      </w:pPr>
      <w:bookmarkStart w:id="8" w:name="_Toc447045087"/>
      <w:bookmarkStart w:id="9" w:name="_Toc447044600"/>
      <w:bookmarkStart w:id="10" w:name="_Toc447044476"/>
      <w:r>
        <w:rPr>
          <w:rFonts w:hint="eastAsia" w:ascii="宋体" w:hAnsi="宋体" w:eastAsia="宋体" w:cs="宋体"/>
          <w:b/>
          <w:color w:val="auto"/>
          <w:sz w:val="21"/>
          <w:szCs w:val="21"/>
          <w:highlight w:val="none"/>
        </w:rPr>
        <w:t>一、项目概况</w:t>
      </w:r>
    </w:p>
    <w:p w14:paraId="4D23FEE5">
      <w:pPr>
        <w:pStyle w:val="33"/>
        <w:spacing w:line="360" w:lineRule="auto"/>
        <w:ind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由东莞市尚源环能科技有限公司负责投资建设的东莞市污泥集中处理处置项目（下称“污泥项目”）将于2026年</w:t>
      </w:r>
      <w:r>
        <w:rPr>
          <w:rFonts w:hint="eastAsia" w:ascii="宋体" w:hAnsi="宋体" w:eastAsia="宋体" w:cs="宋体"/>
          <w:color w:val="auto"/>
          <w:szCs w:val="21"/>
          <w:highlight w:val="none"/>
          <w:lang w:val="en-US" w:eastAsia="zh-CN"/>
        </w:rPr>
        <w:t>5月投泥运行，污泥项目</w:t>
      </w:r>
      <w:r>
        <w:rPr>
          <w:rFonts w:hint="eastAsia" w:ascii="宋体" w:hAnsi="宋体" w:eastAsia="宋体" w:cs="宋体"/>
          <w:color w:val="auto"/>
          <w:szCs w:val="21"/>
          <w:highlight w:val="none"/>
          <w:lang w:val="zh-CN"/>
        </w:rPr>
        <w:t>地址是广东省东莞市沙田镇立沙中路（东莞市丰业固体废物处理中心北面）。</w:t>
      </w:r>
    </w:p>
    <w:p w14:paraId="3A689283">
      <w:pPr>
        <w:pStyle w:val="3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2、本次采购范围为：服务单位为污泥项目提供半干污泥（含水率60%）运输服务（包括装卸污泥、运输、过磅等全流程服务），将污泥从采购人指定的</w:t>
      </w:r>
      <w:r>
        <w:rPr>
          <w:rFonts w:hint="eastAsia" w:ascii="宋体" w:hAnsi="宋体" w:eastAsia="宋体" w:cs="宋体"/>
          <w:color w:val="auto"/>
          <w:szCs w:val="21"/>
          <w:highlight w:val="none"/>
          <w:lang w:val="zh-CN" w:eastAsia="zh-CN"/>
        </w:rPr>
        <w:t>生活</w:t>
      </w:r>
      <w:r>
        <w:rPr>
          <w:rFonts w:hint="eastAsia" w:ascii="宋体" w:hAnsi="宋体" w:eastAsia="宋体" w:cs="宋体"/>
          <w:color w:val="auto"/>
          <w:szCs w:val="21"/>
          <w:highlight w:val="none"/>
          <w:lang w:val="zh-CN"/>
        </w:rPr>
        <w:t>污水处理厂（</w:t>
      </w:r>
      <w:r>
        <w:rPr>
          <w:rFonts w:hint="eastAsia" w:ascii="宋体" w:hAnsi="宋体" w:eastAsia="宋体" w:cs="宋体"/>
          <w:color w:val="auto"/>
          <w:szCs w:val="21"/>
          <w:highlight w:val="none"/>
          <w:lang w:val="en-US" w:eastAsia="zh-CN"/>
        </w:rPr>
        <w:t>处理站）运输</w:t>
      </w:r>
      <w:r>
        <w:rPr>
          <w:rFonts w:hint="eastAsia" w:ascii="宋体" w:hAnsi="宋体" w:eastAsia="宋体" w:cs="宋体"/>
          <w:color w:val="auto"/>
          <w:szCs w:val="21"/>
          <w:highlight w:val="none"/>
          <w:lang w:val="zh-CN"/>
        </w:rPr>
        <w:t>至</w:t>
      </w:r>
      <w:r>
        <w:rPr>
          <w:rFonts w:hint="eastAsia" w:ascii="宋体" w:hAnsi="宋体" w:eastAsia="宋体" w:cs="宋体"/>
          <w:color w:val="auto"/>
          <w:szCs w:val="21"/>
          <w:highlight w:val="none"/>
          <w:lang w:val="en-US" w:eastAsia="zh-CN"/>
        </w:rPr>
        <w:t>污泥项目</w:t>
      </w:r>
      <w:r>
        <w:rPr>
          <w:rFonts w:hint="eastAsia" w:ascii="宋体" w:hAnsi="宋体" w:eastAsia="宋体" w:cs="宋体"/>
          <w:color w:val="auto"/>
          <w:szCs w:val="21"/>
          <w:highlight w:val="none"/>
          <w:lang w:val="zh-CN"/>
        </w:rPr>
        <w:t>。</w:t>
      </w:r>
    </w:p>
    <w:p w14:paraId="75BB7164">
      <w:pPr>
        <w:pStyle w:val="33"/>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 w:val="21"/>
          <w:szCs w:val="21"/>
          <w:highlight w:val="none"/>
          <w:lang w:val="en-US" w:eastAsia="zh-CN"/>
        </w:rPr>
        <w:t>服务期限：合同签订之日起至2026年7月30日，试运行期预估运输量约22400吨，最终服务期限以2026年7月30日或运输服务费（含税）累计达到总采购金额为止，终止日期以前述两种情况中先达到的期限为准。</w:t>
      </w:r>
    </w:p>
    <w:p w14:paraId="53DA86C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处置单位及暂定污水处理厂（处理站）清单如下：</w:t>
      </w:r>
    </w:p>
    <w:tbl>
      <w:tblPr>
        <w:tblStyle w:val="25"/>
        <w:tblW w:w="4792" w:type="pct"/>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95"/>
        <w:gridCol w:w="1677"/>
        <w:gridCol w:w="206"/>
        <w:gridCol w:w="2697"/>
        <w:gridCol w:w="1304"/>
        <w:gridCol w:w="1214"/>
      </w:tblGrid>
      <w:tr w14:paraId="3921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000" w:type="pct"/>
            <w:gridSpan w:val="7"/>
            <w:noWrap/>
            <w:vAlign w:val="center"/>
          </w:tcPr>
          <w:p w14:paraId="1B504450">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4"/>
                <w:szCs w:val="24"/>
                <w:highlight w:val="none"/>
                <w:lang w:val="en-US" w:eastAsia="zh-CN"/>
              </w:rPr>
              <w:t>一、处置单位基本情况</w:t>
            </w:r>
          </w:p>
        </w:tc>
      </w:tr>
      <w:tr w14:paraId="3948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93" w:type="pct"/>
            <w:noWrap/>
            <w:vAlign w:val="center"/>
          </w:tcPr>
          <w:p w14:paraId="4A0A94C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1860" w:type="pct"/>
            <w:gridSpan w:val="2"/>
            <w:vAlign w:val="center"/>
          </w:tcPr>
          <w:p w14:paraId="697AF280">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项目名称</w:t>
            </w:r>
          </w:p>
        </w:tc>
        <w:tc>
          <w:tcPr>
            <w:tcW w:w="2746" w:type="pct"/>
            <w:gridSpan w:val="4"/>
            <w:vAlign w:val="center"/>
          </w:tcPr>
          <w:p w14:paraId="6A468A58">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项目地址</w:t>
            </w:r>
          </w:p>
        </w:tc>
      </w:tr>
      <w:tr w14:paraId="62E7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93" w:type="pct"/>
            <w:noWrap/>
            <w:vAlign w:val="center"/>
          </w:tcPr>
          <w:p w14:paraId="2DB085D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860" w:type="pct"/>
            <w:gridSpan w:val="2"/>
            <w:vAlign w:val="center"/>
          </w:tcPr>
          <w:p w14:paraId="673275C1">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东莞市污泥集中处理处置项目</w:t>
            </w:r>
          </w:p>
        </w:tc>
        <w:tc>
          <w:tcPr>
            <w:tcW w:w="2746" w:type="pct"/>
            <w:gridSpan w:val="4"/>
            <w:vAlign w:val="center"/>
          </w:tcPr>
          <w:p w14:paraId="463442D9">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广东省东莞市沙田镇立沙中路76号</w:t>
            </w:r>
          </w:p>
        </w:tc>
      </w:tr>
      <w:tr w14:paraId="556F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00" w:type="pct"/>
            <w:gridSpan w:val="7"/>
            <w:noWrap/>
            <w:vAlign w:val="center"/>
          </w:tcPr>
          <w:p w14:paraId="0187E28C">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污水处理厂（处理站）</w:t>
            </w:r>
            <w:r>
              <w:rPr>
                <w:rFonts w:hint="eastAsia" w:ascii="宋体" w:hAnsi="宋体" w:eastAsia="宋体" w:cs="宋体"/>
                <w:b/>
                <w:bCs/>
                <w:color w:val="auto"/>
                <w:kern w:val="0"/>
                <w:sz w:val="24"/>
                <w:szCs w:val="24"/>
                <w:highlight w:val="none"/>
                <w:lang w:val="en-US" w:eastAsia="zh-CN"/>
              </w:rPr>
              <w:t>基本情况</w:t>
            </w:r>
          </w:p>
        </w:tc>
      </w:tr>
      <w:tr w14:paraId="1541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93" w:type="pct"/>
            <w:noWrap/>
            <w:vAlign w:val="center"/>
          </w:tcPr>
          <w:p w14:paraId="3AAFFD9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10" w:type="pct"/>
            <w:vAlign w:val="center"/>
          </w:tcPr>
          <w:p w14:paraId="35A82E0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所在片区</w:t>
            </w:r>
          </w:p>
          <w:p w14:paraId="287EB5A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按流域划分）</w:t>
            </w:r>
          </w:p>
        </w:tc>
        <w:tc>
          <w:tcPr>
            <w:tcW w:w="953" w:type="pct"/>
            <w:gridSpan w:val="2"/>
            <w:noWrap/>
            <w:vAlign w:val="center"/>
          </w:tcPr>
          <w:p w14:paraId="4ECE937E">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简称</w:t>
            </w:r>
          </w:p>
        </w:tc>
        <w:tc>
          <w:tcPr>
            <w:tcW w:w="1366" w:type="pct"/>
            <w:vAlign w:val="center"/>
          </w:tcPr>
          <w:p w14:paraId="10028044">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项目地址</w:t>
            </w:r>
          </w:p>
        </w:tc>
        <w:tc>
          <w:tcPr>
            <w:tcW w:w="660" w:type="pct"/>
            <w:vAlign w:val="center"/>
          </w:tcPr>
          <w:p w14:paraId="5383C996">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单程运输距离（km）</w:t>
            </w:r>
          </w:p>
        </w:tc>
        <w:tc>
          <w:tcPr>
            <w:tcW w:w="615" w:type="pct"/>
            <w:vAlign w:val="center"/>
          </w:tcPr>
          <w:p w14:paraId="6D8A0A15">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产泥量（t/d）</w:t>
            </w:r>
          </w:p>
        </w:tc>
      </w:tr>
      <w:tr w14:paraId="7DC6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39DC5577">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3F88692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53" w:type="pct"/>
            <w:gridSpan w:val="2"/>
            <w:noWrap/>
            <w:vAlign w:val="center"/>
          </w:tcPr>
          <w:p w14:paraId="3AD4B09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茶山厂</w:t>
            </w:r>
          </w:p>
        </w:tc>
        <w:tc>
          <w:tcPr>
            <w:tcW w:w="1366" w:type="pct"/>
            <w:shd w:val="clear" w:color="auto" w:fill="auto"/>
            <w:noWrap/>
            <w:vAlign w:val="center"/>
          </w:tcPr>
          <w:p w14:paraId="22EE5E5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东莞市茶山镇横江村环城路茶山污水厂</w:t>
            </w:r>
          </w:p>
        </w:tc>
        <w:tc>
          <w:tcPr>
            <w:tcW w:w="660" w:type="pct"/>
            <w:noWrap/>
            <w:vAlign w:val="center"/>
          </w:tcPr>
          <w:p w14:paraId="6D56BE1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38.90</w:t>
            </w:r>
          </w:p>
        </w:tc>
        <w:tc>
          <w:tcPr>
            <w:tcW w:w="615" w:type="pct"/>
            <w:vAlign w:val="center"/>
          </w:tcPr>
          <w:p w14:paraId="596DC37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21.34</w:t>
            </w:r>
          </w:p>
        </w:tc>
      </w:tr>
      <w:tr w14:paraId="0F3E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33E097B1">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0B87D40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53" w:type="pct"/>
            <w:gridSpan w:val="2"/>
            <w:noWrap/>
            <w:vAlign w:val="center"/>
          </w:tcPr>
          <w:p w14:paraId="57CEB79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常平东厂二期</w:t>
            </w:r>
          </w:p>
        </w:tc>
        <w:tc>
          <w:tcPr>
            <w:tcW w:w="1366" w:type="pct"/>
            <w:shd w:val="clear" w:color="auto" w:fill="auto"/>
            <w:noWrap/>
            <w:vAlign w:val="center"/>
          </w:tcPr>
          <w:p w14:paraId="0871F42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东莞市常平镇沙湖口村常平东部污水处理厂</w:t>
            </w:r>
          </w:p>
        </w:tc>
        <w:tc>
          <w:tcPr>
            <w:tcW w:w="660" w:type="pct"/>
            <w:noWrap/>
            <w:vAlign w:val="center"/>
          </w:tcPr>
          <w:p w14:paraId="3D4DCA5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58.70</w:t>
            </w:r>
          </w:p>
        </w:tc>
        <w:tc>
          <w:tcPr>
            <w:tcW w:w="615" w:type="pct"/>
            <w:vAlign w:val="center"/>
          </w:tcPr>
          <w:p w14:paraId="3A0F390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11.03</w:t>
            </w:r>
          </w:p>
        </w:tc>
      </w:tr>
      <w:tr w14:paraId="48C0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6B1F2C04">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60B4BD6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53" w:type="pct"/>
            <w:gridSpan w:val="2"/>
            <w:noWrap/>
            <w:vAlign w:val="center"/>
          </w:tcPr>
          <w:p w14:paraId="0C3DBF5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常平东厂一期</w:t>
            </w:r>
          </w:p>
        </w:tc>
        <w:tc>
          <w:tcPr>
            <w:tcW w:w="1366" w:type="pct"/>
            <w:shd w:val="clear" w:color="auto" w:fill="auto"/>
            <w:noWrap/>
            <w:vAlign w:val="center"/>
          </w:tcPr>
          <w:p w14:paraId="3763399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东莞市常平镇沙湖口村常平东部污水处理厂</w:t>
            </w:r>
          </w:p>
        </w:tc>
        <w:tc>
          <w:tcPr>
            <w:tcW w:w="660" w:type="pct"/>
            <w:noWrap/>
            <w:vAlign w:val="center"/>
          </w:tcPr>
          <w:p w14:paraId="4C5E5E0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58.70</w:t>
            </w:r>
          </w:p>
        </w:tc>
        <w:tc>
          <w:tcPr>
            <w:tcW w:w="615" w:type="pct"/>
            <w:vAlign w:val="center"/>
          </w:tcPr>
          <w:p w14:paraId="475C88B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18.88</w:t>
            </w:r>
          </w:p>
        </w:tc>
      </w:tr>
      <w:tr w14:paraId="7203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2D52305F">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43A60D0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53" w:type="pct"/>
            <w:gridSpan w:val="2"/>
            <w:noWrap/>
            <w:vAlign w:val="center"/>
          </w:tcPr>
          <w:p w14:paraId="7F70BE6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常平西厂二期</w:t>
            </w:r>
          </w:p>
        </w:tc>
        <w:tc>
          <w:tcPr>
            <w:tcW w:w="1366" w:type="pct"/>
            <w:shd w:val="clear" w:color="auto" w:fill="auto"/>
            <w:noWrap/>
            <w:vAlign w:val="center"/>
          </w:tcPr>
          <w:p w14:paraId="6789BEB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东莞市常平镇岗梓村猪头山（横沥镇贝涌村)</w:t>
            </w:r>
          </w:p>
        </w:tc>
        <w:tc>
          <w:tcPr>
            <w:tcW w:w="660" w:type="pct"/>
            <w:noWrap/>
            <w:vAlign w:val="center"/>
          </w:tcPr>
          <w:p w14:paraId="0829E4F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51.80</w:t>
            </w:r>
          </w:p>
        </w:tc>
        <w:tc>
          <w:tcPr>
            <w:tcW w:w="615" w:type="pct"/>
            <w:vAlign w:val="center"/>
          </w:tcPr>
          <w:p w14:paraId="25DE3C4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27.99</w:t>
            </w:r>
          </w:p>
        </w:tc>
      </w:tr>
      <w:tr w14:paraId="5731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143BBA61">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3B2775E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53" w:type="pct"/>
            <w:gridSpan w:val="2"/>
            <w:noWrap/>
            <w:vAlign w:val="center"/>
          </w:tcPr>
          <w:p w14:paraId="5DB0D96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常平西厂一期</w:t>
            </w:r>
          </w:p>
        </w:tc>
        <w:tc>
          <w:tcPr>
            <w:tcW w:w="1366" w:type="pct"/>
            <w:shd w:val="clear" w:color="auto" w:fill="auto"/>
            <w:noWrap/>
            <w:vAlign w:val="center"/>
          </w:tcPr>
          <w:p w14:paraId="0210B50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东莞市常平镇岗梓村猪头山（横沥镇贝涌村)</w:t>
            </w:r>
          </w:p>
        </w:tc>
        <w:tc>
          <w:tcPr>
            <w:tcW w:w="660" w:type="pct"/>
            <w:noWrap/>
            <w:vAlign w:val="center"/>
          </w:tcPr>
          <w:p w14:paraId="724BA32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51.80</w:t>
            </w:r>
          </w:p>
        </w:tc>
        <w:tc>
          <w:tcPr>
            <w:tcW w:w="615" w:type="pct"/>
            <w:vAlign w:val="center"/>
          </w:tcPr>
          <w:p w14:paraId="2A31B33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36.01</w:t>
            </w:r>
          </w:p>
        </w:tc>
      </w:tr>
      <w:tr w14:paraId="1747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0408A8F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3747286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53" w:type="pct"/>
            <w:gridSpan w:val="2"/>
            <w:noWrap/>
            <w:vAlign w:val="center"/>
          </w:tcPr>
          <w:p w14:paraId="1F6B185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大岭山连马厂一期</w:t>
            </w:r>
          </w:p>
        </w:tc>
        <w:tc>
          <w:tcPr>
            <w:tcW w:w="1366" w:type="pct"/>
            <w:shd w:val="clear" w:color="auto" w:fill="auto"/>
            <w:noWrap/>
            <w:vAlign w:val="center"/>
          </w:tcPr>
          <w:p w14:paraId="03225CE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东莞市大岭山连马路中段北侧</w:t>
            </w:r>
          </w:p>
        </w:tc>
        <w:tc>
          <w:tcPr>
            <w:tcW w:w="660" w:type="pct"/>
            <w:noWrap/>
            <w:vAlign w:val="center"/>
          </w:tcPr>
          <w:p w14:paraId="6385125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37.70</w:t>
            </w:r>
          </w:p>
        </w:tc>
        <w:tc>
          <w:tcPr>
            <w:tcW w:w="615" w:type="pct"/>
            <w:vAlign w:val="center"/>
          </w:tcPr>
          <w:p w14:paraId="1B52F7B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25.16</w:t>
            </w:r>
          </w:p>
        </w:tc>
      </w:tr>
      <w:tr w14:paraId="03F3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6F54D703">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422E172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73ACB29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东城温塘厂一期</w:t>
            </w:r>
          </w:p>
        </w:tc>
        <w:tc>
          <w:tcPr>
            <w:tcW w:w="1366" w:type="pct"/>
            <w:shd w:val="clear" w:color="auto" w:fill="auto"/>
            <w:noWrap/>
            <w:vAlign w:val="center"/>
          </w:tcPr>
          <w:p w14:paraId="26E4E2D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东莞市东城街道创盈路东城段86号</w:t>
            </w:r>
          </w:p>
        </w:tc>
        <w:tc>
          <w:tcPr>
            <w:tcW w:w="660" w:type="pct"/>
            <w:shd w:val="clear" w:color="auto" w:fill="auto"/>
            <w:noWrap/>
            <w:vAlign w:val="center"/>
          </w:tcPr>
          <w:p w14:paraId="4E2F4A4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35.10</w:t>
            </w:r>
          </w:p>
        </w:tc>
        <w:tc>
          <w:tcPr>
            <w:tcW w:w="615" w:type="pct"/>
            <w:shd w:val="clear" w:color="auto" w:fill="auto"/>
            <w:vAlign w:val="center"/>
          </w:tcPr>
          <w:p w14:paraId="13013CD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14.40</w:t>
            </w:r>
          </w:p>
        </w:tc>
      </w:tr>
      <w:tr w14:paraId="281E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3DBF551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23E705F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7971AFB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横沥东坑厂一期</w:t>
            </w:r>
          </w:p>
        </w:tc>
        <w:tc>
          <w:tcPr>
            <w:tcW w:w="1366" w:type="pct"/>
            <w:shd w:val="clear" w:color="auto" w:fill="auto"/>
            <w:noWrap/>
            <w:vAlign w:val="center"/>
          </w:tcPr>
          <w:p w14:paraId="66336F3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广东省东莞市东坑镇角祥路</w:t>
            </w:r>
          </w:p>
        </w:tc>
        <w:tc>
          <w:tcPr>
            <w:tcW w:w="660" w:type="pct"/>
            <w:shd w:val="clear" w:color="auto" w:fill="auto"/>
            <w:noWrap/>
            <w:vAlign w:val="center"/>
          </w:tcPr>
          <w:p w14:paraId="58F6572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46.80</w:t>
            </w:r>
          </w:p>
        </w:tc>
        <w:tc>
          <w:tcPr>
            <w:tcW w:w="615" w:type="pct"/>
            <w:shd w:val="clear" w:color="auto" w:fill="auto"/>
            <w:vAlign w:val="center"/>
          </w:tcPr>
          <w:p w14:paraId="4E1A9AD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30.31</w:t>
            </w:r>
          </w:p>
        </w:tc>
      </w:tr>
      <w:tr w14:paraId="0BEE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4514BFF6">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0C77B0A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4A5A180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黄江厂二期</w:t>
            </w:r>
          </w:p>
        </w:tc>
        <w:tc>
          <w:tcPr>
            <w:tcW w:w="1366" w:type="pct"/>
            <w:shd w:val="clear" w:color="auto" w:fill="auto"/>
            <w:noWrap/>
            <w:vAlign w:val="center"/>
          </w:tcPr>
          <w:p w14:paraId="6AEF84A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东莞市黄江镇合路村创业一路</w:t>
            </w:r>
          </w:p>
        </w:tc>
        <w:tc>
          <w:tcPr>
            <w:tcW w:w="660" w:type="pct"/>
            <w:shd w:val="clear" w:color="auto" w:fill="auto"/>
            <w:noWrap/>
            <w:vAlign w:val="center"/>
          </w:tcPr>
          <w:p w14:paraId="1C8C210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54.50</w:t>
            </w:r>
          </w:p>
        </w:tc>
        <w:tc>
          <w:tcPr>
            <w:tcW w:w="615" w:type="pct"/>
            <w:shd w:val="clear" w:color="auto" w:fill="auto"/>
            <w:vAlign w:val="center"/>
          </w:tcPr>
          <w:p w14:paraId="775DC34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20.33</w:t>
            </w:r>
          </w:p>
        </w:tc>
      </w:tr>
      <w:tr w14:paraId="2B9D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2F251CA6">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25CC314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479C441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黄江厂一期</w:t>
            </w:r>
          </w:p>
        </w:tc>
        <w:tc>
          <w:tcPr>
            <w:tcW w:w="1366" w:type="pct"/>
            <w:shd w:val="clear" w:color="auto" w:fill="auto"/>
            <w:noWrap/>
            <w:vAlign w:val="center"/>
          </w:tcPr>
          <w:p w14:paraId="4E2C070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东莞市黄江镇合路村创业一路</w:t>
            </w:r>
          </w:p>
        </w:tc>
        <w:tc>
          <w:tcPr>
            <w:tcW w:w="660" w:type="pct"/>
            <w:shd w:val="clear" w:color="auto" w:fill="auto"/>
            <w:noWrap/>
            <w:vAlign w:val="center"/>
          </w:tcPr>
          <w:p w14:paraId="2A99D83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54.50</w:t>
            </w:r>
          </w:p>
        </w:tc>
        <w:tc>
          <w:tcPr>
            <w:tcW w:w="615" w:type="pct"/>
            <w:shd w:val="clear" w:color="auto" w:fill="auto"/>
            <w:vAlign w:val="center"/>
          </w:tcPr>
          <w:p w14:paraId="4051710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16.22</w:t>
            </w:r>
          </w:p>
        </w:tc>
      </w:tr>
      <w:tr w14:paraId="4E1E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208C591D">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676C396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046F5D8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寮步竹园厂二期</w:t>
            </w:r>
          </w:p>
        </w:tc>
        <w:tc>
          <w:tcPr>
            <w:tcW w:w="1366" w:type="pct"/>
            <w:shd w:val="clear" w:color="auto" w:fill="auto"/>
            <w:noWrap/>
            <w:vAlign w:val="center"/>
          </w:tcPr>
          <w:p w14:paraId="5BB4D1E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东莞市寮步镇竹园村横岭工业区18号</w:t>
            </w:r>
          </w:p>
        </w:tc>
        <w:tc>
          <w:tcPr>
            <w:tcW w:w="660" w:type="pct"/>
            <w:shd w:val="clear" w:color="auto" w:fill="auto"/>
            <w:noWrap/>
            <w:vAlign w:val="center"/>
          </w:tcPr>
          <w:p w14:paraId="377305A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33.40</w:t>
            </w:r>
          </w:p>
        </w:tc>
        <w:tc>
          <w:tcPr>
            <w:tcW w:w="615" w:type="pct"/>
            <w:shd w:val="clear" w:color="auto" w:fill="auto"/>
            <w:vAlign w:val="center"/>
          </w:tcPr>
          <w:p w14:paraId="693405F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4.81</w:t>
            </w:r>
          </w:p>
        </w:tc>
      </w:tr>
      <w:tr w14:paraId="23A1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62BB9A22">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046C8F3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033B97A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寮步竹园厂三期</w:t>
            </w:r>
          </w:p>
        </w:tc>
        <w:tc>
          <w:tcPr>
            <w:tcW w:w="1366" w:type="pct"/>
            <w:shd w:val="clear" w:color="auto" w:fill="auto"/>
            <w:noWrap/>
            <w:vAlign w:val="center"/>
          </w:tcPr>
          <w:p w14:paraId="665390B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东莞市寮步镇竹园村横岭工业区18号</w:t>
            </w:r>
          </w:p>
        </w:tc>
        <w:tc>
          <w:tcPr>
            <w:tcW w:w="660" w:type="pct"/>
            <w:shd w:val="clear" w:color="auto" w:fill="auto"/>
            <w:noWrap/>
            <w:vAlign w:val="center"/>
          </w:tcPr>
          <w:p w14:paraId="0CCD249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33.40</w:t>
            </w:r>
          </w:p>
        </w:tc>
        <w:tc>
          <w:tcPr>
            <w:tcW w:w="615" w:type="pct"/>
            <w:shd w:val="clear" w:color="auto" w:fill="auto"/>
            <w:vAlign w:val="center"/>
          </w:tcPr>
          <w:p w14:paraId="20A8BA7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23.19</w:t>
            </w:r>
          </w:p>
        </w:tc>
      </w:tr>
      <w:tr w14:paraId="36FD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48E7072A">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380BB0A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3FBE302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寮步竹园厂一期</w:t>
            </w:r>
          </w:p>
        </w:tc>
        <w:tc>
          <w:tcPr>
            <w:tcW w:w="1366" w:type="pct"/>
            <w:shd w:val="clear" w:color="auto" w:fill="auto"/>
            <w:noWrap/>
            <w:vAlign w:val="center"/>
          </w:tcPr>
          <w:p w14:paraId="0F71A5B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东莞市寮步镇竹园村横岭工业区18号</w:t>
            </w:r>
          </w:p>
        </w:tc>
        <w:tc>
          <w:tcPr>
            <w:tcW w:w="660" w:type="pct"/>
            <w:shd w:val="clear" w:color="auto" w:fill="auto"/>
            <w:noWrap/>
            <w:vAlign w:val="center"/>
          </w:tcPr>
          <w:p w14:paraId="4589E7C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33.40</w:t>
            </w:r>
          </w:p>
        </w:tc>
        <w:tc>
          <w:tcPr>
            <w:tcW w:w="615" w:type="pct"/>
            <w:shd w:val="clear" w:color="auto" w:fill="auto"/>
            <w:vAlign w:val="center"/>
          </w:tcPr>
          <w:p w14:paraId="72CDF15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30.08</w:t>
            </w:r>
          </w:p>
        </w:tc>
      </w:tr>
      <w:tr w14:paraId="6ECF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297429FD">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1F7A939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46D5496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南畲朗厂</w:t>
            </w:r>
          </w:p>
        </w:tc>
        <w:tc>
          <w:tcPr>
            <w:tcW w:w="1366" w:type="pct"/>
            <w:shd w:val="clear" w:color="auto" w:fill="auto"/>
            <w:noWrap/>
            <w:vAlign w:val="center"/>
          </w:tcPr>
          <w:p w14:paraId="512BC50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东莞市生态产业园区茶石路1号</w:t>
            </w:r>
          </w:p>
        </w:tc>
        <w:tc>
          <w:tcPr>
            <w:tcW w:w="660" w:type="pct"/>
            <w:shd w:val="clear" w:color="auto" w:fill="auto"/>
            <w:noWrap/>
            <w:vAlign w:val="center"/>
          </w:tcPr>
          <w:p w14:paraId="07FE5ED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46.00</w:t>
            </w:r>
          </w:p>
        </w:tc>
        <w:tc>
          <w:tcPr>
            <w:tcW w:w="615" w:type="pct"/>
            <w:shd w:val="clear" w:color="auto" w:fill="auto"/>
            <w:vAlign w:val="center"/>
          </w:tcPr>
          <w:p w14:paraId="29B5715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62.87</w:t>
            </w:r>
          </w:p>
        </w:tc>
      </w:tr>
      <w:tr w14:paraId="6E8A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35C814B6">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3F0E846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31DEA9B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松北厂二期</w:t>
            </w:r>
          </w:p>
        </w:tc>
        <w:tc>
          <w:tcPr>
            <w:tcW w:w="1366" w:type="pct"/>
            <w:shd w:val="clear" w:color="auto" w:fill="auto"/>
            <w:noWrap/>
            <w:vAlign w:val="center"/>
          </w:tcPr>
          <w:p w14:paraId="7CE1BA1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东莞松山湖高新技术产业开发区工业西三路</w:t>
            </w:r>
          </w:p>
        </w:tc>
        <w:tc>
          <w:tcPr>
            <w:tcW w:w="660" w:type="pct"/>
            <w:shd w:val="clear" w:color="auto" w:fill="auto"/>
            <w:noWrap/>
            <w:vAlign w:val="center"/>
          </w:tcPr>
          <w:p w14:paraId="0255708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41.40</w:t>
            </w:r>
          </w:p>
        </w:tc>
        <w:tc>
          <w:tcPr>
            <w:tcW w:w="615" w:type="pct"/>
            <w:shd w:val="clear" w:color="auto" w:fill="auto"/>
            <w:vAlign w:val="center"/>
          </w:tcPr>
          <w:p w14:paraId="53F925E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14.68</w:t>
            </w:r>
          </w:p>
        </w:tc>
      </w:tr>
      <w:tr w14:paraId="554D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1790CD05">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23F067D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3548094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松北厂一期</w:t>
            </w:r>
          </w:p>
        </w:tc>
        <w:tc>
          <w:tcPr>
            <w:tcW w:w="1366" w:type="pct"/>
            <w:shd w:val="clear" w:color="auto" w:fill="auto"/>
            <w:noWrap/>
            <w:vAlign w:val="center"/>
          </w:tcPr>
          <w:p w14:paraId="53CCE86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东莞松山湖高新技术产业开发区工业西三路</w:t>
            </w:r>
          </w:p>
        </w:tc>
        <w:tc>
          <w:tcPr>
            <w:tcW w:w="660" w:type="pct"/>
            <w:shd w:val="clear" w:color="auto" w:fill="auto"/>
            <w:noWrap/>
            <w:vAlign w:val="center"/>
          </w:tcPr>
          <w:p w14:paraId="349C4A2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41.40</w:t>
            </w:r>
          </w:p>
        </w:tc>
        <w:tc>
          <w:tcPr>
            <w:tcW w:w="615" w:type="pct"/>
            <w:shd w:val="clear" w:color="auto" w:fill="auto"/>
            <w:vAlign w:val="center"/>
          </w:tcPr>
          <w:p w14:paraId="3751755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10.00</w:t>
            </w:r>
          </w:p>
        </w:tc>
      </w:tr>
      <w:tr w14:paraId="4EBA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12CF314E">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13CBDF1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19661AB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松南厂二期</w:t>
            </w:r>
          </w:p>
        </w:tc>
        <w:tc>
          <w:tcPr>
            <w:tcW w:w="1366" w:type="pct"/>
            <w:shd w:val="clear" w:color="auto" w:fill="auto"/>
            <w:noWrap/>
            <w:vAlign w:val="center"/>
          </w:tcPr>
          <w:p w14:paraId="54C38F0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东莞市大朗镇杨沙路153号</w:t>
            </w:r>
          </w:p>
        </w:tc>
        <w:tc>
          <w:tcPr>
            <w:tcW w:w="660" w:type="pct"/>
            <w:shd w:val="clear" w:color="auto" w:fill="auto"/>
            <w:noWrap/>
            <w:vAlign w:val="center"/>
          </w:tcPr>
          <w:p w14:paraId="5A8882D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51.30</w:t>
            </w:r>
          </w:p>
        </w:tc>
        <w:tc>
          <w:tcPr>
            <w:tcW w:w="615" w:type="pct"/>
            <w:shd w:val="clear" w:color="auto" w:fill="auto"/>
            <w:vAlign w:val="center"/>
          </w:tcPr>
          <w:p w14:paraId="4D8F1C9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34.04</w:t>
            </w:r>
          </w:p>
        </w:tc>
      </w:tr>
      <w:tr w14:paraId="5D6E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25A12D3A">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6A5B399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2267D6C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松南厂一期</w:t>
            </w:r>
          </w:p>
        </w:tc>
        <w:tc>
          <w:tcPr>
            <w:tcW w:w="1366" w:type="pct"/>
            <w:shd w:val="clear" w:color="auto" w:fill="auto"/>
            <w:noWrap/>
            <w:vAlign w:val="center"/>
          </w:tcPr>
          <w:p w14:paraId="1DF52A8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东莞市大朗镇杨沙路153号</w:t>
            </w:r>
          </w:p>
        </w:tc>
        <w:tc>
          <w:tcPr>
            <w:tcW w:w="660" w:type="pct"/>
            <w:shd w:val="clear" w:color="auto" w:fill="auto"/>
            <w:noWrap/>
            <w:vAlign w:val="center"/>
          </w:tcPr>
          <w:p w14:paraId="6F8B9E0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51.30</w:t>
            </w:r>
          </w:p>
        </w:tc>
        <w:tc>
          <w:tcPr>
            <w:tcW w:w="615" w:type="pct"/>
            <w:shd w:val="clear" w:color="auto" w:fill="auto"/>
            <w:vAlign w:val="center"/>
          </w:tcPr>
          <w:p w14:paraId="49F7DDD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41.53</w:t>
            </w:r>
          </w:p>
        </w:tc>
      </w:tr>
      <w:tr w14:paraId="15E6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18FE944B">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50A6F09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37CDE0C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横沥东坑厂二期</w:t>
            </w:r>
          </w:p>
        </w:tc>
        <w:tc>
          <w:tcPr>
            <w:tcW w:w="1366" w:type="pct"/>
            <w:shd w:val="clear" w:color="auto" w:fill="auto"/>
            <w:noWrap/>
            <w:vAlign w:val="center"/>
          </w:tcPr>
          <w:p w14:paraId="678299E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广东省东莞市东坑镇角祥路</w:t>
            </w:r>
          </w:p>
        </w:tc>
        <w:tc>
          <w:tcPr>
            <w:tcW w:w="660" w:type="pct"/>
            <w:shd w:val="clear" w:color="auto" w:fill="auto"/>
            <w:noWrap/>
            <w:vAlign w:val="center"/>
          </w:tcPr>
          <w:p w14:paraId="655140B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51.00</w:t>
            </w:r>
          </w:p>
        </w:tc>
        <w:tc>
          <w:tcPr>
            <w:tcW w:w="615" w:type="pct"/>
            <w:shd w:val="clear" w:color="auto" w:fill="auto"/>
            <w:vAlign w:val="center"/>
          </w:tcPr>
          <w:p w14:paraId="5602B8A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19.20</w:t>
            </w:r>
          </w:p>
        </w:tc>
      </w:tr>
      <w:tr w14:paraId="0DC3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4B4DDF08">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318B52B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76F1043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大岭山连马厂二期</w:t>
            </w:r>
          </w:p>
        </w:tc>
        <w:tc>
          <w:tcPr>
            <w:tcW w:w="1366" w:type="pct"/>
            <w:shd w:val="clear" w:color="auto" w:fill="auto"/>
            <w:noWrap/>
            <w:vAlign w:val="center"/>
          </w:tcPr>
          <w:p w14:paraId="035FB6E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东莞市大岭山连马路中段北侧</w:t>
            </w:r>
          </w:p>
        </w:tc>
        <w:tc>
          <w:tcPr>
            <w:tcW w:w="660" w:type="pct"/>
            <w:shd w:val="clear" w:color="auto" w:fill="auto"/>
            <w:noWrap/>
            <w:vAlign w:val="center"/>
          </w:tcPr>
          <w:p w14:paraId="1FE8326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40.00</w:t>
            </w:r>
          </w:p>
        </w:tc>
        <w:tc>
          <w:tcPr>
            <w:tcW w:w="615" w:type="pct"/>
            <w:shd w:val="clear" w:color="auto" w:fill="auto"/>
            <w:vAlign w:val="center"/>
          </w:tcPr>
          <w:p w14:paraId="579608F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12.40</w:t>
            </w:r>
          </w:p>
        </w:tc>
      </w:tr>
      <w:tr w14:paraId="1040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647BE4C4">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14B97C8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44F975D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松山湖高新厂</w:t>
            </w:r>
          </w:p>
        </w:tc>
        <w:tc>
          <w:tcPr>
            <w:tcW w:w="1366" w:type="pct"/>
            <w:shd w:val="clear" w:color="auto" w:fill="auto"/>
            <w:noWrap/>
            <w:vAlign w:val="center"/>
          </w:tcPr>
          <w:p w14:paraId="216B31D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松山湖阿里山路12号</w:t>
            </w:r>
          </w:p>
        </w:tc>
        <w:tc>
          <w:tcPr>
            <w:tcW w:w="660" w:type="pct"/>
            <w:shd w:val="clear" w:color="auto" w:fill="auto"/>
            <w:noWrap/>
            <w:vAlign w:val="center"/>
          </w:tcPr>
          <w:p w14:paraId="0FF9BFB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65.00</w:t>
            </w:r>
          </w:p>
        </w:tc>
        <w:tc>
          <w:tcPr>
            <w:tcW w:w="615" w:type="pct"/>
            <w:shd w:val="clear" w:color="auto" w:fill="auto"/>
            <w:vAlign w:val="center"/>
          </w:tcPr>
          <w:p w14:paraId="630C94C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2.60</w:t>
            </w:r>
          </w:p>
        </w:tc>
      </w:tr>
      <w:tr w14:paraId="139D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40B8B0C4">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2B40FFC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1A1BD0A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黄江梅塘南厂一期</w:t>
            </w:r>
          </w:p>
        </w:tc>
        <w:tc>
          <w:tcPr>
            <w:tcW w:w="1366" w:type="pct"/>
            <w:shd w:val="clear" w:color="auto" w:fill="auto"/>
            <w:noWrap/>
            <w:vAlign w:val="center"/>
          </w:tcPr>
          <w:p w14:paraId="0613DF5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东莞市黄江镇星光社区富兴路26号</w:t>
            </w:r>
          </w:p>
        </w:tc>
        <w:tc>
          <w:tcPr>
            <w:tcW w:w="660" w:type="pct"/>
            <w:shd w:val="clear" w:color="auto" w:fill="auto"/>
            <w:noWrap/>
            <w:vAlign w:val="center"/>
          </w:tcPr>
          <w:p w14:paraId="2E4DEB1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62.00</w:t>
            </w:r>
          </w:p>
        </w:tc>
        <w:tc>
          <w:tcPr>
            <w:tcW w:w="615" w:type="pct"/>
            <w:shd w:val="clear" w:color="auto" w:fill="auto"/>
            <w:vAlign w:val="center"/>
          </w:tcPr>
          <w:p w14:paraId="43FB86B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0.34</w:t>
            </w:r>
          </w:p>
        </w:tc>
      </w:tr>
      <w:tr w14:paraId="2FA3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7EE23664">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6C82680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53" w:type="pct"/>
            <w:gridSpan w:val="2"/>
            <w:shd w:val="clear" w:color="auto" w:fill="auto"/>
            <w:noWrap/>
            <w:vAlign w:val="center"/>
          </w:tcPr>
          <w:p w14:paraId="57E47DE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松山湖科学城厂</w:t>
            </w:r>
          </w:p>
        </w:tc>
        <w:tc>
          <w:tcPr>
            <w:tcW w:w="1366" w:type="pct"/>
            <w:shd w:val="clear" w:color="auto" w:fill="auto"/>
            <w:noWrap/>
            <w:vAlign w:val="center"/>
          </w:tcPr>
          <w:p w14:paraId="24CF281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松山湖阿里山路12号</w:t>
            </w:r>
          </w:p>
        </w:tc>
        <w:tc>
          <w:tcPr>
            <w:tcW w:w="660" w:type="pct"/>
            <w:shd w:val="clear" w:color="auto" w:fill="auto"/>
            <w:noWrap/>
            <w:vAlign w:val="center"/>
          </w:tcPr>
          <w:p w14:paraId="57AFC03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65.00</w:t>
            </w:r>
          </w:p>
        </w:tc>
        <w:tc>
          <w:tcPr>
            <w:tcW w:w="615" w:type="pct"/>
            <w:shd w:val="clear" w:color="auto" w:fill="auto"/>
            <w:vAlign w:val="center"/>
          </w:tcPr>
          <w:p w14:paraId="0B49C5B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3.49</w:t>
            </w:r>
          </w:p>
        </w:tc>
      </w:tr>
      <w:tr w14:paraId="3DD4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08C36465">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3EF5E56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06283A3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道滘厂</w:t>
            </w:r>
          </w:p>
        </w:tc>
        <w:tc>
          <w:tcPr>
            <w:tcW w:w="1366" w:type="pct"/>
            <w:shd w:val="clear" w:color="auto" w:fill="auto"/>
            <w:noWrap/>
            <w:vAlign w:val="center"/>
          </w:tcPr>
          <w:p w14:paraId="4F0784A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东莞市道滘镇厚德上梁洲二横路</w:t>
            </w:r>
          </w:p>
        </w:tc>
        <w:tc>
          <w:tcPr>
            <w:tcW w:w="660" w:type="pct"/>
            <w:shd w:val="clear" w:color="auto" w:fill="auto"/>
            <w:noWrap/>
            <w:vAlign w:val="center"/>
          </w:tcPr>
          <w:p w14:paraId="1D900C3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15.40</w:t>
            </w:r>
          </w:p>
        </w:tc>
        <w:tc>
          <w:tcPr>
            <w:tcW w:w="615" w:type="pct"/>
            <w:shd w:val="clear" w:color="auto" w:fill="auto"/>
            <w:vAlign w:val="center"/>
          </w:tcPr>
          <w:p w14:paraId="7B9E193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9.19</w:t>
            </w:r>
          </w:p>
        </w:tc>
      </w:tr>
      <w:tr w14:paraId="4C2D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0BB218DA">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5EC8598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34F06B4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高埗厂二期</w:t>
            </w:r>
          </w:p>
        </w:tc>
        <w:tc>
          <w:tcPr>
            <w:tcW w:w="1366" w:type="pct"/>
            <w:shd w:val="clear" w:color="auto" w:fill="auto"/>
            <w:noWrap/>
            <w:vAlign w:val="center"/>
          </w:tcPr>
          <w:p w14:paraId="48D8970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东莞市高埗镇低涌村南蛇头</w:t>
            </w:r>
          </w:p>
        </w:tc>
        <w:tc>
          <w:tcPr>
            <w:tcW w:w="660" w:type="pct"/>
            <w:shd w:val="clear" w:color="auto" w:fill="auto"/>
            <w:noWrap/>
            <w:vAlign w:val="center"/>
          </w:tcPr>
          <w:p w14:paraId="149CF74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28.70</w:t>
            </w:r>
          </w:p>
        </w:tc>
        <w:tc>
          <w:tcPr>
            <w:tcW w:w="615" w:type="pct"/>
            <w:shd w:val="clear" w:color="auto" w:fill="auto"/>
            <w:vAlign w:val="center"/>
          </w:tcPr>
          <w:p w14:paraId="3561BED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6.97</w:t>
            </w:r>
          </w:p>
        </w:tc>
      </w:tr>
      <w:tr w14:paraId="0A9E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60DFD1AF">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104D18A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01DA97F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高埗厂一期</w:t>
            </w:r>
          </w:p>
        </w:tc>
        <w:tc>
          <w:tcPr>
            <w:tcW w:w="1366" w:type="pct"/>
            <w:shd w:val="clear" w:color="auto" w:fill="auto"/>
            <w:noWrap/>
            <w:vAlign w:val="center"/>
          </w:tcPr>
          <w:p w14:paraId="0D22EB0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东莞市高埗镇低涌村南蛇头</w:t>
            </w:r>
          </w:p>
        </w:tc>
        <w:tc>
          <w:tcPr>
            <w:tcW w:w="660" w:type="pct"/>
            <w:shd w:val="clear" w:color="auto" w:fill="auto"/>
            <w:noWrap/>
            <w:vAlign w:val="center"/>
          </w:tcPr>
          <w:p w14:paraId="1D39899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28.70</w:t>
            </w:r>
          </w:p>
        </w:tc>
        <w:tc>
          <w:tcPr>
            <w:tcW w:w="615" w:type="pct"/>
            <w:shd w:val="clear" w:color="auto" w:fill="auto"/>
            <w:vAlign w:val="center"/>
          </w:tcPr>
          <w:p w14:paraId="0E39B75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12.31</w:t>
            </w:r>
          </w:p>
        </w:tc>
      </w:tr>
      <w:tr w14:paraId="4049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5B4AEC1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6047EC1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797D679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麻涌厂二期</w:t>
            </w:r>
          </w:p>
        </w:tc>
        <w:tc>
          <w:tcPr>
            <w:tcW w:w="1366" w:type="pct"/>
            <w:shd w:val="clear" w:color="auto" w:fill="auto"/>
            <w:noWrap/>
            <w:vAlign w:val="center"/>
          </w:tcPr>
          <w:p w14:paraId="01ED8AC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东莞市麻涌镇漳澎村破流水闸旁</w:t>
            </w:r>
          </w:p>
        </w:tc>
        <w:tc>
          <w:tcPr>
            <w:tcW w:w="660" w:type="pct"/>
            <w:shd w:val="clear" w:color="auto" w:fill="auto"/>
            <w:noWrap/>
            <w:vAlign w:val="center"/>
          </w:tcPr>
          <w:p w14:paraId="301F9C2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16.90</w:t>
            </w:r>
          </w:p>
        </w:tc>
        <w:tc>
          <w:tcPr>
            <w:tcW w:w="615" w:type="pct"/>
            <w:shd w:val="clear" w:color="auto" w:fill="auto"/>
            <w:vAlign w:val="center"/>
          </w:tcPr>
          <w:p w14:paraId="32A33A6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4.92</w:t>
            </w:r>
          </w:p>
        </w:tc>
      </w:tr>
      <w:tr w14:paraId="65B1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4E981ED3">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1CF0D2C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47A23D8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麻涌厂一期</w:t>
            </w:r>
          </w:p>
        </w:tc>
        <w:tc>
          <w:tcPr>
            <w:tcW w:w="1366" w:type="pct"/>
            <w:shd w:val="clear" w:color="auto" w:fill="auto"/>
            <w:noWrap/>
            <w:vAlign w:val="center"/>
          </w:tcPr>
          <w:p w14:paraId="26E2FDF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东莞市麻涌镇漳澎村破流水闸旁</w:t>
            </w:r>
          </w:p>
        </w:tc>
        <w:tc>
          <w:tcPr>
            <w:tcW w:w="660" w:type="pct"/>
            <w:shd w:val="clear" w:color="auto" w:fill="auto"/>
            <w:noWrap/>
            <w:vAlign w:val="center"/>
          </w:tcPr>
          <w:p w14:paraId="72D896A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16.90</w:t>
            </w:r>
          </w:p>
        </w:tc>
        <w:tc>
          <w:tcPr>
            <w:tcW w:w="615" w:type="pct"/>
            <w:shd w:val="clear" w:color="auto" w:fill="auto"/>
            <w:vAlign w:val="center"/>
          </w:tcPr>
          <w:p w14:paraId="1E51DD6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7.48</w:t>
            </w:r>
          </w:p>
        </w:tc>
      </w:tr>
      <w:tr w14:paraId="386F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0A96C27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1693524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7BAB036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石碣沙腰厂二期</w:t>
            </w:r>
          </w:p>
        </w:tc>
        <w:tc>
          <w:tcPr>
            <w:tcW w:w="1366" w:type="pct"/>
            <w:shd w:val="clear" w:color="auto" w:fill="auto"/>
            <w:noWrap/>
            <w:vAlign w:val="center"/>
          </w:tcPr>
          <w:p w14:paraId="2DB0A88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东莞市石碣镇沙腰村</w:t>
            </w:r>
          </w:p>
        </w:tc>
        <w:tc>
          <w:tcPr>
            <w:tcW w:w="660" w:type="pct"/>
            <w:shd w:val="clear" w:color="auto" w:fill="auto"/>
            <w:noWrap/>
            <w:vAlign w:val="center"/>
          </w:tcPr>
          <w:p w14:paraId="27D98CA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32.70</w:t>
            </w:r>
          </w:p>
        </w:tc>
        <w:tc>
          <w:tcPr>
            <w:tcW w:w="615" w:type="pct"/>
            <w:shd w:val="clear" w:color="auto" w:fill="auto"/>
            <w:vAlign w:val="center"/>
          </w:tcPr>
          <w:p w14:paraId="4138E53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15.57</w:t>
            </w:r>
          </w:p>
        </w:tc>
      </w:tr>
      <w:tr w14:paraId="4242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3215F46E">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4A498AA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35C2EF5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石碣沙腰厂一期</w:t>
            </w:r>
          </w:p>
        </w:tc>
        <w:tc>
          <w:tcPr>
            <w:tcW w:w="1366" w:type="pct"/>
            <w:shd w:val="clear" w:color="auto" w:fill="auto"/>
            <w:noWrap/>
            <w:vAlign w:val="center"/>
          </w:tcPr>
          <w:p w14:paraId="58F3100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东莞市石碣镇沙腰村</w:t>
            </w:r>
          </w:p>
        </w:tc>
        <w:tc>
          <w:tcPr>
            <w:tcW w:w="660" w:type="pct"/>
            <w:shd w:val="clear" w:color="auto" w:fill="auto"/>
            <w:noWrap/>
            <w:vAlign w:val="center"/>
          </w:tcPr>
          <w:p w14:paraId="1CF634C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32.70</w:t>
            </w:r>
          </w:p>
        </w:tc>
        <w:tc>
          <w:tcPr>
            <w:tcW w:w="615" w:type="pct"/>
            <w:shd w:val="clear" w:color="auto" w:fill="auto"/>
            <w:vAlign w:val="center"/>
          </w:tcPr>
          <w:p w14:paraId="3CC8B83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16.07</w:t>
            </w:r>
          </w:p>
        </w:tc>
      </w:tr>
      <w:tr w14:paraId="30A9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17490C11">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323EE3A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51C1C18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石龙新区厂</w:t>
            </w:r>
          </w:p>
        </w:tc>
        <w:tc>
          <w:tcPr>
            <w:tcW w:w="1366" w:type="pct"/>
            <w:shd w:val="clear" w:color="auto" w:fill="auto"/>
            <w:noWrap/>
            <w:vAlign w:val="center"/>
          </w:tcPr>
          <w:p w14:paraId="210AC86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东莞市石龙镇新城区环卫所以南</w:t>
            </w:r>
          </w:p>
        </w:tc>
        <w:tc>
          <w:tcPr>
            <w:tcW w:w="660" w:type="pct"/>
            <w:shd w:val="clear" w:color="auto" w:fill="auto"/>
            <w:noWrap/>
            <w:vAlign w:val="center"/>
          </w:tcPr>
          <w:p w14:paraId="3F97BB8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42.20</w:t>
            </w:r>
          </w:p>
        </w:tc>
        <w:tc>
          <w:tcPr>
            <w:tcW w:w="615" w:type="pct"/>
            <w:shd w:val="clear" w:color="auto" w:fill="auto"/>
            <w:vAlign w:val="center"/>
          </w:tcPr>
          <w:p w14:paraId="5577C72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7.13</w:t>
            </w:r>
          </w:p>
        </w:tc>
      </w:tr>
      <w:tr w14:paraId="33E4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5BDAFCED">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18252E1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67E6880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市区厂三期</w:t>
            </w:r>
          </w:p>
        </w:tc>
        <w:tc>
          <w:tcPr>
            <w:tcW w:w="1366" w:type="pct"/>
            <w:shd w:val="clear" w:color="auto" w:fill="auto"/>
            <w:noWrap/>
            <w:vAlign w:val="center"/>
          </w:tcPr>
          <w:p w14:paraId="312DB1D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东莞市南城区石鼓村王洲</w:t>
            </w:r>
          </w:p>
        </w:tc>
        <w:tc>
          <w:tcPr>
            <w:tcW w:w="660" w:type="pct"/>
            <w:shd w:val="clear" w:color="auto" w:fill="auto"/>
            <w:noWrap/>
            <w:vAlign w:val="center"/>
          </w:tcPr>
          <w:p w14:paraId="7B7E176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20.60</w:t>
            </w:r>
          </w:p>
        </w:tc>
        <w:tc>
          <w:tcPr>
            <w:tcW w:w="615" w:type="pct"/>
            <w:shd w:val="clear" w:color="auto" w:fill="auto"/>
            <w:vAlign w:val="center"/>
          </w:tcPr>
          <w:p w14:paraId="2A4944D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88.46</w:t>
            </w:r>
          </w:p>
        </w:tc>
      </w:tr>
      <w:tr w14:paraId="3FEA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3E0D3FBC">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275C7EA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1AEA431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市区厂一二期</w:t>
            </w:r>
          </w:p>
        </w:tc>
        <w:tc>
          <w:tcPr>
            <w:tcW w:w="1366" w:type="pct"/>
            <w:shd w:val="clear" w:color="auto" w:fill="auto"/>
            <w:noWrap/>
            <w:vAlign w:val="center"/>
          </w:tcPr>
          <w:p w14:paraId="31302AD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东莞市南城区石鼓村王洲</w:t>
            </w:r>
          </w:p>
        </w:tc>
        <w:tc>
          <w:tcPr>
            <w:tcW w:w="660" w:type="pct"/>
            <w:shd w:val="clear" w:color="auto" w:fill="auto"/>
            <w:noWrap/>
            <w:vAlign w:val="center"/>
          </w:tcPr>
          <w:p w14:paraId="7077ABC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20.60</w:t>
            </w:r>
          </w:p>
        </w:tc>
        <w:tc>
          <w:tcPr>
            <w:tcW w:w="615" w:type="pct"/>
            <w:shd w:val="clear" w:color="auto" w:fill="auto"/>
            <w:vAlign w:val="center"/>
          </w:tcPr>
          <w:p w14:paraId="3246A39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28.35</w:t>
            </w:r>
          </w:p>
        </w:tc>
      </w:tr>
      <w:tr w14:paraId="091B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7B30560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3475AAD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5F6D32D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万江厂二期</w:t>
            </w:r>
          </w:p>
        </w:tc>
        <w:tc>
          <w:tcPr>
            <w:tcW w:w="1366" w:type="pct"/>
            <w:shd w:val="clear" w:color="auto" w:fill="auto"/>
            <w:noWrap/>
            <w:vAlign w:val="center"/>
          </w:tcPr>
          <w:p w14:paraId="5AC748F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东莞市万江区流涌尾社区白水涡</w:t>
            </w:r>
          </w:p>
        </w:tc>
        <w:tc>
          <w:tcPr>
            <w:tcW w:w="660" w:type="pct"/>
            <w:shd w:val="clear" w:color="auto" w:fill="auto"/>
            <w:noWrap/>
            <w:vAlign w:val="center"/>
          </w:tcPr>
          <w:p w14:paraId="378D6AE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19.30</w:t>
            </w:r>
          </w:p>
        </w:tc>
        <w:tc>
          <w:tcPr>
            <w:tcW w:w="615" w:type="pct"/>
            <w:shd w:val="clear" w:color="auto" w:fill="auto"/>
            <w:vAlign w:val="center"/>
          </w:tcPr>
          <w:p w14:paraId="1EB6667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9.47</w:t>
            </w:r>
          </w:p>
        </w:tc>
      </w:tr>
      <w:tr w14:paraId="2F8D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698AA6F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7A25873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3E1B301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万江厂一期</w:t>
            </w:r>
          </w:p>
        </w:tc>
        <w:tc>
          <w:tcPr>
            <w:tcW w:w="1366" w:type="pct"/>
            <w:shd w:val="clear" w:color="auto" w:fill="auto"/>
            <w:noWrap/>
            <w:vAlign w:val="center"/>
          </w:tcPr>
          <w:p w14:paraId="0F912E2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东莞市万江区流涌尾社区白水涡</w:t>
            </w:r>
          </w:p>
        </w:tc>
        <w:tc>
          <w:tcPr>
            <w:tcW w:w="660" w:type="pct"/>
            <w:shd w:val="clear" w:color="auto" w:fill="auto"/>
            <w:noWrap/>
            <w:vAlign w:val="center"/>
          </w:tcPr>
          <w:p w14:paraId="1BE1C59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19.30</w:t>
            </w:r>
          </w:p>
        </w:tc>
        <w:tc>
          <w:tcPr>
            <w:tcW w:w="615" w:type="pct"/>
            <w:shd w:val="clear" w:color="auto" w:fill="auto"/>
            <w:vAlign w:val="center"/>
          </w:tcPr>
          <w:p w14:paraId="2ACC1AA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10.70</w:t>
            </w:r>
          </w:p>
        </w:tc>
      </w:tr>
      <w:tr w14:paraId="1E1A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3F838414">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5590944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3E55FF3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望洪厂</w:t>
            </w:r>
          </w:p>
        </w:tc>
        <w:tc>
          <w:tcPr>
            <w:tcW w:w="1366" w:type="pct"/>
            <w:shd w:val="clear" w:color="auto" w:fill="auto"/>
            <w:noWrap/>
            <w:vAlign w:val="center"/>
          </w:tcPr>
          <w:p w14:paraId="39B08C4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东莞市望牛墩镇朱平沙</w:t>
            </w:r>
          </w:p>
        </w:tc>
        <w:tc>
          <w:tcPr>
            <w:tcW w:w="660" w:type="pct"/>
            <w:shd w:val="clear" w:color="auto" w:fill="auto"/>
            <w:noWrap/>
            <w:vAlign w:val="center"/>
          </w:tcPr>
          <w:p w14:paraId="117817A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13.00</w:t>
            </w:r>
          </w:p>
        </w:tc>
        <w:tc>
          <w:tcPr>
            <w:tcW w:w="615" w:type="pct"/>
            <w:shd w:val="clear" w:color="auto" w:fill="auto"/>
            <w:vAlign w:val="center"/>
          </w:tcPr>
          <w:p w14:paraId="54E91C8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7.41</w:t>
            </w:r>
          </w:p>
        </w:tc>
      </w:tr>
      <w:tr w14:paraId="3FED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25CF6A98">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0618B90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2716C9B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中堂厂二期</w:t>
            </w:r>
          </w:p>
        </w:tc>
        <w:tc>
          <w:tcPr>
            <w:tcW w:w="1366" w:type="pct"/>
            <w:shd w:val="clear" w:color="auto" w:fill="auto"/>
            <w:noWrap/>
            <w:vAlign w:val="center"/>
          </w:tcPr>
          <w:p w14:paraId="4F96664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东莞市中堂镇东向村水闸口中堂污水处理厂</w:t>
            </w:r>
          </w:p>
        </w:tc>
        <w:tc>
          <w:tcPr>
            <w:tcW w:w="660" w:type="pct"/>
            <w:shd w:val="clear" w:color="auto" w:fill="auto"/>
            <w:noWrap/>
            <w:vAlign w:val="center"/>
          </w:tcPr>
          <w:p w14:paraId="2368686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23.40</w:t>
            </w:r>
          </w:p>
        </w:tc>
        <w:tc>
          <w:tcPr>
            <w:tcW w:w="615" w:type="pct"/>
            <w:shd w:val="clear" w:color="auto" w:fill="auto"/>
            <w:vAlign w:val="center"/>
          </w:tcPr>
          <w:p w14:paraId="663B91A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8.17</w:t>
            </w:r>
          </w:p>
        </w:tc>
      </w:tr>
      <w:tr w14:paraId="17FA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0AEBBABE">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055B014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53" w:type="pct"/>
            <w:gridSpan w:val="2"/>
            <w:shd w:val="clear" w:color="auto" w:fill="auto"/>
            <w:noWrap/>
            <w:vAlign w:val="center"/>
          </w:tcPr>
          <w:p w14:paraId="23F407E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中堂厂一期</w:t>
            </w:r>
          </w:p>
        </w:tc>
        <w:tc>
          <w:tcPr>
            <w:tcW w:w="1366" w:type="pct"/>
            <w:shd w:val="clear" w:color="auto" w:fill="auto"/>
            <w:noWrap/>
            <w:vAlign w:val="center"/>
          </w:tcPr>
          <w:p w14:paraId="6FCD58C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东莞市中堂镇东向村水闸口中堂污水处理厂</w:t>
            </w:r>
          </w:p>
        </w:tc>
        <w:tc>
          <w:tcPr>
            <w:tcW w:w="660" w:type="pct"/>
            <w:shd w:val="clear" w:color="auto" w:fill="auto"/>
            <w:noWrap/>
            <w:vAlign w:val="center"/>
          </w:tcPr>
          <w:p w14:paraId="2FE7A62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23.40</w:t>
            </w:r>
          </w:p>
        </w:tc>
        <w:tc>
          <w:tcPr>
            <w:tcW w:w="615" w:type="pct"/>
            <w:shd w:val="clear" w:color="auto" w:fill="auto"/>
            <w:vAlign w:val="center"/>
          </w:tcPr>
          <w:p w14:paraId="0036E99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7.79</w:t>
            </w:r>
          </w:p>
        </w:tc>
      </w:tr>
      <w:tr w14:paraId="2A03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2E7583A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36C8A48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滨海湾片区</w:t>
            </w:r>
          </w:p>
        </w:tc>
        <w:tc>
          <w:tcPr>
            <w:tcW w:w="953" w:type="pct"/>
            <w:gridSpan w:val="2"/>
            <w:noWrap/>
            <w:vAlign w:val="center"/>
          </w:tcPr>
          <w:p w14:paraId="22BFAE1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东城牛山厂二期</w:t>
            </w:r>
          </w:p>
        </w:tc>
        <w:tc>
          <w:tcPr>
            <w:tcW w:w="1366" w:type="pct"/>
            <w:shd w:val="clear" w:color="auto" w:fill="auto"/>
            <w:noWrap/>
            <w:vAlign w:val="center"/>
          </w:tcPr>
          <w:p w14:paraId="0F76479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东莞市东城街道象山路7号20栋101室</w:t>
            </w:r>
          </w:p>
        </w:tc>
        <w:tc>
          <w:tcPr>
            <w:tcW w:w="660" w:type="pct"/>
            <w:noWrap/>
            <w:vAlign w:val="center"/>
          </w:tcPr>
          <w:p w14:paraId="22ABD22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28.70</w:t>
            </w:r>
          </w:p>
        </w:tc>
        <w:tc>
          <w:tcPr>
            <w:tcW w:w="615" w:type="pct"/>
            <w:vAlign w:val="center"/>
          </w:tcPr>
          <w:p w14:paraId="3F60658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5.24</w:t>
            </w:r>
          </w:p>
        </w:tc>
      </w:tr>
      <w:tr w14:paraId="67B1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1960F609">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3325D5A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滨海湾片区</w:t>
            </w:r>
          </w:p>
        </w:tc>
        <w:tc>
          <w:tcPr>
            <w:tcW w:w="953" w:type="pct"/>
            <w:gridSpan w:val="2"/>
            <w:noWrap/>
            <w:vAlign w:val="center"/>
          </w:tcPr>
          <w:p w14:paraId="0786C48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东城牛山厂一期</w:t>
            </w:r>
          </w:p>
        </w:tc>
        <w:tc>
          <w:tcPr>
            <w:tcW w:w="1366" w:type="pct"/>
            <w:shd w:val="clear" w:color="auto" w:fill="auto"/>
            <w:noWrap/>
            <w:vAlign w:val="center"/>
          </w:tcPr>
          <w:p w14:paraId="50510EE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东莞市东城街道象山路7号20栋101室</w:t>
            </w:r>
          </w:p>
        </w:tc>
        <w:tc>
          <w:tcPr>
            <w:tcW w:w="660" w:type="pct"/>
            <w:noWrap/>
            <w:vAlign w:val="center"/>
          </w:tcPr>
          <w:p w14:paraId="4054F17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28.70</w:t>
            </w:r>
          </w:p>
        </w:tc>
        <w:tc>
          <w:tcPr>
            <w:tcW w:w="615" w:type="pct"/>
            <w:vAlign w:val="center"/>
          </w:tcPr>
          <w:p w14:paraId="7225AE6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6.69</w:t>
            </w:r>
          </w:p>
        </w:tc>
      </w:tr>
      <w:tr w14:paraId="1773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77901018">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0590B0E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7D79EEA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厚街沙塘厂二期</w:t>
            </w:r>
          </w:p>
        </w:tc>
        <w:tc>
          <w:tcPr>
            <w:tcW w:w="1366" w:type="pct"/>
            <w:shd w:val="clear" w:color="auto" w:fill="auto"/>
            <w:noWrap/>
            <w:vAlign w:val="center"/>
          </w:tcPr>
          <w:p w14:paraId="2C31C9D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东莞市厚街镇沙塘村沙隆路39号</w:t>
            </w:r>
          </w:p>
        </w:tc>
        <w:tc>
          <w:tcPr>
            <w:tcW w:w="660" w:type="pct"/>
            <w:shd w:val="clear" w:color="auto" w:fill="auto"/>
            <w:noWrap/>
            <w:vAlign w:val="center"/>
          </w:tcPr>
          <w:p w14:paraId="5995EDF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17.00</w:t>
            </w:r>
          </w:p>
        </w:tc>
        <w:tc>
          <w:tcPr>
            <w:tcW w:w="615" w:type="pct"/>
            <w:shd w:val="clear" w:color="auto" w:fill="auto"/>
            <w:vAlign w:val="center"/>
          </w:tcPr>
          <w:p w14:paraId="7C1572C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31.05</w:t>
            </w:r>
          </w:p>
        </w:tc>
      </w:tr>
      <w:tr w14:paraId="0136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67AF2D7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1FCBBDE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4587876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厚街沙塘厂一期</w:t>
            </w:r>
          </w:p>
        </w:tc>
        <w:tc>
          <w:tcPr>
            <w:tcW w:w="1366" w:type="pct"/>
            <w:shd w:val="clear" w:color="auto" w:fill="auto"/>
            <w:noWrap/>
            <w:vAlign w:val="center"/>
          </w:tcPr>
          <w:p w14:paraId="71A7878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东莞市厚街镇沙塘村沙隆路39号</w:t>
            </w:r>
          </w:p>
        </w:tc>
        <w:tc>
          <w:tcPr>
            <w:tcW w:w="660" w:type="pct"/>
            <w:shd w:val="clear" w:color="auto" w:fill="auto"/>
            <w:noWrap/>
            <w:vAlign w:val="center"/>
          </w:tcPr>
          <w:p w14:paraId="2C9CA47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17.00</w:t>
            </w:r>
          </w:p>
        </w:tc>
        <w:tc>
          <w:tcPr>
            <w:tcW w:w="615" w:type="pct"/>
            <w:shd w:val="clear" w:color="auto" w:fill="auto"/>
            <w:vAlign w:val="center"/>
          </w:tcPr>
          <w:p w14:paraId="2CF2C1D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32.42</w:t>
            </w:r>
          </w:p>
        </w:tc>
      </w:tr>
      <w:tr w14:paraId="6A2A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4CC9838C">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03F964C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666A577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虎门海岛厂一期</w:t>
            </w:r>
          </w:p>
        </w:tc>
        <w:tc>
          <w:tcPr>
            <w:tcW w:w="1366" w:type="pct"/>
            <w:shd w:val="clear" w:color="auto" w:fill="auto"/>
            <w:noWrap/>
            <w:vAlign w:val="center"/>
          </w:tcPr>
          <w:p w14:paraId="728F6D2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东莞市虎门镇威远岛武山沙五围</w:t>
            </w:r>
          </w:p>
        </w:tc>
        <w:tc>
          <w:tcPr>
            <w:tcW w:w="660" w:type="pct"/>
            <w:shd w:val="clear" w:color="auto" w:fill="auto"/>
            <w:noWrap/>
            <w:vAlign w:val="center"/>
          </w:tcPr>
          <w:p w14:paraId="1824397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20.60</w:t>
            </w:r>
          </w:p>
        </w:tc>
        <w:tc>
          <w:tcPr>
            <w:tcW w:w="615" w:type="pct"/>
            <w:shd w:val="clear" w:color="auto" w:fill="auto"/>
            <w:vAlign w:val="center"/>
          </w:tcPr>
          <w:p w14:paraId="06E213C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2.11</w:t>
            </w:r>
          </w:p>
        </w:tc>
      </w:tr>
      <w:tr w14:paraId="00C9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255676AA">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10CC855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097D707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虎门宁洲厂二期</w:t>
            </w:r>
          </w:p>
        </w:tc>
        <w:tc>
          <w:tcPr>
            <w:tcW w:w="1366" w:type="pct"/>
            <w:shd w:val="clear" w:color="auto" w:fill="auto"/>
            <w:noWrap/>
            <w:vAlign w:val="center"/>
          </w:tcPr>
          <w:p w14:paraId="670F676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东莞市虎门镇南栅民昌路九巷5号</w:t>
            </w:r>
          </w:p>
        </w:tc>
        <w:tc>
          <w:tcPr>
            <w:tcW w:w="660" w:type="pct"/>
            <w:shd w:val="clear" w:color="auto" w:fill="auto"/>
            <w:noWrap/>
            <w:vAlign w:val="center"/>
          </w:tcPr>
          <w:p w14:paraId="4010607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30.40</w:t>
            </w:r>
          </w:p>
        </w:tc>
        <w:tc>
          <w:tcPr>
            <w:tcW w:w="615" w:type="pct"/>
            <w:shd w:val="clear" w:color="auto" w:fill="auto"/>
            <w:vAlign w:val="center"/>
          </w:tcPr>
          <w:p w14:paraId="7B3CADA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34.32</w:t>
            </w:r>
          </w:p>
        </w:tc>
      </w:tr>
      <w:tr w14:paraId="21E2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38F78124">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05B5623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2561B56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虎门宁洲厂三期</w:t>
            </w:r>
          </w:p>
        </w:tc>
        <w:tc>
          <w:tcPr>
            <w:tcW w:w="1366" w:type="pct"/>
            <w:shd w:val="clear" w:color="auto" w:fill="auto"/>
            <w:noWrap/>
            <w:vAlign w:val="center"/>
          </w:tcPr>
          <w:p w14:paraId="7ED2642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东莞市虎门镇南栅民昌路九巷5号</w:t>
            </w:r>
          </w:p>
        </w:tc>
        <w:tc>
          <w:tcPr>
            <w:tcW w:w="660" w:type="pct"/>
            <w:shd w:val="clear" w:color="auto" w:fill="auto"/>
            <w:noWrap/>
            <w:vAlign w:val="center"/>
          </w:tcPr>
          <w:p w14:paraId="061064C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30.40</w:t>
            </w:r>
          </w:p>
        </w:tc>
        <w:tc>
          <w:tcPr>
            <w:tcW w:w="615" w:type="pct"/>
            <w:shd w:val="clear" w:color="auto" w:fill="auto"/>
            <w:vAlign w:val="center"/>
          </w:tcPr>
          <w:p w14:paraId="63C3984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18.37</w:t>
            </w:r>
          </w:p>
        </w:tc>
      </w:tr>
      <w:tr w14:paraId="3904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2BA99937">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63BDA1D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691AC5C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虎门宁洲厂一期</w:t>
            </w:r>
          </w:p>
        </w:tc>
        <w:tc>
          <w:tcPr>
            <w:tcW w:w="1366" w:type="pct"/>
            <w:shd w:val="clear" w:color="auto" w:fill="auto"/>
            <w:noWrap/>
            <w:vAlign w:val="center"/>
          </w:tcPr>
          <w:p w14:paraId="79900A7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东莞市虎门镇南栅民昌路九巷5号</w:t>
            </w:r>
          </w:p>
        </w:tc>
        <w:tc>
          <w:tcPr>
            <w:tcW w:w="660" w:type="pct"/>
            <w:shd w:val="clear" w:color="auto" w:fill="auto"/>
            <w:noWrap/>
            <w:vAlign w:val="center"/>
          </w:tcPr>
          <w:p w14:paraId="0001FEC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30.40</w:t>
            </w:r>
          </w:p>
        </w:tc>
        <w:tc>
          <w:tcPr>
            <w:tcW w:w="615" w:type="pct"/>
            <w:shd w:val="clear" w:color="auto" w:fill="auto"/>
            <w:vAlign w:val="center"/>
          </w:tcPr>
          <w:p w14:paraId="626568F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35.16</w:t>
            </w:r>
          </w:p>
        </w:tc>
      </w:tr>
      <w:tr w14:paraId="6014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047C6113">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3692667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0AE6852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沙田福禄沙厂二期</w:t>
            </w:r>
          </w:p>
        </w:tc>
        <w:tc>
          <w:tcPr>
            <w:tcW w:w="1366" w:type="pct"/>
            <w:shd w:val="clear" w:color="auto" w:fill="auto"/>
            <w:noWrap/>
            <w:vAlign w:val="center"/>
          </w:tcPr>
          <w:p w14:paraId="199C6D8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东莞市沙田镇福禄沙村</w:t>
            </w:r>
          </w:p>
        </w:tc>
        <w:tc>
          <w:tcPr>
            <w:tcW w:w="660" w:type="pct"/>
            <w:shd w:val="clear" w:color="auto" w:fill="auto"/>
            <w:noWrap/>
            <w:vAlign w:val="center"/>
          </w:tcPr>
          <w:p w14:paraId="0F5E066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12.10</w:t>
            </w:r>
          </w:p>
        </w:tc>
        <w:tc>
          <w:tcPr>
            <w:tcW w:w="615" w:type="pct"/>
            <w:shd w:val="clear" w:color="auto" w:fill="auto"/>
            <w:vAlign w:val="center"/>
          </w:tcPr>
          <w:p w14:paraId="28C5903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6.72</w:t>
            </w:r>
          </w:p>
        </w:tc>
      </w:tr>
      <w:tr w14:paraId="7B4C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38E390D1">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0BC42BA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78056C0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沙田福禄沙厂一期</w:t>
            </w:r>
          </w:p>
        </w:tc>
        <w:tc>
          <w:tcPr>
            <w:tcW w:w="1366" w:type="pct"/>
            <w:shd w:val="clear" w:color="auto" w:fill="auto"/>
            <w:noWrap/>
            <w:vAlign w:val="center"/>
          </w:tcPr>
          <w:p w14:paraId="7446FB6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东莞市沙田镇福禄沙村</w:t>
            </w:r>
          </w:p>
        </w:tc>
        <w:tc>
          <w:tcPr>
            <w:tcW w:w="660" w:type="pct"/>
            <w:shd w:val="clear" w:color="auto" w:fill="auto"/>
            <w:noWrap/>
            <w:vAlign w:val="center"/>
          </w:tcPr>
          <w:p w14:paraId="53DEF20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12.10</w:t>
            </w:r>
          </w:p>
        </w:tc>
        <w:tc>
          <w:tcPr>
            <w:tcW w:w="615" w:type="pct"/>
            <w:shd w:val="clear" w:color="auto" w:fill="auto"/>
            <w:vAlign w:val="center"/>
          </w:tcPr>
          <w:p w14:paraId="35C8AB8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10.92</w:t>
            </w:r>
          </w:p>
        </w:tc>
      </w:tr>
      <w:tr w14:paraId="0477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64901EAE">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4C47422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4F67BD6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长安三洲厂</w:t>
            </w:r>
          </w:p>
        </w:tc>
        <w:tc>
          <w:tcPr>
            <w:tcW w:w="1366" w:type="pct"/>
            <w:shd w:val="clear" w:color="auto" w:fill="auto"/>
            <w:noWrap/>
            <w:vAlign w:val="center"/>
          </w:tcPr>
          <w:p w14:paraId="43C3FEA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东莞市长安镇锦厦三洲路2号</w:t>
            </w:r>
          </w:p>
        </w:tc>
        <w:tc>
          <w:tcPr>
            <w:tcW w:w="660" w:type="pct"/>
            <w:shd w:val="clear" w:color="auto" w:fill="auto"/>
            <w:noWrap/>
            <w:vAlign w:val="center"/>
          </w:tcPr>
          <w:p w14:paraId="0FCF93F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39.80</w:t>
            </w:r>
          </w:p>
        </w:tc>
        <w:tc>
          <w:tcPr>
            <w:tcW w:w="615" w:type="pct"/>
            <w:shd w:val="clear" w:color="auto" w:fill="auto"/>
            <w:vAlign w:val="center"/>
          </w:tcPr>
          <w:p w14:paraId="56D9DDB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41.01</w:t>
            </w:r>
          </w:p>
        </w:tc>
      </w:tr>
      <w:tr w14:paraId="37F5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shd w:val="clear" w:color="auto" w:fill="auto"/>
            <w:noWrap/>
            <w:vAlign w:val="center"/>
          </w:tcPr>
          <w:p w14:paraId="43BCA895">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1010" w:type="pct"/>
            <w:shd w:val="clear" w:color="auto" w:fill="auto"/>
            <w:noWrap/>
            <w:vAlign w:val="center"/>
          </w:tcPr>
          <w:p w14:paraId="6FD20D0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53" w:type="pct"/>
            <w:gridSpan w:val="2"/>
            <w:shd w:val="clear" w:color="auto" w:fill="auto"/>
            <w:noWrap/>
            <w:vAlign w:val="center"/>
          </w:tcPr>
          <w:p w14:paraId="1A7B246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长安新区厂</w:t>
            </w:r>
          </w:p>
        </w:tc>
        <w:tc>
          <w:tcPr>
            <w:tcW w:w="1366" w:type="pct"/>
            <w:shd w:val="clear" w:color="auto" w:fill="auto"/>
            <w:noWrap/>
            <w:vAlign w:val="center"/>
          </w:tcPr>
          <w:p w14:paraId="4BE370F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东莞市长安镇乌沙社区乌沙滩</w:t>
            </w:r>
          </w:p>
        </w:tc>
        <w:tc>
          <w:tcPr>
            <w:tcW w:w="660" w:type="pct"/>
            <w:shd w:val="clear" w:color="auto" w:fill="auto"/>
            <w:noWrap/>
            <w:vAlign w:val="center"/>
          </w:tcPr>
          <w:p w14:paraId="1689F02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37.40</w:t>
            </w:r>
          </w:p>
        </w:tc>
        <w:tc>
          <w:tcPr>
            <w:tcW w:w="615" w:type="pct"/>
            <w:shd w:val="clear" w:color="auto" w:fill="auto"/>
            <w:vAlign w:val="center"/>
          </w:tcPr>
          <w:p w14:paraId="2037E83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67.82</w:t>
            </w:r>
          </w:p>
        </w:tc>
      </w:tr>
      <w:tr w14:paraId="5321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6035FAFF">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63BDC5E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70F41BD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凤岗雁田厂一二期</w:t>
            </w:r>
          </w:p>
        </w:tc>
        <w:tc>
          <w:tcPr>
            <w:tcW w:w="1366" w:type="pct"/>
            <w:shd w:val="clear" w:color="auto" w:fill="auto"/>
            <w:noWrap/>
            <w:vAlign w:val="center"/>
          </w:tcPr>
          <w:p w14:paraId="3E1D7B0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东莞市凤岗镇雁田村</w:t>
            </w:r>
          </w:p>
        </w:tc>
        <w:tc>
          <w:tcPr>
            <w:tcW w:w="660" w:type="pct"/>
            <w:noWrap/>
            <w:vAlign w:val="center"/>
          </w:tcPr>
          <w:p w14:paraId="5396C22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83.30</w:t>
            </w:r>
          </w:p>
        </w:tc>
        <w:tc>
          <w:tcPr>
            <w:tcW w:w="615" w:type="pct"/>
            <w:vAlign w:val="center"/>
          </w:tcPr>
          <w:p w14:paraId="447A79E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16.98</w:t>
            </w:r>
          </w:p>
        </w:tc>
      </w:tr>
      <w:tr w14:paraId="2F41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7FD74A51">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7DD7076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1C40BD5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凤岗竹塘厂二期</w:t>
            </w:r>
          </w:p>
        </w:tc>
        <w:tc>
          <w:tcPr>
            <w:tcW w:w="1366" w:type="pct"/>
            <w:shd w:val="clear" w:color="auto" w:fill="auto"/>
            <w:noWrap/>
            <w:vAlign w:val="center"/>
          </w:tcPr>
          <w:p w14:paraId="4B3C6A7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东莞市凤岗镇雁田村</w:t>
            </w:r>
          </w:p>
        </w:tc>
        <w:tc>
          <w:tcPr>
            <w:tcW w:w="660" w:type="pct"/>
            <w:noWrap/>
            <w:vAlign w:val="center"/>
          </w:tcPr>
          <w:p w14:paraId="7B473F9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78.60</w:t>
            </w:r>
          </w:p>
        </w:tc>
        <w:tc>
          <w:tcPr>
            <w:tcW w:w="615" w:type="pct"/>
            <w:vAlign w:val="center"/>
          </w:tcPr>
          <w:p w14:paraId="31ED24D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20.33</w:t>
            </w:r>
          </w:p>
        </w:tc>
      </w:tr>
      <w:tr w14:paraId="31C9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011C300D">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79BD18D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6FAEF28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凤岗竹塘厂一期</w:t>
            </w:r>
          </w:p>
        </w:tc>
        <w:tc>
          <w:tcPr>
            <w:tcW w:w="1366" w:type="pct"/>
            <w:shd w:val="clear" w:color="auto" w:fill="auto"/>
            <w:noWrap/>
            <w:vAlign w:val="center"/>
          </w:tcPr>
          <w:p w14:paraId="050E42F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东莞市凤岗镇竹塘村浸校组</w:t>
            </w:r>
          </w:p>
        </w:tc>
        <w:tc>
          <w:tcPr>
            <w:tcW w:w="660" w:type="pct"/>
            <w:noWrap/>
            <w:vAlign w:val="center"/>
          </w:tcPr>
          <w:p w14:paraId="0E04E56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78.60</w:t>
            </w:r>
          </w:p>
        </w:tc>
        <w:tc>
          <w:tcPr>
            <w:tcW w:w="615" w:type="pct"/>
            <w:vAlign w:val="center"/>
          </w:tcPr>
          <w:p w14:paraId="6EAF0E6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11.58</w:t>
            </w:r>
          </w:p>
        </w:tc>
      </w:tr>
      <w:tr w14:paraId="37FD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578CDCA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1F6E66E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2A7A28E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企石厂</w:t>
            </w:r>
          </w:p>
        </w:tc>
        <w:tc>
          <w:tcPr>
            <w:tcW w:w="1366" w:type="pct"/>
            <w:shd w:val="clear" w:color="auto" w:fill="auto"/>
            <w:noWrap/>
            <w:vAlign w:val="center"/>
          </w:tcPr>
          <w:p w14:paraId="0312EED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东莞市企石镇江边管理区湖滨北路9号</w:t>
            </w:r>
          </w:p>
        </w:tc>
        <w:tc>
          <w:tcPr>
            <w:tcW w:w="660" w:type="pct"/>
            <w:noWrap/>
            <w:vAlign w:val="center"/>
          </w:tcPr>
          <w:p w14:paraId="17DD045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57.20</w:t>
            </w:r>
          </w:p>
        </w:tc>
        <w:tc>
          <w:tcPr>
            <w:tcW w:w="615" w:type="pct"/>
            <w:vAlign w:val="center"/>
          </w:tcPr>
          <w:p w14:paraId="3276797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12.78</w:t>
            </w:r>
          </w:p>
        </w:tc>
      </w:tr>
      <w:tr w14:paraId="4F88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286CA878">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204A1D1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4F3CC38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桥头厂二期</w:t>
            </w:r>
          </w:p>
        </w:tc>
        <w:tc>
          <w:tcPr>
            <w:tcW w:w="1366" w:type="pct"/>
            <w:shd w:val="clear" w:color="auto" w:fill="auto"/>
            <w:noWrap/>
            <w:vAlign w:val="center"/>
          </w:tcPr>
          <w:p w14:paraId="1D601B6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东莞市桥头镇东深路8号</w:t>
            </w:r>
          </w:p>
        </w:tc>
        <w:tc>
          <w:tcPr>
            <w:tcW w:w="660" w:type="pct"/>
            <w:noWrap/>
            <w:vAlign w:val="center"/>
          </w:tcPr>
          <w:p w14:paraId="1B113FC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63.20</w:t>
            </w:r>
          </w:p>
        </w:tc>
        <w:tc>
          <w:tcPr>
            <w:tcW w:w="615" w:type="pct"/>
            <w:vAlign w:val="center"/>
          </w:tcPr>
          <w:p w14:paraId="68ED2ED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11.47</w:t>
            </w:r>
          </w:p>
        </w:tc>
      </w:tr>
      <w:tr w14:paraId="655F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4097C96C">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2C342AF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4A58352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桥头厂一期</w:t>
            </w:r>
          </w:p>
        </w:tc>
        <w:tc>
          <w:tcPr>
            <w:tcW w:w="1366" w:type="pct"/>
            <w:shd w:val="clear" w:color="auto" w:fill="auto"/>
            <w:noWrap/>
            <w:vAlign w:val="center"/>
          </w:tcPr>
          <w:p w14:paraId="4FAAF8B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东莞市桥头镇东深路8号</w:t>
            </w:r>
          </w:p>
        </w:tc>
        <w:tc>
          <w:tcPr>
            <w:tcW w:w="660" w:type="pct"/>
            <w:noWrap/>
            <w:vAlign w:val="center"/>
          </w:tcPr>
          <w:p w14:paraId="2809725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63.20</w:t>
            </w:r>
          </w:p>
        </w:tc>
        <w:tc>
          <w:tcPr>
            <w:tcW w:w="615" w:type="pct"/>
            <w:vAlign w:val="center"/>
          </w:tcPr>
          <w:p w14:paraId="167F311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11.25</w:t>
            </w:r>
          </w:p>
        </w:tc>
      </w:tr>
      <w:tr w14:paraId="7EF2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6EAF73DB">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56FEC18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5F7610F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清溪厦坭厂二期</w:t>
            </w:r>
          </w:p>
        </w:tc>
        <w:tc>
          <w:tcPr>
            <w:tcW w:w="1366" w:type="pct"/>
            <w:shd w:val="clear" w:color="auto" w:fill="auto"/>
            <w:noWrap/>
            <w:vAlign w:val="center"/>
          </w:tcPr>
          <w:p w14:paraId="707AA6B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清溪镇厦坭村江背路75号</w:t>
            </w:r>
          </w:p>
        </w:tc>
        <w:tc>
          <w:tcPr>
            <w:tcW w:w="660" w:type="pct"/>
            <w:noWrap/>
            <w:vAlign w:val="center"/>
          </w:tcPr>
          <w:p w14:paraId="28A4751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76.30</w:t>
            </w:r>
          </w:p>
        </w:tc>
        <w:tc>
          <w:tcPr>
            <w:tcW w:w="615" w:type="pct"/>
            <w:vAlign w:val="center"/>
          </w:tcPr>
          <w:p w14:paraId="3328C24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6.53</w:t>
            </w:r>
          </w:p>
        </w:tc>
      </w:tr>
      <w:tr w14:paraId="3ED9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7FE7F548">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0AD9454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037A17F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清溪厦坭厂一期</w:t>
            </w:r>
          </w:p>
        </w:tc>
        <w:tc>
          <w:tcPr>
            <w:tcW w:w="1366" w:type="pct"/>
            <w:shd w:val="clear" w:color="auto" w:fill="auto"/>
            <w:noWrap/>
            <w:vAlign w:val="center"/>
          </w:tcPr>
          <w:p w14:paraId="718625E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清溪镇厦坭村江背路75号</w:t>
            </w:r>
          </w:p>
        </w:tc>
        <w:tc>
          <w:tcPr>
            <w:tcW w:w="660" w:type="pct"/>
            <w:noWrap/>
            <w:vAlign w:val="center"/>
          </w:tcPr>
          <w:p w14:paraId="08A2C4A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76.30</w:t>
            </w:r>
          </w:p>
        </w:tc>
        <w:tc>
          <w:tcPr>
            <w:tcW w:w="615" w:type="pct"/>
            <w:vAlign w:val="center"/>
          </w:tcPr>
          <w:p w14:paraId="1889FD6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16.04</w:t>
            </w:r>
          </w:p>
        </w:tc>
      </w:tr>
      <w:tr w14:paraId="2510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63777E5F">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7B9EC59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40CF4D6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清溪长山头厂一二期</w:t>
            </w:r>
          </w:p>
        </w:tc>
        <w:tc>
          <w:tcPr>
            <w:tcW w:w="1366" w:type="pct"/>
            <w:shd w:val="clear" w:color="auto" w:fill="auto"/>
            <w:noWrap/>
            <w:vAlign w:val="center"/>
          </w:tcPr>
          <w:p w14:paraId="3FBA2BC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东莞市清溪镇长山头村</w:t>
            </w:r>
          </w:p>
        </w:tc>
        <w:tc>
          <w:tcPr>
            <w:tcW w:w="660" w:type="pct"/>
            <w:noWrap/>
            <w:vAlign w:val="center"/>
          </w:tcPr>
          <w:p w14:paraId="37E675D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72.30</w:t>
            </w:r>
          </w:p>
        </w:tc>
        <w:tc>
          <w:tcPr>
            <w:tcW w:w="615" w:type="pct"/>
            <w:vAlign w:val="center"/>
          </w:tcPr>
          <w:p w14:paraId="3C6BAF8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22.82</w:t>
            </w:r>
          </w:p>
        </w:tc>
      </w:tr>
      <w:tr w14:paraId="671A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29702CF8">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75BC4E9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4EE0603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塘厦白泥湖厂</w:t>
            </w:r>
          </w:p>
        </w:tc>
        <w:tc>
          <w:tcPr>
            <w:tcW w:w="1366" w:type="pct"/>
            <w:shd w:val="clear" w:color="auto" w:fill="auto"/>
            <w:noWrap/>
            <w:vAlign w:val="center"/>
          </w:tcPr>
          <w:p w14:paraId="40A2FDF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东莞市塘厦镇南一横路21号</w:t>
            </w:r>
          </w:p>
        </w:tc>
        <w:tc>
          <w:tcPr>
            <w:tcW w:w="660" w:type="pct"/>
            <w:noWrap/>
            <w:vAlign w:val="center"/>
          </w:tcPr>
          <w:p w14:paraId="04CECD6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70.90</w:t>
            </w:r>
          </w:p>
        </w:tc>
        <w:tc>
          <w:tcPr>
            <w:tcW w:w="615" w:type="pct"/>
            <w:vAlign w:val="center"/>
          </w:tcPr>
          <w:p w14:paraId="2D823C7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9.26</w:t>
            </w:r>
          </w:p>
        </w:tc>
      </w:tr>
      <w:tr w14:paraId="4C6B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5E081BDB">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05D16B5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34B5BE0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塘厦林村厂二期</w:t>
            </w:r>
          </w:p>
        </w:tc>
        <w:tc>
          <w:tcPr>
            <w:tcW w:w="1366" w:type="pct"/>
            <w:shd w:val="clear" w:color="auto" w:fill="auto"/>
            <w:noWrap/>
            <w:vAlign w:val="center"/>
          </w:tcPr>
          <w:p w14:paraId="1873A79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东莞市塘厦镇林村居委会鸡爪桥猪仔沥</w:t>
            </w:r>
          </w:p>
        </w:tc>
        <w:tc>
          <w:tcPr>
            <w:tcW w:w="660" w:type="pct"/>
            <w:noWrap/>
            <w:vAlign w:val="center"/>
          </w:tcPr>
          <w:p w14:paraId="0142ED4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70.10</w:t>
            </w:r>
          </w:p>
        </w:tc>
        <w:tc>
          <w:tcPr>
            <w:tcW w:w="615" w:type="pct"/>
            <w:vAlign w:val="center"/>
          </w:tcPr>
          <w:p w14:paraId="303EFA5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13.65</w:t>
            </w:r>
          </w:p>
        </w:tc>
      </w:tr>
      <w:tr w14:paraId="293C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7AD8B268">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2B998DD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3563926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塘厦林村厂一期</w:t>
            </w:r>
          </w:p>
        </w:tc>
        <w:tc>
          <w:tcPr>
            <w:tcW w:w="1366" w:type="pct"/>
            <w:shd w:val="clear" w:color="auto" w:fill="auto"/>
            <w:noWrap/>
            <w:vAlign w:val="center"/>
          </w:tcPr>
          <w:p w14:paraId="234D835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东莞市塘厦镇林村居委会鸡爪桥猪仔沥</w:t>
            </w:r>
          </w:p>
        </w:tc>
        <w:tc>
          <w:tcPr>
            <w:tcW w:w="660" w:type="pct"/>
            <w:noWrap/>
            <w:vAlign w:val="center"/>
          </w:tcPr>
          <w:p w14:paraId="472844C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70.10</w:t>
            </w:r>
          </w:p>
        </w:tc>
        <w:tc>
          <w:tcPr>
            <w:tcW w:w="615" w:type="pct"/>
            <w:vAlign w:val="center"/>
          </w:tcPr>
          <w:p w14:paraId="2496851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49.76</w:t>
            </w:r>
          </w:p>
        </w:tc>
      </w:tr>
      <w:tr w14:paraId="0A09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2C38F1D0">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39D5581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55BB127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塘厦石桥头厂</w:t>
            </w:r>
          </w:p>
        </w:tc>
        <w:tc>
          <w:tcPr>
            <w:tcW w:w="1366" w:type="pct"/>
            <w:shd w:val="clear" w:color="auto" w:fill="auto"/>
            <w:noWrap/>
            <w:vAlign w:val="center"/>
          </w:tcPr>
          <w:p w14:paraId="4E17A30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东莞市塘厦镇环市南路132号</w:t>
            </w:r>
          </w:p>
        </w:tc>
        <w:tc>
          <w:tcPr>
            <w:tcW w:w="660" w:type="pct"/>
            <w:noWrap/>
            <w:vAlign w:val="center"/>
          </w:tcPr>
          <w:p w14:paraId="7E2B275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73.50</w:t>
            </w:r>
          </w:p>
        </w:tc>
        <w:tc>
          <w:tcPr>
            <w:tcW w:w="615" w:type="pct"/>
            <w:vAlign w:val="center"/>
          </w:tcPr>
          <w:p w14:paraId="53CC623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15.95</w:t>
            </w:r>
          </w:p>
        </w:tc>
      </w:tr>
      <w:tr w14:paraId="22E1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1F95E836">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38389D0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012800C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虾公潭厂</w:t>
            </w:r>
          </w:p>
        </w:tc>
        <w:tc>
          <w:tcPr>
            <w:tcW w:w="1366" w:type="pct"/>
            <w:shd w:val="clear" w:color="auto" w:fill="auto"/>
            <w:noWrap/>
            <w:vAlign w:val="center"/>
          </w:tcPr>
          <w:p w14:paraId="5308E4A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东莞市凤岗镇油甘埔村虾公潭污水处理厂</w:t>
            </w:r>
          </w:p>
        </w:tc>
        <w:tc>
          <w:tcPr>
            <w:tcW w:w="660" w:type="pct"/>
            <w:noWrap/>
            <w:vAlign w:val="center"/>
          </w:tcPr>
          <w:p w14:paraId="555F2BB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12.90</w:t>
            </w:r>
          </w:p>
        </w:tc>
        <w:tc>
          <w:tcPr>
            <w:tcW w:w="615" w:type="pct"/>
            <w:vAlign w:val="center"/>
          </w:tcPr>
          <w:p w14:paraId="6DB0261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5.25</w:t>
            </w:r>
          </w:p>
        </w:tc>
      </w:tr>
      <w:tr w14:paraId="661E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712A9858">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59D7FA3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63C98C3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谢岗厂二期</w:t>
            </w:r>
          </w:p>
        </w:tc>
        <w:tc>
          <w:tcPr>
            <w:tcW w:w="1366" w:type="pct"/>
            <w:shd w:val="clear" w:color="auto" w:fill="auto"/>
            <w:noWrap/>
            <w:vAlign w:val="center"/>
          </w:tcPr>
          <w:p w14:paraId="456F751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东莞市谢岗镇谢岗村工业大道北侧</w:t>
            </w:r>
          </w:p>
        </w:tc>
        <w:tc>
          <w:tcPr>
            <w:tcW w:w="660" w:type="pct"/>
            <w:noWrap/>
            <w:vAlign w:val="center"/>
          </w:tcPr>
          <w:p w14:paraId="51F67E3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69.90</w:t>
            </w:r>
          </w:p>
        </w:tc>
        <w:tc>
          <w:tcPr>
            <w:tcW w:w="615" w:type="pct"/>
            <w:vAlign w:val="center"/>
          </w:tcPr>
          <w:p w14:paraId="18F6976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8.54</w:t>
            </w:r>
          </w:p>
        </w:tc>
      </w:tr>
      <w:tr w14:paraId="0EF0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2305F09E">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46292C0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331DB5C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谢岗厂一期</w:t>
            </w:r>
          </w:p>
        </w:tc>
        <w:tc>
          <w:tcPr>
            <w:tcW w:w="1366" w:type="pct"/>
            <w:shd w:val="clear" w:color="auto" w:fill="auto"/>
            <w:noWrap/>
            <w:vAlign w:val="center"/>
          </w:tcPr>
          <w:p w14:paraId="00C2590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东莞市谢岗镇谢岗村工业大道北侧</w:t>
            </w:r>
          </w:p>
        </w:tc>
        <w:tc>
          <w:tcPr>
            <w:tcW w:w="660" w:type="pct"/>
            <w:noWrap/>
            <w:vAlign w:val="center"/>
          </w:tcPr>
          <w:p w14:paraId="2FEF0D3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69.90</w:t>
            </w:r>
          </w:p>
        </w:tc>
        <w:tc>
          <w:tcPr>
            <w:tcW w:w="615" w:type="pct"/>
            <w:vAlign w:val="center"/>
          </w:tcPr>
          <w:p w14:paraId="40F07F3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11.25</w:t>
            </w:r>
          </w:p>
        </w:tc>
      </w:tr>
      <w:tr w14:paraId="4F42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3AD09521">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59EB2A8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27EF9E7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樟木头厂三期</w:t>
            </w:r>
          </w:p>
        </w:tc>
        <w:tc>
          <w:tcPr>
            <w:tcW w:w="1366" w:type="pct"/>
            <w:shd w:val="clear" w:color="auto" w:fill="auto"/>
            <w:noWrap/>
            <w:vAlign w:val="center"/>
          </w:tcPr>
          <w:p w14:paraId="41836F2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东莞市樟木头镇柏地旗岭村柏峰路169号</w:t>
            </w:r>
          </w:p>
        </w:tc>
        <w:tc>
          <w:tcPr>
            <w:tcW w:w="660" w:type="pct"/>
            <w:noWrap/>
            <w:vAlign w:val="center"/>
          </w:tcPr>
          <w:p w14:paraId="0F3DD47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63.40</w:t>
            </w:r>
          </w:p>
        </w:tc>
        <w:tc>
          <w:tcPr>
            <w:tcW w:w="615" w:type="pct"/>
            <w:vAlign w:val="center"/>
          </w:tcPr>
          <w:p w14:paraId="6728D0F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7.30</w:t>
            </w:r>
          </w:p>
        </w:tc>
      </w:tr>
      <w:tr w14:paraId="31BE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04CB31D3">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22B7D09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749FDD1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樟木头厂一二期</w:t>
            </w:r>
          </w:p>
        </w:tc>
        <w:tc>
          <w:tcPr>
            <w:tcW w:w="1366" w:type="pct"/>
            <w:shd w:val="clear" w:color="auto" w:fill="auto"/>
            <w:noWrap/>
            <w:vAlign w:val="center"/>
          </w:tcPr>
          <w:p w14:paraId="03BD4E1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东莞市樟木头镇柏地旗岭村柏峰路169号</w:t>
            </w:r>
          </w:p>
        </w:tc>
        <w:tc>
          <w:tcPr>
            <w:tcW w:w="660" w:type="pct"/>
            <w:noWrap/>
            <w:vAlign w:val="center"/>
          </w:tcPr>
          <w:p w14:paraId="4BD79B7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63.40</w:t>
            </w:r>
          </w:p>
        </w:tc>
        <w:tc>
          <w:tcPr>
            <w:tcW w:w="615" w:type="pct"/>
            <w:vAlign w:val="center"/>
          </w:tcPr>
          <w:p w14:paraId="462F04C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15.94</w:t>
            </w:r>
          </w:p>
        </w:tc>
      </w:tr>
      <w:tr w14:paraId="1566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ign w:val="center"/>
          </w:tcPr>
          <w:p w14:paraId="3C986CF9">
            <w:pPr>
              <w:keepNext w:val="0"/>
              <w:keepLines w:val="0"/>
              <w:pageBreakBefore w:val="0"/>
              <w:widowControl/>
              <w:numPr>
                <w:ilvl w:val="0"/>
                <w:numId w:val="1"/>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1010" w:type="pct"/>
            <w:noWrap/>
            <w:vAlign w:val="center"/>
          </w:tcPr>
          <w:p w14:paraId="37446A5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53" w:type="pct"/>
            <w:gridSpan w:val="2"/>
            <w:noWrap/>
            <w:vAlign w:val="center"/>
          </w:tcPr>
          <w:p w14:paraId="095A984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樟木头裕丰厂</w:t>
            </w:r>
          </w:p>
        </w:tc>
        <w:tc>
          <w:tcPr>
            <w:tcW w:w="1366" w:type="pct"/>
            <w:shd w:val="clear" w:color="auto" w:fill="auto"/>
            <w:noWrap/>
            <w:vAlign w:val="center"/>
          </w:tcPr>
          <w:p w14:paraId="4D12412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广东省东莞市樟木头镇莞樟路樟木头段710号</w:t>
            </w:r>
          </w:p>
        </w:tc>
        <w:tc>
          <w:tcPr>
            <w:tcW w:w="660" w:type="pct"/>
            <w:noWrap/>
            <w:vAlign w:val="center"/>
          </w:tcPr>
          <w:p w14:paraId="05F59F5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63.20</w:t>
            </w:r>
          </w:p>
        </w:tc>
        <w:tc>
          <w:tcPr>
            <w:tcW w:w="615" w:type="pct"/>
            <w:vAlign w:val="center"/>
          </w:tcPr>
          <w:p w14:paraId="7DA9BD9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0.41</w:t>
            </w:r>
          </w:p>
        </w:tc>
      </w:tr>
    </w:tbl>
    <w:p w14:paraId="008FBF97">
      <w:pPr>
        <w:pStyle w:val="33"/>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本项目共确定1家运输服务单位</w:t>
      </w:r>
      <w:r>
        <w:rPr>
          <w:rFonts w:hint="eastAsia" w:ascii="宋体" w:hAnsi="宋体" w:eastAsia="宋体" w:cs="宋体"/>
          <w:color w:val="auto"/>
          <w:szCs w:val="21"/>
          <w:highlight w:val="none"/>
          <w:lang w:val="zh-CN"/>
        </w:rPr>
        <w:t>。</w:t>
      </w:r>
    </w:p>
    <w:p w14:paraId="1E0571B2">
      <w:pPr>
        <w:pStyle w:val="33"/>
        <w:spacing w:line="360" w:lineRule="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本条第3款所列清单</w:t>
      </w:r>
      <w:r>
        <w:rPr>
          <w:rFonts w:hint="eastAsia" w:ascii="宋体" w:hAnsi="宋体" w:eastAsia="宋体" w:cs="宋体"/>
          <w:b/>
          <w:bCs/>
          <w:color w:val="auto"/>
          <w:szCs w:val="21"/>
          <w:highlight w:val="none"/>
          <w:lang w:val="zh-CN"/>
        </w:rPr>
        <w:t>介绍的各污水处理厂（</w:t>
      </w:r>
      <w:r>
        <w:rPr>
          <w:rFonts w:hint="eastAsia" w:ascii="宋体" w:hAnsi="宋体" w:eastAsia="宋体" w:cs="宋体"/>
          <w:b/>
          <w:bCs/>
          <w:color w:val="auto"/>
          <w:szCs w:val="21"/>
          <w:highlight w:val="none"/>
          <w:lang w:val="en-US" w:eastAsia="zh-CN"/>
        </w:rPr>
        <w:t>处理站）</w:t>
      </w:r>
      <w:r>
        <w:rPr>
          <w:rFonts w:hint="eastAsia" w:ascii="宋体" w:hAnsi="宋体" w:eastAsia="宋体" w:cs="宋体"/>
          <w:b/>
          <w:bCs/>
          <w:color w:val="auto"/>
          <w:szCs w:val="21"/>
          <w:highlight w:val="none"/>
          <w:lang w:val="zh-CN"/>
        </w:rPr>
        <w:t>情况，以及预计的</w:t>
      </w:r>
      <w:r>
        <w:rPr>
          <w:rFonts w:hint="eastAsia" w:ascii="宋体" w:hAnsi="宋体" w:eastAsia="宋体" w:cs="宋体"/>
          <w:b/>
          <w:bCs/>
          <w:color w:val="auto"/>
          <w:szCs w:val="21"/>
          <w:highlight w:val="none"/>
        </w:rPr>
        <w:t>半干污泥</w:t>
      </w:r>
      <w:r>
        <w:rPr>
          <w:rFonts w:hint="eastAsia" w:ascii="宋体" w:hAnsi="宋体" w:eastAsia="宋体" w:cs="宋体"/>
          <w:b/>
          <w:bCs/>
          <w:color w:val="auto"/>
          <w:szCs w:val="21"/>
          <w:highlight w:val="none"/>
          <w:lang w:val="zh-CN"/>
        </w:rPr>
        <w:t>量为暂定量，仅为便于了解项目情况使用，不作为</w:t>
      </w:r>
      <w:r>
        <w:rPr>
          <w:rFonts w:hint="eastAsia" w:ascii="宋体" w:hAnsi="宋体" w:eastAsia="宋体" w:cs="宋体"/>
          <w:b/>
          <w:bCs/>
          <w:color w:val="auto"/>
          <w:szCs w:val="21"/>
          <w:highlight w:val="none"/>
          <w:lang w:val="en-US" w:eastAsia="zh-CN"/>
        </w:rPr>
        <w:t>采购人</w:t>
      </w:r>
      <w:r>
        <w:rPr>
          <w:rFonts w:hint="eastAsia" w:ascii="宋体" w:hAnsi="宋体" w:eastAsia="宋体" w:cs="宋体"/>
          <w:b/>
          <w:bCs/>
          <w:color w:val="auto"/>
          <w:szCs w:val="21"/>
          <w:highlight w:val="none"/>
          <w:lang w:val="zh-CN"/>
        </w:rPr>
        <w:t>最终委托运输量的保证，采购人有权根据实际需求进行调整，包括扩大或者缩小污水处理厂（处理站）范围，污水处理厂（处理站）位置均在东莞市辖区内。最终需要运输的污水处理厂（处理站）以及对应污泥运输量，以采购人具体需求为准，服务单位应积极响应。在服务期内，当需要转运</w:t>
      </w:r>
      <w:r>
        <w:rPr>
          <w:rFonts w:hint="eastAsia" w:ascii="宋体" w:hAnsi="宋体" w:eastAsia="宋体" w:cs="宋体"/>
          <w:b/>
          <w:bCs/>
          <w:color w:val="auto"/>
          <w:szCs w:val="21"/>
          <w:highlight w:val="none"/>
        </w:rPr>
        <w:t>半干污泥</w:t>
      </w:r>
      <w:r>
        <w:rPr>
          <w:rFonts w:hint="eastAsia" w:ascii="宋体" w:hAnsi="宋体" w:eastAsia="宋体" w:cs="宋体"/>
          <w:b/>
          <w:bCs/>
          <w:color w:val="auto"/>
          <w:szCs w:val="21"/>
          <w:highlight w:val="none"/>
          <w:lang w:val="zh-CN"/>
        </w:rPr>
        <w:t>时，</w:t>
      </w:r>
      <w:r>
        <w:rPr>
          <w:rFonts w:hint="eastAsia" w:ascii="宋体" w:hAnsi="宋体" w:eastAsia="宋体" w:cs="宋体"/>
          <w:b/>
          <w:bCs/>
          <w:color w:val="auto"/>
          <w:szCs w:val="21"/>
          <w:highlight w:val="none"/>
          <w:lang w:val="en-US" w:eastAsia="zh-CN"/>
        </w:rPr>
        <w:t>采购人</w:t>
      </w:r>
      <w:r>
        <w:rPr>
          <w:rFonts w:hint="eastAsia" w:ascii="宋体" w:hAnsi="宋体" w:eastAsia="宋体" w:cs="宋体"/>
          <w:b/>
          <w:bCs/>
          <w:color w:val="auto"/>
          <w:szCs w:val="21"/>
          <w:highlight w:val="none"/>
          <w:lang w:val="zh-CN"/>
        </w:rPr>
        <w:t>通知</w:t>
      </w:r>
      <w:r>
        <w:rPr>
          <w:rFonts w:hint="eastAsia" w:ascii="宋体" w:hAnsi="宋体" w:eastAsia="宋体" w:cs="宋体"/>
          <w:b/>
          <w:bCs/>
          <w:color w:val="auto"/>
          <w:szCs w:val="21"/>
          <w:highlight w:val="none"/>
          <w:lang w:val="en-US" w:eastAsia="zh-CN"/>
        </w:rPr>
        <w:t>服务单位</w:t>
      </w:r>
      <w:r>
        <w:rPr>
          <w:rFonts w:hint="eastAsia" w:ascii="宋体" w:hAnsi="宋体" w:eastAsia="宋体" w:cs="宋体"/>
          <w:b/>
          <w:bCs/>
          <w:color w:val="auto"/>
          <w:szCs w:val="21"/>
          <w:highlight w:val="none"/>
          <w:lang w:val="zh-CN"/>
        </w:rPr>
        <w:t>到指定污水厂进行运输。</w:t>
      </w:r>
      <w:r>
        <w:rPr>
          <w:rFonts w:hint="eastAsia" w:ascii="宋体" w:hAnsi="宋体" w:eastAsia="宋体" w:cs="宋体"/>
          <w:b/>
          <w:bCs/>
          <w:color w:val="auto"/>
          <w:szCs w:val="21"/>
          <w:highlight w:val="none"/>
          <w:lang w:val="en-US" w:eastAsia="zh-CN"/>
        </w:rPr>
        <w:t>服务单位</w:t>
      </w:r>
      <w:r>
        <w:rPr>
          <w:rFonts w:hint="eastAsia" w:ascii="宋体" w:hAnsi="宋体" w:eastAsia="宋体" w:cs="宋体"/>
          <w:b/>
          <w:bCs/>
          <w:color w:val="auto"/>
          <w:szCs w:val="21"/>
          <w:highlight w:val="none"/>
          <w:lang w:val="zh-CN"/>
        </w:rPr>
        <w:t>不得因未获得具体半干污泥转运量，或因</w:t>
      </w:r>
      <w:r>
        <w:rPr>
          <w:rFonts w:hint="eastAsia" w:ascii="宋体" w:hAnsi="宋体" w:eastAsia="宋体" w:cs="宋体"/>
          <w:b/>
          <w:bCs/>
          <w:color w:val="auto"/>
          <w:szCs w:val="21"/>
          <w:highlight w:val="none"/>
        </w:rPr>
        <w:t>半干污泥</w:t>
      </w:r>
      <w:r>
        <w:rPr>
          <w:rFonts w:hint="eastAsia" w:ascii="宋体" w:hAnsi="宋体" w:eastAsia="宋体" w:cs="宋体"/>
          <w:b/>
          <w:bCs/>
          <w:color w:val="auto"/>
          <w:szCs w:val="21"/>
          <w:highlight w:val="none"/>
          <w:lang w:val="zh-CN"/>
        </w:rPr>
        <w:t>转运量的减少或增加而要求提供任何形式的补偿或赔偿。</w:t>
      </w:r>
    </w:p>
    <w:p w14:paraId="700E5592">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二、运输服务费</w:t>
      </w:r>
    </w:p>
    <w:p w14:paraId="7EFDD47D">
      <w:pPr>
        <w:pStyle w:val="33"/>
        <w:spacing w:line="360" w:lineRule="auto"/>
        <w:rPr>
          <w:rFonts w:hint="eastAsia" w:ascii="宋体" w:hAnsi="宋体" w:eastAsia="宋体" w:cs="宋体"/>
          <w:color w:val="auto"/>
          <w:szCs w:val="21"/>
          <w:highlight w:val="none"/>
        </w:rPr>
      </w:pPr>
      <w:bookmarkStart w:id="11" w:name="_Toc23160"/>
      <w:bookmarkStart w:id="12" w:name="_Hlk46818557"/>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的报价为从东莞市区域内的污水处理厂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w:t>
      </w:r>
      <w:r>
        <w:rPr>
          <w:rFonts w:hint="eastAsia" w:ascii="宋体" w:hAnsi="宋体" w:eastAsia="宋体" w:cs="宋体"/>
          <w:color w:val="auto"/>
          <w:szCs w:val="21"/>
          <w:highlight w:val="none"/>
        </w:rPr>
        <w:t>将</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运输至</w:t>
      </w:r>
      <w:r>
        <w:rPr>
          <w:rFonts w:hint="eastAsia" w:ascii="宋体" w:hAnsi="宋体" w:eastAsia="宋体" w:cs="宋体"/>
          <w:color w:val="auto"/>
          <w:szCs w:val="21"/>
          <w:highlight w:val="none"/>
          <w:lang w:val="en-US" w:eastAsia="zh-CN"/>
        </w:rPr>
        <w:t>污泥项目</w:t>
      </w:r>
      <w:r>
        <w:rPr>
          <w:rFonts w:hint="eastAsia" w:ascii="宋体" w:hAnsi="宋体" w:eastAsia="宋体" w:cs="宋体"/>
          <w:color w:val="auto"/>
          <w:szCs w:val="21"/>
          <w:highlight w:val="none"/>
        </w:rPr>
        <w:t>的不含税运输服务费单价[单位：元/（吨·公里）]。</w:t>
      </w:r>
    </w:p>
    <w:p w14:paraId="56B23F8C">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（1）（不含税）运输服务费=不含税运输服务费单价[单位：元/（吨·公里）]×运输距离（公里）×运输</w:t>
      </w:r>
      <w:r>
        <w:rPr>
          <w:rFonts w:hint="eastAsia" w:ascii="宋体" w:hAnsi="宋体" w:eastAsia="宋体" w:cs="宋体"/>
          <w:color w:val="auto"/>
          <w:szCs w:val="21"/>
          <w:highlight w:val="none"/>
          <w:lang w:val="en-US" w:eastAsia="zh-CN"/>
        </w:rPr>
        <w:t>半干</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 xml:space="preserve">重量（吨）。 </w:t>
      </w:r>
    </w:p>
    <w:p w14:paraId="7D9182E6">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每个污水处理厂（处理站）的半干</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首次转移运输</w:t>
      </w:r>
      <w:r>
        <w:rPr>
          <w:rFonts w:hint="eastAsia" w:ascii="宋体" w:hAnsi="宋体" w:eastAsia="宋体" w:cs="宋体"/>
          <w:color w:val="auto"/>
          <w:szCs w:val="21"/>
          <w:highlight w:val="none"/>
          <w:lang w:val="en-US" w:eastAsia="zh-CN"/>
        </w:rPr>
        <w:t>前，</w:t>
      </w:r>
      <w:r>
        <w:rPr>
          <w:rFonts w:hint="eastAsia" w:ascii="宋体" w:hAnsi="宋体" w:eastAsia="宋体" w:cs="宋体"/>
          <w:color w:val="auto"/>
          <w:szCs w:val="21"/>
          <w:highlight w:val="none"/>
        </w:rPr>
        <w:t>运输路线和运输距离由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报审，经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审核确认后确定行驶路线和运输距离，经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双方签字确定后作为</w:t>
      </w:r>
      <w:r>
        <w:rPr>
          <w:rFonts w:hint="eastAsia" w:ascii="宋体" w:hAnsi="宋体" w:eastAsia="宋体" w:cs="宋体"/>
          <w:color w:val="auto"/>
          <w:szCs w:val="21"/>
          <w:highlight w:val="none"/>
          <w:lang w:val="en-US" w:eastAsia="zh-CN"/>
        </w:rPr>
        <w:t>该污水处理厂（处理站）后续</w:t>
      </w:r>
      <w:r>
        <w:rPr>
          <w:rFonts w:hint="eastAsia" w:ascii="宋体" w:hAnsi="宋体" w:eastAsia="宋体" w:cs="宋体"/>
          <w:color w:val="auto"/>
          <w:szCs w:val="21"/>
          <w:highlight w:val="none"/>
        </w:rPr>
        <w:t>运输距离的计费依据，未经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双方签订确认的路线和运输距离不得作为计费依据。</w:t>
      </w:r>
    </w:p>
    <w:p w14:paraId="515558AC">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（3）运输费按单程运输距离计算，不计算运输车辆返程路程。</w:t>
      </w:r>
    </w:p>
    <w:p w14:paraId="4CE816B0">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污泥重量以污泥项目设置的地磅系统或采购人指定的第三方地磅系统计算的重量为准，称重的过磅费用由采购人承担。服务单位对过磅重量或数据录入有异议的，可再次前往双方指定的第三方过磅复核重量，复核产生的费用由服务单位承担</w:t>
      </w:r>
      <w:r>
        <w:rPr>
          <w:rFonts w:hint="eastAsia" w:ascii="宋体" w:hAnsi="宋体" w:eastAsia="宋体" w:cs="宋体"/>
          <w:color w:val="auto"/>
          <w:szCs w:val="21"/>
          <w:highlight w:val="none"/>
        </w:rPr>
        <w:t>。</w:t>
      </w:r>
    </w:p>
    <w:p w14:paraId="29709449">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履行过程中，运输服务费单价（即销售额，不含</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销项税额）不随法律法规政策、物价人工、油价、</w:t>
      </w:r>
      <w:r>
        <w:rPr>
          <w:rFonts w:hint="eastAsia" w:ascii="宋体" w:hAnsi="宋体" w:eastAsia="宋体" w:cs="宋体"/>
          <w:color w:val="auto"/>
          <w:szCs w:val="21"/>
          <w:highlight w:val="none"/>
          <w:lang w:val="en-US" w:eastAsia="zh-CN"/>
        </w:rPr>
        <w:t>电价、</w:t>
      </w:r>
      <w:r>
        <w:rPr>
          <w:rFonts w:hint="eastAsia" w:ascii="宋体" w:hAnsi="宋体" w:eastAsia="宋体" w:cs="宋体"/>
          <w:color w:val="auto"/>
          <w:szCs w:val="21"/>
          <w:highlight w:val="none"/>
        </w:rPr>
        <w:t>路桥费、劳务成本等调整而进行调整（合同明确约定可调整的除外），未经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书面确认，</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无权增加任何费用。</w:t>
      </w:r>
    </w:p>
    <w:p w14:paraId="2B6D5ABC">
      <w:pPr>
        <w:pStyle w:val="3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lang w:val="en-US" w:eastAsia="zh-CN"/>
        </w:rPr>
        <w:t>不含税</w:t>
      </w:r>
      <w:r>
        <w:rPr>
          <w:rFonts w:hint="eastAsia" w:ascii="宋体" w:hAnsi="宋体" w:eastAsia="宋体" w:cs="宋体"/>
          <w:color w:val="auto"/>
          <w:szCs w:val="21"/>
          <w:highlight w:val="none"/>
        </w:rPr>
        <w:t>运输服务费单价包括了</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为完成</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文件约定和合同约定的全部工作所需支付的一切费用，运输服务费单价为包干价，包括但不限于</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履行本合同所发生的运输服务范围内所需的人工费（含加班</w:t>
      </w:r>
      <w:r>
        <w:rPr>
          <w:rFonts w:hint="eastAsia" w:ascii="宋体" w:hAnsi="宋体" w:eastAsia="宋体" w:cs="宋体"/>
          <w:color w:val="auto"/>
          <w:szCs w:val="21"/>
          <w:highlight w:val="none"/>
          <w:lang w:val="en-US" w:eastAsia="zh-CN"/>
        </w:rPr>
        <w:t>和节假日补贴</w:t>
      </w:r>
      <w:r>
        <w:rPr>
          <w:rFonts w:hint="eastAsia" w:ascii="宋体" w:hAnsi="宋体" w:eastAsia="宋体" w:cs="宋体"/>
          <w:color w:val="auto"/>
          <w:szCs w:val="21"/>
          <w:highlight w:val="none"/>
        </w:rPr>
        <w:t>）、车辆使用及燃油费、</w:t>
      </w:r>
      <w:r>
        <w:rPr>
          <w:rFonts w:hint="eastAsia" w:ascii="宋体" w:hAnsi="宋体" w:eastAsia="宋体" w:cs="宋体"/>
          <w:color w:val="auto"/>
          <w:szCs w:val="21"/>
          <w:highlight w:val="none"/>
          <w:lang w:val="en-US" w:eastAsia="zh-CN"/>
        </w:rPr>
        <w:t>电费、</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装车卸车的人工或器械作业费、作业现场除尘及场地清洗费、</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运输过路桥费（含高速路）、提供运输服务人员的工资、食宿、保险费（包括运输车辆交强险、第三者责任险等商业保险，</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及其雇员社会保障资金、保险、第三者责任险，环境污染责任险等）、</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重量的称重费（如有）</w:t>
      </w:r>
      <w:r>
        <w:rPr>
          <w:rFonts w:hint="eastAsia" w:ascii="宋体" w:hAnsi="宋体" w:eastAsia="宋体" w:cs="宋体"/>
          <w:color w:val="auto"/>
          <w:szCs w:val="21"/>
          <w:highlight w:val="none"/>
          <w:lang w:val="en-US" w:eastAsia="zh-CN"/>
        </w:rPr>
        <w:t>、因部分污泥贮存点现场条件限制只能安排小型运输车辆而增加的成本</w:t>
      </w:r>
      <w:r>
        <w:rPr>
          <w:rFonts w:hint="eastAsia" w:ascii="宋体" w:hAnsi="宋体" w:eastAsia="宋体" w:cs="宋体"/>
          <w:color w:val="auto"/>
          <w:szCs w:val="21"/>
          <w:highlight w:val="none"/>
        </w:rPr>
        <w:t>、日常配合服务费、</w:t>
      </w:r>
      <w:r>
        <w:rPr>
          <w:rFonts w:hint="eastAsia" w:ascii="宋体" w:hAnsi="宋体" w:eastAsia="宋体" w:cs="宋体"/>
          <w:b w:val="0"/>
          <w:bCs/>
          <w:color w:val="auto"/>
          <w:sz w:val="21"/>
          <w:szCs w:val="21"/>
          <w:highlight w:val="none"/>
          <w:lang w:val="en-US" w:eastAsia="zh-CN"/>
        </w:rPr>
        <w:t>服务单位销项税额以外的税费等</w:t>
      </w:r>
      <w:r>
        <w:rPr>
          <w:rFonts w:hint="eastAsia" w:ascii="宋体" w:hAnsi="宋体" w:eastAsia="宋体" w:cs="宋体"/>
          <w:b w:val="0"/>
          <w:bCs/>
          <w:color w:val="auto"/>
          <w:sz w:val="21"/>
          <w:szCs w:val="21"/>
          <w:highlight w:val="none"/>
        </w:rPr>
        <w:t>合同实施过程中</w:t>
      </w:r>
      <w:r>
        <w:rPr>
          <w:rFonts w:hint="eastAsia" w:ascii="宋体" w:hAnsi="宋体" w:eastAsia="宋体" w:cs="宋体"/>
          <w:b w:val="0"/>
          <w:bCs/>
          <w:color w:val="auto"/>
          <w:sz w:val="21"/>
          <w:szCs w:val="21"/>
          <w:highlight w:val="none"/>
          <w:lang w:val="en-US" w:eastAsia="zh-CN"/>
        </w:rPr>
        <w:t>产生</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lang w:val="en-US" w:eastAsia="zh-CN"/>
        </w:rPr>
        <w:t>全部</w:t>
      </w:r>
      <w:r>
        <w:rPr>
          <w:rFonts w:hint="eastAsia" w:ascii="宋体" w:hAnsi="宋体" w:eastAsia="宋体" w:cs="宋体"/>
          <w:b w:val="0"/>
          <w:bCs/>
          <w:color w:val="auto"/>
          <w:sz w:val="21"/>
          <w:szCs w:val="21"/>
          <w:highlight w:val="none"/>
        </w:rPr>
        <w:t>直接和间接费用</w:t>
      </w:r>
      <w:r>
        <w:rPr>
          <w:rFonts w:hint="eastAsia" w:ascii="宋体" w:hAnsi="宋体" w:eastAsia="宋体" w:cs="宋体"/>
          <w:color w:val="auto"/>
          <w:szCs w:val="21"/>
          <w:highlight w:val="none"/>
        </w:rPr>
        <w:t>。依法计得并根据采购项目合同约定确定的销项税额由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承担。</w:t>
      </w:r>
    </w:p>
    <w:p w14:paraId="31D0BE5F">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污泥运输量确认及资料要求</w:t>
      </w:r>
    </w:p>
    <w:p w14:paraId="73532F58">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运输距离根据百度地图APP对应类型货车行驶路线最短距离计算，按四舍五入保留到个位数（公里）。百度地图推荐多条路线时，以距离最短方案载明的路线里程为准，不考虑躲避拥堵、红绿灯少等偏好。因公安及交通等管理部门规定限行，以及根据实际情况存在限重确实需要绕行的，需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审核同意后以调整后的运输路线距离作为计费的运输距离。</w:t>
      </w:r>
    </w:p>
    <w:p w14:paraId="6A937715">
      <w:pPr>
        <w:pStyle w:val="33"/>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在转移</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时，应配合</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按照规范填写《生活</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专用），</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运送人员和</w:t>
      </w:r>
      <w:r>
        <w:rPr>
          <w:rFonts w:hint="eastAsia" w:ascii="宋体" w:hAnsi="宋体" w:eastAsia="宋体" w:cs="宋体"/>
          <w:color w:val="auto"/>
          <w:szCs w:val="21"/>
          <w:highlight w:val="none"/>
          <w:lang w:eastAsia="zh-CN"/>
        </w:rPr>
        <w:t>采购人污泥</w:t>
      </w:r>
      <w:r>
        <w:rPr>
          <w:rFonts w:hint="eastAsia" w:ascii="宋体" w:hAnsi="宋体" w:eastAsia="宋体" w:cs="宋体"/>
          <w:color w:val="auto"/>
          <w:szCs w:val="21"/>
          <w:highlight w:val="none"/>
        </w:rPr>
        <w:t>管理人员交接时共同核对填写并盖章，并配合办理东莞市</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主管部门相关备案手续。</w:t>
      </w:r>
    </w:p>
    <w:p w14:paraId="362EA5D5">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3、服务单位</w:t>
      </w:r>
      <w:r>
        <w:rPr>
          <w:rFonts w:hint="eastAsia" w:ascii="宋体" w:hAnsi="宋体" w:eastAsia="宋体" w:cs="宋体"/>
          <w:color w:val="auto"/>
          <w:szCs w:val="21"/>
          <w:highlight w:val="none"/>
        </w:rPr>
        <w:t>必须在污泥到达</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指定卸货点的次日10:00前，向</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提供该车污泥装卸货过程中的相关资料。</w:t>
      </w:r>
    </w:p>
    <w:p w14:paraId="0CED8C70">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资料制作要求：（1）运输车辆到达</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装车地点，拍摄装车过程照片，装车照片应清晰显示车牌号码及车辆正在进行</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装车；（2）装车完成后上锁封条，拍摄封条照片，封条照片应清晰显示封条编号及封条未拆卸；（3）填写一式两份派车单并由运输司机及现场负责人签名，提交给</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w:t>
      </w:r>
      <w:r>
        <w:rPr>
          <w:rFonts w:hint="eastAsia" w:ascii="宋体" w:hAnsi="宋体" w:eastAsia="宋体" w:cs="宋体"/>
          <w:color w:val="auto"/>
          <w:szCs w:val="21"/>
          <w:highlight w:val="none"/>
          <w:lang w:val="en-US" w:eastAsia="zh-CN"/>
        </w:rPr>
        <w:t>采购人指定卸泥点</w:t>
      </w:r>
      <w:r>
        <w:rPr>
          <w:rFonts w:hint="eastAsia" w:ascii="宋体" w:hAnsi="宋体" w:eastAsia="宋体" w:cs="宋体"/>
          <w:color w:val="auto"/>
          <w:szCs w:val="21"/>
          <w:highlight w:val="none"/>
        </w:rPr>
        <w:t>后拍摄卸货前封条照片，照片应清晰显示封条编号及封条未拆封；（7）卸货过程应拍摄照片及视频，照片应清晰显示车牌号码、正在起斗的过程，以及车后的泥仓；视频应按</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的视频模板拍摄，视频时长约15秒，从车头车牌开始录制，缓慢移步至车辆一侧录制卸泥过程，要求显示起斗过程及泥仓；（8）卸货完成后，磅单与联单合拍照片，照片应清晰显示各项信息，包括出厂日期、过磅时间、重量、联单编号及各处签名等；（9）上述照片、视频务必使用“今日水印相机”软件拍摄、录制，定位信息能清晰显示地点及日期。</w:t>
      </w:r>
    </w:p>
    <w:p w14:paraId="19E21CFC">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资料提交要求：（1）</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lang w:val="en-US" w:eastAsia="zh-CN"/>
        </w:rPr>
        <w:t>本条款</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进行拍摄、整理每日运输影像资料后，以压缩文件形式在次日上午10:00前发送至</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指定邮箱：swjt_dsyhn@163.com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邮箱如有变化以采购人通知为准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；邮件及影像资料附件名称为“</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日期（年月日）+</w:t>
      </w:r>
      <w:r>
        <w:rPr>
          <w:rFonts w:hint="eastAsia" w:ascii="宋体" w:hAnsi="宋体" w:eastAsia="宋体" w:cs="宋体"/>
          <w:color w:val="auto"/>
          <w:szCs w:val="21"/>
          <w:highlight w:val="none"/>
          <w:lang w:val="en-US" w:eastAsia="zh-CN"/>
        </w:rPr>
        <w:t>污泥运输</w:t>
      </w:r>
      <w:r>
        <w:rPr>
          <w:rFonts w:hint="eastAsia" w:ascii="宋体" w:hAnsi="宋体" w:eastAsia="宋体" w:cs="宋体"/>
          <w:color w:val="auto"/>
          <w:szCs w:val="21"/>
          <w:highlight w:val="none"/>
        </w:rPr>
        <w:t>资料”；（2）</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+日期+联单磅单”为一级文件夹名称，“</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产生单位”为二级文件夹名称，将过程资料放入该文件夹中，通过邮件提交给</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w:t>
      </w:r>
    </w:p>
    <w:p w14:paraId="6B077C60">
      <w:pPr>
        <w:pStyle w:val="33"/>
        <w:spacing w:line="360" w:lineRule="auto"/>
        <w:ind w:firstLine="420" w:firstLineChars="200"/>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rPr>
        <w:t>自</w:t>
      </w:r>
      <w:r>
        <w:rPr>
          <w:rFonts w:hint="eastAsia" w:ascii="宋体" w:hAnsi="宋体" w:eastAsia="宋体" w:cs="宋体"/>
          <w:i w:val="0"/>
          <w:iCs w:val="0"/>
          <w:caps w:val="0"/>
          <w:color w:val="auto"/>
          <w:spacing w:val="0"/>
          <w:sz w:val="21"/>
          <w:szCs w:val="21"/>
          <w:highlight w:val="none"/>
          <w:shd w:val="clear"/>
          <w:lang w:eastAsia="zh-CN"/>
        </w:rPr>
        <w:t>采购人</w:t>
      </w:r>
      <w:r>
        <w:rPr>
          <w:rFonts w:hint="eastAsia" w:ascii="宋体" w:hAnsi="宋体" w:eastAsia="宋体" w:cs="宋体"/>
          <w:i w:val="0"/>
          <w:iCs w:val="0"/>
          <w:caps w:val="0"/>
          <w:color w:val="auto"/>
          <w:spacing w:val="0"/>
          <w:sz w:val="21"/>
          <w:szCs w:val="21"/>
          <w:highlight w:val="none"/>
          <w:shd w:val="clear"/>
        </w:rPr>
        <w:t>指定的智慧化系统平台投入使用后，以</w:t>
      </w:r>
      <w:r>
        <w:rPr>
          <w:rFonts w:hint="eastAsia" w:ascii="宋体" w:hAnsi="宋体" w:eastAsia="宋体" w:cs="宋体"/>
          <w:i w:val="0"/>
          <w:iCs w:val="0"/>
          <w:caps w:val="0"/>
          <w:color w:val="auto"/>
          <w:spacing w:val="0"/>
          <w:sz w:val="21"/>
          <w:szCs w:val="21"/>
          <w:highlight w:val="none"/>
          <w:shd w:val="clear"/>
          <w:lang w:eastAsia="zh-CN"/>
        </w:rPr>
        <w:t>采购人</w:t>
      </w:r>
      <w:r>
        <w:rPr>
          <w:rFonts w:hint="eastAsia" w:ascii="宋体" w:hAnsi="宋体" w:eastAsia="宋体" w:cs="宋体"/>
          <w:i w:val="0"/>
          <w:iCs w:val="0"/>
          <w:caps w:val="0"/>
          <w:color w:val="auto"/>
          <w:spacing w:val="0"/>
          <w:sz w:val="21"/>
          <w:szCs w:val="21"/>
          <w:highlight w:val="none"/>
          <w:shd w:val="clear"/>
        </w:rPr>
        <w:t>发出正式通知</w:t>
      </w:r>
      <w:r>
        <w:rPr>
          <w:rFonts w:hint="eastAsia" w:ascii="宋体" w:hAnsi="宋体" w:eastAsia="宋体" w:cs="宋体"/>
          <w:i w:val="0"/>
          <w:iCs w:val="0"/>
          <w:caps w:val="0"/>
          <w:color w:val="auto"/>
          <w:spacing w:val="0"/>
          <w:sz w:val="21"/>
          <w:szCs w:val="21"/>
          <w:highlight w:val="none"/>
          <w:shd w:val="clear"/>
          <w:lang w:val="en-US" w:eastAsia="zh-CN"/>
        </w:rPr>
        <w:t>之日起</w:t>
      </w:r>
      <w:r>
        <w:rPr>
          <w:rFonts w:hint="eastAsia" w:ascii="宋体" w:hAnsi="宋体" w:eastAsia="宋体" w:cs="宋体"/>
          <w:i w:val="0"/>
          <w:iCs w:val="0"/>
          <w:caps w:val="0"/>
          <w:color w:val="auto"/>
          <w:spacing w:val="0"/>
          <w:sz w:val="21"/>
          <w:szCs w:val="21"/>
          <w:highlight w:val="none"/>
          <w:shd w:val="clear"/>
        </w:rPr>
        <w:t>，</w:t>
      </w:r>
      <w:r>
        <w:rPr>
          <w:rFonts w:hint="eastAsia" w:ascii="宋体" w:hAnsi="宋体" w:eastAsia="宋体" w:cs="宋体"/>
          <w:i w:val="0"/>
          <w:iCs w:val="0"/>
          <w:caps w:val="0"/>
          <w:color w:val="auto"/>
          <w:spacing w:val="0"/>
          <w:sz w:val="21"/>
          <w:szCs w:val="21"/>
          <w:highlight w:val="none"/>
          <w:shd w:val="clear"/>
          <w:lang w:eastAsia="zh-CN"/>
        </w:rPr>
        <w:t>服务单位</w:t>
      </w:r>
      <w:r>
        <w:rPr>
          <w:rFonts w:hint="eastAsia" w:ascii="宋体" w:hAnsi="宋体" w:eastAsia="宋体" w:cs="宋体"/>
          <w:i w:val="0"/>
          <w:iCs w:val="0"/>
          <w:caps w:val="0"/>
          <w:color w:val="auto"/>
          <w:spacing w:val="0"/>
          <w:sz w:val="21"/>
          <w:szCs w:val="21"/>
          <w:highlight w:val="none"/>
          <w:shd w:val="clear"/>
          <w:lang w:val="en-US" w:eastAsia="zh-CN"/>
        </w:rPr>
        <w:t>不再需通过邮件报送运输资料</w:t>
      </w:r>
      <w:r>
        <w:rPr>
          <w:rFonts w:hint="eastAsia" w:ascii="宋体" w:hAnsi="宋体" w:eastAsia="宋体" w:cs="宋体"/>
          <w:i w:val="0"/>
          <w:iCs w:val="0"/>
          <w:caps w:val="0"/>
          <w:color w:val="auto"/>
          <w:spacing w:val="0"/>
          <w:sz w:val="21"/>
          <w:szCs w:val="21"/>
          <w:highlight w:val="none"/>
          <w:shd w:val="clear"/>
        </w:rPr>
        <w:t>，</w:t>
      </w:r>
      <w:r>
        <w:rPr>
          <w:rFonts w:hint="eastAsia" w:ascii="宋体" w:hAnsi="宋体" w:eastAsia="宋体" w:cs="宋体"/>
          <w:i w:val="0"/>
          <w:iCs w:val="0"/>
          <w:caps w:val="0"/>
          <w:color w:val="auto"/>
          <w:spacing w:val="0"/>
          <w:sz w:val="21"/>
          <w:szCs w:val="21"/>
          <w:highlight w:val="none"/>
          <w:shd w:val="clear"/>
          <w:lang w:val="en-US" w:eastAsia="zh-CN"/>
        </w:rPr>
        <w:t>转而</w:t>
      </w:r>
      <w:r>
        <w:rPr>
          <w:rFonts w:hint="eastAsia" w:ascii="宋体" w:hAnsi="宋体" w:eastAsia="宋体" w:cs="宋体"/>
          <w:i w:val="0"/>
          <w:iCs w:val="0"/>
          <w:caps w:val="0"/>
          <w:color w:val="auto"/>
          <w:spacing w:val="0"/>
          <w:sz w:val="21"/>
          <w:szCs w:val="21"/>
          <w:highlight w:val="none"/>
          <w:shd w:val="clear"/>
        </w:rPr>
        <w:t>全面启用智慧化系统平台</w:t>
      </w:r>
      <w:r>
        <w:rPr>
          <w:rFonts w:hint="eastAsia" w:ascii="宋体" w:hAnsi="宋体" w:eastAsia="宋体" w:cs="宋体"/>
          <w:i w:val="0"/>
          <w:iCs w:val="0"/>
          <w:caps w:val="0"/>
          <w:color w:val="auto"/>
          <w:spacing w:val="0"/>
          <w:sz w:val="21"/>
          <w:szCs w:val="21"/>
          <w:highlight w:val="none"/>
          <w:shd w:val="clear"/>
          <w:lang w:eastAsia="zh-CN"/>
        </w:rPr>
        <w:t>，</w:t>
      </w:r>
      <w:r>
        <w:rPr>
          <w:rFonts w:hint="eastAsia" w:ascii="宋体" w:hAnsi="宋体" w:eastAsia="宋体" w:cs="宋体"/>
          <w:i w:val="0"/>
          <w:iCs w:val="0"/>
          <w:caps w:val="0"/>
          <w:color w:val="auto"/>
          <w:spacing w:val="0"/>
          <w:sz w:val="21"/>
          <w:szCs w:val="21"/>
          <w:highlight w:val="none"/>
          <w:shd w:val="clear"/>
          <w:lang w:val="en-US" w:eastAsia="zh-CN"/>
        </w:rPr>
        <w:t>按采购人要求</w:t>
      </w:r>
      <w:r>
        <w:rPr>
          <w:rFonts w:hint="eastAsia" w:ascii="宋体" w:hAnsi="宋体" w:eastAsia="宋体" w:cs="宋体"/>
          <w:i w:val="0"/>
          <w:iCs w:val="0"/>
          <w:caps w:val="0"/>
          <w:color w:val="auto"/>
          <w:spacing w:val="0"/>
          <w:sz w:val="21"/>
          <w:szCs w:val="21"/>
          <w:highlight w:val="none"/>
          <w:shd w:val="clear"/>
        </w:rPr>
        <w:t>进行资料的登记、上传</w:t>
      </w:r>
      <w:r>
        <w:rPr>
          <w:rFonts w:hint="eastAsia" w:ascii="宋体" w:hAnsi="宋体" w:eastAsia="宋体" w:cs="宋体"/>
          <w:i w:val="0"/>
          <w:iCs w:val="0"/>
          <w:caps w:val="0"/>
          <w:color w:val="auto"/>
          <w:spacing w:val="0"/>
          <w:sz w:val="21"/>
          <w:szCs w:val="21"/>
          <w:highlight w:val="none"/>
          <w:shd w:val="clear"/>
          <w:lang w:val="en-US" w:eastAsia="zh-CN"/>
        </w:rPr>
        <w:t>工作</w:t>
      </w:r>
      <w:r>
        <w:rPr>
          <w:rFonts w:hint="eastAsia" w:ascii="宋体" w:hAnsi="宋体" w:eastAsia="宋体" w:cs="宋体"/>
          <w:i w:val="0"/>
          <w:iCs w:val="0"/>
          <w:caps w:val="0"/>
          <w:color w:val="auto"/>
          <w:spacing w:val="0"/>
          <w:sz w:val="21"/>
          <w:szCs w:val="21"/>
          <w:highlight w:val="none"/>
          <w:shd w:val="clear"/>
        </w:rPr>
        <w:t>。</w:t>
      </w:r>
    </w:p>
    <w:p w14:paraId="4D93E787">
      <w:pPr>
        <w:pStyle w:val="33"/>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4、服务单位通过采购人指定的智慧化系统平台处理运输任务及填报上传污泥运输资料，包括但不限于以下内容：</w:t>
      </w:r>
    </w:p>
    <w:p w14:paraId="5A894AA6">
      <w:pPr>
        <w:pStyle w:val="33"/>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（1）采购人指定的智慧化系统平台包括电脑端和移动端，电脑或手机等设备由服务单位自行配备，采购人仅提供系统平台的使用。</w:t>
      </w:r>
    </w:p>
    <w:p w14:paraId="022368F2">
      <w:pPr>
        <w:pStyle w:val="33"/>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（2）服务单位应按采购人要求在智慧化系统平台上上传污泥运输车队相关基本信息（包括但不限于运输车辆行驶证、驾驶员驾驶证等）。</w:t>
      </w:r>
    </w:p>
    <w:p w14:paraId="45D73564">
      <w:pPr>
        <w:pStyle w:val="33"/>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（3）服务单位应按采购人要求通过指定的线上或线下方式每日及时处理运输任务，派遣司机和车辆并及时反馈给采购人。</w:t>
      </w:r>
    </w:p>
    <w:p w14:paraId="1A029964">
      <w:pPr>
        <w:pStyle w:val="33"/>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单位应按指定的运输需求任务进行污泥运输，服务单位应按采购人要求，在采购人指定的系统平台填报和上传相关资料，相关资料包括但不限于污泥装车过程照片、过磅单、污泥卸车照片和视频、转运联单等。</w:t>
      </w:r>
    </w:p>
    <w:p w14:paraId="31C39B86">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、污泥外运次日，</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应与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对磅单《生活污泥转移联单》（污泥专用）、《月度污泥外运签证表》数据进行初次核对确认污泥转移运输数量。</w:t>
      </w:r>
    </w:p>
    <w:p w14:paraId="64D139BA">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每月一次</w:t>
      </w:r>
      <w:r>
        <w:rPr>
          <w:rFonts w:hint="eastAsia" w:ascii="宋体" w:hAnsi="宋体" w:eastAsia="宋体" w:cs="宋体"/>
          <w:color w:val="auto"/>
          <w:szCs w:val="21"/>
          <w:highlight w:val="none"/>
        </w:rPr>
        <w:t>的频次，根据初次核对确认的</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外运数量和资料填报要求，向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提交经</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盖章确认的《生活</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专用）、磅单、《月度</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外运签证表》（含电子文档）等资料。</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对接收的资料复核后，发现资料有误的，</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必须在3日内按要求重新提交。</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将复核后的资料送</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产生单位盖章确认，经</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产生单位、</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共同签字/盖章确认后，确定该批次</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实际转移数量，并由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交东莞市环境保护部门留存备查，经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以及污泥产生单位三方共同签字/盖章确认的资料才可作为有效请款凭证。</w:t>
      </w:r>
    </w:p>
    <w:p w14:paraId="266A3BB9">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双方权利义务</w:t>
      </w:r>
    </w:p>
    <w:p w14:paraId="5A062CEE">
      <w:pPr>
        <w:spacing w:line="360" w:lineRule="auto"/>
        <w:ind w:firstLine="420" w:firstLineChars="20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1、采购人</w:t>
      </w:r>
      <w:r>
        <w:rPr>
          <w:rFonts w:hint="eastAsia" w:ascii="宋体" w:hAnsi="宋体" w:eastAsia="宋体" w:cs="宋体"/>
          <w:b w:val="0"/>
          <w:bCs/>
          <w:color w:val="auto"/>
          <w:sz w:val="21"/>
          <w:szCs w:val="21"/>
          <w:highlight w:val="none"/>
        </w:rPr>
        <w:t>权利和义务</w:t>
      </w:r>
    </w:p>
    <w:p w14:paraId="41A951A9">
      <w:pPr>
        <w:spacing w:line="360" w:lineRule="auto"/>
        <w:ind w:firstLine="420" w:firstLineChars="20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采购人有权监督、查阅污泥运输车辆的行车记录或数据，若发现服务单位存在中间装卸操作、偷排偷倒等问题，采购人有权终止合同并追究服务单位的违约责任，因此导致的法律及相关责任由服务单位承担。</w:t>
      </w:r>
    </w:p>
    <w:p w14:paraId="53D52D5B">
      <w:pPr>
        <w:spacing w:line="360" w:lineRule="auto"/>
        <w:ind w:firstLine="420" w:firstLineChars="200"/>
        <w:contextualSpacing/>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合同约定的其他采购人</w:t>
      </w:r>
      <w:r>
        <w:rPr>
          <w:rFonts w:hint="eastAsia" w:ascii="宋体" w:hAnsi="宋体" w:eastAsia="宋体" w:cs="宋体"/>
          <w:b w:val="0"/>
          <w:bCs/>
          <w:color w:val="auto"/>
          <w:sz w:val="21"/>
          <w:szCs w:val="21"/>
          <w:highlight w:val="none"/>
        </w:rPr>
        <w:t>权利和义务</w:t>
      </w:r>
      <w:r>
        <w:rPr>
          <w:rFonts w:hint="eastAsia" w:ascii="宋体" w:hAnsi="宋体" w:eastAsia="宋体" w:cs="宋体"/>
          <w:b w:val="0"/>
          <w:bCs/>
          <w:color w:val="auto"/>
          <w:sz w:val="21"/>
          <w:szCs w:val="21"/>
          <w:highlight w:val="none"/>
          <w:lang w:eastAsia="zh-CN"/>
        </w:rPr>
        <w:t>。</w:t>
      </w:r>
    </w:p>
    <w:p w14:paraId="52535D45">
      <w:pPr>
        <w:spacing w:line="360" w:lineRule="auto"/>
        <w:ind w:firstLine="420" w:firstLineChars="200"/>
        <w:contextualSpacing/>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2、服务单位权利和义务</w:t>
      </w:r>
    </w:p>
    <w:p w14:paraId="5C0BEBAE">
      <w:pPr>
        <w:pStyle w:val="33"/>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安排专人负责本项目管理，调度运输车辆，收集每车外运</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的电子地磅的称重单（含载泥前的称重单和载泥时的称重单），建立</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运输台账，详细、如实记录</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接收量、装车地点、卸车地点、运输距离等情况，并接受</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的监督、管理，并如实向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反映</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收运情况。</w:t>
      </w:r>
    </w:p>
    <w:p w14:paraId="7768E915">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运输过程中不得进行中间装卸操作，严禁将</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在污水处理厂外进行中转存放或堆放，严禁将</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向环境中倾倒、丢弃、遗洒，发生以上事件所产生的一切行政和经济法律责任由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承担。</w:t>
      </w:r>
    </w:p>
    <w:p w14:paraId="7A1EAD3C">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应严格按照交通运输及相关法律、法规操作，安全、合法地运输，在任何情况下都不得进行任何形式的超载运输，否则造成的一切后果由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承担。</w:t>
      </w:r>
    </w:p>
    <w:p w14:paraId="328C06D6">
      <w:pPr>
        <w:pStyle w:val="33"/>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服务单位应按采购人要求服从污泥项目所在园区相关管理条例，对于所有参与本次污泥运输服务的运输车辆，均需向立沙岛精细化工园区管委会审批备案以获取入园资格。</w:t>
      </w:r>
    </w:p>
    <w:p w14:paraId="68AB3DA0">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应当配合</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指定接卸地点现场人员调度，遵守装车、卸车现场安全作业行为规范。在接收</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时必须严格遵守</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指定接卸地点的现场安全、环境、质量管理要求以及相关管理规定，根据</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安全管理要求做好相关防护措施，维护好</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指定接卸地点场地卫生环境现象，每车离场前必须清扫干净装车、卸车区域地面，保持该区域卫生情况良好。</w:t>
      </w:r>
    </w:p>
    <w:p w14:paraId="29230A86">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对运输过程的环境、安全负全责。运输过程中，</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应进行全过程监控和管理，防止因裸露、散落、泄漏、随意丢弃或倾倒等造成二次污染，</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负责做好</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运输及装卸过程的安全、卫生及防止</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污染扩散工作。运输过程中导致环境污染的，由</w:t>
      </w:r>
      <w:r>
        <w:rPr>
          <w:rFonts w:hint="eastAsia" w:ascii="宋体" w:hAnsi="宋体" w:eastAsia="宋体" w:cs="宋体"/>
          <w:color w:val="auto"/>
          <w:szCs w:val="21"/>
          <w:highlight w:val="none"/>
          <w:lang w:eastAsia="zh-CN"/>
        </w:rPr>
        <w:t>服务单位自行</w:t>
      </w:r>
      <w:r>
        <w:rPr>
          <w:rFonts w:hint="eastAsia" w:ascii="宋体" w:hAnsi="宋体" w:eastAsia="宋体" w:cs="宋体"/>
          <w:color w:val="auto"/>
          <w:szCs w:val="21"/>
          <w:highlight w:val="none"/>
        </w:rPr>
        <w:t>承担相应的行政责任及经济责任，并承担由此产生的一切行政和经济法律责任。</w:t>
      </w:r>
    </w:p>
    <w:p w14:paraId="189FC992">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指定装卸地点厂区内按指定路线完成</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运输工作，</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车辆在</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指定接卸地点厂区内的安全由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自行负责，在行驶过程中如对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指定接卸地点的构筑物及设备或人员造成侵害的，或对第三方人身或财产造成损害的，服务单位自行负责修复或赔偿。</w:t>
      </w:r>
    </w:p>
    <w:p w14:paraId="4B3C02F5">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必须制定与</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转运有关的规章制度和发生意外事故时的应急预案，并</w:t>
      </w:r>
      <w:r>
        <w:rPr>
          <w:rFonts w:hint="eastAsia" w:ascii="宋体" w:hAnsi="宋体" w:eastAsia="宋体" w:cs="宋体"/>
          <w:color w:val="auto"/>
          <w:szCs w:val="21"/>
          <w:highlight w:val="none"/>
          <w:lang w:val="en-US" w:eastAsia="zh-CN"/>
        </w:rPr>
        <w:t>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报备。在运输过程中发生燃烧、爆炸、污染、中毒或者被盗、丢失、流散、泄漏等事故，</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应当立即采取紧急处理措施，运输驾驶员、押运人员应当立即向公安部门、</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、环境保护行政主管部门报告，说明事故情况，并采取一切可能的警示措施和应急措施，积极配合有关部门进行处置。</w:t>
      </w:r>
    </w:p>
    <w:p w14:paraId="11E98B64">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聘用的运输从业人员应具备《中华人民共和国道路运输从业人员从业资格证》或相关从业资格证并在核定的从业范围内，并保证在本合同履行过程中前述资质及证件始终有效。在从事道路运输活动时，</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应当携带相应的从业资格证件，并应当遵守国家相关法规和道路运输安全操作规程，不得违法经营、违章作业。</w:t>
      </w:r>
    </w:p>
    <w:p w14:paraId="0F40821E">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应按照</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通知的时间、转运量安排车辆到指定的地点将</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及时运输至</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指定的处理</w:t>
      </w:r>
      <w:r>
        <w:rPr>
          <w:rFonts w:hint="eastAsia" w:ascii="宋体" w:hAnsi="宋体" w:eastAsia="宋体" w:cs="宋体"/>
          <w:color w:val="auto"/>
          <w:szCs w:val="21"/>
          <w:highlight w:val="none"/>
          <w:lang w:val="en-US" w:eastAsia="zh-CN"/>
        </w:rPr>
        <w:t>处置</w:t>
      </w:r>
      <w:r>
        <w:rPr>
          <w:rFonts w:hint="eastAsia" w:ascii="宋体" w:hAnsi="宋体" w:eastAsia="宋体" w:cs="宋体"/>
          <w:color w:val="auto"/>
          <w:szCs w:val="21"/>
          <w:highlight w:val="none"/>
        </w:rPr>
        <w:t>地点，如果</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不能按</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通知的时间前来收运，应至少提前6小时先向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告知，并取得</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同意后才能更改收运时间，如</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未能及时告知或未取得</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同意擅自更改收运时间，则应承担因此造成的后果并赔偿</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所遭受的损失。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服务期内累计出现3次或以上前述事件的，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有权单方面解除合同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因此对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产生的经济损失，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将根据合同约定追究</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的违约责任。</w:t>
      </w:r>
    </w:p>
    <w:p w14:paraId="27B9635B">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不得借故拒绝接受委托。</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如因车辆维修、年检等原因导致预定运输车辆无法调配的，在取得</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同意后应及时更换运输车辆，但不得更改收运时间。若确实无法调配运输车辆，不能对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该批次</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等进行运输的，应在当天出具书面通知函告知</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，获得</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同意后方可暂停运输。除非因外部环境或不可抗力因素影响外，</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无法按要求对</w:t>
      </w:r>
      <w:r>
        <w:rPr>
          <w:rFonts w:hint="eastAsia" w:ascii="宋体" w:hAnsi="宋体" w:eastAsia="宋体" w:cs="宋体"/>
          <w:color w:val="auto"/>
          <w:szCs w:val="21"/>
          <w:highlight w:val="none"/>
          <w:lang w:eastAsia="zh-CN"/>
        </w:rPr>
        <w:t>采购人污泥</w:t>
      </w:r>
      <w:r>
        <w:rPr>
          <w:rFonts w:hint="eastAsia" w:ascii="宋体" w:hAnsi="宋体" w:eastAsia="宋体" w:cs="宋体"/>
          <w:color w:val="auto"/>
          <w:szCs w:val="21"/>
          <w:highlight w:val="none"/>
        </w:rPr>
        <w:t>等进行运输服务的，视为</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违约。</w:t>
      </w:r>
    </w:p>
    <w:p w14:paraId="6BC29EB7">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不得将</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交付的</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交由第三方运输，禁止转包，否则，由此导致的一切责任和风险全部由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承担，并根据合同的约定承担违约责任，赔偿由此给</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造成的损失。</w:t>
      </w:r>
    </w:p>
    <w:p w14:paraId="03DB8CD5">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w:t>
      </w:r>
      <w:bookmarkEnd w:id="11"/>
      <w:r>
        <w:rPr>
          <w:rFonts w:hint="eastAsia" w:ascii="宋体" w:hAnsi="宋体" w:eastAsia="宋体" w:cs="宋体"/>
          <w:b/>
          <w:color w:val="auto"/>
          <w:sz w:val="21"/>
          <w:szCs w:val="21"/>
          <w:highlight w:val="none"/>
        </w:rPr>
        <w:t>服务要求</w:t>
      </w:r>
    </w:p>
    <w:bookmarkEnd w:id="12"/>
    <w:p w14:paraId="6877C354">
      <w:pPr>
        <w:pStyle w:val="33"/>
        <w:spacing w:line="360" w:lineRule="auto"/>
        <w:ind w:firstLine="420" w:firstLineChars="200"/>
        <w:rPr>
          <w:rFonts w:hint="eastAsia" w:ascii="宋体" w:hAnsi="宋体" w:eastAsia="宋体" w:cs="宋体"/>
          <w:color w:val="auto"/>
          <w:szCs w:val="21"/>
          <w:highlight w:val="none"/>
        </w:rPr>
      </w:pPr>
      <w:bookmarkStart w:id="13" w:name="_Hlk33965115"/>
      <w:r>
        <w:rPr>
          <w:rFonts w:hint="eastAsia" w:ascii="宋体" w:hAnsi="宋体" w:eastAsia="宋体" w:cs="宋体"/>
          <w:color w:val="auto"/>
          <w:szCs w:val="21"/>
          <w:highlight w:val="none"/>
        </w:rPr>
        <w:t>1、为保证污水处理厂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w:t>
      </w:r>
      <w:r>
        <w:rPr>
          <w:rFonts w:hint="eastAsia" w:ascii="宋体" w:hAnsi="宋体" w:eastAsia="宋体" w:cs="宋体"/>
          <w:color w:val="auto"/>
          <w:szCs w:val="21"/>
          <w:highlight w:val="none"/>
        </w:rPr>
        <w:t>的正常生产运营，</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必须具备每天不间断实施</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运输的能力。在</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通知</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转运的时间内，必须保证安排足够的车辆及司机，满足</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污水处理厂</w:t>
      </w:r>
      <w:r>
        <w:rPr>
          <w:rFonts w:hint="eastAsia" w:ascii="宋体" w:hAnsi="宋体" w:eastAsia="宋体" w:cs="宋体"/>
          <w:color w:val="auto"/>
          <w:szCs w:val="21"/>
          <w:highlight w:val="none"/>
          <w:lang w:val="en-US" w:eastAsia="zh-CN"/>
        </w:rPr>
        <w:t>等产</w:t>
      </w:r>
      <w:r>
        <w:rPr>
          <w:rFonts w:hint="eastAsia" w:ascii="宋体" w:hAnsi="宋体" w:eastAsia="宋体" w:cs="宋体"/>
          <w:color w:val="auto"/>
          <w:szCs w:val="21"/>
          <w:highlight w:val="none"/>
        </w:rPr>
        <w:t>泥点每天24小时不间断的出泥要求，提供每天不间断运输服务。</w:t>
      </w:r>
    </w:p>
    <w:p w14:paraId="1DDCD5B0">
      <w:pPr>
        <w:pStyle w:val="3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bidi="ar-SA"/>
        </w:rPr>
        <w:t>2、服务单位</w:t>
      </w:r>
      <w:r>
        <w:rPr>
          <w:rFonts w:hint="eastAsia" w:ascii="宋体" w:hAnsi="宋体" w:eastAsia="宋体" w:cs="宋体"/>
          <w:color w:val="auto"/>
          <w:sz w:val="21"/>
          <w:szCs w:val="21"/>
          <w:highlight w:val="none"/>
          <w:lang w:val="en-US" w:eastAsia="zh" w:bidi="ar-SA"/>
        </w:rPr>
        <w:t>需单独出具加盖公章的承诺函，承诺内容包括但不限于：</w:t>
      </w:r>
      <w:r>
        <w:rPr>
          <w:rFonts w:hint="eastAsia" w:ascii="宋体" w:hAnsi="宋体" w:eastAsia="宋体" w:cs="宋体"/>
          <w:color w:val="auto"/>
          <w:sz w:val="21"/>
          <w:szCs w:val="21"/>
          <w:highlight w:val="none"/>
          <w:lang w:val="en-US" w:eastAsia="zh-CN" w:bidi="ar-SA"/>
        </w:rPr>
        <w:t>（1）运输能力不低于400吨/日</w:t>
      </w:r>
      <w:r>
        <w:rPr>
          <w:rFonts w:hint="eastAsia" w:ascii="宋体" w:hAnsi="宋体" w:eastAsia="宋体" w:cs="宋体"/>
          <w:color w:val="auto"/>
          <w:sz w:val="21"/>
          <w:szCs w:val="21"/>
          <w:highlight w:val="none"/>
          <w:lang w:val="en-US" w:eastAsia="zh" w:bidi="ar-SA"/>
        </w:rPr>
        <w:t>，且具备大于</w:t>
      </w:r>
      <w:r>
        <w:rPr>
          <w:rFonts w:hint="eastAsia" w:ascii="宋体" w:hAnsi="宋体" w:eastAsia="宋体" w:cs="宋体"/>
          <w:color w:val="auto"/>
          <w:sz w:val="21"/>
          <w:szCs w:val="21"/>
          <w:highlight w:val="none"/>
          <w:lang w:val="en-US" w:eastAsia="zh-CN" w:bidi="ar-SA"/>
        </w:rPr>
        <w:t>400</w:t>
      </w:r>
      <w:r>
        <w:rPr>
          <w:rFonts w:hint="eastAsia" w:ascii="宋体" w:hAnsi="宋体" w:eastAsia="宋体" w:cs="宋体"/>
          <w:color w:val="auto"/>
          <w:sz w:val="21"/>
          <w:szCs w:val="21"/>
          <w:highlight w:val="none"/>
          <w:lang w:val="en-US" w:eastAsia="zh" w:bidi="ar-SA"/>
        </w:rPr>
        <w:t>吨/日，达到</w:t>
      </w:r>
      <w:r>
        <w:rPr>
          <w:rFonts w:hint="eastAsia" w:ascii="宋体" w:hAnsi="宋体" w:eastAsia="宋体" w:cs="宋体"/>
          <w:color w:val="auto"/>
          <w:sz w:val="21"/>
          <w:szCs w:val="21"/>
          <w:highlight w:val="none"/>
          <w:lang w:val="en-US" w:eastAsia="zh-CN" w:bidi="ar-SA"/>
        </w:rPr>
        <w:t>调试期</w:t>
      </w:r>
      <w:r>
        <w:rPr>
          <w:rFonts w:hint="eastAsia" w:ascii="宋体" w:hAnsi="宋体" w:eastAsia="宋体" w:cs="宋体"/>
          <w:color w:val="auto"/>
          <w:sz w:val="21"/>
          <w:szCs w:val="21"/>
          <w:highlight w:val="none"/>
          <w:lang w:val="en-US" w:eastAsia="zh" w:bidi="ar-SA"/>
        </w:rPr>
        <w:t>高峰值</w:t>
      </w:r>
      <w:r>
        <w:rPr>
          <w:rFonts w:hint="eastAsia" w:ascii="宋体" w:hAnsi="宋体" w:eastAsia="宋体" w:cs="宋体"/>
          <w:color w:val="auto"/>
          <w:sz w:val="21"/>
          <w:szCs w:val="21"/>
          <w:highlight w:val="none"/>
          <w:lang w:val="en-US" w:eastAsia="zh-CN" w:bidi="ar-SA"/>
        </w:rPr>
        <w:t>1200</w:t>
      </w:r>
      <w:r>
        <w:rPr>
          <w:rFonts w:hint="eastAsia" w:ascii="宋体" w:hAnsi="宋体" w:eastAsia="宋体" w:cs="宋体"/>
          <w:color w:val="auto"/>
          <w:sz w:val="21"/>
          <w:szCs w:val="21"/>
          <w:highlight w:val="none"/>
          <w:lang w:val="en-US" w:eastAsia="zh" w:bidi="ar-SA"/>
        </w:rPr>
        <w:t>吨/日的应急运输能力；</w:t>
      </w:r>
      <w:r>
        <w:rPr>
          <w:rFonts w:hint="eastAsia" w:ascii="宋体" w:hAnsi="宋体" w:eastAsia="宋体" w:cs="宋体"/>
          <w:color w:val="auto"/>
          <w:sz w:val="21"/>
          <w:szCs w:val="21"/>
          <w:highlight w:val="none"/>
          <w:lang w:val="en-US" w:eastAsia="zh-CN" w:bidi="ar-SA"/>
        </w:rPr>
        <w:t>（2）因服务单位</w:t>
      </w:r>
      <w:r>
        <w:rPr>
          <w:rFonts w:hint="eastAsia" w:ascii="宋体" w:hAnsi="宋体" w:eastAsia="宋体" w:cs="宋体"/>
          <w:color w:val="auto"/>
          <w:sz w:val="21"/>
          <w:szCs w:val="21"/>
          <w:highlight w:val="none"/>
          <w:lang w:val="en-US" w:eastAsia="zh" w:bidi="ar-SA"/>
        </w:rPr>
        <w:t>的</w:t>
      </w:r>
      <w:r>
        <w:rPr>
          <w:rFonts w:hint="eastAsia" w:ascii="宋体" w:hAnsi="宋体" w:eastAsia="宋体" w:cs="宋体"/>
          <w:color w:val="auto"/>
          <w:sz w:val="21"/>
          <w:szCs w:val="21"/>
          <w:highlight w:val="none"/>
          <w:lang w:val="en-US" w:eastAsia="zh-CN" w:bidi="ar-SA"/>
        </w:rPr>
        <w:t>运输能力不足</w:t>
      </w:r>
      <w:r>
        <w:rPr>
          <w:rFonts w:hint="eastAsia" w:ascii="宋体" w:hAnsi="宋体" w:eastAsia="宋体" w:cs="宋体"/>
          <w:color w:val="auto"/>
          <w:sz w:val="21"/>
          <w:szCs w:val="21"/>
          <w:highlight w:val="none"/>
          <w:lang w:val="en-US" w:eastAsia="zh" w:bidi="ar-SA"/>
        </w:rPr>
        <w:t>而</w:t>
      </w:r>
      <w:r>
        <w:rPr>
          <w:rFonts w:hint="eastAsia" w:ascii="宋体" w:hAnsi="宋体" w:eastAsia="宋体" w:cs="宋体"/>
          <w:color w:val="auto"/>
          <w:sz w:val="21"/>
          <w:szCs w:val="21"/>
          <w:highlight w:val="none"/>
          <w:lang w:val="en-US" w:eastAsia="zh-CN" w:bidi="ar-SA"/>
        </w:rPr>
        <w:t>影响采购人</w:t>
      </w:r>
      <w:r>
        <w:rPr>
          <w:rFonts w:hint="eastAsia" w:ascii="宋体" w:hAnsi="宋体" w:eastAsia="宋体" w:cs="宋体"/>
          <w:color w:val="auto"/>
          <w:sz w:val="21"/>
          <w:szCs w:val="21"/>
          <w:highlight w:val="none"/>
          <w:lang w:val="en-US" w:eastAsia="zh" w:bidi="ar-SA"/>
        </w:rPr>
        <w:t>、相关</w:t>
      </w:r>
      <w:r>
        <w:rPr>
          <w:rFonts w:hint="eastAsia" w:ascii="宋体" w:hAnsi="宋体" w:eastAsia="宋体" w:cs="宋体"/>
          <w:color w:val="auto"/>
          <w:sz w:val="21"/>
          <w:szCs w:val="21"/>
          <w:highlight w:val="none"/>
          <w:lang w:val="en-US" w:eastAsia="zh-CN" w:bidi="ar-SA"/>
        </w:rPr>
        <w:t>污水处理厂</w:t>
      </w:r>
      <w:r>
        <w:rPr>
          <w:rFonts w:hint="eastAsia" w:ascii="宋体" w:hAnsi="宋体" w:eastAsia="宋体" w:cs="宋体"/>
          <w:color w:val="auto"/>
          <w:sz w:val="21"/>
          <w:szCs w:val="21"/>
          <w:highlight w:val="none"/>
          <w:lang w:val="en-US" w:eastAsia="zh" w:bidi="ar-SA"/>
        </w:rPr>
        <w:t>以及污泥脱水减量化措施</w:t>
      </w:r>
      <w:r>
        <w:rPr>
          <w:rFonts w:hint="eastAsia" w:ascii="宋体" w:hAnsi="宋体" w:eastAsia="宋体" w:cs="宋体"/>
          <w:color w:val="auto"/>
          <w:sz w:val="21"/>
          <w:szCs w:val="21"/>
          <w:highlight w:val="none"/>
          <w:lang w:val="en-US" w:eastAsia="zh-CN" w:bidi="ar-SA"/>
        </w:rPr>
        <w:t>的正常生产运营，采购人</w:t>
      </w:r>
      <w:r>
        <w:rPr>
          <w:rFonts w:hint="eastAsia" w:ascii="宋体" w:hAnsi="宋体" w:eastAsia="宋体" w:cs="宋体"/>
          <w:color w:val="auto"/>
          <w:sz w:val="21"/>
          <w:szCs w:val="21"/>
          <w:highlight w:val="none"/>
          <w:lang w:val="en-US" w:eastAsia="zh" w:bidi="ar-SA"/>
        </w:rPr>
        <w:t>有权要求</w:t>
      </w:r>
      <w:r>
        <w:rPr>
          <w:rFonts w:hint="eastAsia" w:ascii="宋体" w:hAnsi="宋体" w:eastAsia="宋体" w:cs="宋体"/>
          <w:color w:val="auto"/>
          <w:sz w:val="21"/>
          <w:szCs w:val="21"/>
          <w:highlight w:val="none"/>
          <w:lang w:val="en-US" w:eastAsia="zh-CN" w:bidi="ar-SA"/>
        </w:rPr>
        <w:t>服务单位赔偿采购人所遭受的全部损失并有权终止合同。</w:t>
      </w:r>
    </w:p>
    <w:p w14:paraId="2CA17F72">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rPr>
        <w:t>有效期内，</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应当保持相应资质的有效性，且具备在东莞市提供运输服务工作的资格条件。</w:t>
      </w:r>
    </w:p>
    <w:p w14:paraId="48C3AFF2">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运输应参照执行</w:t>
      </w:r>
      <w:r>
        <w:rPr>
          <w:rFonts w:hint="eastAsia" w:ascii="宋体" w:hAnsi="宋体" w:eastAsia="宋体" w:cs="宋体"/>
          <w:color w:val="auto"/>
          <w:kern w:val="2"/>
          <w:sz w:val="21"/>
          <w:szCs w:val="21"/>
          <w:highlight w:val="none"/>
        </w:rPr>
        <w:t>《危险货物道路运输规则》(JT/T 617</w:t>
      </w:r>
      <w:r>
        <w:rPr>
          <w:rFonts w:hint="eastAsia" w:ascii="宋体" w:hAnsi="宋体" w:eastAsia="宋体" w:cs="宋体"/>
          <w:color w:val="auto"/>
          <w:kern w:val="2"/>
          <w:sz w:val="21"/>
          <w:szCs w:val="21"/>
          <w:highlight w:val="none"/>
          <w:lang w:val="en-US" w:eastAsia="zh-CN"/>
        </w:rPr>
        <w:t>-2018</w:t>
      </w:r>
      <w:r>
        <w:rPr>
          <w:rFonts w:hint="eastAsia" w:ascii="宋体" w:hAnsi="宋体" w:eastAsia="宋体" w:cs="宋体"/>
          <w:color w:val="auto"/>
          <w:kern w:val="2"/>
          <w:sz w:val="21"/>
          <w:szCs w:val="21"/>
          <w:highlight w:val="none"/>
        </w:rPr>
        <w:t>)</w:t>
      </w:r>
      <w:r>
        <w:rPr>
          <w:rFonts w:hint="eastAsia" w:ascii="宋体" w:hAnsi="宋体" w:eastAsia="宋体" w:cs="宋体"/>
          <w:color w:val="auto"/>
          <w:szCs w:val="21"/>
          <w:highlight w:val="none"/>
        </w:rPr>
        <w:t>、《中华人民共和国道路运输条例》和《道路危险货物运输管理规定》的相关要求。</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运输采用陆路运输，禁止采用水路运输。</w:t>
      </w:r>
    </w:p>
    <w:p w14:paraId="1FE659B6">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运输车辆必须符合公安、道路交通运输、环保等相关职能部门的相关要求，证照齐全、符合</w:t>
      </w:r>
      <w:r>
        <w:rPr>
          <w:rFonts w:hint="eastAsia" w:ascii="宋体" w:hAnsi="宋体" w:eastAsia="宋体" w:cs="宋体"/>
          <w:color w:val="auto"/>
          <w:szCs w:val="21"/>
          <w:highlight w:val="none"/>
          <w:lang w:eastAsia="zh-CN"/>
        </w:rPr>
        <w:t>污泥</w:t>
      </w:r>
      <w:r>
        <w:rPr>
          <w:rFonts w:hint="eastAsia" w:ascii="宋体" w:hAnsi="宋体" w:eastAsia="宋体" w:cs="宋体"/>
          <w:color w:val="auto"/>
          <w:szCs w:val="21"/>
          <w:highlight w:val="none"/>
        </w:rPr>
        <w:t>运输的要求。</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取得运输服务资格后，应将</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运输车辆的行驶证、营运证及</w:t>
      </w:r>
      <w:r>
        <w:rPr>
          <w:rFonts w:hint="eastAsia" w:ascii="宋体" w:hAnsi="宋体" w:eastAsia="宋体" w:cs="宋体"/>
          <w:color w:val="auto"/>
          <w:szCs w:val="21"/>
          <w:highlight w:val="none"/>
          <w:lang w:val="en-US" w:eastAsia="zh-CN"/>
        </w:rPr>
        <w:t>驾驶员</w:t>
      </w:r>
      <w:r>
        <w:rPr>
          <w:rFonts w:hint="eastAsia" w:ascii="宋体" w:hAnsi="宋体" w:eastAsia="宋体" w:cs="宋体"/>
          <w:color w:val="auto"/>
          <w:szCs w:val="21"/>
          <w:highlight w:val="none"/>
        </w:rPr>
        <w:t>等信息向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备案</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明确非备案</w:t>
      </w:r>
      <w:r>
        <w:rPr>
          <w:rFonts w:hint="eastAsia" w:ascii="宋体" w:hAnsi="宋体" w:eastAsia="宋体" w:cs="宋体"/>
          <w:color w:val="auto"/>
          <w:szCs w:val="21"/>
          <w:highlight w:val="none"/>
          <w:lang w:eastAsia="zh"/>
        </w:rPr>
        <w:t>的</w:t>
      </w:r>
      <w:r>
        <w:rPr>
          <w:rFonts w:hint="eastAsia" w:ascii="宋体" w:hAnsi="宋体" w:eastAsia="宋体" w:cs="宋体"/>
          <w:color w:val="auto"/>
          <w:szCs w:val="21"/>
          <w:highlight w:val="none"/>
          <w:lang w:val="en-US" w:eastAsia="zh-CN"/>
        </w:rPr>
        <w:t>车辆</w:t>
      </w:r>
      <w:r>
        <w:rPr>
          <w:rFonts w:hint="eastAsia" w:ascii="宋体" w:hAnsi="宋体" w:eastAsia="宋体" w:cs="宋体"/>
          <w:color w:val="auto"/>
          <w:szCs w:val="21"/>
          <w:highlight w:val="none"/>
          <w:lang w:val="en-US" w:eastAsia="zh"/>
        </w:rPr>
        <w:t>及</w:t>
      </w:r>
      <w:r>
        <w:rPr>
          <w:rFonts w:hint="eastAsia" w:ascii="宋体" w:hAnsi="宋体" w:eastAsia="宋体" w:cs="宋体"/>
          <w:color w:val="auto"/>
          <w:szCs w:val="21"/>
          <w:highlight w:val="none"/>
          <w:lang w:val="en-US" w:eastAsia="zh-CN"/>
        </w:rPr>
        <w:t>驾驶员</w:t>
      </w:r>
      <w:r>
        <w:rPr>
          <w:rFonts w:hint="eastAsia" w:ascii="宋体" w:hAnsi="宋体" w:eastAsia="宋体" w:cs="宋体"/>
          <w:color w:val="auto"/>
          <w:szCs w:val="21"/>
          <w:highlight w:val="none"/>
          <w:lang w:eastAsia="zh-CN"/>
        </w:rPr>
        <w:t>不能</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lang w:eastAsia="zh-CN"/>
        </w:rPr>
        <w:t>污泥，出现非备案</w:t>
      </w:r>
      <w:r>
        <w:rPr>
          <w:rFonts w:hint="eastAsia" w:ascii="宋体" w:hAnsi="宋体" w:eastAsia="宋体" w:cs="宋体"/>
          <w:color w:val="auto"/>
          <w:szCs w:val="21"/>
          <w:highlight w:val="none"/>
          <w:lang w:val="en-US" w:eastAsia="zh-CN"/>
        </w:rPr>
        <w:t>车辆</w:t>
      </w:r>
      <w:r>
        <w:rPr>
          <w:rFonts w:hint="eastAsia" w:ascii="宋体" w:hAnsi="宋体" w:eastAsia="宋体" w:cs="宋体"/>
          <w:color w:val="auto"/>
          <w:szCs w:val="21"/>
          <w:highlight w:val="none"/>
          <w:lang w:val="en-US" w:eastAsia="zh"/>
        </w:rPr>
        <w:t>及</w:t>
      </w:r>
      <w:r>
        <w:rPr>
          <w:rFonts w:hint="eastAsia" w:ascii="宋体" w:hAnsi="宋体" w:eastAsia="宋体" w:cs="宋体"/>
          <w:color w:val="auto"/>
          <w:szCs w:val="21"/>
          <w:highlight w:val="none"/>
          <w:lang w:val="en-US" w:eastAsia="zh-CN"/>
        </w:rPr>
        <w:t>驾驶员运输</w:t>
      </w:r>
      <w:r>
        <w:rPr>
          <w:rFonts w:hint="eastAsia" w:ascii="宋体" w:hAnsi="宋体" w:eastAsia="宋体" w:cs="宋体"/>
          <w:color w:val="auto"/>
          <w:szCs w:val="21"/>
          <w:highlight w:val="none"/>
          <w:lang w:eastAsia="zh-CN"/>
        </w:rPr>
        <w:t>污泥情况的，</w:t>
      </w:r>
      <w:r>
        <w:rPr>
          <w:rFonts w:hint="eastAsia" w:ascii="宋体" w:hAnsi="宋体" w:eastAsia="宋体" w:cs="宋体"/>
          <w:color w:val="auto"/>
          <w:szCs w:val="21"/>
          <w:highlight w:val="none"/>
        </w:rPr>
        <w:t>所产生的一切行政和经济法律责任由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承担。</w:t>
      </w:r>
    </w:p>
    <w:p w14:paraId="568358BF">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必须采用密闭车辆运输</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要求密封、防水、不渗漏，四周槽帮牢固可靠、无破损、挡板严密，在驶出装载现场前，应将车辆槽帮和车轮冲洗干净，不得车轮带泥行驶、不得沿途泄漏，运输时发现自身有泄漏的，应及时采取有效措施清扫干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车辆运输过程中</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应采取必要的管控措施，避免在半干污泥中混入杂物影响</w:t>
      </w:r>
      <w:r>
        <w:rPr>
          <w:rFonts w:hint="eastAsia" w:ascii="宋体" w:hAnsi="宋体" w:eastAsia="宋体" w:cs="宋体"/>
          <w:color w:val="auto"/>
          <w:szCs w:val="21"/>
          <w:highlight w:val="none"/>
          <w:lang w:val="en-US" w:eastAsia="zh-CN"/>
        </w:rPr>
        <w:t>污泥项目相关</w:t>
      </w:r>
      <w:r>
        <w:rPr>
          <w:rFonts w:hint="eastAsia" w:ascii="宋体" w:hAnsi="宋体" w:eastAsia="宋体" w:cs="宋体"/>
          <w:color w:val="auto"/>
          <w:szCs w:val="21"/>
          <w:highlight w:val="none"/>
        </w:rPr>
        <w:t>设备的正常运转。</w:t>
      </w:r>
    </w:p>
    <w:p w14:paraId="26AFD64B">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承诺使用的车辆必须安装GPS，符合《道路运输车辆卫星定位系统平台技术要求》《道路运输车辆卫星定位系统车载终端技术要求》的要求，以防止偷排偷倒，或违约使用车辆。运输车辆的GPS定位系统，应能直接与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在线监管平台对接，实时显示</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 w:val="21"/>
          <w:szCs w:val="21"/>
          <w:highlight w:val="none"/>
        </w:rPr>
        <w:t>运输轨迹等信息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在运输过程中，</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应保证GPS 定位系统能正常接收信号，运输全程纳入定位管理，若运输过程中出现信号无法正常连接或中断的，期间发生交通运输事故或运输过程中导致环境污染的，</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须负主要责任，并承担由此产生的一切行政和经济法律责任。</w:t>
      </w:r>
    </w:p>
    <w:p w14:paraId="22AADE5A">
      <w:pPr>
        <w:pStyle w:val="33"/>
        <w:spacing w:line="360" w:lineRule="auto"/>
        <w:rPr>
          <w:rFonts w:hint="eastAsia" w:ascii="宋体" w:hAnsi="宋体" w:eastAsia="宋体" w:cs="宋体"/>
          <w:b/>
          <w:bCs/>
          <w:color w:val="auto"/>
          <w:szCs w:val="21"/>
          <w:highlight w:val="none"/>
          <w:lang w:val="en-US" w:eastAsia="zh"/>
        </w:rPr>
      </w:pPr>
      <w:r>
        <w:rPr>
          <w:rFonts w:hint="eastAsia" w:ascii="宋体" w:hAnsi="宋体" w:eastAsia="宋体" w:cs="宋体"/>
          <w:b/>
          <w:bCs/>
          <w:color w:val="auto"/>
          <w:szCs w:val="21"/>
          <w:highlight w:val="none"/>
          <w:lang w:val="en-US" w:eastAsia="zh-CN"/>
        </w:rPr>
        <w:t>8、服务单位</w:t>
      </w:r>
      <w:r>
        <w:rPr>
          <w:rFonts w:hint="eastAsia" w:ascii="宋体" w:hAnsi="宋体" w:eastAsia="宋体" w:cs="宋体"/>
          <w:b/>
          <w:bCs/>
          <w:color w:val="auto"/>
          <w:szCs w:val="21"/>
          <w:highlight w:val="none"/>
          <w:lang w:val="en-US" w:eastAsia="zh"/>
        </w:rPr>
        <w:t>的运输车辆必须</w:t>
      </w:r>
      <w:r>
        <w:rPr>
          <w:rFonts w:hint="eastAsia" w:ascii="宋体" w:hAnsi="宋体" w:eastAsia="宋体" w:cs="宋体"/>
          <w:b/>
          <w:bCs/>
          <w:color w:val="auto"/>
          <w:szCs w:val="21"/>
          <w:highlight w:val="none"/>
          <w:lang w:val="en-US" w:eastAsia="zh-CN"/>
        </w:rPr>
        <w:t>具备</w:t>
      </w:r>
      <w:r>
        <w:rPr>
          <w:rFonts w:hint="eastAsia" w:ascii="宋体" w:hAnsi="宋体" w:eastAsia="宋体" w:cs="宋体"/>
          <w:b/>
          <w:bCs/>
          <w:color w:val="auto"/>
          <w:szCs w:val="21"/>
          <w:highlight w:val="none"/>
          <w:lang w:val="en-US" w:eastAsia="zh"/>
        </w:rPr>
        <w:t>后</w:t>
      </w:r>
      <w:r>
        <w:rPr>
          <w:rFonts w:hint="eastAsia" w:ascii="宋体" w:hAnsi="宋体" w:eastAsia="宋体" w:cs="宋体"/>
          <w:b/>
          <w:bCs/>
          <w:i w:val="0"/>
          <w:iCs w:val="0"/>
          <w:caps w:val="0"/>
          <w:color w:val="auto"/>
          <w:spacing w:val="0"/>
          <w:sz w:val="21"/>
          <w:szCs w:val="21"/>
          <w:highlight w:val="none"/>
          <w:shd w:val="clear" w:fill="auto"/>
        </w:rPr>
        <w:t>翻自卸功能</w:t>
      </w:r>
      <w:r>
        <w:rPr>
          <w:rFonts w:hint="eastAsia" w:ascii="宋体" w:hAnsi="宋体" w:eastAsia="宋体" w:cs="宋体"/>
          <w:b/>
          <w:bCs/>
          <w:i w:val="0"/>
          <w:iCs w:val="0"/>
          <w:caps w:val="0"/>
          <w:color w:val="auto"/>
          <w:spacing w:val="0"/>
          <w:sz w:val="21"/>
          <w:szCs w:val="21"/>
          <w:highlight w:val="none"/>
          <w:shd w:val="clear" w:fill="auto"/>
          <w:lang w:eastAsia="zh"/>
        </w:rPr>
        <w:t>及具备</w:t>
      </w:r>
      <w:r>
        <w:rPr>
          <w:rFonts w:hint="eastAsia" w:ascii="宋体" w:hAnsi="宋体" w:eastAsia="宋体" w:cs="宋体"/>
          <w:b/>
          <w:bCs/>
          <w:color w:val="auto"/>
          <w:szCs w:val="21"/>
          <w:highlight w:val="none"/>
          <w:lang w:val="en-US" w:eastAsia="zh"/>
        </w:rPr>
        <w:t>行驶证、营运证、交强险、车损险、第三者责任险等证件资料</w:t>
      </w:r>
      <w:r>
        <w:rPr>
          <w:rFonts w:hint="eastAsia" w:ascii="宋体" w:hAnsi="宋体" w:eastAsia="宋体" w:cs="宋体"/>
          <w:b/>
          <w:bCs/>
          <w:i w:val="0"/>
          <w:iCs w:val="0"/>
          <w:caps w:val="0"/>
          <w:color w:val="auto"/>
          <w:spacing w:val="0"/>
          <w:sz w:val="21"/>
          <w:szCs w:val="21"/>
          <w:highlight w:val="none"/>
          <w:shd w:val="clear" w:fill="auto"/>
          <w:lang w:eastAsia="zh"/>
        </w:rPr>
        <w:t>。</w:t>
      </w:r>
      <w:r>
        <w:rPr>
          <w:rFonts w:hint="eastAsia" w:ascii="宋体" w:hAnsi="宋体" w:eastAsia="宋体" w:cs="宋体"/>
          <w:b/>
          <w:bCs/>
          <w:i w:val="0"/>
          <w:iCs w:val="0"/>
          <w:caps w:val="0"/>
          <w:color w:val="auto"/>
          <w:spacing w:val="0"/>
          <w:sz w:val="21"/>
          <w:szCs w:val="21"/>
          <w:highlight w:val="none"/>
          <w:shd w:val="clear"/>
          <w:lang w:eastAsia="zh-CN"/>
        </w:rPr>
        <w:t>服务单位</w:t>
      </w:r>
      <w:r>
        <w:rPr>
          <w:rFonts w:hint="eastAsia" w:ascii="宋体" w:hAnsi="宋体" w:eastAsia="宋体" w:cs="宋体"/>
          <w:b/>
          <w:bCs/>
          <w:color w:val="auto"/>
          <w:szCs w:val="21"/>
          <w:highlight w:val="none"/>
          <w:lang w:val="en-US" w:eastAsia="zh"/>
        </w:rPr>
        <w:t>应根据污水处理厂污泥产生情况以及</w:t>
      </w:r>
      <w:r>
        <w:rPr>
          <w:rFonts w:hint="eastAsia" w:ascii="宋体" w:hAnsi="宋体" w:eastAsia="宋体" w:cs="宋体"/>
          <w:b/>
          <w:bCs/>
          <w:color w:val="auto"/>
          <w:szCs w:val="21"/>
          <w:highlight w:val="none"/>
          <w:lang w:val="en-US" w:eastAsia="zh-CN"/>
        </w:rPr>
        <w:t>采购人</w:t>
      </w:r>
      <w:r>
        <w:rPr>
          <w:rFonts w:hint="eastAsia" w:ascii="宋体" w:hAnsi="宋体" w:eastAsia="宋体" w:cs="宋体"/>
          <w:b/>
          <w:bCs/>
          <w:color w:val="auto"/>
          <w:szCs w:val="21"/>
          <w:highlight w:val="none"/>
          <w:lang w:val="en-US" w:eastAsia="zh"/>
        </w:rPr>
        <w:t>提出的时间及时安排对应型号的车辆前往运输，包括但不限于</w:t>
      </w:r>
      <w:r>
        <w:rPr>
          <w:rFonts w:hint="eastAsia" w:ascii="宋体" w:hAnsi="宋体" w:eastAsia="宋体" w:cs="宋体"/>
          <w:b/>
          <w:bCs/>
          <w:color w:val="auto"/>
          <w:szCs w:val="21"/>
          <w:highlight w:val="none"/>
          <w:lang w:val="en-US" w:eastAsia="zh-CN"/>
        </w:rPr>
        <w:t>载重10吨</w:t>
      </w:r>
      <w:r>
        <w:rPr>
          <w:rFonts w:hint="eastAsia" w:ascii="宋体" w:hAnsi="宋体" w:eastAsia="宋体" w:cs="宋体"/>
          <w:b/>
          <w:bCs/>
          <w:color w:val="auto"/>
          <w:szCs w:val="21"/>
          <w:highlight w:val="none"/>
          <w:lang w:val="en-US" w:eastAsia="zh"/>
        </w:rPr>
        <w:t>、20吨、30吨等型号的车辆。</w:t>
      </w:r>
    </w:p>
    <w:p w14:paraId="53223085">
      <w:pPr>
        <w:pStyle w:val="33"/>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Cs w:val="21"/>
          <w:highlight w:val="none"/>
          <w:lang w:val="en-US" w:eastAsia="zh-CN"/>
        </w:rPr>
        <w:t>服务单位</w:t>
      </w:r>
      <w:r>
        <w:rPr>
          <w:rFonts w:hint="eastAsia" w:ascii="宋体" w:hAnsi="宋体" w:eastAsia="宋体" w:cs="宋体"/>
          <w:i w:val="0"/>
          <w:iCs w:val="0"/>
          <w:caps w:val="0"/>
          <w:color w:val="auto"/>
          <w:spacing w:val="0"/>
          <w:sz w:val="21"/>
          <w:szCs w:val="21"/>
          <w:highlight w:val="none"/>
          <w:shd w:val="clear"/>
        </w:rPr>
        <w:t>运输污泥的时间应避开上下班高峰期，运输路线应避开人群密集区，尽可能减少对周边居民的影响，严禁车辆停放在人群密集区。同时，运输污泥应遵循“一车一运”的原则，以确保污泥计量的准确、可靠</w:t>
      </w:r>
      <w:r>
        <w:rPr>
          <w:rFonts w:hint="eastAsia" w:ascii="宋体" w:hAnsi="宋体" w:eastAsia="宋体" w:cs="宋体"/>
          <w:color w:val="auto"/>
          <w:szCs w:val="21"/>
          <w:highlight w:val="none"/>
        </w:rPr>
        <w:t>。</w:t>
      </w:r>
    </w:p>
    <w:p w14:paraId="7C7D48FB">
      <w:pPr>
        <w:pStyle w:val="33"/>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服务单位</w:t>
      </w:r>
      <w:r>
        <w:rPr>
          <w:rFonts w:hint="eastAsia" w:ascii="宋体" w:hAnsi="宋体" w:eastAsia="宋体" w:cs="宋体"/>
          <w:b/>
          <w:bCs/>
          <w:color w:val="auto"/>
          <w:szCs w:val="21"/>
          <w:highlight w:val="none"/>
        </w:rPr>
        <w:t>应承诺，在</w:t>
      </w:r>
      <w:r>
        <w:rPr>
          <w:rFonts w:hint="eastAsia" w:ascii="宋体" w:hAnsi="宋体" w:eastAsia="宋体" w:cs="宋体"/>
          <w:b/>
          <w:bCs/>
          <w:color w:val="auto"/>
          <w:szCs w:val="21"/>
          <w:highlight w:val="none"/>
          <w:lang w:val="en-US" w:eastAsia="zh-CN"/>
        </w:rPr>
        <w:t>本</w:t>
      </w:r>
      <w:r>
        <w:rPr>
          <w:rFonts w:hint="eastAsia" w:ascii="宋体" w:hAnsi="宋体" w:eastAsia="宋体" w:cs="宋体"/>
          <w:b/>
          <w:bCs/>
          <w:color w:val="auto"/>
          <w:szCs w:val="21"/>
          <w:highlight w:val="none"/>
        </w:rPr>
        <w:t>项目</w:t>
      </w:r>
      <w:r>
        <w:rPr>
          <w:rFonts w:hint="eastAsia" w:ascii="宋体" w:hAnsi="宋体" w:eastAsia="宋体" w:cs="宋体"/>
          <w:b/>
          <w:bCs/>
          <w:color w:val="auto"/>
          <w:szCs w:val="21"/>
          <w:highlight w:val="none"/>
          <w:lang w:val="en-US" w:eastAsia="zh-CN"/>
        </w:rPr>
        <w:t>合同签订</w:t>
      </w:r>
      <w:r>
        <w:rPr>
          <w:rFonts w:hint="eastAsia" w:ascii="宋体" w:hAnsi="宋体" w:eastAsia="宋体" w:cs="宋体"/>
          <w:b/>
          <w:bCs/>
          <w:color w:val="auto"/>
          <w:szCs w:val="21"/>
          <w:highlight w:val="none"/>
        </w:rPr>
        <w:t>之日起5日内按</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szCs w:val="21"/>
          <w:highlight w:val="none"/>
        </w:rPr>
        <w:t>要求的运力实施</w:t>
      </w:r>
      <w:r>
        <w:rPr>
          <w:rFonts w:hint="eastAsia" w:ascii="宋体" w:hAnsi="宋体" w:eastAsia="宋体" w:cs="宋体"/>
          <w:b/>
          <w:bCs/>
          <w:color w:val="auto"/>
          <w:szCs w:val="21"/>
          <w:highlight w:val="none"/>
          <w:lang w:eastAsia="zh-CN"/>
        </w:rPr>
        <w:t>本项目污泥</w:t>
      </w:r>
      <w:r>
        <w:rPr>
          <w:rFonts w:hint="eastAsia" w:ascii="宋体" w:hAnsi="宋体" w:eastAsia="宋体" w:cs="宋体"/>
          <w:b/>
          <w:bCs/>
          <w:color w:val="auto"/>
          <w:szCs w:val="21"/>
          <w:highlight w:val="none"/>
        </w:rPr>
        <w:t>转移提供运输服务。</w:t>
      </w:r>
    </w:p>
    <w:bookmarkEnd w:id="13"/>
    <w:p w14:paraId="799453B9">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、其他说明</w:t>
      </w:r>
    </w:p>
    <w:p w14:paraId="406DC0CA">
      <w:pPr>
        <w:pStyle w:val="3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承诺，将严格遵守</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上级单位）提出或调整的日常管理制度或相关管理要求。</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服务期间，出现不服从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上级单位）提出或调整的日常管理制度或相关管理要求，</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有权取消其服务资格。</w:t>
      </w:r>
    </w:p>
    <w:p w14:paraId="5D23F19F">
      <w:pPr>
        <w:pStyle w:val="33"/>
        <w:keepNext w:val="0"/>
        <w:keepLines w:val="0"/>
        <w:widowControl/>
        <w:numPr>
          <w:ilvl w:val="-1"/>
          <w:numId w:val="0"/>
        </w:numPr>
        <w:suppressLineNumbers w:val="0"/>
        <w:shd w:val="clear" w:fill="auto"/>
        <w:spacing w:before="0" w:beforeAutospacing="0" w:after="0" w:afterAutospacing="0" w:line="360" w:lineRule="auto"/>
        <w:ind w:left="0" w:right="0" w:firstLine="420" w:firstLineChars="200"/>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b w:val="0"/>
          <w:bCs w:val="0"/>
          <w:color w:val="auto"/>
          <w:szCs w:val="21"/>
          <w:highlight w:val="none"/>
          <w:lang w:val="en-US" w:eastAsia="zh-CN"/>
        </w:rPr>
        <w:t>合同履行期间，如采购人上级单位调整污泥运输工作部署或应主管部门要求，需由采购人自行实施污泥运输工作的，采购人有权单方提前解除服务合同。服务单位不得因此要求采购人或采购人上级单位给予任何补偿或赔偿，采购人也无需为此承担违约责任。如采购人提前解除服务合同的，应至少提前30天以书面形式通知服务单位。</w:t>
      </w:r>
    </w:p>
    <w:p w14:paraId="45B2FAF3">
      <w:pPr>
        <w:pStyle w:val="33"/>
        <w:keepNext w:val="0"/>
        <w:keepLines w:val="0"/>
        <w:widowControl/>
        <w:numPr>
          <w:ilvl w:val="-1"/>
          <w:numId w:val="0"/>
        </w:numPr>
        <w:suppressLineNumbers w:val="0"/>
        <w:shd w:val="clear" w:fill="auto"/>
        <w:spacing w:before="0" w:beforeAutospacing="0" w:after="0" w:afterAutospacing="0" w:line="360" w:lineRule="auto"/>
        <w:ind w:left="0" w:right="0" w:firstLine="420" w:firstLineChars="200"/>
        <w:jc w:val="both"/>
        <w:rPr>
          <w:rFonts w:hint="eastAsia" w:ascii="宋体" w:hAnsi="宋体" w:eastAsia="宋体" w:cs="宋体"/>
          <w:i w:val="0"/>
          <w:iCs w:val="0"/>
          <w:caps w:val="0"/>
          <w:color w:val="auto"/>
          <w:spacing w:val="0"/>
          <w:kern w:val="0"/>
          <w:sz w:val="30"/>
          <w:szCs w:val="30"/>
          <w:highlight w:val="none"/>
          <w:shd w:val="clear" w:fill="FFFFFF"/>
          <w:lang w:val="en-US" w:eastAsia="zh-CN" w:bidi="ar-SA"/>
        </w:rPr>
      </w:pPr>
      <w:r>
        <w:rPr>
          <w:rFonts w:hint="eastAsia" w:ascii="宋体" w:hAnsi="宋体" w:eastAsia="宋体" w:cs="宋体"/>
          <w:b w:val="0"/>
          <w:bCs w:val="0"/>
          <w:i w:val="0"/>
          <w:iCs w:val="0"/>
          <w:caps w:val="0"/>
          <w:snapToGrid/>
          <w:color w:val="auto"/>
          <w:spacing w:val="0"/>
          <w:kern w:val="2"/>
          <w:sz w:val="21"/>
          <w:szCs w:val="21"/>
          <w:highlight w:val="none"/>
          <w:shd w:val="clear"/>
          <w:lang w:val="en-US" w:eastAsia="zh-CN"/>
        </w:rPr>
        <w:t>3、</w:t>
      </w:r>
      <w:r>
        <w:rPr>
          <w:rFonts w:hint="eastAsia" w:ascii="宋体" w:hAnsi="宋体" w:eastAsia="宋体" w:cs="宋体"/>
          <w:b w:val="0"/>
          <w:bCs w:val="0"/>
          <w:i w:val="0"/>
          <w:iCs w:val="0"/>
          <w:caps w:val="0"/>
          <w:snapToGrid/>
          <w:color w:val="auto"/>
          <w:spacing w:val="0"/>
          <w:kern w:val="2"/>
          <w:sz w:val="21"/>
          <w:szCs w:val="21"/>
          <w:highlight w:val="none"/>
          <w:shd w:val="clear"/>
        </w:rPr>
        <w:t>自采购人提前解除服务合同</w:t>
      </w:r>
      <w:r>
        <w:rPr>
          <w:rFonts w:hint="eastAsia" w:ascii="宋体" w:hAnsi="宋体" w:eastAsia="宋体" w:cs="宋体"/>
          <w:b w:val="0"/>
          <w:bCs w:val="0"/>
          <w:i w:val="0"/>
          <w:iCs w:val="0"/>
          <w:caps w:val="0"/>
          <w:snapToGrid/>
          <w:color w:val="auto"/>
          <w:spacing w:val="0"/>
          <w:kern w:val="2"/>
          <w:sz w:val="21"/>
          <w:szCs w:val="21"/>
          <w:highlight w:val="none"/>
          <w:shd w:val="clear"/>
          <w:lang w:val="en-US" w:eastAsia="zh-CN"/>
        </w:rPr>
        <w:t>书面</w:t>
      </w:r>
      <w:r>
        <w:rPr>
          <w:rFonts w:hint="eastAsia" w:ascii="宋体" w:hAnsi="宋体" w:eastAsia="宋体" w:cs="宋体"/>
          <w:b w:val="0"/>
          <w:bCs w:val="0"/>
          <w:i w:val="0"/>
          <w:iCs w:val="0"/>
          <w:caps w:val="0"/>
          <w:snapToGrid/>
          <w:color w:val="auto"/>
          <w:spacing w:val="0"/>
          <w:kern w:val="2"/>
          <w:sz w:val="21"/>
          <w:szCs w:val="21"/>
          <w:highlight w:val="none"/>
          <w:shd w:val="clear"/>
        </w:rPr>
        <w:t>通知</w:t>
      </w:r>
      <w:r>
        <w:rPr>
          <w:rFonts w:hint="eastAsia" w:ascii="宋体" w:hAnsi="宋体" w:eastAsia="宋体" w:cs="宋体"/>
          <w:b w:val="0"/>
          <w:bCs w:val="0"/>
          <w:i w:val="0"/>
          <w:iCs w:val="0"/>
          <w:caps w:val="0"/>
          <w:snapToGrid/>
          <w:color w:val="auto"/>
          <w:spacing w:val="0"/>
          <w:kern w:val="2"/>
          <w:sz w:val="21"/>
          <w:szCs w:val="21"/>
          <w:highlight w:val="none"/>
          <w:shd w:val="clear"/>
          <w:lang w:val="en-US" w:eastAsia="zh-CN"/>
        </w:rPr>
        <w:t>中明确</w:t>
      </w:r>
      <w:r>
        <w:rPr>
          <w:rFonts w:hint="eastAsia" w:ascii="宋体" w:hAnsi="宋体" w:eastAsia="宋体" w:cs="宋体"/>
          <w:b w:val="0"/>
          <w:bCs w:val="0"/>
          <w:i w:val="0"/>
          <w:iCs w:val="0"/>
          <w:caps w:val="0"/>
          <w:snapToGrid/>
          <w:color w:val="auto"/>
          <w:spacing w:val="0"/>
          <w:kern w:val="2"/>
          <w:sz w:val="21"/>
          <w:szCs w:val="21"/>
          <w:highlight w:val="none"/>
          <w:shd w:val="clear"/>
        </w:rPr>
        <w:t>的</w:t>
      </w:r>
      <w:r>
        <w:rPr>
          <w:rFonts w:hint="eastAsia" w:ascii="宋体" w:hAnsi="宋体" w:eastAsia="宋体" w:cs="宋体"/>
          <w:b w:val="0"/>
          <w:bCs w:val="0"/>
          <w:i w:val="0"/>
          <w:iCs w:val="0"/>
          <w:caps w:val="0"/>
          <w:snapToGrid/>
          <w:color w:val="auto"/>
          <w:spacing w:val="0"/>
          <w:kern w:val="2"/>
          <w:sz w:val="21"/>
          <w:szCs w:val="21"/>
          <w:highlight w:val="none"/>
          <w:shd w:val="clear"/>
          <w:lang w:val="en-US" w:eastAsia="zh-CN"/>
        </w:rPr>
        <w:t>合同</w:t>
      </w:r>
      <w:r>
        <w:rPr>
          <w:rFonts w:hint="eastAsia" w:ascii="宋体" w:hAnsi="宋体" w:eastAsia="宋体" w:cs="宋体"/>
          <w:b w:val="0"/>
          <w:bCs w:val="0"/>
          <w:i w:val="0"/>
          <w:iCs w:val="0"/>
          <w:caps w:val="0"/>
          <w:snapToGrid/>
          <w:color w:val="auto"/>
          <w:spacing w:val="0"/>
          <w:kern w:val="2"/>
          <w:sz w:val="21"/>
          <w:szCs w:val="21"/>
          <w:highlight w:val="none"/>
          <w:shd w:val="clear"/>
        </w:rPr>
        <w:t>终止之日起，</w:t>
      </w:r>
      <w:r>
        <w:rPr>
          <w:rFonts w:hint="eastAsia" w:ascii="宋体" w:hAnsi="宋体" w:eastAsia="宋体" w:cs="宋体"/>
          <w:b w:val="0"/>
          <w:bCs w:val="0"/>
          <w:i w:val="0"/>
          <w:iCs w:val="0"/>
          <w:caps w:val="0"/>
          <w:snapToGrid/>
          <w:color w:val="auto"/>
          <w:spacing w:val="0"/>
          <w:kern w:val="2"/>
          <w:sz w:val="21"/>
          <w:szCs w:val="21"/>
          <w:highlight w:val="none"/>
          <w:shd w:val="clear"/>
          <w:lang w:val="en-US" w:eastAsia="zh-CN"/>
        </w:rPr>
        <w:t>采购人、服务单位</w:t>
      </w:r>
      <w:r>
        <w:rPr>
          <w:rFonts w:hint="eastAsia" w:ascii="宋体" w:hAnsi="宋体" w:eastAsia="宋体" w:cs="宋体"/>
          <w:b w:val="0"/>
          <w:bCs w:val="0"/>
          <w:i w:val="0"/>
          <w:iCs w:val="0"/>
          <w:caps w:val="0"/>
          <w:snapToGrid/>
          <w:color w:val="auto"/>
          <w:spacing w:val="0"/>
          <w:kern w:val="2"/>
          <w:sz w:val="21"/>
          <w:szCs w:val="21"/>
          <w:highlight w:val="none"/>
          <w:shd w:val="clear"/>
        </w:rPr>
        <w:t>双方权利义务终止，</w:t>
      </w:r>
      <w:r>
        <w:rPr>
          <w:rFonts w:hint="eastAsia" w:ascii="宋体" w:hAnsi="宋体" w:eastAsia="宋体" w:cs="宋体"/>
          <w:b w:val="0"/>
          <w:bCs w:val="0"/>
          <w:i w:val="0"/>
          <w:iCs w:val="0"/>
          <w:caps w:val="0"/>
          <w:snapToGrid/>
          <w:color w:val="auto"/>
          <w:spacing w:val="0"/>
          <w:kern w:val="2"/>
          <w:sz w:val="21"/>
          <w:szCs w:val="21"/>
          <w:highlight w:val="none"/>
          <w:shd w:val="clear"/>
          <w:lang w:val="en-US" w:eastAsia="zh-CN"/>
        </w:rPr>
        <w:t>服务单位</w:t>
      </w:r>
      <w:r>
        <w:rPr>
          <w:rFonts w:hint="eastAsia" w:ascii="宋体" w:hAnsi="宋体" w:eastAsia="宋体" w:cs="宋体"/>
          <w:b w:val="0"/>
          <w:bCs w:val="0"/>
          <w:i w:val="0"/>
          <w:iCs w:val="0"/>
          <w:caps w:val="0"/>
          <w:snapToGrid/>
          <w:color w:val="auto"/>
          <w:spacing w:val="0"/>
          <w:kern w:val="2"/>
          <w:sz w:val="21"/>
          <w:szCs w:val="21"/>
          <w:highlight w:val="none"/>
          <w:shd w:val="clear"/>
        </w:rPr>
        <w:t>应配合</w:t>
      </w:r>
      <w:r>
        <w:rPr>
          <w:rFonts w:hint="eastAsia" w:ascii="宋体" w:hAnsi="宋体" w:eastAsia="宋体" w:cs="宋体"/>
          <w:b w:val="0"/>
          <w:bCs w:val="0"/>
          <w:i w:val="0"/>
          <w:iCs w:val="0"/>
          <w:caps w:val="0"/>
          <w:snapToGrid/>
          <w:color w:val="auto"/>
          <w:spacing w:val="0"/>
          <w:kern w:val="2"/>
          <w:sz w:val="21"/>
          <w:szCs w:val="21"/>
          <w:highlight w:val="none"/>
          <w:shd w:val="clear"/>
          <w:lang w:val="en-US" w:eastAsia="zh-CN"/>
        </w:rPr>
        <w:t>采购人</w:t>
      </w:r>
      <w:r>
        <w:rPr>
          <w:rFonts w:hint="eastAsia" w:ascii="宋体" w:hAnsi="宋体" w:eastAsia="宋体" w:cs="宋体"/>
          <w:b w:val="0"/>
          <w:bCs w:val="0"/>
          <w:i w:val="0"/>
          <w:iCs w:val="0"/>
          <w:caps w:val="0"/>
          <w:snapToGrid/>
          <w:color w:val="auto"/>
          <w:spacing w:val="0"/>
          <w:kern w:val="2"/>
          <w:sz w:val="21"/>
          <w:szCs w:val="21"/>
          <w:highlight w:val="none"/>
          <w:shd w:val="clear"/>
        </w:rPr>
        <w:t>做</w:t>
      </w:r>
      <w:r>
        <w:rPr>
          <w:rFonts w:hint="eastAsia" w:ascii="宋体" w:hAnsi="宋体" w:eastAsia="宋体" w:cs="宋体"/>
          <w:b w:val="0"/>
          <w:bCs w:val="0"/>
          <w:i w:val="0"/>
          <w:iCs w:val="0"/>
          <w:caps w:val="0"/>
          <w:snapToGrid/>
          <w:color w:val="auto"/>
          <w:spacing w:val="0"/>
          <w:kern w:val="2"/>
          <w:sz w:val="21"/>
          <w:szCs w:val="21"/>
          <w:highlight w:val="none"/>
          <w:shd w:val="clear"/>
          <w:lang w:val="en-US" w:eastAsia="zh-CN"/>
        </w:rPr>
        <w:t>好</w:t>
      </w:r>
      <w:r>
        <w:rPr>
          <w:rFonts w:hint="eastAsia" w:ascii="宋体" w:hAnsi="宋体" w:eastAsia="宋体" w:cs="宋体"/>
          <w:b w:val="0"/>
          <w:bCs w:val="0"/>
          <w:i w:val="0"/>
          <w:iCs w:val="0"/>
          <w:caps w:val="0"/>
          <w:snapToGrid/>
          <w:color w:val="auto"/>
          <w:spacing w:val="0"/>
          <w:kern w:val="2"/>
          <w:sz w:val="21"/>
          <w:szCs w:val="21"/>
          <w:highlight w:val="none"/>
          <w:shd w:val="clear"/>
        </w:rPr>
        <w:t>项目交接工作</w:t>
      </w:r>
      <w:r>
        <w:rPr>
          <w:rFonts w:hint="eastAsia" w:ascii="宋体" w:hAnsi="宋体" w:eastAsia="宋体" w:cs="宋体"/>
          <w:b w:val="0"/>
          <w:bCs w:val="0"/>
          <w:i w:val="0"/>
          <w:iCs w:val="0"/>
          <w:caps w:val="0"/>
          <w:snapToGrid/>
          <w:color w:val="auto"/>
          <w:spacing w:val="0"/>
          <w:kern w:val="2"/>
          <w:sz w:val="21"/>
          <w:szCs w:val="21"/>
          <w:highlight w:val="none"/>
          <w:shd w:val="clear"/>
          <w:lang w:eastAsia="zh-CN"/>
        </w:rPr>
        <w:t>。</w:t>
      </w:r>
    </w:p>
    <w:p w14:paraId="19234328">
      <w:pPr>
        <w:numPr>
          <w:ilvl w:val="0"/>
          <w:numId w:val="0"/>
        </w:numPr>
        <w:spacing w:line="360" w:lineRule="auto"/>
        <w:ind w:firstLine="422" w:firstLineChars="200"/>
        <w:contextualSpacing/>
        <w:rPr>
          <w:rFonts w:hint="eastAsia" w:ascii="宋体" w:hAnsi="宋体" w:eastAsia="宋体" w:cs="宋体"/>
          <w:b w:val="0"/>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七、</w:t>
      </w:r>
      <w:r>
        <w:rPr>
          <w:rFonts w:hint="eastAsia" w:ascii="宋体" w:hAnsi="宋体" w:eastAsia="宋体" w:cs="宋体"/>
          <w:b/>
          <w:color w:val="auto"/>
          <w:sz w:val="21"/>
          <w:szCs w:val="21"/>
          <w:highlight w:val="none"/>
          <w:lang w:val="en-US" w:eastAsia="zh-CN"/>
        </w:rPr>
        <w:t>考核办法</w:t>
      </w:r>
    </w:p>
    <w:p w14:paraId="739D5D76">
      <w:pPr>
        <w:pStyle w:val="33"/>
        <w:spacing w:line="360" w:lineRule="auto"/>
        <w:ind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在服务期内，</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val="en-US"/>
        </w:rPr>
        <w:t>根据</w:t>
      </w:r>
      <w:r>
        <w:rPr>
          <w:rFonts w:hint="eastAsia" w:ascii="宋体" w:hAnsi="宋体" w:eastAsia="宋体" w:cs="宋体"/>
          <w:color w:val="auto"/>
          <w:szCs w:val="21"/>
          <w:highlight w:val="none"/>
          <w:lang w:val="en-US" w:eastAsia="zh-CN"/>
        </w:rPr>
        <w:t>服务单位每月的</w:t>
      </w:r>
      <w:r>
        <w:rPr>
          <w:rFonts w:hint="eastAsia" w:ascii="宋体" w:hAnsi="宋体" w:eastAsia="宋体" w:cs="宋体"/>
          <w:color w:val="auto"/>
          <w:szCs w:val="21"/>
          <w:highlight w:val="none"/>
          <w:lang w:val="en-US"/>
        </w:rPr>
        <w:t>实际工作情况进行</w:t>
      </w:r>
      <w:r>
        <w:rPr>
          <w:rFonts w:hint="eastAsia" w:ascii="宋体" w:hAnsi="宋体" w:eastAsia="宋体" w:cs="宋体"/>
          <w:color w:val="auto"/>
          <w:szCs w:val="21"/>
          <w:highlight w:val="none"/>
          <w:lang w:val="en-US" w:eastAsia="zh-CN"/>
        </w:rPr>
        <w:t>月度</w:t>
      </w:r>
      <w:r>
        <w:rPr>
          <w:rFonts w:hint="eastAsia" w:ascii="宋体" w:hAnsi="宋体" w:eastAsia="宋体" w:cs="宋体"/>
          <w:color w:val="auto"/>
          <w:szCs w:val="21"/>
          <w:highlight w:val="none"/>
          <w:lang w:val="en-US"/>
        </w:rPr>
        <w:t>综合考核，</w:t>
      </w:r>
      <w:r>
        <w:rPr>
          <w:rFonts w:hint="eastAsia" w:ascii="宋体" w:hAnsi="宋体" w:eastAsia="宋体" w:cs="宋体"/>
          <w:color w:val="auto"/>
          <w:szCs w:val="21"/>
          <w:highlight w:val="none"/>
          <w:lang w:val="en-US" w:eastAsia="zh-CN"/>
        </w:rPr>
        <w:t>具体的</w:t>
      </w:r>
      <w:r>
        <w:rPr>
          <w:rFonts w:hint="eastAsia" w:ascii="宋体" w:hAnsi="宋体" w:eastAsia="宋体" w:cs="宋体"/>
          <w:color w:val="auto"/>
          <w:szCs w:val="21"/>
          <w:highlight w:val="none"/>
          <w:lang w:val="en-US"/>
        </w:rPr>
        <w:t>评价</w:t>
      </w:r>
      <w:r>
        <w:rPr>
          <w:rFonts w:hint="eastAsia" w:ascii="宋体" w:hAnsi="宋体" w:eastAsia="宋体" w:cs="宋体"/>
          <w:color w:val="auto"/>
          <w:szCs w:val="21"/>
          <w:highlight w:val="none"/>
          <w:lang w:val="en-US" w:eastAsia="zh-CN"/>
        </w:rPr>
        <w:t>内容参见</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
        </w:rPr>
        <w:t>东莞市</w:t>
      </w:r>
      <w:r>
        <w:rPr>
          <w:rFonts w:hint="eastAsia" w:ascii="宋体" w:hAnsi="宋体" w:eastAsia="宋体" w:cs="宋体"/>
          <w:color w:val="auto"/>
          <w:szCs w:val="21"/>
          <w:highlight w:val="none"/>
          <w:lang w:val="en-US" w:eastAsia="zh-CN"/>
        </w:rPr>
        <w:t>尚源环能科技有限公司调试期</w:t>
      </w:r>
      <w:r>
        <w:rPr>
          <w:rFonts w:hint="eastAsia" w:ascii="宋体" w:hAnsi="宋体" w:eastAsia="宋体" w:cs="宋体"/>
          <w:color w:val="auto"/>
          <w:szCs w:val="21"/>
          <w:highlight w:val="none"/>
        </w:rPr>
        <w:t>污泥运输服务</w:t>
      </w:r>
      <w:r>
        <w:rPr>
          <w:rFonts w:hint="eastAsia" w:ascii="宋体" w:hAnsi="宋体" w:eastAsia="宋体" w:cs="宋体"/>
          <w:color w:val="auto"/>
          <w:szCs w:val="21"/>
          <w:highlight w:val="none"/>
          <w:lang w:val="en-US" w:eastAsia="zh-CN"/>
        </w:rPr>
        <w:t>考核</w:t>
      </w:r>
      <w:r>
        <w:rPr>
          <w:rFonts w:hint="eastAsia" w:ascii="宋体" w:hAnsi="宋体" w:eastAsia="宋体" w:cs="宋体"/>
          <w:color w:val="auto"/>
          <w:szCs w:val="21"/>
          <w:highlight w:val="none"/>
        </w:rPr>
        <w:t>表</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详</w:t>
      </w:r>
      <w:r>
        <w:rPr>
          <w:rFonts w:hint="eastAsia" w:ascii="宋体" w:hAnsi="宋体" w:eastAsia="宋体" w:cs="宋体"/>
          <w:color w:val="auto"/>
          <w:szCs w:val="21"/>
          <w:highlight w:val="none"/>
          <w:lang w:val="en-US"/>
        </w:rPr>
        <w:t>见附件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rPr>
        <w:t>）。</w:t>
      </w:r>
      <w:r>
        <w:rPr>
          <w:rFonts w:hint="eastAsia" w:ascii="宋体" w:hAnsi="宋体" w:eastAsia="宋体" w:cs="宋体"/>
          <w:b w:val="0"/>
          <w:bCs w:val="0"/>
          <w:color w:val="auto"/>
          <w:sz w:val="21"/>
          <w:szCs w:val="21"/>
          <w:highlight w:val="none"/>
          <w:lang w:val="en-US"/>
        </w:rPr>
        <w:t>考核结果按最终得分</w:t>
      </w:r>
      <w:r>
        <w:rPr>
          <w:rFonts w:hint="eastAsia" w:ascii="宋体" w:hAnsi="宋体" w:eastAsia="宋体" w:cs="宋体"/>
          <w:b w:val="0"/>
          <w:bCs w:val="0"/>
          <w:color w:val="auto"/>
          <w:sz w:val="21"/>
          <w:szCs w:val="21"/>
          <w:highlight w:val="none"/>
          <w:lang w:val="en-US" w:eastAsia="zh-CN"/>
        </w:rPr>
        <w:t>分值（X）</w:t>
      </w:r>
      <w:r>
        <w:rPr>
          <w:rFonts w:hint="eastAsia" w:ascii="宋体" w:hAnsi="宋体" w:eastAsia="宋体" w:cs="宋体"/>
          <w:b w:val="0"/>
          <w:bCs w:val="0"/>
          <w:color w:val="auto"/>
          <w:sz w:val="21"/>
          <w:szCs w:val="21"/>
          <w:highlight w:val="none"/>
          <w:lang w:val="en-US"/>
        </w:rPr>
        <w:t>分为优</w:t>
      </w:r>
      <w:r>
        <w:rPr>
          <w:rFonts w:hint="eastAsia" w:ascii="宋体" w:hAnsi="宋体" w:eastAsia="宋体" w:cs="宋体"/>
          <w:b w:val="0"/>
          <w:bCs w:val="0"/>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85</w:t>
      </w:r>
      <w:r>
        <w:rPr>
          <w:rFonts w:hint="eastAsia" w:ascii="宋体" w:hAnsi="宋体" w:eastAsia="宋体" w:cs="宋体"/>
          <w:b w:val="0"/>
          <w:bCs w:val="0"/>
          <w:color w:val="auto"/>
          <w:sz w:val="21"/>
          <w:szCs w:val="21"/>
          <w:highlight w:val="none"/>
          <w:lang w:val="en-US"/>
        </w:rPr>
        <w:t>分</w:t>
      </w:r>
      <w:r>
        <w:rPr>
          <w:rFonts w:hint="eastAsia" w:ascii="宋体" w:hAnsi="宋体" w:eastAsia="宋体" w:cs="宋体"/>
          <w:b w:val="0"/>
          <w:bCs w:val="0"/>
          <w:color w:val="auto"/>
          <w:sz w:val="21"/>
          <w:szCs w:val="21"/>
          <w:highlight w:val="none"/>
          <w:lang w:val="en-US" w:eastAsia="zh-CN"/>
        </w:rPr>
        <w:t>＜X≤</w:t>
      </w:r>
      <w:r>
        <w:rPr>
          <w:rFonts w:hint="eastAsia" w:ascii="宋体" w:hAnsi="宋体" w:eastAsia="宋体" w:cs="宋体"/>
          <w:b w:val="0"/>
          <w:bCs w:val="0"/>
          <w:color w:val="auto"/>
          <w:sz w:val="21"/>
          <w:szCs w:val="21"/>
          <w:highlight w:val="none"/>
          <w:lang w:val="en-US"/>
        </w:rPr>
        <w:t>100分），中（</w:t>
      </w:r>
      <w:r>
        <w:rPr>
          <w:rFonts w:hint="eastAsia" w:ascii="宋体" w:hAnsi="宋体" w:eastAsia="宋体" w:cs="宋体"/>
          <w:b w:val="0"/>
          <w:bCs w:val="0"/>
          <w:color w:val="auto"/>
          <w:sz w:val="21"/>
          <w:szCs w:val="21"/>
          <w:highlight w:val="none"/>
          <w:lang w:val="en-US" w:eastAsia="zh-CN"/>
        </w:rPr>
        <w:t>75</w:t>
      </w:r>
      <w:r>
        <w:rPr>
          <w:rFonts w:hint="eastAsia" w:ascii="宋体" w:hAnsi="宋体" w:eastAsia="宋体" w:cs="宋体"/>
          <w:b w:val="0"/>
          <w:bCs w:val="0"/>
          <w:color w:val="auto"/>
          <w:sz w:val="21"/>
          <w:szCs w:val="21"/>
          <w:highlight w:val="none"/>
          <w:lang w:val="en-US"/>
        </w:rPr>
        <w:t>分</w:t>
      </w:r>
      <w:r>
        <w:rPr>
          <w:rFonts w:hint="eastAsia" w:ascii="宋体" w:hAnsi="宋体" w:eastAsia="宋体" w:cs="宋体"/>
          <w:b w:val="0"/>
          <w:bCs w:val="0"/>
          <w:color w:val="auto"/>
          <w:sz w:val="21"/>
          <w:szCs w:val="21"/>
          <w:highlight w:val="none"/>
          <w:lang w:val="en-US" w:eastAsia="zh-CN"/>
        </w:rPr>
        <w:t>＜X≤85</w:t>
      </w:r>
      <w:r>
        <w:rPr>
          <w:rFonts w:hint="eastAsia" w:ascii="宋体" w:hAnsi="宋体" w:eastAsia="宋体" w:cs="宋体"/>
          <w:b w:val="0"/>
          <w:bCs w:val="0"/>
          <w:color w:val="auto"/>
          <w:sz w:val="21"/>
          <w:szCs w:val="21"/>
          <w:highlight w:val="none"/>
          <w:lang w:val="en-US"/>
        </w:rPr>
        <w:t>分），差（</w:t>
      </w:r>
      <w:r>
        <w:rPr>
          <w:rFonts w:hint="eastAsia" w:ascii="宋体" w:hAnsi="宋体" w:eastAsia="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val="en-US"/>
        </w:rPr>
        <w:t>分</w:t>
      </w:r>
      <w:r>
        <w:rPr>
          <w:rFonts w:hint="eastAsia" w:ascii="宋体" w:hAnsi="宋体" w:eastAsia="宋体" w:cs="宋体"/>
          <w:b w:val="0"/>
          <w:bCs w:val="0"/>
          <w:color w:val="auto"/>
          <w:sz w:val="21"/>
          <w:szCs w:val="21"/>
          <w:highlight w:val="none"/>
          <w:lang w:val="en-US" w:eastAsia="zh-CN"/>
        </w:rPr>
        <w:t>＜X≤75</w:t>
      </w:r>
      <w:r>
        <w:rPr>
          <w:rFonts w:hint="eastAsia" w:ascii="宋体" w:hAnsi="宋体" w:eastAsia="宋体" w:cs="宋体"/>
          <w:b w:val="0"/>
          <w:bCs w:val="0"/>
          <w:color w:val="auto"/>
          <w:sz w:val="21"/>
          <w:szCs w:val="21"/>
          <w:highlight w:val="none"/>
          <w:lang w:val="en-US"/>
        </w:rPr>
        <w:t>分）</w:t>
      </w:r>
      <w:r>
        <w:rPr>
          <w:rFonts w:hint="eastAsia" w:ascii="宋体" w:hAnsi="宋体" w:eastAsia="宋体" w:cs="宋体"/>
          <w:b w:val="0"/>
          <w:bCs w:val="0"/>
          <w:color w:val="auto"/>
          <w:sz w:val="21"/>
          <w:szCs w:val="21"/>
          <w:highlight w:val="none"/>
          <w:lang w:val="en-US" w:eastAsia="zh-CN"/>
        </w:rPr>
        <w:t>，不合格</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X≤6</w:t>
      </w:r>
      <w:r>
        <w:rPr>
          <w:rFonts w:hint="eastAsia" w:ascii="宋体" w:hAnsi="宋体" w:eastAsia="宋体" w:cs="宋体"/>
          <w:b w:val="0"/>
          <w:bCs w:val="0"/>
          <w:color w:val="auto"/>
          <w:sz w:val="21"/>
          <w:szCs w:val="21"/>
          <w:highlight w:val="none"/>
          <w:lang w:val="en-US"/>
        </w:rPr>
        <w:t>0分）</w:t>
      </w:r>
      <w:r>
        <w:rPr>
          <w:rFonts w:hint="eastAsia" w:ascii="宋体" w:hAnsi="宋体" w:eastAsia="宋体" w:cs="宋体"/>
          <w:b w:val="0"/>
          <w:bCs w:val="0"/>
          <w:color w:val="auto"/>
          <w:sz w:val="21"/>
          <w:szCs w:val="21"/>
          <w:highlight w:val="none"/>
          <w:lang w:val="en-US" w:eastAsia="zh-CN"/>
        </w:rPr>
        <w:t>共四个</w:t>
      </w:r>
      <w:r>
        <w:rPr>
          <w:rFonts w:hint="eastAsia" w:ascii="宋体" w:hAnsi="宋体" w:eastAsia="宋体" w:cs="宋体"/>
          <w:b w:val="0"/>
          <w:bCs w:val="0"/>
          <w:color w:val="auto"/>
          <w:sz w:val="21"/>
          <w:szCs w:val="21"/>
          <w:highlight w:val="none"/>
          <w:lang w:val="en-US"/>
        </w:rPr>
        <w:t>等级</w:t>
      </w:r>
      <w:r>
        <w:rPr>
          <w:rFonts w:hint="eastAsia" w:ascii="宋体" w:hAnsi="宋体" w:eastAsia="宋体" w:cs="宋体"/>
          <w:b w:val="0"/>
          <w:bCs w:val="0"/>
          <w:color w:val="auto"/>
          <w:sz w:val="21"/>
          <w:szCs w:val="21"/>
          <w:highlight w:val="none"/>
          <w:lang w:val="en-US" w:eastAsia="zh-CN"/>
        </w:rPr>
        <w:t>。每月的综合</w:t>
      </w:r>
      <w:r>
        <w:rPr>
          <w:rFonts w:hint="eastAsia" w:ascii="宋体" w:hAnsi="宋体" w:eastAsia="宋体" w:cs="宋体"/>
          <w:color w:val="auto"/>
          <w:szCs w:val="21"/>
          <w:highlight w:val="none"/>
          <w:lang w:val="en-US"/>
        </w:rPr>
        <w:t>考核结果与</w:t>
      </w:r>
      <w:r>
        <w:rPr>
          <w:rFonts w:hint="eastAsia" w:ascii="宋体" w:hAnsi="宋体" w:eastAsia="宋体" w:cs="宋体"/>
          <w:color w:val="auto"/>
          <w:szCs w:val="21"/>
          <w:highlight w:val="none"/>
          <w:lang w:val="en-US" w:eastAsia="zh-CN"/>
        </w:rPr>
        <w:t>该</w:t>
      </w:r>
      <w:r>
        <w:rPr>
          <w:rFonts w:hint="eastAsia" w:ascii="宋体" w:hAnsi="宋体" w:eastAsia="宋体" w:cs="宋体"/>
          <w:color w:val="auto"/>
          <w:szCs w:val="21"/>
          <w:highlight w:val="none"/>
          <w:lang w:val="en-US"/>
        </w:rPr>
        <w:t>月应支付的运输服务费用挂钩。</w:t>
      </w:r>
    </w:p>
    <w:p w14:paraId="377E2DD3">
      <w:pPr>
        <w:numPr>
          <w:ilvl w:val="0"/>
          <w:numId w:val="0"/>
        </w:numPr>
        <w:spacing w:line="360" w:lineRule="auto"/>
        <w:ind w:firstLine="422" w:firstLineChars="200"/>
        <w:contextualSpacing/>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八、</w:t>
      </w:r>
      <w:r>
        <w:rPr>
          <w:rFonts w:hint="eastAsia" w:ascii="宋体" w:hAnsi="宋体" w:eastAsia="宋体" w:cs="宋体"/>
          <w:b/>
          <w:color w:val="auto"/>
          <w:sz w:val="21"/>
          <w:szCs w:val="21"/>
          <w:highlight w:val="none"/>
          <w:lang w:val="en-US" w:eastAsia="zh-CN"/>
        </w:rPr>
        <w:t>付款方式</w:t>
      </w:r>
    </w:p>
    <w:p w14:paraId="5EE8DE08">
      <w:pPr>
        <w:numPr>
          <w:ilvl w:val="0"/>
          <w:numId w:val="0"/>
        </w:numPr>
        <w:wordWrap/>
        <w:spacing w:line="360" w:lineRule="auto"/>
        <w:ind w:right="0" w:rightChars="0" w:firstLine="420" w:firstLineChars="20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1、支付方式：支付方式为银行转账或银行承兑汇票，汇票期限不超过三个月，每期款项支付方式由采购人决定。</w:t>
      </w:r>
    </w:p>
    <w:p w14:paraId="3ED81B2A">
      <w:pPr>
        <w:numPr>
          <w:ilvl w:val="0"/>
          <w:numId w:val="0"/>
        </w:numPr>
        <w:wordWrap/>
        <w:spacing w:line="360" w:lineRule="auto"/>
        <w:ind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rPr>
        <w:t>运输服务费按月支付。</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于</w:t>
      </w:r>
      <w:r>
        <w:rPr>
          <w:rFonts w:hint="eastAsia" w:ascii="宋体" w:hAnsi="宋体" w:eastAsia="宋体" w:cs="宋体"/>
          <w:color w:val="auto"/>
          <w:sz w:val="21"/>
          <w:szCs w:val="21"/>
          <w:highlight w:val="none"/>
        </w:rPr>
        <w:t>每月10日前，向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提交以下全部文件及单据等有效的请款凭证，</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根据请款月份的月度综合考核评分计算出当月的实际金额并按该金额进行请款，</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收到请款凭证后在</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个工作日内完成核实工作（</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提供的请款资料因不符合要求进行修改、补充的期间不纳入前述30个工作日内），核实</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提交的材料符合要求</w:t>
      </w:r>
      <w:r>
        <w:rPr>
          <w:rFonts w:hint="eastAsia" w:ascii="宋体" w:hAnsi="宋体" w:eastAsia="宋体" w:cs="宋体"/>
          <w:color w:val="auto"/>
          <w:sz w:val="21"/>
          <w:szCs w:val="21"/>
          <w:highlight w:val="none"/>
          <w:lang w:val="en-US" w:eastAsia="zh-CN"/>
        </w:rPr>
        <w:t>无误</w:t>
      </w:r>
      <w:r>
        <w:rPr>
          <w:rFonts w:hint="eastAsia" w:ascii="宋体" w:hAnsi="宋体" w:eastAsia="宋体" w:cs="宋体"/>
          <w:color w:val="auto"/>
          <w:sz w:val="21"/>
          <w:szCs w:val="21"/>
          <w:highlight w:val="none"/>
        </w:rPr>
        <w:t>后向</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支付上月运输服务费用：</w:t>
      </w:r>
    </w:p>
    <w:p w14:paraId="5F3414C2">
      <w:pPr>
        <w:numPr>
          <w:ilvl w:val="0"/>
          <w:numId w:val="2"/>
        </w:numPr>
        <w:wordWrap/>
        <w:spacing w:line="360" w:lineRule="auto"/>
        <w:ind w:leftChars="200" w:right="0" w:right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请款运输服务费对应月份的</w:t>
      </w:r>
      <w:r>
        <w:rPr>
          <w:rFonts w:hint="eastAsia" w:ascii="宋体" w:hAnsi="宋体" w:eastAsia="宋体" w:cs="宋体"/>
          <w:color w:val="auto"/>
          <w:sz w:val="21"/>
          <w:szCs w:val="21"/>
          <w:highlight w:val="none"/>
        </w:rPr>
        <w:t>《月度污泥</w:t>
      </w:r>
      <w:r>
        <w:rPr>
          <w:rFonts w:hint="eastAsia" w:ascii="宋体" w:hAnsi="宋体" w:eastAsia="宋体" w:cs="宋体"/>
          <w:color w:val="auto"/>
          <w:sz w:val="21"/>
          <w:szCs w:val="21"/>
          <w:highlight w:val="none"/>
          <w:lang w:val="en-US" w:eastAsia="zh-CN"/>
        </w:rPr>
        <w:t>运输</w:t>
      </w:r>
      <w:r>
        <w:rPr>
          <w:rFonts w:hint="eastAsia" w:ascii="宋体" w:hAnsi="宋体" w:eastAsia="宋体" w:cs="宋体"/>
          <w:color w:val="auto"/>
          <w:sz w:val="21"/>
          <w:szCs w:val="21"/>
          <w:highlight w:val="none"/>
        </w:rPr>
        <w:t>签证表》；</w:t>
      </w:r>
    </w:p>
    <w:p w14:paraId="3E0C729C">
      <w:pPr>
        <w:numPr>
          <w:ilvl w:val="0"/>
          <w:numId w:val="2"/>
        </w:numPr>
        <w:wordWrap/>
        <w:spacing w:line="360" w:lineRule="auto"/>
        <w:ind w:leftChars="200" w:right="0" w:right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请款运输服务费对应月份的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
        </w:rPr>
        <w:t>东莞市</w:t>
      </w:r>
      <w:r>
        <w:rPr>
          <w:rFonts w:hint="eastAsia" w:ascii="宋体" w:hAnsi="宋体" w:eastAsia="宋体" w:cs="宋体"/>
          <w:color w:val="auto"/>
          <w:sz w:val="21"/>
          <w:szCs w:val="21"/>
          <w:highlight w:val="none"/>
          <w:lang w:val="en-US" w:eastAsia="zh-CN"/>
        </w:rPr>
        <w:t>尚源环能科技有限公司</w:t>
      </w:r>
      <w:r>
        <w:rPr>
          <w:rFonts w:hint="eastAsia" w:ascii="宋体" w:hAnsi="宋体" w:eastAsia="宋体" w:cs="宋体"/>
          <w:color w:val="auto"/>
          <w:sz w:val="21"/>
          <w:szCs w:val="21"/>
          <w:highlight w:val="none"/>
        </w:rPr>
        <w:t>污泥运输服务考核表》</w:t>
      </w:r>
      <w:r>
        <w:rPr>
          <w:rFonts w:hint="eastAsia" w:ascii="宋体" w:hAnsi="宋体" w:eastAsia="宋体" w:cs="宋体"/>
          <w:color w:val="auto"/>
          <w:sz w:val="21"/>
          <w:szCs w:val="21"/>
          <w:highlight w:val="none"/>
          <w:lang w:eastAsia="zh-CN"/>
        </w:rPr>
        <w:t>；</w:t>
      </w:r>
    </w:p>
    <w:p w14:paraId="00624C9A">
      <w:pPr>
        <w:numPr>
          <w:ilvl w:val="0"/>
          <w:numId w:val="2"/>
        </w:numPr>
        <w:wordWrap/>
        <w:spacing w:line="360" w:lineRule="auto"/>
        <w:ind w:leftChars="200" w:right="0" w:right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与请款数额一致的有效增值税专用发票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0B7F987E">
      <w:pPr>
        <w:numPr>
          <w:ilvl w:val="0"/>
          <w:numId w:val="2"/>
        </w:numPr>
        <w:wordWrap/>
        <w:spacing w:line="360" w:lineRule="auto"/>
        <w:ind w:leftChars="200" w:right="0" w:right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请款报告（必须加盖</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的公章）。</w:t>
      </w:r>
    </w:p>
    <w:p w14:paraId="5A91C6DA">
      <w:pPr>
        <w:numPr>
          <w:ilvl w:val="0"/>
          <w:numId w:val="0"/>
        </w:numPr>
        <w:spacing w:line="360" w:lineRule="auto"/>
        <w:ind w:right="0" w:rightChars="0" w:firstLine="420" w:firstLineChars="200"/>
        <w:jc w:val="both"/>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逾期提供请款资料及发票或前述资料不符合</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付款时间顺延，并不承担逾期付款违约责任，</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不得以此为由拒绝或迟延履行合同义务。由于</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承担赔偿责任。</w:t>
      </w:r>
    </w:p>
    <w:p w14:paraId="0E35C16C">
      <w:pPr>
        <w:numPr>
          <w:ilvl w:val="0"/>
          <w:numId w:val="0"/>
        </w:numPr>
        <w:spacing w:line="360" w:lineRule="auto"/>
        <w:ind w:right="0" w:rightChars="0" w:firstLine="420" w:firstLineChars="200"/>
        <w:jc w:val="both"/>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rPr>
        <w:t>服务单位的月度综合</w:t>
      </w:r>
      <w:r>
        <w:rPr>
          <w:rFonts w:hint="eastAsia" w:ascii="宋体" w:hAnsi="宋体" w:eastAsia="宋体" w:cs="宋体"/>
          <w:color w:val="auto"/>
          <w:sz w:val="21"/>
          <w:szCs w:val="21"/>
          <w:highlight w:val="none"/>
          <w:lang w:val="en-US"/>
        </w:rPr>
        <w:t>考核评定为</w:t>
      </w:r>
      <w:r>
        <w:rPr>
          <w:rFonts w:hint="eastAsia" w:ascii="宋体" w:hAnsi="宋体" w:eastAsia="宋体" w:cs="宋体"/>
          <w:color w:val="auto"/>
          <w:sz w:val="21"/>
          <w:szCs w:val="21"/>
          <w:highlight w:val="none"/>
          <w:lang w:val="en-US" w:eastAsia="zh-CN"/>
        </w:rPr>
        <w:t>“优良”</w:t>
      </w:r>
      <w:r>
        <w:rPr>
          <w:rFonts w:hint="eastAsia" w:ascii="宋体" w:hAnsi="宋体" w:eastAsia="宋体" w:cs="宋体"/>
          <w:color w:val="auto"/>
          <w:sz w:val="21"/>
          <w:szCs w:val="21"/>
          <w:highlight w:val="none"/>
          <w:lang w:val="en-US"/>
        </w:rPr>
        <w:t>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该</w:t>
      </w:r>
      <w:r>
        <w:rPr>
          <w:rFonts w:hint="eastAsia" w:ascii="宋体" w:hAnsi="宋体" w:eastAsia="宋体" w:cs="宋体"/>
          <w:color w:val="auto"/>
          <w:sz w:val="21"/>
          <w:szCs w:val="21"/>
          <w:highlight w:val="none"/>
          <w:lang w:val="en-US" w:eastAsia="zh-CN"/>
        </w:rPr>
        <w:t>月度服务费用</w:t>
      </w:r>
      <w:r>
        <w:rPr>
          <w:rFonts w:hint="eastAsia" w:ascii="宋体" w:hAnsi="宋体" w:eastAsia="宋体" w:cs="宋体"/>
          <w:color w:val="auto"/>
          <w:sz w:val="21"/>
          <w:szCs w:val="21"/>
          <w:highlight w:val="none"/>
          <w:lang w:val="en-US"/>
        </w:rPr>
        <w:t>100%支付</w:t>
      </w:r>
      <w:r>
        <w:rPr>
          <w:rFonts w:hint="eastAsia" w:ascii="宋体" w:hAnsi="宋体" w:eastAsia="宋体" w:cs="宋体"/>
          <w:color w:val="auto"/>
          <w:sz w:val="21"/>
          <w:szCs w:val="21"/>
          <w:highlight w:val="none"/>
          <w:lang w:val="en-US" w:eastAsia="zh"/>
        </w:rPr>
        <w:t>；</w:t>
      </w:r>
      <w:r>
        <w:rPr>
          <w:rFonts w:hint="eastAsia" w:ascii="宋体" w:hAnsi="宋体" w:eastAsia="宋体" w:cs="宋体"/>
          <w:color w:val="auto"/>
          <w:sz w:val="21"/>
          <w:szCs w:val="21"/>
          <w:highlight w:val="none"/>
          <w:lang w:val="en-US"/>
        </w:rPr>
        <w:t>考核评定为“中”</w:t>
      </w:r>
      <w:r>
        <w:rPr>
          <w:rFonts w:hint="eastAsia" w:ascii="宋体" w:hAnsi="宋体" w:eastAsia="宋体" w:cs="宋体"/>
          <w:color w:val="auto"/>
          <w:sz w:val="21"/>
          <w:szCs w:val="21"/>
          <w:highlight w:val="none"/>
          <w:lang w:val="en-US" w:eastAsia="zh"/>
        </w:rPr>
        <w:t>的，</w:t>
      </w:r>
      <w:r>
        <w:rPr>
          <w:rFonts w:hint="eastAsia" w:ascii="宋体" w:hAnsi="宋体" w:eastAsia="宋体" w:cs="宋体"/>
          <w:color w:val="auto"/>
          <w:sz w:val="21"/>
          <w:szCs w:val="21"/>
          <w:highlight w:val="none"/>
          <w:lang w:val="en-US"/>
        </w:rPr>
        <w:t>该</w:t>
      </w:r>
      <w:r>
        <w:rPr>
          <w:rFonts w:hint="eastAsia" w:ascii="宋体" w:hAnsi="宋体" w:eastAsia="宋体" w:cs="宋体"/>
          <w:color w:val="auto"/>
          <w:sz w:val="21"/>
          <w:szCs w:val="21"/>
          <w:highlight w:val="none"/>
          <w:lang w:val="en-US" w:eastAsia="zh-CN"/>
        </w:rPr>
        <w:t>月度服务费用按</w:t>
      </w:r>
      <w:r>
        <w:rPr>
          <w:rFonts w:hint="eastAsia" w:ascii="宋体" w:hAnsi="宋体" w:eastAsia="宋体" w:cs="宋体"/>
          <w:color w:val="auto"/>
          <w:sz w:val="21"/>
          <w:szCs w:val="21"/>
          <w:highlight w:val="none"/>
          <w:lang w:val="en-US"/>
        </w:rPr>
        <w:t>核定价款乘以</w:t>
      </w:r>
      <w:r>
        <w:rPr>
          <w:rFonts w:hint="eastAsia" w:ascii="宋体" w:hAnsi="宋体" w:eastAsia="宋体" w:cs="宋体"/>
          <w:color w:val="auto"/>
          <w:sz w:val="21"/>
          <w:szCs w:val="21"/>
          <w:highlight w:val="none"/>
          <w:lang w:val="en-US" w:eastAsia="zh"/>
        </w:rPr>
        <w:t>（考核得分+10）</w:t>
      </w:r>
      <w:r>
        <w:rPr>
          <w:rFonts w:hint="eastAsia" w:ascii="宋体" w:hAnsi="宋体" w:eastAsia="宋体" w:cs="宋体"/>
          <w:color w:val="auto"/>
          <w:sz w:val="21"/>
          <w:szCs w:val="21"/>
          <w:highlight w:val="none"/>
          <w:lang w:val="en-US"/>
        </w:rPr>
        <w:t>的百分比支付服务费（如，</w:t>
      </w:r>
      <w:r>
        <w:rPr>
          <w:rFonts w:hint="eastAsia" w:ascii="宋体" w:hAnsi="宋体" w:eastAsia="宋体" w:cs="宋体"/>
          <w:color w:val="auto"/>
          <w:sz w:val="21"/>
          <w:szCs w:val="21"/>
          <w:highlight w:val="none"/>
          <w:lang w:val="en-US" w:eastAsia="zh"/>
        </w:rPr>
        <w:t>考核得分</w:t>
      </w:r>
      <w:r>
        <w:rPr>
          <w:rFonts w:hint="eastAsia" w:ascii="宋体" w:hAnsi="宋体" w:eastAsia="宋体" w:cs="宋体"/>
          <w:color w:val="auto"/>
          <w:sz w:val="21"/>
          <w:szCs w:val="21"/>
          <w:highlight w:val="none"/>
          <w:lang w:val="en-US"/>
        </w:rPr>
        <w:t>为</w:t>
      </w:r>
      <w:r>
        <w:rPr>
          <w:rFonts w:hint="eastAsia" w:ascii="宋体" w:hAnsi="宋体" w:eastAsia="宋体" w:cs="宋体"/>
          <w:color w:val="auto"/>
          <w:sz w:val="21"/>
          <w:szCs w:val="21"/>
          <w:highlight w:val="none"/>
          <w:lang w:val="en-US" w:eastAsia="zh"/>
        </w:rPr>
        <w:t>80</w:t>
      </w:r>
      <w:r>
        <w:rPr>
          <w:rFonts w:hint="eastAsia" w:ascii="宋体" w:hAnsi="宋体" w:eastAsia="宋体" w:cs="宋体"/>
          <w:color w:val="auto"/>
          <w:sz w:val="21"/>
          <w:szCs w:val="21"/>
          <w:highlight w:val="none"/>
          <w:lang w:val="en-US"/>
        </w:rPr>
        <w:t>分，则该</w:t>
      </w:r>
      <w:r>
        <w:rPr>
          <w:rFonts w:hint="eastAsia" w:ascii="宋体" w:hAnsi="宋体" w:eastAsia="宋体" w:cs="宋体"/>
          <w:color w:val="auto"/>
          <w:sz w:val="21"/>
          <w:szCs w:val="21"/>
          <w:highlight w:val="none"/>
          <w:lang w:val="en-US" w:eastAsia="zh-CN"/>
        </w:rPr>
        <w:t>月度服务费用</w:t>
      </w:r>
      <w:r>
        <w:rPr>
          <w:rFonts w:hint="eastAsia" w:ascii="宋体" w:hAnsi="宋体" w:eastAsia="宋体" w:cs="宋体"/>
          <w:color w:val="auto"/>
          <w:sz w:val="21"/>
          <w:szCs w:val="21"/>
          <w:highlight w:val="none"/>
          <w:lang w:val="en-US"/>
        </w:rPr>
        <w:t>应支付价款=核定价款×</w:t>
      </w:r>
      <w:r>
        <w:rPr>
          <w:rFonts w:hint="eastAsia" w:ascii="宋体" w:hAnsi="宋体" w:eastAsia="宋体" w:cs="宋体"/>
          <w:color w:val="auto"/>
          <w:sz w:val="21"/>
          <w:szCs w:val="21"/>
          <w:highlight w:val="none"/>
          <w:lang w:val="en-US" w:eastAsia="zh"/>
        </w:rPr>
        <w:t>（80+10）</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
        </w:rPr>
        <w:t>；</w:t>
      </w:r>
      <w:r>
        <w:rPr>
          <w:rFonts w:hint="eastAsia" w:ascii="宋体" w:hAnsi="宋体" w:eastAsia="宋体" w:cs="宋体"/>
          <w:color w:val="auto"/>
          <w:sz w:val="21"/>
          <w:szCs w:val="21"/>
          <w:highlight w:val="none"/>
          <w:lang w:val="en-US"/>
        </w:rPr>
        <w:t>考核评定为“</w:t>
      </w:r>
      <w:r>
        <w:rPr>
          <w:rFonts w:hint="eastAsia" w:ascii="宋体" w:hAnsi="宋体" w:eastAsia="宋体" w:cs="宋体"/>
          <w:color w:val="auto"/>
          <w:sz w:val="21"/>
          <w:szCs w:val="21"/>
          <w:highlight w:val="none"/>
          <w:lang w:val="en-US" w:eastAsia="zh"/>
        </w:rPr>
        <w:t>差</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
        </w:rPr>
        <w:t>的，</w:t>
      </w:r>
      <w:r>
        <w:rPr>
          <w:rFonts w:hint="eastAsia" w:ascii="宋体" w:hAnsi="宋体" w:eastAsia="宋体" w:cs="宋体"/>
          <w:color w:val="auto"/>
          <w:sz w:val="21"/>
          <w:szCs w:val="21"/>
          <w:highlight w:val="none"/>
          <w:lang w:val="en-US"/>
        </w:rPr>
        <w:t>该</w:t>
      </w:r>
      <w:r>
        <w:rPr>
          <w:rFonts w:hint="eastAsia" w:ascii="宋体" w:hAnsi="宋体" w:eastAsia="宋体" w:cs="宋体"/>
          <w:color w:val="auto"/>
          <w:sz w:val="21"/>
          <w:szCs w:val="21"/>
          <w:highlight w:val="none"/>
          <w:lang w:val="en-US" w:eastAsia="zh-CN"/>
        </w:rPr>
        <w:t>月度服务费用按</w:t>
      </w:r>
      <w:r>
        <w:rPr>
          <w:rFonts w:hint="eastAsia" w:ascii="宋体" w:hAnsi="宋体" w:eastAsia="宋体" w:cs="宋体"/>
          <w:color w:val="auto"/>
          <w:sz w:val="21"/>
          <w:szCs w:val="21"/>
          <w:highlight w:val="none"/>
          <w:lang w:val="en-US"/>
        </w:rPr>
        <w:t>核定价款乘以</w:t>
      </w:r>
      <w:r>
        <w:rPr>
          <w:rFonts w:hint="eastAsia" w:ascii="宋体" w:hAnsi="宋体" w:eastAsia="宋体" w:cs="宋体"/>
          <w:color w:val="auto"/>
          <w:sz w:val="21"/>
          <w:szCs w:val="21"/>
          <w:highlight w:val="none"/>
          <w:lang w:val="en-US" w:eastAsia="zh"/>
        </w:rPr>
        <w:t>考核得分</w:t>
      </w:r>
      <w:r>
        <w:rPr>
          <w:rFonts w:hint="eastAsia" w:ascii="宋体" w:hAnsi="宋体" w:eastAsia="宋体" w:cs="宋体"/>
          <w:color w:val="auto"/>
          <w:sz w:val="21"/>
          <w:szCs w:val="21"/>
          <w:highlight w:val="none"/>
          <w:lang w:val="en-US"/>
        </w:rPr>
        <w:t>的百分比支付服务费（如，评分为</w:t>
      </w:r>
      <w:r>
        <w:rPr>
          <w:rFonts w:hint="eastAsia" w:ascii="宋体" w:hAnsi="宋体" w:eastAsia="宋体" w:cs="宋体"/>
          <w:color w:val="auto"/>
          <w:sz w:val="21"/>
          <w:szCs w:val="21"/>
          <w:highlight w:val="none"/>
          <w:lang w:val="en-US" w:eastAsia="zh"/>
        </w:rPr>
        <w:t>66</w:t>
      </w:r>
      <w:r>
        <w:rPr>
          <w:rFonts w:hint="eastAsia" w:ascii="宋体" w:hAnsi="宋体" w:eastAsia="宋体" w:cs="宋体"/>
          <w:color w:val="auto"/>
          <w:sz w:val="21"/>
          <w:szCs w:val="21"/>
          <w:highlight w:val="none"/>
          <w:lang w:val="en-US"/>
        </w:rPr>
        <w:t>分，则该</w:t>
      </w:r>
      <w:r>
        <w:rPr>
          <w:rFonts w:hint="eastAsia" w:ascii="宋体" w:hAnsi="宋体" w:eastAsia="宋体" w:cs="宋体"/>
          <w:color w:val="auto"/>
          <w:sz w:val="21"/>
          <w:szCs w:val="21"/>
          <w:highlight w:val="none"/>
          <w:lang w:val="en-US" w:eastAsia="zh-CN"/>
        </w:rPr>
        <w:t>月度服务费用</w:t>
      </w:r>
      <w:r>
        <w:rPr>
          <w:rFonts w:hint="eastAsia" w:ascii="宋体" w:hAnsi="宋体" w:eastAsia="宋体" w:cs="宋体"/>
          <w:color w:val="auto"/>
          <w:sz w:val="21"/>
          <w:szCs w:val="21"/>
          <w:highlight w:val="none"/>
          <w:lang w:val="en-US"/>
        </w:rPr>
        <w:t>应支付价款=核定价款×</w:t>
      </w:r>
      <w:r>
        <w:rPr>
          <w:rFonts w:hint="eastAsia" w:ascii="宋体" w:hAnsi="宋体" w:eastAsia="宋体" w:cs="宋体"/>
          <w:color w:val="auto"/>
          <w:sz w:val="21"/>
          <w:szCs w:val="21"/>
          <w:highlight w:val="none"/>
          <w:lang w:val="en-US" w:eastAsia="zh"/>
        </w:rPr>
        <w:t>66</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
        </w:rPr>
        <w:t>，</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lang w:val="en-US"/>
        </w:rPr>
        <w:t>被评定为“</w:t>
      </w:r>
      <w:r>
        <w:rPr>
          <w:rFonts w:hint="eastAsia" w:ascii="宋体" w:hAnsi="宋体" w:eastAsia="宋体" w:cs="宋体"/>
          <w:color w:val="auto"/>
          <w:sz w:val="21"/>
          <w:szCs w:val="21"/>
          <w:highlight w:val="none"/>
          <w:lang w:val="en-US" w:eastAsia="zh-CN"/>
        </w:rPr>
        <w:t>不合格</w:t>
      </w:r>
      <w:r>
        <w:rPr>
          <w:rFonts w:hint="eastAsia" w:ascii="宋体" w:hAnsi="宋体" w:eastAsia="宋体" w:cs="宋体"/>
          <w:color w:val="auto"/>
          <w:sz w:val="21"/>
          <w:szCs w:val="21"/>
          <w:highlight w:val="none"/>
          <w:lang w:val="en-US"/>
        </w:rPr>
        <w:t>”的，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rPr>
        <w:t>不予支付该</w:t>
      </w:r>
      <w:r>
        <w:rPr>
          <w:rFonts w:hint="eastAsia" w:ascii="宋体" w:hAnsi="宋体" w:eastAsia="宋体" w:cs="宋体"/>
          <w:color w:val="auto"/>
          <w:sz w:val="21"/>
          <w:szCs w:val="21"/>
          <w:highlight w:val="none"/>
          <w:lang w:val="en-US" w:eastAsia="zh-CN"/>
        </w:rPr>
        <w:t>月度</w:t>
      </w:r>
      <w:r>
        <w:rPr>
          <w:rFonts w:hint="eastAsia" w:ascii="宋体" w:hAnsi="宋体" w:eastAsia="宋体" w:cs="宋体"/>
          <w:color w:val="auto"/>
          <w:sz w:val="21"/>
          <w:szCs w:val="21"/>
          <w:highlight w:val="none"/>
          <w:lang w:val="en-US"/>
        </w:rPr>
        <w:t>服务费并有单方权解除合同。</w:t>
      </w:r>
    </w:p>
    <w:p w14:paraId="6458C40B">
      <w:pPr>
        <w:numPr>
          <w:ilvl w:val="0"/>
          <w:numId w:val="0"/>
        </w:numPr>
        <w:spacing w:line="360" w:lineRule="auto"/>
        <w:ind w:right="0" w:rightChars="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结算价计算过程中产生小数均参与计算，仅结果保留两位小数，小数点后第三位及第三位后面的小数均舍去。</w:t>
      </w:r>
    </w:p>
    <w:p w14:paraId="5350AB60">
      <w:pPr>
        <w:jc w:val="center"/>
        <w:rPr>
          <w:rFonts w:hint="eastAsia" w:ascii="宋体" w:hAnsi="宋体" w:eastAsia="宋体" w:cs="宋体"/>
          <w:b/>
          <w:bCs/>
          <w:color w:val="auto"/>
          <w:sz w:val="28"/>
          <w:szCs w:val="28"/>
          <w:highlight w:val="none"/>
          <w:lang w:val="en-US" w:eastAsia="zh"/>
        </w:rPr>
      </w:pPr>
    </w:p>
    <w:p w14:paraId="756E9D4A">
      <w:pPr>
        <w:jc w:val="center"/>
        <w:rPr>
          <w:rFonts w:hint="eastAsia" w:ascii="宋体" w:hAnsi="宋体" w:eastAsia="宋体" w:cs="宋体"/>
          <w:b/>
          <w:bCs/>
          <w:color w:val="auto"/>
          <w:sz w:val="28"/>
          <w:szCs w:val="28"/>
          <w:highlight w:val="none"/>
          <w:lang w:val="en-US" w:eastAsia="zh"/>
        </w:rPr>
      </w:pPr>
    </w:p>
    <w:p w14:paraId="6FE6526A">
      <w:pPr>
        <w:jc w:val="center"/>
        <w:rPr>
          <w:rFonts w:hint="eastAsia" w:ascii="宋体" w:hAnsi="宋体" w:eastAsia="宋体" w:cs="宋体"/>
          <w:b/>
          <w:bCs/>
          <w:color w:val="auto"/>
          <w:sz w:val="28"/>
          <w:szCs w:val="28"/>
          <w:highlight w:val="none"/>
          <w:lang w:val="en-US" w:eastAsia="zh"/>
        </w:rPr>
      </w:pPr>
    </w:p>
    <w:p w14:paraId="6F3A187A">
      <w:pPr>
        <w:jc w:val="center"/>
        <w:rPr>
          <w:rFonts w:hint="eastAsia" w:ascii="宋体" w:hAnsi="宋体" w:eastAsia="宋体" w:cs="宋体"/>
          <w:b/>
          <w:bCs/>
          <w:color w:val="auto"/>
          <w:sz w:val="28"/>
          <w:szCs w:val="28"/>
          <w:highlight w:val="none"/>
          <w:lang w:val="en-US" w:eastAsia="zh"/>
        </w:rPr>
      </w:pPr>
    </w:p>
    <w:p w14:paraId="19007DFB">
      <w:pPr>
        <w:jc w:val="center"/>
        <w:rPr>
          <w:rFonts w:hint="eastAsia" w:ascii="宋体" w:hAnsi="宋体" w:eastAsia="宋体" w:cs="宋体"/>
          <w:b/>
          <w:bCs/>
          <w:color w:val="auto"/>
          <w:sz w:val="28"/>
          <w:szCs w:val="28"/>
          <w:highlight w:val="none"/>
          <w:lang w:val="en-US" w:eastAsia="zh"/>
        </w:rPr>
      </w:pPr>
    </w:p>
    <w:p w14:paraId="40423524">
      <w:pPr>
        <w:jc w:val="center"/>
        <w:rPr>
          <w:rFonts w:hint="eastAsia" w:ascii="宋体" w:hAnsi="宋体" w:eastAsia="宋体" w:cs="宋体"/>
          <w:b/>
          <w:bCs/>
          <w:color w:val="auto"/>
          <w:sz w:val="28"/>
          <w:szCs w:val="28"/>
          <w:highlight w:val="none"/>
          <w:lang w:val="en-US" w:eastAsia="zh"/>
        </w:rPr>
      </w:pPr>
    </w:p>
    <w:p w14:paraId="5025F701">
      <w:pPr>
        <w:jc w:val="center"/>
        <w:rPr>
          <w:rFonts w:hint="eastAsia" w:ascii="宋体" w:hAnsi="宋体" w:eastAsia="宋体" w:cs="宋体"/>
          <w:b/>
          <w:bCs/>
          <w:color w:val="auto"/>
          <w:sz w:val="28"/>
          <w:szCs w:val="28"/>
          <w:highlight w:val="none"/>
          <w:lang w:val="en-US" w:eastAsia="zh"/>
        </w:rPr>
      </w:pPr>
    </w:p>
    <w:p w14:paraId="02B107B2">
      <w:pPr>
        <w:jc w:val="center"/>
        <w:rPr>
          <w:rFonts w:hint="eastAsia" w:ascii="宋体" w:hAnsi="宋体" w:eastAsia="宋体" w:cs="宋体"/>
          <w:b/>
          <w:bCs/>
          <w:color w:val="auto"/>
          <w:sz w:val="28"/>
          <w:szCs w:val="28"/>
          <w:highlight w:val="none"/>
          <w:lang w:val="en-US" w:eastAsia="zh"/>
        </w:rPr>
      </w:pPr>
    </w:p>
    <w:p w14:paraId="5E661B40">
      <w:pPr>
        <w:pStyle w:val="31"/>
        <w:rPr>
          <w:rFonts w:hint="eastAsia" w:ascii="宋体" w:hAnsi="宋体" w:eastAsia="宋体" w:cs="宋体"/>
          <w:b/>
          <w:bCs/>
          <w:color w:val="auto"/>
          <w:sz w:val="28"/>
          <w:szCs w:val="28"/>
          <w:highlight w:val="none"/>
          <w:lang w:val="en-US" w:eastAsia="zh"/>
        </w:rPr>
      </w:pPr>
    </w:p>
    <w:p w14:paraId="424FCFB6">
      <w:pPr>
        <w:pStyle w:val="31"/>
        <w:rPr>
          <w:rFonts w:hint="eastAsia" w:ascii="宋体" w:hAnsi="宋体" w:eastAsia="宋体" w:cs="宋体"/>
          <w:b/>
          <w:bCs/>
          <w:color w:val="auto"/>
          <w:sz w:val="28"/>
          <w:szCs w:val="28"/>
          <w:highlight w:val="none"/>
          <w:lang w:val="en-US" w:eastAsia="zh"/>
        </w:rPr>
      </w:pPr>
    </w:p>
    <w:p w14:paraId="3DA7BEE4">
      <w:pPr>
        <w:jc w:val="center"/>
        <w:rPr>
          <w:rFonts w:hint="eastAsia" w:ascii="宋体" w:hAnsi="宋体" w:eastAsia="宋体" w:cs="宋体"/>
          <w:b/>
          <w:bCs/>
          <w:color w:val="auto"/>
          <w:sz w:val="28"/>
          <w:szCs w:val="28"/>
          <w:highlight w:val="none"/>
          <w:lang w:val="en-US" w:eastAsia="zh"/>
        </w:rPr>
      </w:pPr>
    </w:p>
    <w:p w14:paraId="47752D71">
      <w:pPr>
        <w:jc w:val="center"/>
        <w:rPr>
          <w:rFonts w:hint="eastAsia" w:ascii="宋体" w:hAnsi="宋体" w:eastAsia="宋体" w:cs="宋体"/>
          <w:b/>
          <w:bCs/>
          <w:color w:val="auto"/>
          <w:sz w:val="28"/>
          <w:szCs w:val="28"/>
          <w:highlight w:val="none"/>
          <w:lang w:val="en-US" w:eastAsia="zh"/>
        </w:rPr>
      </w:pPr>
    </w:p>
    <w:p w14:paraId="5BBDAA50">
      <w:pPr>
        <w:jc w:val="center"/>
        <w:rPr>
          <w:rFonts w:hint="eastAsia" w:ascii="宋体" w:hAnsi="宋体" w:eastAsia="宋体" w:cs="宋体"/>
          <w:b/>
          <w:bCs/>
          <w:color w:val="auto"/>
          <w:sz w:val="28"/>
          <w:szCs w:val="28"/>
          <w:highlight w:val="none"/>
          <w:lang w:val="en-US" w:eastAsia="zh"/>
        </w:rPr>
      </w:pPr>
    </w:p>
    <w:p w14:paraId="09C7B5F0">
      <w:pPr>
        <w:jc w:val="center"/>
        <w:rPr>
          <w:rFonts w:hint="eastAsia" w:ascii="宋体" w:hAnsi="宋体" w:eastAsia="宋体" w:cs="宋体"/>
          <w:b/>
          <w:bCs/>
          <w:color w:val="auto"/>
          <w:sz w:val="28"/>
          <w:szCs w:val="28"/>
          <w:highlight w:val="none"/>
          <w:lang w:val="en-US" w:eastAsia="zh"/>
        </w:rPr>
      </w:pPr>
    </w:p>
    <w:p w14:paraId="18E1CF8B">
      <w:pPr>
        <w:keepNext w:val="0"/>
        <w:keepLines w:val="0"/>
        <w:pageBreakBefore/>
        <w:widowControl w:val="0"/>
        <w:kinsoku/>
        <w:wordWrap/>
        <w:overflowPunct/>
        <w:topLinePunct w:val="0"/>
        <w:autoSpaceDE/>
        <w:autoSpaceDN/>
        <w:bidi w:val="0"/>
        <w:adjustRightInd/>
        <w:snapToGrid/>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附件1-1</w:t>
      </w:r>
    </w:p>
    <w:p w14:paraId="7A29C2BB">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
        </w:rPr>
        <w:t>东莞市</w:t>
      </w:r>
      <w:r>
        <w:rPr>
          <w:rFonts w:hint="eastAsia" w:ascii="宋体" w:hAnsi="宋体" w:eastAsia="宋体" w:cs="宋体"/>
          <w:b/>
          <w:bCs/>
          <w:color w:val="auto"/>
          <w:sz w:val="28"/>
          <w:szCs w:val="28"/>
          <w:highlight w:val="none"/>
          <w:lang w:val="en-US" w:eastAsia="zh-CN"/>
        </w:rPr>
        <w:t>尚源环能科技有限公司污泥运输服务考核表</w:t>
      </w:r>
    </w:p>
    <w:p w14:paraId="14A99EB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bl>
      <w:tblPr>
        <w:tblStyle w:val="25"/>
        <w:tblW w:w="9764" w:type="dxa"/>
        <w:jc w:val="center"/>
        <w:tblLayout w:type="fixed"/>
        <w:tblCellMar>
          <w:top w:w="0" w:type="dxa"/>
          <w:left w:w="108" w:type="dxa"/>
          <w:bottom w:w="0" w:type="dxa"/>
          <w:right w:w="108" w:type="dxa"/>
        </w:tblCellMar>
      </w:tblPr>
      <w:tblGrid>
        <w:gridCol w:w="1203"/>
        <w:gridCol w:w="1257"/>
        <w:gridCol w:w="4041"/>
        <w:gridCol w:w="2314"/>
        <w:gridCol w:w="949"/>
      </w:tblGrid>
      <w:tr w14:paraId="0ADAFD44">
        <w:tblPrEx>
          <w:tblCellMar>
            <w:top w:w="0" w:type="dxa"/>
            <w:left w:w="108" w:type="dxa"/>
            <w:bottom w:w="0" w:type="dxa"/>
            <w:right w:w="108" w:type="dxa"/>
          </w:tblCellMar>
        </w:tblPrEx>
        <w:trPr>
          <w:trHeight w:val="735" w:hRule="atLeast"/>
          <w:jc w:val="center"/>
        </w:trPr>
        <w:tc>
          <w:tcPr>
            <w:tcW w:w="2460" w:type="dxa"/>
            <w:gridSpan w:val="2"/>
            <w:tcBorders>
              <w:top w:val="single" w:color="auto" w:sz="4" w:space="0"/>
              <w:left w:val="single" w:color="auto" w:sz="4" w:space="0"/>
              <w:bottom w:val="single" w:color="auto" w:sz="4" w:space="0"/>
              <w:right w:val="single" w:color="auto" w:sz="4" w:space="0"/>
            </w:tcBorders>
            <w:vAlign w:val="center"/>
          </w:tcPr>
          <w:p w14:paraId="4E7B5501">
            <w:pPr>
              <w:widowControl/>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lang w:val="en-US" w:eastAsia="zh-CN"/>
              </w:rPr>
              <w:t>污泥运输</w:t>
            </w:r>
            <w:r>
              <w:rPr>
                <w:rFonts w:hint="eastAsia" w:ascii="宋体" w:hAnsi="宋体" w:eastAsia="宋体" w:cs="宋体"/>
                <w:bCs/>
                <w:color w:val="auto"/>
                <w:szCs w:val="21"/>
                <w:highlight w:val="none"/>
              </w:rPr>
              <w:t>服务</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名称</w:t>
            </w:r>
          </w:p>
        </w:tc>
        <w:tc>
          <w:tcPr>
            <w:tcW w:w="4041" w:type="dxa"/>
            <w:tcBorders>
              <w:top w:val="single" w:color="auto" w:sz="4" w:space="0"/>
              <w:left w:val="single" w:color="auto" w:sz="4" w:space="0"/>
              <w:bottom w:val="single" w:color="auto" w:sz="4" w:space="0"/>
              <w:right w:val="single" w:color="auto" w:sz="4" w:space="0"/>
            </w:tcBorders>
            <w:vAlign w:val="center"/>
          </w:tcPr>
          <w:p w14:paraId="63F89E57">
            <w:pPr>
              <w:widowControl/>
              <w:spacing w:line="240" w:lineRule="auto"/>
              <w:jc w:val="center"/>
              <w:rPr>
                <w:rFonts w:hint="eastAsia" w:ascii="宋体" w:hAnsi="宋体" w:eastAsia="宋体" w:cs="宋体"/>
                <w:color w:val="auto"/>
                <w:szCs w:val="21"/>
                <w:highlight w:val="none"/>
              </w:rPr>
            </w:pPr>
          </w:p>
        </w:tc>
        <w:tc>
          <w:tcPr>
            <w:tcW w:w="2314" w:type="dxa"/>
            <w:tcBorders>
              <w:top w:val="single" w:color="auto" w:sz="4" w:space="0"/>
              <w:left w:val="nil"/>
              <w:bottom w:val="single" w:color="auto" w:sz="4" w:space="0"/>
              <w:right w:val="single" w:color="auto" w:sz="4" w:space="0"/>
            </w:tcBorders>
            <w:vAlign w:val="center"/>
          </w:tcPr>
          <w:p w14:paraId="01178C2C">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考核月份</w:t>
            </w:r>
            <w:r>
              <w:rPr>
                <w:rFonts w:hint="eastAsia" w:ascii="宋体" w:hAnsi="宋体" w:eastAsia="宋体" w:cs="宋体"/>
                <w:color w:val="auto"/>
                <w:szCs w:val="21"/>
                <w:highlight w:val="none"/>
              </w:rPr>
              <w:t>　</w:t>
            </w:r>
          </w:p>
        </w:tc>
        <w:tc>
          <w:tcPr>
            <w:tcW w:w="949" w:type="dxa"/>
            <w:tcBorders>
              <w:top w:val="single" w:color="auto" w:sz="4" w:space="0"/>
              <w:left w:val="nil"/>
              <w:bottom w:val="single" w:color="auto" w:sz="4" w:space="0"/>
              <w:right w:val="single" w:color="auto" w:sz="4" w:space="0"/>
            </w:tcBorders>
            <w:vAlign w:val="center"/>
          </w:tcPr>
          <w:p w14:paraId="7BDCF4C9">
            <w:pPr>
              <w:widowControl/>
              <w:spacing w:line="240" w:lineRule="auto"/>
              <w:jc w:val="center"/>
              <w:rPr>
                <w:rFonts w:hint="eastAsia" w:ascii="宋体" w:hAnsi="宋体" w:eastAsia="宋体" w:cs="宋体"/>
                <w:color w:val="auto"/>
                <w:szCs w:val="21"/>
                <w:highlight w:val="none"/>
              </w:rPr>
            </w:pPr>
          </w:p>
        </w:tc>
      </w:tr>
      <w:tr w14:paraId="6DB536CA">
        <w:tblPrEx>
          <w:tblCellMar>
            <w:top w:w="0" w:type="dxa"/>
            <w:left w:w="108" w:type="dxa"/>
            <w:bottom w:w="0" w:type="dxa"/>
            <w:right w:w="108" w:type="dxa"/>
          </w:tblCellMar>
        </w:tblPrEx>
        <w:trPr>
          <w:trHeight w:val="726"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14:paraId="34CC09A2">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考核</w:t>
            </w:r>
            <w:r>
              <w:rPr>
                <w:rFonts w:hint="eastAsia" w:ascii="宋体" w:hAnsi="宋体" w:eastAsia="宋体" w:cs="宋体"/>
                <w:color w:val="auto"/>
                <w:szCs w:val="21"/>
                <w:highlight w:val="none"/>
              </w:rPr>
              <w:t>内容</w:t>
            </w:r>
          </w:p>
        </w:tc>
        <w:tc>
          <w:tcPr>
            <w:tcW w:w="1257" w:type="dxa"/>
            <w:tcBorders>
              <w:top w:val="nil"/>
              <w:left w:val="nil"/>
              <w:bottom w:val="single" w:color="auto" w:sz="4" w:space="0"/>
              <w:right w:val="nil"/>
            </w:tcBorders>
            <w:vAlign w:val="center"/>
          </w:tcPr>
          <w:p w14:paraId="02315FE4">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各项分值</w:t>
            </w:r>
          </w:p>
        </w:tc>
        <w:tc>
          <w:tcPr>
            <w:tcW w:w="6355" w:type="dxa"/>
            <w:gridSpan w:val="2"/>
            <w:tcBorders>
              <w:top w:val="single" w:color="auto" w:sz="4" w:space="0"/>
              <w:left w:val="single" w:color="auto" w:sz="4" w:space="0"/>
              <w:bottom w:val="single" w:color="auto" w:sz="4" w:space="0"/>
              <w:right w:val="single" w:color="000000" w:sz="4" w:space="0"/>
            </w:tcBorders>
            <w:vAlign w:val="center"/>
          </w:tcPr>
          <w:p w14:paraId="5CD4174A">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  体  内  容</w:t>
            </w:r>
          </w:p>
        </w:tc>
        <w:tc>
          <w:tcPr>
            <w:tcW w:w="949" w:type="dxa"/>
            <w:tcBorders>
              <w:top w:val="nil"/>
              <w:left w:val="nil"/>
              <w:bottom w:val="single" w:color="auto" w:sz="4" w:space="0"/>
              <w:right w:val="single" w:color="auto" w:sz="4" w:space="0"/>
            </w:tcBorders>
            <w:noWrap/>
            <w:vAlign w:val="center"/>
          </w:tcPr>
          <w:p w14:paraId="28B15004">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分</w:t>
            </w:r>
          </w:p>
        </w:tc>
      </w:tr>
      <w:tr w14:paraId="1CC8284B">
        <w:tblPrEx>
          <w:tblCellMar>
            <w:top w:w="0" w:type="dxa"/>
            <w:left w:w="108" w:type="dxa"/>
            <w:bottom w:w="0" w:type="dxa"/>
            <w:right w:w="108" w:type="dxa"/>
          </w:tblCellMar>
        </w:tblPrEx>
        <w:trPr>
          <w:trHeight w:val="1479" w:hRule="exact"/>
          <w:jc w:val="center"/>
        </w:trPr>
        <w:tc>
          <w:tcPr>
            <w:tcW w:w="1203" w:type="dxa"/>
            <w:tcBorders>
              <w:top w:val="nil"/>
              <w:left w:val="single" w:color="auto" w:sz="4" w:space="0"/>
              <w:bottom w:val="single" w:color="auto" w:sz="4" w:space="0"/>
              <w:right w:val="single" w:color="auto" w:sz="4" w:space="0"/>
            </w:tcBorders>
            <w:vAlign w:val="center"/>
          </w:tcPr>
          <w:p w14:paraId="08C66160">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资质与合规性</w:t>
            </w:r>
          </w:p>
        </w:tc>
        <w:tc>
          <w:tcPr>
            <w:tcW w:w="1257" w:type="dxa"/>
            <w:tcBorders>
              <w:top w:val="nil"/>
              <w:left w:val="single" w:color="auto" w:sz="4" w:space="0"/>
              <w:bottom w:val="single" w:color="000000" w:sz="4" w:space="0"/>
              <w:right w:val="single" w:color="auto" w:sz="4" w:space="0"/>
            </w:tcBorders>
            <w:vAlign w:val="center"/>
          </w:tcPr>
          <w:p w14:paraId="747510EE">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w:t>
            </w:r>
          </w:p>
        </w:tc>
        <w:tc>
          <w:tcPr>
            <w:tcW w:w="6355" w:type="dxa"/>
            <w:gridSpan w:val="2"/>
            <w:tcBorders>
              <w:top w:val="single" w:color="auto" w:sz="4" w:space="0"/>
              <w:left w:val="nil"/>
              <w:bottom w:val="single" w:color="auto" w:sz="4" w:space="0"/>
              <w:right w:val="single" w:color="000000" w:sz="4" w:space="0"/>
            </w:tcBorders>
            <w:vAlign w:val="center"/>
          </w:tcPr>
          <w:p w14:paraId="0F419B61">
            <w:pPr>
              <w:widowControl/>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车辆营运证、运输许可证等资质文件齐全、有效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驾驶员</w:t>
            </w:r>
            <w:r>
              <w:rPr>
                <w:rFonts w:hint="eastAsia" w:ascii="宋体" w:hAnsi="宋体" w:eastAsia="宋体" w:cs="宋体"/>
                <w:color w:val="auto"/>
                <w:szCs w:val="21"/>
                <w:highlight w:val="none"/>
                <w:lang w:val="en-US" w:eastAsia="zh-CN"/>
              </w:rPr>
              <w:t>具有相适应的驾驶证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满足交通法要求，</w:t>
            </w:r>
            <w:r>
              <w:rPr>
                <w:rFonts w:hint="eastAsia" w:ascii="宋体" w:hAnsi="宋体" w:eastAsia="宋体" w:cs="宋体"/>
                <w:color w:val="auto"/>
                <w:szCs w:val="21"/>
                <w:highlight w:val="none"/>
                <w:lang w:eastAsia="zh-CN"/>
              </w:rPr>
              <w:t>具备相关安全与应急知识；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遵守国家及</w:t>
            </w:r>
            <w:r>
              <w:rPr>
                <w:rFonts w:hint="eastAsia" w:ascii="宋体" w:hAnsi="宋体" w:eastAsia="宋体" w:cs="宋体"/>
                <w:color w:val="auto"/>
                <w:szCs w:val="21"/>
                <w:highlight w:val="none"/>
                <w:lang w:val="en-US" w:eastAsia="zh-CN"/>
              </w:rPr>
              <w:t>东莞</w:t>
            </w:r>
            <w:r>
              <w:rPr>
                <w:rFonts w:hint="eastAsia" w:ascii="宋体" w:hAnsi="宋体" w:eastAsia="宋体" w:cs="宋体"/>
                <w:color w:val="auto"/>
                <w:szCs w:val="21"/>
                <w:highlight w:val="none"/>
                <w:lang w:eastAsia="zh-CN"/>
              </w:rPr>
              <w:t>关于</w:t>
            </w:r>
            <w:r>
              <w:rPr>
                <w:rFonts w:hint="eastAsia" w:ascii="宋体" w:hAnsi="宋体" w:eastAsia="宋体" w:cs="宋体"/>
                <w:color w:val="auto"/>
                <w:szCs w:val="21"/>
                <w:highlight w:val="none"/>
                <w:lang w:eastAsia="zh"/>
              </w:rPr>
              <w:t>污泥或</w:t>
            </w:r>
            <w:r>
              <w:rPr>
                <w:rFonts w:hint="eastAsia" w:ascii="宋体" w:hAnsi="宋体" w:eastAsia="宋体" w:cs="宋体"/>
                <w:color w:val="auto"/>
                <w:szCs w:val="21"/>
                <w:highlight w:val="none"/>
                <w:lang w:eastAsia="zh-CN"/>
              </w:rPr>
              <w:t>一般固废运输的相关法律法规。</w:t>
            </w:r>
            <w:r>
              <w:rPr>
                <w:rFonts w:hint="eastAsia" w:ascii="宋体" w:hAnsi="宋体" w:eastAsia="宋体" w:cs="宋体"/>
                <w:color w:val="auto"/>
                <w:szCs w:val="21"/>
                <w:highlight w:val="none"/>
              </w:rPr>
              <w:t>（工作过程中不满足要求的，</w:t>
            </w:r>
            <w:r>
              <w:rPr>
                <w:rFonts w:hint="eastAsia" w:ascii="宋体" w:hAnsi="宋体" w:eastAsia="宋体" w:cs="宋体"/>
                <w:color w:val="auto"/>
                <w:szCs w:val="21"/>
                <w:highlight w:val="none"/>
                <w:lang w:eastAsia="zh"/>
              </w:rPr>
              <w:t>每次</w:t>
            </w:r>
            <w:r>
              <w:rPr>
                <w:rFonts w:hint="eastAsia" w:ascii="宋体" w:hAnsi="宋体" w:eastAsia="宋体" w:cs="宋体"/>
                <w:color w:val="auto"/>
                <w:szCs w:val="21"/>
                <w:highlight w:val="none"/>
              </w:rPr>
              <w:t>扣</w:t>
            </w:r>
            <w:r>
              <w:rPr>
                <w:rFonts w:hint="eastAsia" w:ascii="宋体" w:hAnsi="宋体" w:eastAsia="宋体" w:cs="宋体"/>
                <w:color w:val="auto"/>
                <w:szCs w:val="21"/>
                <w:highlight w:val="none"/>
                <w:lang w:eastAsia="zh"/>
              </w:rPr>
              <w:t>5</w:t>
            </w:r>
            <w:r>
              <w:rPr>
                <w:rFonts w:hint="eastAsia" w:ascii="宋体" w:hAnsi="宋体" w:eastAsia="宋体" w:cs="宋体"/>
                <w:color w:val="auto"/>
                <w:szCs w:val="21"/>
                <w:highlight w:val="none"/>
              </w:rPr>
              <w:t>分/次）</w:t>
            </w:r>
          </w:p>
        </w:tc>
        <w:tc>
          <w:tcPr>
            <w:tcW w:w="949" w:type="dxa"/>
            <w:tcBorders>
              <w:top w:val="nil"/>
              <w:left w:val="nil"/>
              <w:bottom w:val="single" w:color="auto" w:sz="4" w:space="0"/>
              <w:right w:val="single" w:color="auto" w:sz="4" w:space="0"/>
            </w:tcBorders>
            <w:vAlign w:val="center"/>
          </w:tcPr>
          <w:p w14:paraId="52D2B2AC">
            <w:pPr>
              <w:widowControl/>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70EA74C">
        <w:tblPrEx>
          <w:tblCellMar>
            <w:top w:w="0" w:type="dxa"/>
            <w:left w:w="108" w:type="dxa"/>
            <w:bottom w:w="0" w:type="dxa"/>
            <w:right w:w="108" w:type="dxa"/>
          </w:tblCellMar>
        </w:tblPrEx>
        <w:trPr>
          <w:trHeight w:val="1953" w:hRule="atLeast"/>
          <w:jc w:val="center"/>
        </w:trPr>
        <w:tc>
          <w:tcPr>
            <w:tcW w:w="1203" w:type="dxa"/>
            <w:tcBorders>
              <w:top w:val="nil"/>
              <w:left w:val="single" w:color="auto" w:sz="4" w:space="0"/>
              <w:bottom w:val="single" w:color="auto" w:sz="4" w:space="0"/>
              <w:right w:val="single" w:color="auto" w:sz="4" w:space="0"/>
            </w:tcBorders>
            <w:vAlign w:val="center"/>
          </w:tcPr>
          <w:p w14:paraId="5479F85E">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运输作业管理</w:t>
            </w:r>
          </w:p>
        </w:tc>
        <w:tc>
          <w:tcPr>
            <w:tcW w:w="1257" w:type="dxa"/>
            <w:tcBorders>
              <w:top w:val="nil"/>
              <w:left w:val="single" w:color="auto" w:sz="4" w:space="0"/>
              <w:bottom w:val="single" w:color="000000" w:sz="4" w:space="0"/>
              <w:right w:val="single" w:color="auto" w:sz="4" w:space="0"/>
            </w:tcBorders>
            <w:vAlign w:val="center"/>
          </w:tcPr>
          <w:p w14:paraId="6BE3D1CB">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w:t>
            </w:r>
          </w:p>
        </w:tc>
        <w:tc>
          <w:tcPr>
            <w:tcW w:w="6355" w:type="dxa"/>
            <w:gridSpan w:val="2"/>
            <w:tcBorders>
              <w:top w:val="single" w:color="auto" w:sz="4" w:space="0"/>
              <w:left w:val="nil"/>
              <w:bottom w:val="single" w:color="auto" w:sz="4" w:space="0"/>
              <w:right w:val="single" w:color="000000" w:sz="4" w:space="0"/>
            </w:tcBorders>
            <w:vAlign w:val="center"/>
          </w:tcPr>
          <w:p w14:paraId="24D4BCFB">
            <w:pPr>
              <w:widowControl/>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车辆容量与污泥性状匹配，无超载、超限现象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运输过程</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lang w:eastAsia="zh-CN"/>
              </w:rPr>
              <w:t>出现污泥散落、泄漏等情况；</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车容车貌整洁，无明显污垢、异味扩散；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运输能力</w:t>
            </w:r>
            <w:r>
              <w:rPr>
                <w:rFonts w:hint="eastAsia" w:ascii="宋体" w:hAnsi="宋体" w:eastAsia="宋体" w:cs="宋体"/>
                <w:color w:val="auto"/>
                <w:szCs w:val="21"/>
                <w:highlight w:val="none"/>
                <w:lang w:val="en-US" w:eastAsia="zh-CN"/>
              </w:rPr>
              <w:t>满足要求；</w:t>
            </w:r>
            <w:r>
              <w:rPr>
                <w:rFonts w:hint="eastAsia" w:ascii="宋体" w:hAnsi="宋体" w:eastAsia="宋体" w:cs="宋体"/>
                <w:color w:val="auto"/>
                <w:szCs w:val="21"/>
                <w:highlight w:val="none"/>
                <w:lang w:val="en-US" w:eastAsia="zh"/>
              </w:rPr>
              <w:t>5、污泥运输及时，不影响运营；6、</w:t>
            </w:r>
            <w:r>
              <w:rPr>
                <w:rFonts w:hint="eastAsia" w:ascii="宋体" w:hAnsi="宋体" w:eastAsia="宋体" w:cs="宋体"/>
                <w:color w:val="auto"/>
                <w:szCs w:val="21"/>
                <w:highlight w:val="none"/>
                <w:lang w:val="en-US" w:eastAsia="zh-CN"/>
              </w:rPr>
              <w:t>装卸过程规范，配合我方指挥，无野蛮操作</w:t>
            </w:r>
            <w:r>
              <w:rPr>
                <w:rFonts w:hint="eastAsia" w:ascii="宋体" w:hAnsi="宋体" w:eastAsia="宋体" w:cs="宋体"/>
                <w:color w:val="auto"/>
                <w:szCs w:val="21"/>
                <w:highlight w:val="none"/>
                <w:lang w:val="en-US" w:eastAsia="zh"/>
              </w:rPr>
              <w:t>，无损坏厂内设施</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
              </w:rPr>
              <w:t>如发生公众投诉事件或污染事件，每次扣10分</w:t>
            </w:r>
            <w:r>
              <w:rPr>
                <w:rFonts w:hint="eastAsia" w:ascii="宋体" w:hAnsi="宋体" w:eastAsia="宋体" w:cs="宋体"/>
                <w:color w:val="auto"/>
                <w:szCs w:val="21"/>
                <w:highlight w:val="none"/>
              </w:rPr>
              <w:t>）</w:t>
            </w:r>
          </w:p>
        </w:tc>
        <w:tc>
          <w:tcPr>
            <w:tcW w:w="949" w:type="dxa"/>
            <w:tcBorders>
              <w:top w:val="nil"/>
              <w:left w:val="nil"/>
              <w:bottom w:val="single" w:color="auto" w:sz="4" w:space="0"/>
              <w:right w:val="single" w:color="auto" w:sz="4" w:space="0"/>
            </w:tcBorders>
            <w:vAlign w:val="center"/>
          </w:tcPr>
          <w:p w14:paraId="076B6CA6">
            <w:pPr>
              <w:widowControl/>
              <w:spacing w:line="240" w:lineRule="auto"/>
              <w:rPr>
                <w:rFonts w:hint="eastAsia" w:ascii="宋体" w:hAnsi="宋体" w:eastAsia="宋体" w:cs="宋体"/>
                <w:color w:val="auto"/>
                <w:szCs w:val="21"/>
                <w:highlight w:val="none"/>
              </w:rPr>
            </w:pPr>
          </w:p>
        </w:tc>
      </w:tr>
      <w:tr w14:paraId="414B523D">
        <w:tblPrEx>
          <w:tblCellMar>
            <w:top w:w="0" w:type="dxa"/>
            <w:left w:w="108" w:type="dxa"/>
            <w:bottom w:w="0" w:type="dxa"/>
            <w:right w:w="108" w:type="dxa"/>
          </w:tblCellMar>
        </w:tblPrEx>
        <w:trPr>
          <w:trHeight w:val="1129" w:hRule="exact"/>
          <w:jc w:val="center"/>
        </w:trPr>
        <w:tc>
          <w:tcPr>
            <w:tcW w:w="1203" w:type="dxa"/>
            <w:tcBorders>
              <w:top w:val="nil"/>
              <w:left w:val="single" w:color="auto" w:sz="4" w:space="0"/>
              <w:bottom w:val="single" w:color="000000" w:sz="4" w:space="0"/>
              <w:right w:val="single" w:color="auto" w:sz="4" w:space="0"/>
            </w:tcBorders>
            <w:vAlign w:val="center"/>
          </w:tcPr>
          <w:p w14:paraId="4A8BDF8A">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处置与台账管理</w:t>
            </w:r>
          </w:p>
        </w:tc>
        <w:tc>
          <w:tcPr>
            <w:tcW w:w="1257" w:type="dxa"/>
            <w:tcBorders>
              <w:top w:val="nil"/>
              <w:left w:val="single" w:color="auto" w:sz="4" w:space="0"/>
              <w:bottom w:val="single" w:color="000000" w:sz="4" w:space="0"/>
              <w:right w:val="single" w:color="auto" w:sz="4" w:space="0"/>
            </w:tcBorders>
            <w:vAlign w:val="center"/>
          </w:tcPr>
          <w:p w14:paraId="5853A2EC">
            <w:pPr>
              <w:widowControl/>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6355" w:type="dxa"/>
            <w:gridSpan w:val="2"/>
            <w:tcBorders>
              <w:top w:val="single" w:color="auto" w:sz="4" w:space="0"/>
              <w:left w:val="nil"/>
              <w:bottom w:val="single" w:color="auto" w:sz="4" w:space="0"/>
              <w:right w:val="single" w:color="000000" w:sz="4" w:space="0"/>
            </w:tcBorders>
            <w:vAlign w:val="center"/>
          </w:tcPr>
          <w:p w14:paraId="5D0CC2C6">
            <w:pPr>
              <w:widowControl/>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1、单据（转移联单等）填写清晰、准确；2、电子台账/纸质台账记录完整、准确，便于追溯和核对；3、积极配合我方进行数据统计和对账工作。</w:t>
            </w:r>
            <w:r>
              <w:rPr>
                <w:rFonts w:hint="eastAsia" w:ascii="宋体" w:hAnsi="宋体" w:eastAsia="宋体" w:cs="宋体"/>
                <w:color w:val="auto"/>
                <w:szCs w:val="21"/>
                <w:highlight w:val="none"/>
              </w:rPr>
              <w:t>（工作过程中不满足要求的，扣</w:t>
            </w:r>
            <w:r>
              <w:rPr>
                <w:rFonts w:hint="eastAsia" w:ascii="宋体" w:hAnsi="宋体" w:eastAsia="宋体" w:cs="宋体"/>
                <w:color w:val="auto"/>
                <w:szCs w:val="21"/>
                <w:highlight w:val="none"/>
                <w:lang w:eastAsia="zh"/>
              </w:rPr>
              <w:t>2</w:t>
            </w:r>
            <w:r>
              <w:rPr>
                <w:rFonts w:hint="eastAsia" w:ascii="宋体" w:hAnsi="宋体" w:eastAsia="宋体" w:cs="宋体"/>
                <w:color w:val="auto"/>
                <w:szCs w:val="21"/>
                <w:highlight w:val="none"/>
              </w:rPr>
              <w:t>分/次）</w:t>
            </w:r>
          </w:p>
        </w:tc>
        <w:tc>
          <w:tcPr>
            <w:tcW w:w="949" w:type="dxa"/>
            <w:tcBorders>
              <w:top w:val="nil"/>
              <w:left w:val="nil"/>
              <w:bottom w:val="single" w:color="auto" w:sz="4" w:space="0"/>
              <w:right w:val="single" w:color="auto" w:sz="4" w:space="0"/>
            </w:tcBorders>
            <w:vAlign w:val="center"/>
          </w:tcPr>
          <w:p w14:paraId="72029481">
            <w:pPr>
              <w:widowControl/>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AD3EAA5">
        <w:tblPrEx>
          <w:tblCellMar>
            <w:top w:w="0" w:type="dxa"/>
            <w:left w:w="108" w:type="dxa"/>
            <w:bottom w:w="0" w:type="dxa"/>
            <w:right w:w="108" w:type="dxa"/>
          </w:tblCellMar>
        </w:tblPrEx>
        <w:trPr>
          <w:trHeight w:val="1363" w:hRule="exact"/>
          <w:jc w:val="center"/>
        </w:trPr>
        <w:tc>
          <w:tcPr>
            <w:tcW w:w="1203" w:type="dxa"/>
            <w:tcBorders>
              <w:top w:val="nil"/>
              <w:left w:val="single" w:color="auto" w:sz="4" w:space="0"/>
              <w:bottom w:val="single" w:color="000000" w:sz="4" w:space="0"/>
              <w:right w:val="single" w:color="auto" w:sz="4" w:space="0"/>
            </w:tcBorders>
            <w:vAlign w:val="center"/>
          </w:tcPr>
          <w:p w14:paraId="0A173C54">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安全与应急响应</w:t>
            </w:r>
          </w:p>
        </w:tc>
        <w:tc>
          <w:tcPr>
            <w:tcW w:w="1257" w:type="dxa"/>
            <w:tcBorders>
              <w:top w:val="nil"/>
              <w:left w:val="single" w:color="auto" w:sz="4" w:space="0"/>
              <w:bottom w:val="single" w:color="000000" w:sz="4" w:space="0"/>
              <w:right w:val="single" w:color="auto" w:sz="4" w:space="0"/>
            </w:tcBorders>
            <w:vAlign w:val="center"/>
          </w:tcPr>
          <w:p w14:paraId="7E7B8908">
            <w:pPr>
              <w:widowControl/>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6355" w:type="dxa"/>
            <w:gridSpan w:val="2"/>
            <w:tcBorders>
              <w:top w:val="single" w:color="auto" w:sz="4" w:space="0"/>
              <w:left w:val="nil"/>
              <w:bottom w:val="single" w:color="auto" w:sz="4" w:space="0"/>
              <w:right w:val="single" w:color="000000" w:sz="4" w:space="0"/>
            </w:tcBorders>
            <w:noWrap/>
            <w:vAlign w:val="center"/>
          </w:tcPr>
          <w:p w14:paraId="72D07F3A">
            <w:pPr>
              <w:widowControl/>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运输途中GPS定位系统正常开启，轨迹可查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2、具</w:t>
            </w:r>
            <w:r>
              <w:rPr>
                <w:rFonts w:hint="eastAsia" w:ascii="宋体" w:hAnsi="宋体" w:eastAsia="宋体" w:cs="宋体"/>
                <w:color w:val="auto"/>
                <w:szCs w:val="21"/>
                <w:highlight w:val="none"/>
                <w:lang w:val="en-US" w:eastAsia="zh"/>
              </w:rPr>
              <w:t>有</w:t>
            </w:r>
            <w:r>
              <w:rPr>
                <w:rFonts w:hint="eastAsia" w:ascii="宋体" w:hAnsi="宋体" w:eastAsia="宋体" w:cs="宋体"/>
                <w:color w:val="auto"/>
                <w:szCs w:val="21"/>
                <w:highlight w:val="none"/>
                <w:lang w:val="en-US" w:eastAsia="zh-CN"/>
              </w:rPr>
              <w:t>应急预案，对突发事件（如交通事故、泄漏）能快速、有效响应；3、及时向我方报备任何异常情况及处理进展。</w:t>
            </w:r>
            <w:r>
              <w:rPr>
                <w:rFonts w:hint="eastAsia" w:ascii="宋体" w:hAnsi="宋体" w:eastAsia="宋体" w:cs="宋体"/>
                <w:color w:val="auto"/>
                <w:szCs w:val="21"/>
                <w:highlight w:val="none"/>
              </w:rPr>
              <w:t>（工作过程中不满足要求的，扣</w:t>
            </w:r>
            <w:r>
              <w:rPr>
                <w:rFonts w:hint="eastAsia" w:ascii="宋体" w:hAnsi="宋体" w:eastAsia="宋体" w:cs="宋体"/>
                <w:color w:val="auto"/>
                <w:szCs w:val="21"/>
                <w:highlight w:val="none"/>
                <w:lang w:eastAsia="zh"/>
              </w:rPr>
              <w:t>2</w:t>
            </w:r>
            <w:r>
              <w:rPr>
                <w:rFonts w:hint="eastAsia" w:ascii="宋体" w:hAnsi="宋体" w:eastAsia="宋体" w:cs="宋体"/>
                <w:color w:val="auto"/>
                <w:szCs w:val="21"/>
                <w:highlight w:val="none"/>
              </w:rPr>
              <w:t>分/次）</w:t>
            </w:r>
          </w:p>
        </w:tc>
        <w:tc>
          <w:tcPr>
            <w:tcW w:w="949" w:type="dxa"/>
            <w:tcBorders>
              <w:top w:val="nil"/>
              <w:left w:val="nil"/>
              <w:bottom w:val="single" w:color="auto" w:sz="4" w:space="0"/>
              <w:right w:val="single" w:color="auto" w:sz="4" w:space="0"/>
            </w:tcBorders>
            <w:vAlign w:val="center"/>
          </w:tcPr>
          <w:p w14:paraId="2F977516">
            <w:pPr>
              <w:widowControl/>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036508B">
        <w:tblPrEx>
          <w:tblCellMar>
            <w:top w:w="0" w:type="dxa"/>
            <w:left w:w="108" w:type="dxa"/>
            <w:bottom w:w="0" w:type="dxa"/>
            <w:right w:w="108" w:type="dxa"/>
          </w:tblCellMar>
        </w:tblPrEx>
        <w:trPr>
          <w:trHeight w:val="1386" w:hRule="exact"/>
          <w:jc w:val="center"/>
        </w:trPr>
        <w:tc>
          <w:tcPr>
            <w:tcW w:w="1203" w:type="dxa"/>
            <w:tcBorders>
              <w:top w:val="nil"/>
              <w:left w:val="single" w:color="auto" w:sz="4" w:space="0"/>
              <w:bottom w:val="single" w:color="000000" w:sz="4" w:space="0"/>
              <w:right w:val="single" w:color="auto" w:sz="4" w:space="0"/>
            </w:tcBorders>
            <w:vAlign w:val="center"/>
          </w:tcPr>
          <w:p w14:paraId="2351BEE3">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服务态度</w:t>
            </w:r>
          </w:p>
        </w:tc>
        <w:tc>
          <w:tcPr>
            <w:tcW w:w="1257" w:type="dxa"/>
            <w:tcBorders>
              <w:top w:val="nil"/>
              <w:left w:val="single" w:color="auto" w:sz="4" w:space="0"/>
              <w:bottom w:val="single" w:color="000000" w:sz="4" w:space="0"/>
              <w:right w:val="single" w:color="auto" w:sz="4" w:space="0"/>
            </w:tcBorders>
            <w:vAlign w:val="center"/>
          </w:tcPr>
          <w:p w14:paraId="4221DDB7">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355" w:type="dxa"/>
            <w:gridSpan w:val="2"/>
            <w:tcBorders>
              <w:top w:val="single" w:color="auto" w:sz="4" w:space="0"/>
              <w:left w:val="nil"/>
              <w:bottom w:val="single" w:color="auto" w:sz="4" w:space="0"/>
              <w:right w:val="single" w:color="000000" w:sz="4" w:space="0"/>
            </w:tcBorders>
            <w:vAlign w:val="center"/>
          </w:tcPr>
          <w:p w14:paraId="7F707146">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1、沟通渠道畅通，联系人响应及时；2、服务态度积极，主动配合解决运输中的问题；3、对我方提出的合理意见能虚心接受并及时整改。</w:t>
            </w:r>
            <w:r>
              <w:rPr>
                <w:rFonts w:hint="eastAsia" w:ascii="宋体" w:hAnsi="宋体" w:eastAsia="宋体" w:cs="宋体"/>
                <w:color w:val="auto"/>
                <w:szCs w:val="21"/>
                <w:highlight w:val="none"/>
              </w:rPr>
              <w:t>（工作过程中不满足要求的，</w:t>
            </w:r>
            <w:r>
              <w:rPr>
                <w:rFonts w:hint="eastAsia" w:ascii="宋体" w:hAnsi="宋体" w:eastAsia="宋体" w:cs="宋体"/>
                <w:color w:val="auto"/>
                <w:szCs w:val="21"/>
                <w:highlight w:val="none"/>
                <w:lang w:eastAsia="zh"/>
              </w:rPr>
              <w:t>每次</w:t>
            </w:r>
            <w:r>
              <w:rPr>
                <w:rFonts w:hint="eastAsia" w:ascii="宋体" w:hAnsi="宋体" w:eastAsia="宋体" w:cs="宋体"/>
                <w:color w:val="auto"/>
                <w:szCs w:val="21"/>
                <w:highlight w:val="none"/>
              </w:rPr>
              <w:t>扣</w:t>
            </w:r>
            <w:r>
              <w:rPr>
                <w:rFonts w:hint="eastAsia" w:ascii="宋体" w:hAnsi="宋体" w:eastAsia="宋体" w:cs="宋体"/>
                <w:color w:val="auto"/>
                <w:szCs w:val="21"/>
                <w:highlight w:val="none"/>
                <w:lang w:eastAsia="zh"/>
              </w:rPr>
              <w:t>2</w:t>
            </w:r>
            <w:r>
              <w:rPr>
                <w:rFonts w:hint="eastAsia" w:ascii="宋体" w:hAnsi="宋体" w:eastAsia="宋体" w:cs="宋体"/>
                <w:color w:val="auto"/>
                <w:szCs w:val="21"/>
                <w:highlight w:val="none"/>
              </w:rPr>
              <w:t>分/次）</w:t>
            </w:r>
          </w:p>
        </w:tc>
        <w:tc>
          <w:tcPr>
            <w:tcW w:w="949" w:type="dxa"/>
            <w:tcBorders>
              <w:top w:val="nil"/>
              <w:left w:val="nil"/>
              <w:bottom w:val="single" w:color="auto" w:sz="4" w:space="0"/>
              <w:right w:val="single" w:color="auto" w:sz="4" w:space="0"/>
            </w:tcBorders>
            <w:vAlign w:val="center"/>
          </w:tcPr>
          <w:p w14:paraId="75882293">
            <w:pPr>
              <w:widowControl/>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E596D8A">
        <w:tblPrEx>
          <w:tblCellMar>
            <w:top w:w="0" w:type="dxa"/>
            <w:left w:w="108" w:type="dxa"/>
            <w:bottom w:w="0" w:type="dxa"/>
            <w:right w:w="108" w:type="dxa"/>
          </w:tblCellMar>
        </w:tblPrEx>
        <w:trPr>
          <w:trHeight w:val="1023" w:hRule="exact"/>
          <w:jc w:val="center"/>
        </w:trPr>
        <w:tc>
          <w:tcPr>
            <w:tcW w:w="1203" w:type="dxa"/>
            <w:tcBorders>
              <w:top w:val="nil"/>
              <w:left w:val="single" w:color="auto" w:sz="4" w:space="0"/>
              <w:bottom w:val="single" w:color="000000" w:sz="4" w:space="0"/>
              <w:right w:val="single" w:color="auto" w:sz="4" w:space="0"/>
            </w:tcBorders>
            <w:vAlign w:val="center"/>
          </w:tcPr>
          <w:p w14:paraId="64116A8A">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效率</w:t>
            </w:r>
          </w:p>
        </w:tc>
        <w:tc>
          <w:tcPr>
            <w:tcW w:w="1257" w:type="dxa"/>
            <w:tcBorders>
              <w:top w:val="nil"/>
              <w:left w:val="single" w:color="auto" w:sz="4" w:space="0"/>
              <w:bottom w:val="single" w:color="000000" w:sz="4" w:space="0"/>
              <w:right w:val="single" w:color="auto" w:sz="4" w:space="0"/>
            </w:tcBorders>
            <w:vAlign w:val="center"/>
          </w:tcPr>
          <w:p w14:paraId="0921D400">
            <w:pPr>
              <w:widowControl/>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6355" w:type="dxa"/>
            <w:gridSpan w:val="2"/>
            <w:tcBorders>
              <w:top w:val="single" w:color="auto" w:sz="4" w:space="0"/>
              <w:left w:val="nil"/>
              <w:bottom w:val="single" w:color="auto" w:sz="4" w:space="0"/>
              <w:right w:val="single" w:color="000000" w:sz="4" w:space="0"/>
            </w:tcBorders>
            <w:vAlign w:val="center"/>
          </w:tcPr>
          <w:p w14:paraId="7663427D">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运输效率高，</w:t>
            </w:r>
            <w:r>
              <w:rPr>
                <w:rFonts w:hint="eastAsia" w:ascii="宋体" w:hAnsi="宋体" w:eastAsia="宋体" w:cs="宋体"/>
                <w:color w:val="auto"/>
                <w:szCs w:val="21"/>
                <w:highlight w:val="none"/>
                <w:lang w:eastAsia="zh"/>
              </w:rPr>
              <w:t>接单及出车及时，且</w:t>
            </w:r>
            <w:r>
              <w:rPr>
                <w:rFonts w:hint="eastAsia" w:ascii="宋体" w:hAnsi="宋体" w:eastAsia="宋体" w:cs="宋体"/>
                <w:color w:val="auto"/>
                <w:szCs w:val="21"/>
                <w:highlight w:val="none"/>
              </w:rPr>
              <w:t>能满足我方的紧急或增量需求</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（工作过程中不满足要求的，</w:t>
            </w:r>
            <w:r>
              <w:rPr>
                <w:rFonts w:hint="eastAsia" w:ascii="宋体" w:hAnsi="宋体" w:eastAsia="宋体" w:cs="宋体"/>
                <w:color w:val="auto"/>
                <w:szCs w:val="21"/>
                <w:highlight w:val="none"/>
                <w:lang w:eastAsia="zh"/>
              </w:rPr>
              <w:t>每次</w:t>
            </w:r>
            <w:r>
              <w:rPr>
                <w:rFonts w:hint="eastAsia" w:ascii="宋体" w:hAnsi="宋体" w:eastAsia="宋体" w:cs="宋体"/>
                <w:color w:val="auto"/>
                <w:szCs w:val="21"/>
                <w:highlight w:val="none"/>
              </w:rPr>
              <w:t>扣</w:t>
            </w:r>
            <w:r>
              <w:rPr>
                <w:rFonts w:hint="eastAsia" w:ascii="宋体" w:hAnsi="宋体" w:eastAsia="宋体" w:cs="宋体"/>
                <w:color w:val="auto"/>
                <w:szCs w:val="21"/>
                <w:highlight w:val="none"/>
                <w:lang w:eastAsia="zh"/>
              </w:rPr>
              <w:t>2</w:t>
            </w:r>
            <w:r>
              <w:rPr>
                <w:rFonts w:hint="eastAsia" w:ascii="宋体" w:hAnsi="宋体" w:eastAsia="宋体" w:cs="宋体"/>
                <w:color w:val="auto"/>
                <w:szCs w:val="21"/>
                <w:highlight w:val="none"/>
              </w:rPr>
              <w:t>分/次）</w:t>
            </w:r>
          </w:p>
        </w:tc>
        <w:tc>
          <w:tcPr>
            <w:tcW w:w="949" w:type="dxa"/>
            <w:tcBorders>
              <w:top w:val="nil"/>
              <w:left w:val="nil"/>
              <w:bottom w:val="single" w:color="auto" w:sz="4" w:space="0"/>
              <w:right w:val="single" w:color="auto" w:sz="4" w:space="0"/>
            </w:tcBorders>
            <w:vAlign w:val="center"/>
          </w:tcPr>
          <w:p w14:paraId="0890873A">
            <w:pPr>
              <w:widowControl/>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40198D7">
        <w:tblPrEx>
          <w:tblCellMar>
            <w:top w:w="0" w:type="dxa"/>
            <w:left w:w="108" w:type="dxa"/>
            <w:bottom w:w="0" w:type="dxa"/>
            <w:right w:w="108" w:type="dxa"/>
          </w:tblCellMar>
        </w:tblPrEx>
        <w:trPr>
          <w:trHeight w:val="623" w:hRule="atLeast"/>
          <w:jc w:val="center"/>
        </w:trPr>
        <w:tc>
          <w:tcPr>
            <w:tcW w:w="2460" w:type="dxa"/>
            <w:gridSpan w:val="2"/>
            <w:tcBorders>
              <w:top w:val="single" w:color="auto" w:sz="4" w:space="0"/>
              <w:left w:val="single" w:color="auto" w:sz="4" w:space="0"/>
              <w:bottom w:val="single" w:color="auto" w:sz="4" w:space="0"/>
              <w:right w:val="single" w:color="000000" w:sz="4" w:space="0"/>
            </w:tcBorders>
            <w:vAlign w:val="center"/>
          </w:tcPr>
          <w:p w14:paraId="680A3880">
            <w:pPr>
              <w:widowControl/>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考核得分</w:t>
            </w:r>
          </w:p>
        </w:tc>
        <w:tc>
          <w:tcPr>
            <w:tcW w:w="7304" w:type="dxa"/>
            <w:gridSpan w:val="3"/>
            <w:tcBorders>
              <w:top w:val="single" w:color="auto" w:sz="4" w:space="0"/>
              <w:left w:val="single" w:color="auto" w:sz="4" w:space="0"/>
              <w:bottom w:val="single" w:color="auto" w:sz="4" w:space="0"/>
              <w:right w:val="single" w:color="auto" w:sz="4" w:space="0"/>
            </w:tcBorders>
            <w:vAlign w:val="center"/>
          </w:tcPr>
          <w:p w14:paraId="5AFA1BE8">
            <w:pPr>
              <w:widowControl/>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8C8EABD">
        <w:tblPrEx>
          <w:tblCellMar>
            <w:top w:w="0" w:type="dxa"/>
            <w:left w:w="108" w:type="dxa"/>
            <w:bottom w:w="0" w:type="dxa"/>
            <w:right w:w="108" w:type="dxa"/>
          </w:tblCellMar>
        </w:tblPrEx>
        <w:trPr>
          <w:trHeight w:val="623" w:hRule="atLeast"/>
          <w:jc w:val="center"/>
        </w:trPr>
        <w:tc>
          <w:tcPr>
            <w:tcW w:w="2460" w:type="dxa"/>
            <w:gridSpan w:val="2"/>
            <w:tcBorders>
              <w:top w:val="single" w:color="auto" w:sz="4" w:space="0"/>
              <w:left w:val="single" w:color="auto" w:sz="4" w:space="0"/>
              <w:bottom w:val="single" w:color="auto" w:sz="4" w:space="0"/>
              <w:right w:val="single" w:color="000000" w:sz="4" w:space="0"/>
            </w:tcBorders>
            <w:vAlign w:val="center"/>
          </w:tcPr>
          <w:p w14:paraId="72B04168">
            <w:pPr>
              <w:widowControl/>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考核等级</w:t>
            </w:r>
          </w:p>
        </w:tc>
        <w:tc>
          <w:tcPr>
            <w:tcW w:w="7304" w:type="dxa"/>
            <w:gridSpan w:val="3"/>
            <w:tcBorders>
              <w:top w:val="single" w:color="auto" w:sz="4" w:space="0"/>
              <w:left w:val="single" w:color="auto" w:sz="4" w:space="0"/>
              <w:bottom w:val="single" w:color="auto" w:sz="4" w:space="0"/>
              <w:right w:val="single" w:color="auto" w:sz="4" w:space="0"/>
            </w:tcBorders>
            <w:vAlign w:val="center"/>
          </w:tcPr>
          <w:p w14:paraId="64960E98">
            <w:pPr>
              <w:widowControl/>
              <w:spacing w:line="240" w:lineRule="auto"/>
              <w:rPr>
                <w:rFonts w:hint="eastAsia" w:ascii="宋体" w:hAnsi="宋体" w:eastAsia="宋体" w:cs="宋体"/>
                <w:color w:val="auto"/>
                <w:szCs w:val="21"/>
                <w:highlight w:val="none"/>
              </w:rPr>
            </w:pPr>
          </w:p>
        </w:tc>
      </w:tr>
      <w:tr w14:paraId="05C4BA36">
        <w:tblPrEx>
          <w:tblCellMar>
            <w:top w:w="0" w:type="dxa"/>
            <w:left w:w="108" w:type="dxa"/>
            <w:bottom w:w="0" w:type="dxa"/>
            <w:right w:w="108" w:type="dxa"/>
          </w:tblCellMar>
        </w:tblPrEx>
        <w:trPr>
          <w:trHeight w:val="655" w:hRule="atLeast"/>
          <w:jc w:val="center"/>
        </w:trPr>
        <w:tc>
          <w:tcPr>
            <w:tcW w:w="2460" w:type="dxa"/>
            <w:gridSpan w:val="2"/>
            <w:tcBorders>
              <w:top w:val="single" w:color="auto" w:sz="4" w:space="0"/>
              <w:left w:val="single" w:color="auto" w:sz="4" w:space="0"/>
              <w:bottom w:val="single" w:color="auto" w:sz="4" w:space="0"/>
              <w:right w:val="single" w:color="000000" w:sz="4" w:space="0"/>
            </w:tcBorders>
            <w:vAlign w:val="center"/>
          </w:tcPr>
          <w:p w14:paraId="6064F1D6">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考核人员签名</w:t>
            </w:r>
          </w:p>
        </w:tc>
        <w:tc>
          <w:tcPr>
            <w:tcW w:w="7304" w:type="dxa"/>
            <w:gridSpan w:val="3"/>
            <w:tcBorders>
              <w:top w:val="single" w:color="auto" w:sz="4" w:space="0"/>
              <w:left w:val="single" w:color="auto" w:sz="4" w:space="0"/>
              <w:bottom w:val="single" w:color="auto" w:sz="4" w:space="0"/>
              <w:right w:val="single" w:color="000000" w:sz="4" w:space="0"/>
            </w:tcBorders>
            <w:vAlign w:val="center"/>
          </w:tcPr>
          <w:p w14:paraId="0BF0AB36">
            <w:pPr>
              <w:widowControl/>
              <w:spacing w:line="24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考核</w:t>
            </w:r>
            <w:r>
              <w:rPr>
                <w:rFonts w:hint="eastAsia" w:ascii="宋体" w:hAnsi="宋体" w:eastAsia="宋体" w:cs="宋体"/>
                <w:color w:val="auto"/>
                <w:szCs w:val="21"/>
                <w:highlight w:val="none"/>
              </w:rPr>
              <w:t>人1（签名）：</w:t>
            </w:r>
            <w:r>
              <w:rPr>
                <w:rFonts w:hint="eastAsia" w:ascii="宋体" w:hAnsi="宋体" w:eastAsia="宋体" w:cs="宋体"/>
                <w:color w:val="auto"/>
                <w:szCs w:val="21"/>
                <w:highlight w:val="none"/>
                <w:lang w:val="en-US" w:eastAsia="zh-CN"/>
              </w:rPr>
              <w:t xml:space="preserve">            考核</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（签名）：</w:t>
            </w:r>
          </w:p>
        </w:tc>
      </w:tr>
      <w:tr w14:paraId="374D0318">
        <w:tblPrEx>
          <w:tblCellMar>
            <w:top w:w="0" w:type="dxa"/>
            <w:left w:w="108" w:type="dxa"/>
            <w:bottom w:w="0" w:type="dxa"/>
            <w:right w:w="108" w:type="dxa"/>
          </w:tblCellMar>
        </w:tblPrEx>
        <w:trPr>
          <w:trHeight w:val="679" w:hRule="atLeast"/>
          <w:jc w:val="center"/>
        </w:trPr>
        <w:tc>
          <w:tcPr>
            <w:tcW w:w="2460" w:type="dxa"/>
            <w:gridSpan w:val="2"/>
            <w:tcBorders>
              <w:top w:val="single" w:color="auto" w:sz="4" w:space="0"/>
              <w:left w:val="single" w:color="auto" w:sz="4" w:space="0"/>
              <w:bottom w:val="single" w:color="auto" w:sz="4" w:space="0"/>
              <w:right w:val="single" w:color="000000" w:sz="4" w:space="0"/>
            </w:tcBorders>
            <w:vAlign w:val="center"/>
          </w:tcPr>
          <w:p w14:paraId="58272C66">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运输服务单位代表签名</w:t>
            </w:r>
          </w:p>
        </w:tc>
        <w:tc>
          <w:tcPr>
            <w:tcW w:w="7304" w:type="dxa"/>
            <w:gridSpan w:val="3"/>
            <w:tcBorders>
              <w:top w:val="single" w:color="auto" w:sz="4" w:space="0"/>
              <w:left w:val="single" w:color="auto" w:sz="4" w:space="0"/>
              <w:bottom w:val="single" w:color="auto" w:sz="4" w:space="0"/>
              <w:right w:val="single" w:color="000000" w:sz="4" w:space="0"/>
            </w:tcBorders>
            <w:vAlign w:val="center"/>
          </w:tcPr>
          <w:p w14:paraId="6DEF1390">
            <w:pPr>
              <w:widowControl/>
              <w:spacing w:line="240" w:lineRule="auto"/>
              <w:jc w:val="center"/>
              <w:rPr>
                <w:rFonts w:hint="eastAsia" w:ascii="宋体" w:hAnsi="宋体" w:eastAsia="宋体" w:cs="宋体"/>
                <w:color w:val="auto"/>
                <w:szCs w:val="21"/>
                <w:highlight w:val="none"/>
                <w:lang w:val="en-US" w:eastAsia="zh-CN"/>
              </w:rPr>
            </w:pPr>
          </w:p>
        </w:tc>
      </w:tr>
    </w:tbl>
    <w:p w14:paraId="7DD00A59">
      <w:pPr>
        <w:rPr>
          <w:rFonts w:ascii="Times New Roman" w:eastAsia="仿宋_GB2312"/>
          <w:sz w:val="32"/>
          <w:szCs w:val="32"/>
          <w:lang w:bidi="ar"/>
        </w:rPr>
      </w:pPr>
      <w:r>
        <w:rPr>
          <w:rFonts w:ascii="Times New Roman" w:eastAsia="仿宋_GB2312"/>
          <w:sz w:val="32"/>
          <w:szCs w:val="32"/>
          <w:lang w:bidi="ar"/>
        </w:rPr>
        <w:br w:type="page"/>
      </w:r>
    </w:p>
    <w:bookmarkEnd w:id="8"/>
    <w:bookmarkEnd w:id="9"/>
    <w:bookmarkEnd w:id="10"/>
    <w:p w14:paraId="3C27DDE8">
      <w:pPr>
        <w:pStyle w:val="2"/>
        <w:spacing w:before="0" w:after="0"/>
        <w:jc w:val="center"/>
        <w:rPr>
          <w:rFonts w:hAnsi="宋体" w:cs="宋体"/>
          <w:szCs w:val="32"/>
        </w:rPr>
      </w:pPr>
      <w:bookmarkStart w:id="14" w:name="_Toc12163"/>
      <w:bookmarkStart w:id="15" w:name="_Toc27990830"/>
      <w:bookmarkStart w:id="16" w:name="_Toc29476692"/>
      <w:r>
        <w:rPr>
          <w:rFonts w:hint="eastAsia" w:hAnsi="宋体" w:cs="宋体"/>
          <w:szCs w:val="32"/>
        </w:rPr>
        <w:t>第三章 合同条款</w:t>
      </w:r>
      <w:bookmarkEnd w:id="14"/>
      <w:bookmarkEnd w:id="15"/>
      <w:bookmarkEnd w:id="16"/>
      <w:bookmarkStart w:id="17" w:name="_Toc29476707"/>
    </w:p>
    <w:p w14:paraId="6E121743">
      <w:pPr>
        <w:widowControl/>
        <w:wordWrap w:val="0"/>
        <w:ind w:right="934" w:firstLine="6000" w:firstLineChars="2500"/>
        <w:textAlignment w:val="bottom"/>
        <w:rPr>
          <w:rFonts w:hAnsi="宋体" w:cs="宋体"/>
          <w:szCs w:val="32"/>
        </w:rPr>
      </w:pPr>
    </w:p>
    <w:p w14:paraId="56E20533">
      <w:pPr>
        <w:keepNext w:val="0"/>
        <w:keepLines w:val="0"/>
        <w:pageBreakBefore w:val="0"/>
        <w:kinsoku/>
        <w:wordWrap/>
        <w:overflowPunct/>
        <w:topLinePunct w:val="0"/>
        <w:autoSpaceDE w:val="0"/>
        <w:autoSpaceDN w:val="0"/>
        <w:bidi w:val="0"/>
        <w:adjustRightInd w:val="0"/>
        <w:spacing w:line="360" w:lineRule="auto"/>
        <w:jc w:val="right"/>
        <w:rPr>
          <w:rFonts w:hint="eastAsia" w:ascii="宋体" w:hAnsi="宋体" w:eastAsia="宋体" w:cs="宋体"/>
          <w:b/>
          <w:color w:val="auto"/>
          <w:kern w:val="0"/>
          <w:sz w:val="24"/>
          <w:szCs w:val="24"/>
          <w:highlight w:val="none"/>
          <w:lang w:eastAsia="zh-CN"/>
        </w:rPr>
      </w:pPr>
      <w:r>
        <w:rPr>
          <w:rFonts w:hint="eastAsia" w:ascii="宋体" w:hAnsi="宋体" w:eastAsia="宋体" w:cs="宋体"/>
          <w:b/>
          <w:bCs/>
          <w:color w:val="auto"/>
          <w:sz w:val="24"/>
          <w:szCs w:val="24"/>
          <w:highlight w:val="none"/>
        </w:rPr>
        <w:t xml:space="preserve">合同编号：   </w:t>
      </w:r>
    </w:p>
    <w:p w14:paraId="5D1EB898">
      <w:pPr>
        <w:tabs>
          <w:tab w:val="left" w:pos="840"/>
        </w:tabs>
        <w:wordWrap/>
        <w:spacing w:line="360" w:lineRule="auto"/>
        <w:jc w:val="center"/>
        <w:textAlignment w:val="auto"/>
        <w:rPr>
          <w:rFonts w:hint="eastAsia" w:ascii="宋体" w:hAnsi="宋体" w:eastAsia="宋体" w:cs="宋体"/>
          <w:b/>
          <w:bCs/>
          <w:color w:val="auto"/>
          <w:kern w:val="0"/>
          <w:sz w:val="48"/>
          <w:szCs w:val="48"/>
          <w:highlight w:val="none"/>
          <w:lang w:val="zh-CN"/>
        </w:rPr>
      </w:pPr>
    </w:p>
    <w:p w14:paraId="352BA1F4">
      <w:pPr>
        <w:tabs>
          <w:tab w:val="left" w:pos="840"/>
        </w:tabs>
        <w:wordWrap/>
        <w:spacing w:line="360" w:lineRule="auto"/>
        <w:jc w:val="center"/>
        <w:textAlignment w:val="auto"/>
        <w:rPr>
          <w:rFonts w:hint="eastAsia" w:ascii="宋体" w:hAnsi="宋体" w:eastAsia="宋体" w:cs="宋体"/>
          <w:color w:val="auto"/>
          <w:sz w:val="48"/>
          <w:szCs w:val="48"/>
          <w:highlight w:val="none"/>
        </w:rPr>
      </w:pPr>
      <w:r>
        <w:rPr>
          <w:rFonts w:hint="eastAsia" w:ascii="宋体" w:hAnsi="宋体" w:eastAsia="宋体" w:cs="宋体"/>
          <w:b/>
          <w:bCs/>
          <w:color w:val="auto"/>
          <w:kern w:val="0"/>
          <w:sz w:val="48"/>
          <w:szCs w:val="48"/>
          <w:highlight w:val="none"/>
          <w:lang w:val="zh-CN"/>
        </w:rPr>
        <w:t>东莞市尚源环能科技有限公司试运行初期污泥运输服务单位采购项目</w:t>
      </w:r>
      <w:r>
        <w:rPr>
          <w:rFonts w:hint="eastAsia" w:ascii="宋体" w:hAnsi="宋体" w:eastAsia="宋体" w:cs="宋体"/>
          <w:b/>
          <w:bCs/>
          <w:color w:val="auto"/>
          <w:kern w:val="0"/>
          <w:sz w:val="48"/>
          <w:szCs w:val="48"/>
          <w:highlight w:val="none"/>
          <w:lang w:val="en-US" w:eastAsia="zh-CN"/>
        </w:rPr>
        <w:t>合同</w:t>
      </w:r>
    </w:p>
    <w:p w14:paraId="17DD9916">
      <w:pPr>
        <w:tabs>
          <w:tab w:val="left" w:pos="840"/>
        </w:tabs>
        <w:wordWrap/>
        <w:spacing w:line="360" w:lineRule="auto"/>
        <w:textAlignment w:val="auto"/>
        <w:rPr>
          <w:rFonts w:hint="eastAsia" w:ascii="宋体" w:hAnsi="宋体" w:eastAsia="宋体" w:cs="宋体"/>
          <w:color w:val="auto"/>
          <w:sz w:val="48"/>
          <w:szCs w:val="48"/>
          <w:highlight w:val="none"/>
        </w:rPr>
      </w:pPr>
    </w:p>
    <w:p w14:paraId="04AC18F1">
      <w:pPr>
        <w:tabs>
          <w:tab w:val="left" w:pos="840"/>
        </w:tabs>
        <w:wordWrap/>
        <w:spacing w:line="360" w:lineRule="auto"/>
        <w:textAlignment w:val="auto"/>
        <w:rPr>
          <w:rFonts w:hint="eastAsia" w:ascii="宋体" w:hAnsi="宋体" w:eastAsia="宋体" w:cs="宋体"/>
          <w:color w:val="auto"/>
          <w:sz w:val="48"/>
          <w:szCs w:val="48"/>
          <w:highlight w:val="none"/>
        </w:rPr>
      </w:pPr>
    </w:p>
    <w:p w14:paraId="68DB1E11">
      <w:pPr>
        <w:tabs>
          <w:tab w:val="left" w:pos="840"/>
        </w:tabs>
        <w:wordWrap/>
        <w:spacing w:line="360" w:lineRule="auto"/>
        <w:textAlignment w:val="auto"/>
        <w:rPr>
          <w:rFonts w:hint="eastAsia" w:ascii="宋体" w:hAnsi="宋体" w:eastAsia="宋体" w:cs="宋体"/>
          <w:color w:val="auto"/>
          <w:sz w:val="48"/>
          <w:szCs w:val="48"/>
          <w:highlight w:val="none"/>
        </w:rPr>
      </w:pPr>
    </w:p>
    <w:p w14:paraId="36415768">
      <w:pPr>
        <w:tabs>
          <w:tab w:val="left" w:pos="840"/>
        </w:tabs>
        <w:wordWrap/>
        <w:spacing w:line="360" w:lineRule="auto"/>
        <w:textAlignment w:val="auto"/>
        <w:rPr>
          <w:rFonts w:hint="eastAsia" w:ascii="宋体" w:hAnsi="宋体" w:eastAsia="宋体" w:cs="宋体"/>
          <w:color w:val="auto"/>
          <w:sz w:val="48"/>
          <w:szCs w:val="48"/>
          <w:highlight w:val="none"/>
        </w:rPr>
      </w:pPr>
    </w:p>
    <w:p w14:paraId="1DAF4495">
      <w:pPr>
        <w:tabs>
          <w:tab w:val="left" w:pos="840"/>
        </w:tabs>
        <w:wordWrap/>
        <w:spacing w:line="360" w:lineRule="auto"/>
        <w:textAlignment w:val="auto"/>
        <w:rPr>
          <w:rFonts w:hint="eastAsia" w:ascii="宋体" w:hAnsi="宋体" w:eastAsia="宋体" w:cs="宋体"/>
          <w:color w:val="auto"/>
          <w:sz w:val="48"/>
          <w:szCs w:val="48"/>
          <w:highlight w:val="none"/>
        </w:rPr>
      </w:pPr>
    </w:p>
    <w:p w14:paraId="1C57751B">
      <w:pPr>
        <w:tabs>
          <w:tab w:val="left" w:pos="840"/>
        </w:tabs>
        <w:wordWrap/>
        <w:spacing w:line="360" w:lineRule="auto"/>
        <w:textAlignment w:val="auto"/>
        <w:rPr>
          <w:rFonts w:hint="eastAsia" w:ascii="宋体" w:hAnsi="宋体" w:eastAsia="宋体" w:cs="宋体"/>
          <w:color w:val="auto"/>
          <w:sz w:val="48"/>
          <w:szCs w:val="48"/>
          <w:highlight w:val="none"/>
        </w:rPr>
      </w:pPr>
    </w:p>
    <w:p w14:paraId="0444F457">
      <w:pPr>
        <w:tabs>
          <w:tab w:val="left" w:pos="840"/>
        </w:tabs>
        <w:wordWrap/>
        <w:spacing w:line="360" w:lineRule="auto"/>
        <w:textAlignment w:val="auto"/>
        <w:rPr>
          <w:rFonts w:hint="eastAsia" w:ascii="宋体" w:hAnsi="宋体" w:eastAsia="宋体" w:cs="宋体"/>
          <w:color w:val="auto"/>
          <w:sz w:val="48"/>
          <w:szCs w:val="48"/>
          <w:highlight w:val="none"/>
        </w:rPr>
      </w:pPr>
    </w:p>
    <w:p w14:paraId="19643967">
      <w:pPr>
        <w:keepNext w:val="0"/>
        <w:keepLines w:val="0"/>
        <w:pageBreakBefore w:val="0"/>
        <w:widowControl w:val="0"/>
        <w:kinsoku/>
        <w:wordWrap/>
        <w:overflowPunct/>
        <w:topLinePunct w:val="0"/>
        <w:bidi w:val="0"/>
        <w:snapToGrid/>
        <w:spacing w:line="720" w:lineRule="auto"/>
        <w:ind w:firstLine="2157" w:firstLineChars="719"/>
        <w:jc w:val="left"/>
        <w:textAlignment w:val="auto"/>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甲方：</w:t>
      </w:r>
      <w:r>
        <w:rPr>
          <w:rFonts w:hint="eastAsia" w:ascii="宋体" w:hAnsi="宋体" w:eastAsia="宋体" w:cs="宋体"/>
          <w:color w:val="auto"/>
          <w:sz w:val="30"/>
          <w:szCs w:val="30"/>
          <w:highlight w:val="none"/>
          <w:u w:val="single"/>
        </w:rPr>
        <w:t>东莞市尚源环能科技有限公司</w:t>
      </w:r>
    </w:p>
    <w:p w14:paraId="72C97833">
      <w:pPr>
        <w:keepNext w:val="0"/>
        <w:keepLines w:val="0"/>
        <w:pageBreakBefore w:val="0"/>
        <w:widowControl w:val="0"/>
        <w:kinsoku/>
        <w:wordWrap/>
        <w:overflowPunct/>
        <w:topLinePunct w:val="0"/>
        <w:bidi w:val="0"/>
        <w:snapToGrid/>
        <w:spacing w:line="720" w:lineRule="auto"/>
        <w:ind w:firstLine="2157" w:firstLineChars="719"/>
        <w:jc w:val="left"/>
        <w:textAlignment w:val="auto"/>
        <w:rPr>
          <w:rFonts w:hint="eastAsia"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0"/>
          <w:highlight w:val="none"/>
        </w:rPr>
        <w:t>乙方：</w:t>
      </w:r>
      <w:r>
        <w:rPr>
          <w:rFonts w:hint="eastAsia" w:ascii="宋体" w:hAnsi="宋体" w:eastAsia="宋体" w:cs="宋体"/>
          <w:color w:val="auto"/>
          <w:sz w:val="30"/>
          <w:szCs w:val="30"/>
          <w:highlight w:val="none"/>
          <w:u w:val="single"/>
          <w:lang w:val="en-US" w:eastAsia="zh-CN"/>
        </w:rPr>
        <w:t xml:space="preserve">                          </w:t>
      </w:r>
    </w:p>
    <w:p w14:paraId="2C51D993">
      <w:pPr>
        <w:tabs>
          <w:tab w:val="left" w:pos="0"/>
        </w:tabs>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sectPr>
          <w:headerReference r:id="rId4" w:type="first"/>
          <w:footerReference r:id="rId5" w:type="first"/>
          <w:pgSz w:w="12240" w:h="15840"/>
          <w:pgMar w:top="1191" w:right="1117" w:bottom="1191" w:left="1043" w:header="720" w:footer="720" w:gutter="0"/>
          <w:pgBorders>
            <w:top w:val="none" w:sz="0" w:space="0"/>
            <w:left w:val="none" w:sz="0" w:space="0"/>
            <w:bottom w:val="none" w:sz="0" w:space="0"/>
            <w:right w:val="none" w:sz="0" w:space="0"/>
          </w:pgBorders>
          <w:pgNumType w:fmt="decimal"/>
          <w:cols w:space="0" w:num="1"/>
          <w:rtlGutter w:val="0"/>
          <w:docGrid w:linePitch="326" w:charSpace="0"/>
        </w:sectPr>
      </w:pPr>
    </w:p>
    <w:p w14:paraId="5DFC3C45">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u w:val="single"/>
        </w:rPr>
        <w:t>东莞市尚源环能科技有限公司</w:t>
      </w:r>
    </w:p>
    <w:p w14:paraId="5E70D661">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广东省东莞市沙田镇立沙中路</w:t>
      </w:r>
    </w:p>
    <w:p w14:paraId="6DA41513">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79C4978">
      <w:pPr>
        <w:tabs>
          <w:tab w:val="left" w:pos="0"/>
        </w:tabs>
        <w:wordWrap/>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地址：</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3E82D289">
      <w:pPr>
        <w:tabs>
          <w:tab w:val="left" w:pos="0"/>
        </w:tabs>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p>
    <w:p w14:paraId="7D941E91">
      <w:pPr>
        <w:tabs>
          <w:tab w:val="left" w:pos="0"/>
        </w:tabs>
        <w:wordWrap/>
        <w:spacing w:line="360" w:lineRule="auto"/>
        <w:ind w:left="0" w:leftChars="0" w:right="0" w:firstLine="480" w:firstLineChars="20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4"/>
          <w:szCs w:val="24"/>
          <w:highlight w:val="none"/>
        </w:rPr>
        <w:t>经甲方采购，现确定甲方向乙方采购</w:t>
      </w:r>
      <w:r>
        <w:rPr>
          <w:rFonts w:hint="eastAsia" w:ascii="宋体" w:hAnsi="宋体" w:eastAsia="宋体" w:cs="宋体"/>
          <w:color w:val="auto"/>
          <w:kern w:val="2"/>
          <w:sz w:val="24"/>
          <w:szCs w:val="24"/>
          <w:highlight w:val="none"/>
          <w:u w:val="single" w:color="auto"/>
          <w:lang w:val="zh-CN"/>
        </w:rPr>
        <w:t>污泥运输服务</w:t>
      </w:r>
      <w:r>
        <w:rPr>
          <w:rFonts w:hint="eastAsia" w:ascii="宋体" w:hAnsi="宋体" w:eastAsia="宋体" w:cs="宋体"/>
          <w:color w:val="auto"/>
          <w:sz w:val="24"/>
          <w:szCs w:val="24"/>
          <w:highlight w:val="none"/>
        </w:rPr>
        <w:t>。根据《中华人民共和国民法典》等法律、法规的规定，经双方平等协商，双方就</w:t>
      </w:r>
      <w:r>
        <w:rPr>
          <w:rFonts w:hint="eastAsia" w:ascii="宋体" w:hAnsi="宋体" w:eastAsia="宋体" w:cs="宋体"/>
          <w:color w:val="auto"/>
          <w:kern w:val="2"/>
          <w:sz w:val="24"/>
          <w:szCs w:val="24"/>
          <w:highlight w:val="none"/>
          <w:u w:val="single" w:color="auto"/>
          <w:lang w:val="zh-CN"/>
        </w:rPr>
        <w:t>污泥运输服务</w:t>
      </w:r>
      <w:r>
        <w:rPr>
          <w:rFonts w:hint="eastAsia" w:ascii="宋体" w:hAnsi="宋体" w:eastAsia="宋体" w:cs="宋体"/>
          <w:color w:val="auto"/>
          <w:sz w:val="24"/>
          <w:szCs w:val="24"/>
          <w:highlight w:val="none"/>
        </w:rPr>
        <w:t>（以下称“</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”）采购事宜，签订本合同。</w:t>
      </w:r>
    </w:p>
    <w:p w14:paraId="5BE9087F">
      <w:pPr>
        <w:wordWrap/>
        <w:snapToGrid w:val="0"/>
        <w:spacing w:line="360" w:lineRule="auto"/>
        <w:ind w:left="0" w:leftChars="0" w:right="0" w:firstLine="472" w:firstLineChars="196"/>
        <w:jc w:val="both"/>
        <w:textAlignment w:val="auto"/>
        <w:outlineLvl w:val="9"/>
        <w:rPr>
          <w:rFonts w:hint="eastAsia" w:ascii="宋体" w:hAnsi="宋体" w:eastAsia="宋体" w:cs="宋体"/>
          <w:b/>
          <w:color w:val="auto"/>
          <w:sz w:val="24"/>
          <w:szCs w:val="24"/>
          <w:highlight w:val="none"/>
        </w:rPr>
      </w:pPr>
    </w:p>
    <w:p w14:paraId="30807E31">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合同范围</w:t>
      </w:r>
    </w:p>
    <w:p w14:paraId="617E79D1">
      <w:pPr>
        <w:wordWrap/>
        <w:snapToGrid w:val="0"/>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1.1 </w:t>
      </w:r>
      <w:r>
        <w:rPr>
          <w:rFonts w:hint="eastAsia" w:ascii="宋体" w:hAnsi="宋体" w:eastAsia="宋体" w:cs="宋体"/>
          <w:color w:val="auto"/>
          <w:kern w:val="2"/>
          <w:sz w:val="24"/>
          <w:szCs w:val="24"/>
          <w:highlight w:val="none"/>
          <w:lang w:val="zh-CN"/>
        </w:rPr>
        <w:t>服务范围：</w:t>
      </w: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指定的</w:t>
      </w:r>
      <w:r>
        <w:rPr>
          <w:rFonts w:hint="eastAsia" w:ascii="宋体" w:hAnsi="宋体" w:eastAsia="宋体" w:cs="宋体"/>
          <w:color w:val="auto"/>
          <w:sz w:val="24"/>
          <w:szCs w:val="24"/>
          <w:highlight w:val="none"/>
        </w:rPr>
        <w:t>生活污水处理厂（处理站）将</w:t>
      </w:r>
      <w:r>
        <w:rPr>
          <w:rFonts w:hint="eastAsia" w:ascii="宋体" w:hAnsi="宋体" w:eastAsia="宋体" w:cs="宋体"/>
          <w:color w:val="auto"/>
          <w:sz w:val="24"/>
          <w:szCs w:val="24"/>
          <w:highlight w:val="none"/>
          <w:lang w:val="en-US" w:eastAsia="zh-CN"/>
        </w:rPr>
        <w:t>半干污泥（含水率60%）</w:t>
      </w:r>
      <w:r>
        <w:rPr>
          <w:rFonts w:hint="eastAsia" w:ascii="宋体" w:hAnsi="宋体" w:eastAsia="宋体" w:cs="宋体"/>
          <w:color w:val="auto"/>
          <w:sz w:val="24"/>
          <w:szCs w:val="24"/>
          <w:highlight w:val="none"/>
        </w:rPr>
        <w:t>运输至东莞市污泥集中处理处置项目（下称“污泥项目”）</w:t>
      </w:r>
      <w:r>
        <w:rPr>
          <w:rFonts w:hint="eastAsia" w:ascii="宋体" w:hAnsi="宋体" w:eastAsia="宋体" w:cs="宋体"/>
          <w:color w:val="auto"/>
          <w:kern w:val="2"/>
          <w:sz w:val="24"/>
          <w:szCs w:val="24"/>
          <w:highlight w:val="none"/>
          <w:lang w:val="zh-CN"/>
        </w:rPr>
        <w:t>。</w:t>
      </w:r>
    </w:p>
    <w:p w14:paraId="59107A89">
      <w:pPr>
        <w:wordWrap/>
        <w:snapToGrid w:val="0"/>
        <w:spacing w:line="360" w:lineRule="auto"/>
        <w:ind w:left="0" w:leftChars="0" w:right="0" w:firstLine="480" w:firstLineChars="200"/>
        <w:jc w:val="both"/>
        <w:textAlignment w:val="auto"/>
        <w:outlineLvl w:val="9"/>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color w:val="auto"/>
          <w:kern w:val="2"/>
          <w:sz w:val="24"/>
          <w:szCs w:val="24"/>
          <w:highlight w:val="none"/>
        </w:rPr>
        <w:t xml:space="preserve">1.2 </w:t>
      </w:r>
      <w:r>
        <w:rPr>
          <w:rFonts w:hint="eastAsia" w:ascii="宋体" w:hAnsi="宋体" w:eastAsia="宋体" w:cs="宋体"/>
          <w:color w:val="auto"/>
          <w:sz w:val="24"/>
          <w:szCs w:val="24"/>
          <w:highlight w:val="none"/>
        </w:rPr>
        <w:t>服务期限：合同签订之日起至2026年7月30日，试运行期预估运输量约22400吨，最终服务期限以2026年7月30日或运输服务费（含税）累计达到</w:t>
      </w:r>
      <w:r>
        <w:rPr>
          <w:rFonts w:hint="eastAsia" w:ascii="宋体" w:hAnsi="宋体" w:eastAsia="宋体" w:cs="宋体"/>
          <w:color w:val="auto"/>
          <w:sz w:val="24"/>
          <w:szCs w:val="24"/>
          <w:highlight w:val="none"/>
          <w:lang w:val="en-US" w:eastAsia="zh-CN"/>
        </w:rPr>
        <w:t>含税采购预算金额</w:t>
      </w:r>
      <w:r>
        <w:rPr>
          <w:rFonts w:hint="eastAsia" w:ascii="宋体" w:hAnsi="宋体" w:eastAsia="宋体" w:cs="宋体"/>
          <w:color w:val="auto"/>
          <w:sz w:val="24"/>
          <w:szCs w:val="24"/>
          <w:highlight w:val="none"/>
        </w:rPr>
        <w:t>为止，终止日期以前述两种情况中先达到的期限为准</w:t>
      </w:r>
      <w:r>
        <w:rPr>
          <w:rFonts w:hint="eastAsia" w:ascii="宋体" w:hAnsi="宋体" w:eastAsia="宋体" w:cs="宋体"/>
          <w:b w:val="0"/>
          <w:bCs w:val="0"/>
          <w:color w:val="auto"/>
          <w:kern w:val="0"/>
          <w:sz w:val="24"/>
          <w:szCs w:val="24"/>
          <w:highlight w:val="none"/>
          <w:u w:val="none"/>
          <w:lang w:val="en-US" w:eastAsia="zh-CN"/>
        </w:rPr>
        <w:t>。</w:t>
      </w:r>
    </w:p>
    <w:p w14:paraId="7E60A42E">
      <w:pPr>
        <w:wordWrap/>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1.3 在服务期内，除甲方分配量不足或不可抗力的情况外，乙方承诺：（1）日均（月外运量/外运天数）外运</w:t>
      </w:r>
      <w:r>
        <w:rPr>
          <w:rFonts w:hint="eastAsia" w:ascii="宋体" w:hAnsi="宋体" w:eastAsia="宋体" w:cs="宋体"/>
          <w:color w:val="auto"/>
          <w:sz w:val="24"/>
          <w:szCs w:val="24"/>
          <w:highlight w:val="none"/>
          <w:lang w:val="en-US" w:eastAsia="zh-CN"/>
        </w:rPr>
        <w:t>半干污泥（含水率60%）</w:t>
      </w:r>
      <w:r>
        <w:rPr>
          <w:rFonts w:hint="eastAsia" w:ascii="宋体" w:hAnsi="宋体" w:eastAsia="宋体" w:cs="宋体"/>
          <w:color w:val="auto"/>
          <w:sz w:val="24"/>
          <w:szCs w:val="24"/>
          <w:highlight w:val="none"/>
          <w:lang w:val="en-US" w:eastAsia="zh-CN" w:bidi="ar-SA"/>
        </w:rPr>
        <w:t>不少于【400】吨/日，且具备大于400吨/日，达到调试期高峰值1200吨/日的应急运输能力。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SA"/>
        </w:rPr>
        <w:t>合同签订之日起5日内按甲方要求的运力实施本项目污泥转移提供运输服务。</w:t>
      </w:r>
    </w:p>
    <w:p w14:paraId="3EA829E5">
      <w:pPr>
        <w:wordWrap/>
        <w:snapToGrid w:val="0"/>
        <w:spacing w:line="360" w:lineRule="auto"/>
        <w:ind w:left="0" w:leftChars="0" w:right="0" w:firstLine="480" w:firstLineChars="200"/>
        <w:jc w:val="both"/>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1.4 处置单位及暂定污水处理厂（处理站）清单如下：</w:t>
      </w:r>
    </w:p>
    <w:tbl>
      <w:tblPr>
        <w:tblStyle w:val="25"/>
        <w:tblW w:w="4879"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89"/>
        <w:gridCol w:w="1882"/>
        <w:gridCol w:w="3082"/>
        <w:gridCol w:w="1304"/>
        <w:gridCol w:w="1214"/>
      </w:tblGrid>
      <w:tr w14:paraId="4FBD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000" w:type="pct"/>
            <w:gridSpan w:val="6"/>
            <w:noWrap/>
            <w:vAlign w:val="center"/>
          </w:tcPr>
          <w:p w14:paraId="14DB782B">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4"/>
                <w:szCs w:val="24"/>
                <w:highlight w:val="none"/>
                <w:lang w:val="en-US" w:eastAsia="zh-CN"/>
              </w:rPr>
              <w:t>一、处置单位基本情况</w:t>
            </w:r>
          </w:p>
        </w:tc>
      </w:tr>
      <w:tr w14:paraId="543C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86" w:type="pct"/>
            <w:noWrap/>
            <w:vAlign w:val="center"/>
          </w:tcPr>
          <w:p w14:paraId="6D7AA1C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1827" w:type="pct"/>
            <w:gridSpan w:val="2"/>
            <w:vAlign w:val="center"/>
          </w:tcPr>
          <w:p w14:paraId="44977752">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项目名称</w:t>
            </w:r>
          </w:p>
        </w:tc>
        <w:tc>
          <w:tcPr>
            <w:tcW w:w="2786" w:type="pct"/>
            <w:gridSpan w:val="3"/>
            <w:vAlign w:val="center"/>
          </w:tcPr>
          <w:p w14:paraId="391497D3">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项目地址</w:t>
            </w:r>
          </w:p>
        </w:tc>
      </w:tr>
      <w:tr w14:paraId="4C2C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86" w:type="pct"/>
            <w:noWrap/>
            <w:vAlign w:val="center"/>
          </w:tcPr>
          <w:p w14:paraId="6DE7974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827" w:type="pct"/>
            <w:gridSpan w:val="2"/>
            <w:vAlign w:val="center"/>
          </w:tcPr>
          <w:p w14:paraId="79D24BFC">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东莞市污泥集中处理处置项目</w:t>
            </w:r>
          </w:p>
        </w:tc>
        <w:tc>
          <w:tcPr>
            <w:tcW w:w="2786" w:type="pct"/>
            <w:gridSpan w:val="3"/>
            <w:vAlign w:val="center"/>
          </w:tcPr>
          <w:p w14:paraId="3A8296DD">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广东省东莞市沙田镇立沙中路76号</w:t>
            </w:r>
          </w:p>
        </w:tc>
      </w:tr>
      <w:tr w14:paraId="23FC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00" w:type="pct"/>
            <w:gridSpan w:val="6"/>
            <w:noWrap/>
            <w:vAlign w:val="center"/>
          </w:tcPr>
          <w:p w14:paraId="6A38ADBA">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污水处理厂（处理站）</w:t>
            </w:r>
            <w:r>
              <w:rPr>
                <w:rFonts w:hint="eastAsia" w:ascii="宋体" w:hAnsi="宋体" w:eastAsia="宋体" w:cs="宋体"/>
                <w:b/>
                <w:bCs/>
                <w:color w:val="auto"/>
                <w:kern w:val="0"/>
                <w:sz w:val="24"/>
                <w:szCs w:val="24"/>
                <w:highlight w:val="none"/>
                <w:lang w:val="en-US" w:eastAsia="zh-CN"/>
              </w:rPr>
              <w:t>基本情况</w:t>
            </w:r>
          </w:p>
        </w:tc>
      </w:tr>
      <w:tr w14:paraId="690D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86" w:type="pct"/>
            <w:noWrap/>
            <w:vAlign w:val="center"/>
          </w:tcPr>
          <w:p w14:paraId="1821E3A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90" w:type="pct"/>
            <w:vAlign w:val="center"/>
          </w:tcPr>
          <w:p w14:paraId="067103E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所在片区</w:t>
            </w:r>
          </w:p>
          <w:p w14:paraId="194D008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（按流域划分）</w:t>
            </w:r>
          </w:p>
        </w:tc>
        <w:tc>
          <w:tcPr>
            <w:tcW w:w="936" w:type="pct"/>
            <w:noWrap/>
            <w:vAlign w:val="center"/>
          </w:tcPr>
          <w:p w14:paraId="4DC0F8C8">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简称</w:t>
            </w:r>
          </w:p>
        </w:tc>
        <w:tc>
          <w:tcPr>
            <w:tcW w:w="1533" w:type="pct"/>
            <w:vAlign w:val="center"/>
          </w:tcPr>
          <w:p w14:paraId="57FE2064">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项目地址</w:t>
            </w:r>
          </w:p>
        </w:tc>
        <w:tc>
          <w:tcPr>
            <w:tcW w:w="648" w:type="pct"/>
            <w:vAlign w:val="center"/>
          </w:tcPr>
          <w:p w14:paraId="04C93945">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单程运输距离（km）</w:t>
            </w:r>
          </w:p>
        </w:tc>
        <w:tc>
          <w:tcPr>
            <w:tcW w:w="604" w:type="pct"/>
            <w:vAlign w:val="center"/>
          </w:tcPr>
          <w:p w14:paraId="4A2D45FD">
            <w:pPr>
              <w:keepNext w:val="0"/>
              <w:keepLines w:val="0"/>
              <w:pageBreakBefore w:val="0"/>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产泥量（t/d）</w:t>
            </w:r>
          </w:p>
        </w:tc>
      </w:tr>
      <w:tr w14:paraId="32FB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25818E91">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816903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36" w:type="pct"/>
            <w:noWrap/>
            <w:vAlign w:val="center"/>
          </w:tcPr>
          <w:p w14:paraId="1D8BA47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茶山厂</w:t>
            </w:r>
          </w:p>
        </w:tc>
        <w:tc>
          <w:tcPr>
            <w:tcW w:w="1533" w:type="pct"/>
            <w:shd w:val="clear" w:color="auto" w:fill="auto"/>
            <w:noWrap/>
            <w:vAlign w:val="center"/>
          </w:tcPr>
          <w:p w14:paraId="57AB5B9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东莞市茶山镇横江村环城路茶山污水厂</w:t>
            </w:r>
          </w:p>
        </w:tc>
        <w:tc>
          <w:tcPr>
            <w:tcW w:w="648" w:type="pct"/>
            <w:noWrap/>
            <w:vAlign w:val="center"/>
          </w:tcPr>
          <w:p w14:paraId="58FA1D0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38.90</w:t>
            </w:r>
          </w:p>
        </w:tc>
        <w:tc>
          <w:tcPr>
            <w:tcW w:w="604" w:type="pct"/>
            <w:vAlign w:val="center"/>
          </w:tcPr>
          <w:p w14:paraId="22139DF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21.34</w:t>
            </w:r>
          </w:p>
        </w:tc>
      </w:tr>
      <w:tr w14:paraId="756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181EFB9A">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03E0BCE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36" w:type="pct"/>
            <w:noWrap/>
            <w:vAlign w:val="center"/>
          </w:tcPr>
          <w:p w14:paraId="70E7FC9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常平东厂二期</w:t>
            </w:r>
          </w:p>
        </w:tc>
        <w:tc>
          <w:tcPr>
            <w:tcW w:w="1533" w:type="pct"/>
            <w:shd w:val="clear" w:color="auto" w:fill="auto"/>
            <w:noWrap/>
            <w:vAlign w:val="center"/>
          </w:tcPr>
          <w:p w14:paraId="154D488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东莞市常平镇沙湖口村常平东部污水处理厂</w:t>
            </w:r>
          </w:p>
        </w:tc>
        <w:tc>
          <w:tcPr>
            <w:tcW w:w="648" w:type="pct"/>
            <w:noWrap/>
            <w:vAlign w:val="center"/>
          </w:tcPr>
          <w:p w14:paraId="4AB4890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58.70</w:t>
            </w:r>
          </w:p>
        </w:tc>
        <w:tc>
          <w:tcPr>
            <w:tcW w:w="604" w:type="pct"/>
            <w:vAlign w:val="center"/>
          </w:tcPr>
          <w:p w14:paraId="61ED9D6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11.03</w:t>
            </w:r>
          </w:p>
        </w:tc>
      </w:tr>
      <w:tr w14:paraId="69A9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24CE943F">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0EB25A2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36" w:type="pct"/>
            <w:noWrap/>
            <w:vAlign w:val="center"/>
          </w:tcPr>
          <w:p w14:paraId="321950E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常平东厂一期</w:t>
            </w:r>
          </w:p>
        </w:tc>
        <w:tc>
          <w:tcPr>
            <w:tcW w:w="1533" w:type="pct"/>
            <w:shd w:val="clear" w:color="auto" w:fill="auto"/>
            <w:noWrap/>
            <w:vAlign w:val="center"/>
          </w:tcPr>
          <w:p w14:paraId="294DCC8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东莞市常平镇沙湖口村常平东部污水处理厂</w:t>
            </w:r>
          </w:p>
        </w:tc>
        <w:tc>
          <w:tcPr>
            <w:tcW w:w="648" w:type="pct"/>
            <w:noWrap/>
            <w:vAlign w:val="center"/>
          </w:tcPr>
          <w:p w14:paraId="2A46FB5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58.70</w:t>
            </w:r>
          </w:p>
        </w:tc>
        <w:tc>
          <w:tcPr>
            <w:tcW w:w="604" w:type="pct"/>
            <w:vAlign w:val="center"/>
          </w:tcPr>
          <w:p w14:paraId="1260308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18.88</w:t>
            </w:r>
          </w:p>
        </w:tc>
      </w:tr>
      <w:tr w14:paraId="1BFF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66FEC741">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9E1294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36" w:type="pct"/>
            <w:noWrap/>
            <w:vAlign w:val="center"/>
          </w:tcPr>
          <w:p w14:paraId="5D37BA6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常平西厂二期</w:t>
            </w:r>
          </w:p>
        </w:tc>
        <w:tc>
          <w:tcPr>
            <w:tcW w:w="1533" w:type="pct"/>
            <w:shd w:val="clear" w:color="auto" w:fill="auto"/>
            <w:noWrap/>
            <w:vAlign w:val="center"/>
          </w:tcPr>
          <w:p w14:paraId="4AAD0E1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东莞市常平镇岗梓村猪头山（横沥镇贝涌村)</w:t>
            </w:r>
          </w:p>
        </w:tc>
        <w:tc>
          <w:tcPr>
            <w:tcW w:w="648" w:type="pct"/>
            <w:noWrap/>
            <w:vAlign w:val="center"/>
          </w:tcPr>
          <w:p w14:paraId="67BEBFA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51.80</w:t>
            </w:r>
          </w:p>
        </w:tc>
        <w:tc>
          <w:tcPr>
            <w:tcW w:w="604" w:type="pct"/>
            <w:vAlign w:val="center"/>
          </w:tcPr>
          <w:p w14:paraId="2CB3E7A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27.99</w:t>
            </w:r>
          </w:p>
        </w:tc>
      </w:tr>
      <w:tr w14:paraId="3A88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1A8BCAE8">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E75120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36" w:type="pct"/>
            <w:noWrap/>
            <w:vAlign w:val="center"/>
          </w:tcPr>
          <w:p w14:paraId="6792B45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常平西厂一期</w:t>
            </w:r>
          </w:p>
        </w:tc>
        <w:tc>
          <w:tcPr>
            <w:tcW w:w="1533" w:type="pct"/>
            <w:shd w:val="clear" w:color="auto" w:fill="auto"/>
            <w:noWrap/>
            <w:vAlign w:val="center"/>
          </w:tcPr>
          <w:p w14:paraId="1D730EF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东莞市常平镇岗梓村猪头山（横沥镇贝涌村)</w:t>
            </w:r>
          </w:p>
        </w:tc>
        <w:tc>
          <w:tcPr>
            <w:tcW w:w="648" w:type="pct"/>
            <w:noWrap/>
            <w:vAlign w:val="center"/>
          </w:tcPr>
          <w:p w14:paraId="6575660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51.80</w:t>
            </w:r>
          </w:p>
        </w:tc>
        <w:tc>
          <w:tcPr>
            <w:tcW w:w="604" w:type="pct"/>
            <w:vAlign w:val="center"/>
          </w:tcPr>
          <w:p w14:paraId="629D770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36.01</w:t>
            </w:r>
          </w:p>
        </w:tc>
      </w:tr>
      <w:tr w14:paraId="0397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6216EC24">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09C4DC0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东引运河片区</w:t>
            </w:r>
          </w:p>
        </w:tc>
        <w:tc>
          <w:tcPr>
            <w:tcW w:w="936" w:type="pct"/>
            <w:noWrap/>
            <w:vAlign w:val="center"/>
          </w:tcPr>
          <w:p w14:paraId="3F073CE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大岭山连马厂一期</w:t>
            </w:r>
          </w:p>
        </w:tc>
        <w:tc>
          <w:tcPr>
            <w:tcW w:w="1533" w:type="pct"/>
            <w:shd w:val="clear" w:color="auto" w:fill="auto"/>
            <w:noWrap/>
            <w:vAlign w:val="center"/>
          </w:tcPr>
          <w:p w14:paraId="32DDA40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东莞市大岭山连马路中段北侧</w:t>
            </w:r>
          </w:p>
        </w:tc>
        <w:tc>
          <w:tcPr>
            <w:tcW w:w="648" w:type="pct"/>
            <w:noWrap/>
            <w:vAlign w:val="center"/>
          </w:tcPr>
          <w:p w14:paraId="7B8E300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37.70</w:t>
            </w:r>
          </w:p>
        </w:tc>
        <w:tc>
          <w:tcPr>
            <w:tcW w:w="604" w:type="pct"/>
            <w:vAlign w:val="center"/>
          </w:tcPr>
          <w:p w14:paraId="7108F8E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25.16</w:t>
            </w:r>
          </w:p>
        </w:tc>
      </w:tr>
      <w:tr w14:paraId="79CD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26D36E6D">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2A27C45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7598950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东城温塘厂一期</w:t>
            </w:r>
          </w:p>
        </w:tc>
        <w:tc>
          <w:tcPr>
            <w:tcW w:w="1533" w:type="pct"/>
            <w:shd w:val="clear" w:color="auto" w:fill="auto"/>
            <w:noWrap/>
            <w:vAlign w:val="center"/>
          </w:tcPr>
          <w:p w14:paraId="09A68A4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东莞市东城街道创盈路东城段86号</w:t>
            </w:r>
          </w:p>
        </w:tc>
        <w:tc>
          <w:tcPr>
            <w:tcW w:w="648" w:type="pct"/>
            <w:shd w:val="clear" w:color="auto" w:fill="auto"/>
            <w:noWrap/>
            <w:vAlign w:val="center"/>
          </w:tcPr>
          <w:p w14:paraId="3F7D4D6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35.10</w:t>
            </w:r>
          </w:p>
        </w:tc>
        <w:tc>
          <w:tcPr>
            <w:tcW w:w="604" w:type="pct"/>
            <w:shd w:val="clear" w:color="auto" w:fill="auto"/>
            <w:vAlign w:val="center"/>
          </w:tcPr>
          <w:p w14:paraId="3F69CB1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14.40</w:t>
            </w:r>
          </w:p>
        </w:tc>
      </w:tr>
      <w:tr w14:paraId="6600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6928F0CB">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7BBABDB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6971EEE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横沥东坑厂一期</w:t>
            </w:r>
          </w:p>
        </w:tc>
        <w:tc>
          <w:tcPr>
            <w:tcW w:w="1533" w:type="pct"/>
            <w:shd w:val="clear" w:color="auto" w:fill="auto"/>
            <w:noWrap/>
            <w:vAlign w:val="center"/>
          </w:tcPr>
          <w:p w14:paraId="0B9EA6E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广东省东莞市东坑镇角祥路</w:t>
            </w:r>
          </w:p>
        </w:tc>
        <w:tc>
          <w:tcPr>
            <w:tcW w:w="648" w:type="pct"/>
            <w:shd w:val="clear" w:color="auto" w:fill="auto"/>
            <w:noWrap/>
            <w:vAlign w:val="center"/>
          </w:tcPr>
          <w:p w14:paraId="5BDAB66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46.80</w:t>
            </w:r>
          </w:p>
        </w:tc>
        <w:tc>
          <w:tcPr>
            <w:tcW w:w="604" w:type="pct"/>
            <w:shd w:val="clear" w:color="auto" w:fill="auto"/>
            <w:vAlign w:val="center"/>
          </w:tcPr>
          <w:p w14:paraId="7F1B7A0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30.31</w:t>
            </w:r>
          </w:p>
        </w:tc>
      </w:tr>
      <w:tr w14:paraId="042B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7D1F5C95">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1CC7FE2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333D8B8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黄江厂二期</w:t>
            </w:r>
          </w:p>
        </w:tc>
        <w:tc>
          <w:tcPr>
            <w:tcW w:w="1533" w:type="pct"/>
            <w:shd w:val="clear" w:color="auto" w:fill="auto"/>
            <w:noWrap/>
            <w:vAlign w:val="center"/>
          </w:tcPr>
          <w:p w14:paraId="6CE3229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东莞市黄江镇合路村创业一路</w:t>
            </w:r>
          </w:p>
        </w:tc>
        <w:tc>
          <w:tcPr>
            <w:tcW w:w="648" w:type="pct"/>
            <w:shd w:val="clear" w:color="auto" w:fill="auto"/>
            <w:noWrap/>
            <w:vAlign w:val="center"/>
          </w:tcPr>
          <w:p w14:paraId="1EC78C2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54.50</w:t>
            </w:r>
          </w:p>
        </w:tc>
        <w:tc>
          <w:tcPr>
            <w:tcW w:w="604" w:type="pct"/>
            <w:shd w:val="clear" w:color="auto" w:fill="auto"/>
            <w:vAlign w:val="center"/>
          </w:tcPr>
          <w:p w14:paraId="2919445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20.33</w:t>
            </w:r>
          </w:p>
        </w:tc>
      </w:tr>
      <w:tr w14:paraId="1BAC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72993BBD">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43D3FE8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213926B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黄江厂一期</w:t>
            </w:r>
          </w:p>
        </w:tc>
        <w:tc>
          <w:tcPr>
            <w:tcW w:w="1533" w:type="pct"/>
            <w:shd w:val="clear" w:color="auto" w:fill="auto"/>
            <w:noWrap/>
            <w:vAlign w:val="center"/>
          </w:tcPr>
          <w:p w14:paraId="64565A4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东莞市黄江镇合路村创业一路</w:t>
            </w:r>
          </w:p>
        </w:tc>
        <w:tc>
          <w:tcPr>
            <w:tcW w:w="648" w:type="pct"/>
            <w:shd w:val="clear" w:color="auto" w:fill="auto"/>
            <w:noWrap/>
            <w:vAlign w:val="center"/>
          </w:tcPr>
          <w:p w14:paraId="4835654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54.50</w:t>
            </w:r>
          </w:p>
        </w:tc>
        <w:tc>
          <w:tcPr>
            <w:tcW w:w="604" w:type="pct"/>
            <w:shd w:val="clear" w:color="auto" w:fill="auto"/>
            <w:vAlign w:val="center"/>
          </w:tcPr>
          <w:p w14:paraId="3D602C0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16.22</w:t>
            </w:r>
          </w:p>
        </w:tc>
      </w:tr>
      <w:tr w14:paraId="2D92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6D9D2E3D">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7FF4D1E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07CE0A4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寮步竹园厂二期</w:t>
            </w:r>
          </w:p>
        </w:tc>
        <w:tc>
          <w:tcPr>
            <w:tcW w:w="1533" w:type="pct"/>
            <w:shd w:val="clear" w:color="auto" w:fill="auto"/>
            <w:noWrap/>
            <w:vAlign w:val="center"/>
          </w:tcPr>
          <w:p w14:paraId="233EB0F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东莞市寮步镇竹园村横岭工业区18号</w:t>
            </w:r>
          </w:p>
        </w:tc>
        <w:tc>
          <w:tcPr>
            <w:tcW w:w="648" w:type="pct"/>
            <w:shd w:val="clear" w:color="auto" w:fill="auto"/>
            <w:noWrap/>
            <w:vAlign w:val="center"/>
          </w:tcPr>
          <w:p w14:paraId="07EB8F8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33.40</w:t>
            </w:r>
          </w:p>
        </w:tc>
        <w:tc>
          <w:tcPr>
            <w:tcW w:w="604" w:type="pct"/>
            <w:shd w:val="clear" w:color="auto" w:fill="auto"/>
            <w:vAlign w:val="center"/>
          </w:tcPr>
          <w:p w14:paraId="79D1E93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4.81</w:t>
            </w:r>
          </w:p>
        </w:tc>
      </w:tr>
      <w:tr w14:paraId="6C6E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2855DF61">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5EA9450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3FD19F8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寮步竹园厂三期</w:t>
            </w:r>
          </w:p>
        </w:tc>
        <w:tc>
          <w:tcPr>
            <w:tcW w:w="1533" w:type="pct"/>
            <w:shd w:val="clear" w:color="auto" w:fill="auto"/>
            <w:noWrap/>
            <w:vAlign w:val="center"/>
          </w:tcPr>
          <w:p w14:paraId="23CB241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东莞市寮步镇竹园村横岭工业区18号</w:t>
            </w:r>
          </w:p>
        </w:tc>
        <w:tc>
          <w:tcPr>
            <w:tcW w:w="648" w:type="pct"/>
            <w:shd w:val="clear" w:color="auto" w:fill="auto"/>
            <w:noWrap/>
            <w:vAlign w:val="center"/>
          </w:tcPr>
          <w:p w14:paraId="5B06BFE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33.40</w:t>
            </w:r>
          </w:p>
        </w:tc>
        <w:tc>
          <w:tcPr>
            <w:tcW w:w="604" w:type="pct"/>
            <w:shd w:val="clear" w:color="auto" w:fill="auto"/>
            <w:vAlign w:val="center"/>
          </w:tcPr>
          <w:p w14:paraId="65DC6D4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23.19</w:t>
            </w:r>
          </w:p>
        </w:tc>
      </w:tr>
      <w:tr w14:paraId="3E7D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62841D49">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50ABA6F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3BB1194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寮步竹园厂一期</w:t>
            </w:r>
          </w:p>
        </w:tc>
        <w:tc>
          <w:tcPr>
            <w:tcW w:w="1533" w:type="pct"/>
            <w:shd w:val="clear" w:color="auto" w:fill="auto"/>
            <w:noWrap/>
            <w:vAlign w:val="center"/>
          </w:tcPr>
          <w:p w14:paraId="1A71635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东莞市寮步镇竹园村横岭工业区18号</w:t>
            </w:r>
          </w:p>
        </w:tc>
        <w:tc>
          <w:tcPr>
            <w:tcW w:w="648" w:type="pct"/>
            <w:shd w:val="clear" w:color="auto" w:fill="auto"/>
            <w:noWrap/>
            <w:vAlign w:val="center"/>
          </w:tcPr>
          <w:p w14:paraId="6C955D8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33.40</w:t>
            </w:r>
          </w:p>
        </w:tc>
        <w:tc>
          <w:tcPr>
            <w:tcW w:w="604" w:type="pct"/>
            <w:shd w:val="clear" w:color="auto" w:fill="auto"/>
            <w:vAlign w:val="center"/>
          </w:tcPr>
          <w:p w14:paraId="04804BB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30.08</w:t>
            </w:r>
          </w:p>
        </w:tc>
      </w:tr>
      <w:tr w14:paraId="5244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3873C1FB">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5F110CB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5B8F45C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南畲朗厂</w:t>
            </w:r>
          </w:p>
        </w:tc>
        <w:tc>
          <w:tcPr>
            <w:tcW w:w="1533" w:type="pct"/>
            <w:shd w:val="clear" w:color="auto" w:fill="auto"/>
            <w:noWrap/>
            <w:vAlign w:val="center"/>
          </w:tcPr>
          <w:p w14:paraId="1C6D694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东莞市生态产业园区茶石路1号</w:t>
            </w:r>
          </w:p>
        </w:tc>
        <w:tc>
          <w:tcPr>
            <w:tcW w:w="648" w:type="pct"/>
            <w:shd w:val="clear" w:color="auto" w:fill="auto"/>
            <w:noWrap/>
            <w:vAlign w:val="center"/>
          </w:tcPr>
          <w:p w14:paraId="117324F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46.00</w:t>
            </w:r>
          </w:p>
        </w:tc>
        <w:tc>
          <w:tcPr>
            <w:tcW w:w="604" w:type="pct"/>
            <w:shd w:val="clear" w:color="auto" w:fill="auto"/>
            <w:vAlign w:val="center"/>
          </w:tcPr>
          <w:p w14:paraId="7D91A72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62.87</w:t>
            </w:r>
          </w:p>
        </w:tc>
      </w:tr>
      <w:tr w14:paraId="6A3B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6DF21B20">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73CE7C3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22ACE1A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松北厂二期</w:t>
            </w:r>
          </w:p>
        </w:tc>
        <w:tc>
          <w:tcPr>
            <w:tcW w:w="1533" w:type="pct"/>
            <w:shd w:val="clear" w:color="auto" w:fill="auto"/>
            <w:noWrap/>
            <w:vAlign w:val="center"/>
          </w:tcPr>
          <w:p w14:paraId="22D544C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东莞松山湖高新技术产业开发区工业西三路</w:t>
            </w:r>
          </w:p>
        </w:tc>
        <w:tc>
          <w:tcPr>
            <w:tcW w:w="648" w:type="pct"/>
            <w:shd w:val="clear" w:color="auto" w:fill="auto"/>
            <w:noWrap/>
            <w:vAlign w:val="center"/>
          </w:tcPr>
          <w:p w14:paraId="5D3F6FA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41.40</w:t>
            </w:r>
          </w:p>
        </w:tc>
        <w:tc>
          <w:tcPr>
            <w:tcW w:w="604" w:type="pct"/>
            <w:shd w:val="clear" w:color="auto" w:fill="auto"/>
            <w:vAlign w:val="center"/>
          </w:tcPr>
          <w:p w14:paraId="0FDADE5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14.68</w:t>
            </w:r>
          </w:p>
        </w:tc>
      </w:tr>
      <w:tr w14:paraId="14B4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31960426">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74A53C7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654AAEB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松北厂一期</w:t>
            </w:r>
          </w:p>
        </w:tc>
        <w:tc>
          <w:tcPr>
            <w:tcW w:w="1533" w:type="pct"/>
            <w:shd w:val="clear" w:color="auto" w:fill="auto"/>
            <w:noWrap/>
            <w:vAlign w:val="center"/>
          </w:tcPr>
          <w:p w14:paraId="5AD6B7C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东莞松山湖高新技术产业开发区工业西三路</w:t>
            </w:r>
          </w:p>
        </w:tc>
        <w:tc>
          <w:tcPr>
            <w:tcW w:w="648" w:type="pct"/>
            <w:shd w:val="clear" w:color="auto" w:fill="auto"/>
            <w:noWrap/>
            <w:vAlign w:val="center"/>
          </w:tcPr>
          <w:p w14:paraId="7842B09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41.40</w:t>
            </w:r>
          </w:p>
        </w:tc>
        <w:tc>
          <w:tcPr>
            <w:tcW w:w="604" w:type="pct"/>
            <w:shd w:val="clear" w:color="auto" w:fill="auto"/>
            <w:vAlign w:val="center"/>
          </w:tcPr>
          <w:p w14:paraId="068CA0B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10.00</w:t>
            </w:r>
          </w:p>
        </w:tc>
      </w:tr>
      <w:tr w14:paraId="7DA2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1F795DDE">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49AB865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485CE94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松南厂二期</w:t>
            </w:r>
          </w:p>
        </w:tc>
        <w:tc>
          <w:tcPr>
            <w:tcW w:w="1533" w:type="pct"/>
            <w:shd w:val="clear" w:color="auto" w:fill="auto"/>
            <w:noWrap/>
            <w:vAlign w:val="center"/>
          </w:tcPr>
          <w:p w14:paraId="20BD7CE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东莞市大朗镇杨沙路153号</w:t>
            </w:r>
          </w:p>
        </w:tc>
        <w:tc>
          <w:tcPr>
            <w:tcW w:w="648" w:type="pct"/>
            <w:shd w:val="clear" w:color="auto" w:fill="auto"/>
            <w:noWrap/>
            <w:vAlign w:val="center"/>
          </w:tcPr>
          <w:p w14:paraId="1D5F99B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51.30</w:t>
            </w:r>
          </w:p>
        </w:tc>
        <w:tc>
          <w:tcPr>
            <w:tcW w:w="604" w:type="pct"/>
            <w:shd w:val="clear" w:color="auto" w:fill="auto"/>
            <w:vAlign w:val="center"/>
          </w:tcPr>
          <w:p w14:paraId="399F9BE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34.04</w:t>
            </w:r>
          </w:p>
        </w:tc>
      </w:tr>
      <w:tr w14:paraId="4013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23A43BBA">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25FA812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7D5A1C7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松南厂一期</w:t>
            </w:r>
          </w:p>
        </w:tc>
        <w:tc>
          <w:tcPr>
            <w:tcW w:w="1533" w:type="pct"/>
            <w:shd w:val="clear" w:color="auto" w:fill="auto"/>
            <w:noWrap/>
            <w:vAlign w:val="center"/>
          </w:tcPr>
          <w:p w14:paraId="0BC0FB7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东莞市大朗镇杨沙路153号</w:t>
            </w:r>
          </w:p>
        </w:tc>
        <w:tc>
          <w:tcPr>
            <w:tcW w:w="648" w:type="pct"/>
            <w:shd w:val="clear" w:color="auto" w:fill="auto"/>
            <w:noWrap/>
            <w:vAlign w:val="center"/>
          </w:tcPr>
          <w:p w14:paraId="2013D9A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51.30</w:t>
            </w:r>
          </w:p>
        </w:tc>
        <w:tc>
          <w:tcPr>
            <w:tcW w:w="604" w:type="pct"/>
            <w:shd w:val="clear" w:color="auto" w:fill="auto"/>
            <w:vAlign w:val="center"/>
          </w:tcPr>
          <w:p w14:paraId="3A88D51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41.53</w:t>
            </w:r>
          </w:p>
        </w:tc>
      </w:tr>
      <w:tr w14:paraId="3F1F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56314E3F">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3C221FF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19D7180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横沥东坑厂二期</w:t>
            </w:r>
          </w:p>
        </w:tc>
        <w:tc>
          <w:tcPr>
            <w:tcW w:w="1533" w:type="pct"/>
            <w:shd w:val="clear" w:color="auto" w:fill="auto"/>
            <w:noWrap/>
            <w:vAlign w:val="center"/>
          </w:tcPr>
          <w:p w14:paraId="3F384D4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广东省东莞市东坑镇角祥路</w:t>
            </w:r>
          </w:p>
        </w:tc>
        <w:tc>
          <w:tcPr>
            <w:tcW w:w="648" w:type="pct"/>
            <w:shd w:val="clear" w:color="auto" w:fill="auto"/>
            <w:noWrap/>
            <w:vAlign w:val="center"/>
          </w:tcPr>
          <w:p w14:paraId="5D2CC1E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51.00</w:t>
            </w:r>
          </w:p>
        </w:tc>
        <w:tc>
          <w:tcPr>
            <w:tcW w:w="604" w:type="pct"/>
            <w:shd w:val="clear" w:color="auto" w:fill="auto"/>
            <w:vAlign w:val="center"/>
          </w:tcPr>
          <w:p w14:paraId="2B04143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19.20</w:t>
            </w:r>
          </w:p>
        </w:tc>
      </w:tr>
      <w:tr w14:paraId="6209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0A384B68">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2E19ABD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069C48D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大岭山连马厂二期</w:t>
            </w:r>
          </w:p>
        </w:tc>
        <w:tc>
          <w:tcPr>
            <w:tcW w:w="1533" w:type="pct"/>
            <w:shd w:val="clear" w:color="auto" w:fill="auto"/>
            <w:noWrap/>
            <w:vAlign w:val="center"/>
          </w:tcPr>
          <w:p w14:paraId="71FBCBC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东莞市大岭山连马路中段北侧</w:t>
            </w:r>
          </w:p>
        </w:tc>
        <w:tc>
          <w:tcPr>
            <w:tcW w:w="648" w:type="pct"/>
            <w:shd w:val="clear" w:color="auto" w:fill="auto"/>
            <w:noWrap/>
            <w:vAlign w:val="center"/>
          </w:tcPr>
          <w:p w14:paraId="088A7E2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40.00</w:t>
            </w:r>
          </w:p>
        </w:tc>
        <w:tc>
          <w:tcPr>
            <w:tcW w:w="604" w:type="pct"/>
            <w:shd w:val="clear" w:color="auto" w:fill="auto"/>
            <w:vAlign w:val="center"/>
          </w:tcPr>
          <w:p w14:paraId="443BDE9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12.40</w:t>
            </w:r>
          </w:p>
        </w:tc>
      </w:tr>
      <w:tr w14:paraId="367E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730F37A7">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4C27172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4D3FD8A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松山湖高新厂</w:t>
            </w:r>
          </w:p>
        </w:tc>
        <w:tc>
          <w:tcPr>
            <w:tcW w:w="1533" w:type="pct"/>
            <w:shd w:val="clear" w:color="auto" w:fill="auto"/>
            <w:noWrap/>
            <w:vAlign w:val="center"/>
          </w:tcPr>
          <w:p w14:paraId="00CACA5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松山湖阿里山路12号</w:t>
            </w:r>
          </w:p>
        </w:tc>
        <w:tc>
          <w:tcPr>
            <w:tcW w:w="648" w:type="pct"/>
            <w:shd w:val="clear" w:color="auto" w:fill="auto"/>
            <w:noWrap/>
            <w:vAlign w:val="center"/>
          </w:tcPr>
          <w:p w14:paraId="06CAC19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65.00</w:t>
            </w:r>
          </w:p>
        </w:tc>
        <w:tc>
          <w:tcPr>
            <w:tcW w:w="604" w:type="pct"/>
            <w:shd w:val="clear" w:color="auto" w:fill="auto"/>
            <w:vAlign w:val="center"/>
          </w:tcPr>
          <w:p w14:paraId="5BF1821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2.60</w:t>
            </w:r>
          </w:p>
        </w:tc>
      </w:tr>
      <w:tr w14:paraId="5755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44B8515B">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221F629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670CFBC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黄江梅塘南厂一期</w:t>
            </w:r>
          </w:p>
        </w:tc>
        <w:tc>
          <w:tcPr>
            <w:tcW w:w="1533" w:type="pct"/>
            <w:shd w:val="clear" w:color="auto" w:fill="auto"/>
            <w:noWrap/>
            <w:vAlign w:val="center"/>
          </w:tcPr>
          <w:p w14:paraId="7A5794E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东莞市黄江镇星光社区富兴路26号</w:t>
            </w:r>
          </w:p>
        </w:tc>
        <w:tc>
          <w:tcPr>
            <w:tcW w:w="648" w:type="pct"/>
            <w:shd w:val="clear" w:color="auto" w:fill="auto"/>
            <w:noWrap/>
            <w:vAlign w:val="center"/>
          </w:tcPr>
          <w:p w14:paraId="076D3C4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62.00</w:t>
            </w:r>
          </w:p>
        </w:tc>
        <w:tc>
          <w:tcPr>
            <w:tcW w:w="604" w:type="pct"/>
            <w:shd w:val="clear" w:color="auto" w:fill="auto"/>
            <w:vAlign w:val="center"/>
          </w:tcPr>
          <w:p w14:paraId="26EFB9D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0.34</w:t>
            </w:r>
          </w:p>
        </w:tc>
      </w:tr>
      <w:tr w14:paraId="5627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5431783B">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7D153B4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东引运河片区</w:t>
            </w:r>
          </w:p>
        </w:tc>
        <w:tc>
          <w:tcPr>
            <w:tcW w:w="936" w:type="pct"/>
            <w:shd w:val="clear" w:color="auto" w:fill="auto"/>
            <w:noWrap/>
            <w:vAlign w:val="center"/>
          </w:tcPr>
          <w:p w14:paraId="54402AC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松山湖科学城厂</w:t>
            </w:r>
          </w:p>
        </w:tc>
        <w:tc>
          <w:tcPr>
            <w:tcW w:w="1533" w:type="pct"/>
            <w:shd w:val="clear" w:color="auto" w:fill="auto"/>
            <w:noWrap/>
            <w:vAlign w:val="center"/>
          </w:tcPr>
          <w:p w14:paraId="5CA2D6B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松山湖阿里山路12号</w:t>
            </w:r>
          </w:p>
        </w:tc>
        <w:tc>
          <w:tcPr>
            <w:tcW w:w="648" w:type="pct"/>
            <w:shd w:val="clear" w:color="auto" w:fill="auto"/>
            <w:noWrap/>
            <w:vAlign w:val="center"/>
          </w:tcPr>
          <w:p w14:paraId="7BD0B80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65.00</w:t>
            </w:r>
          </w:p>
        </w:tc>
        <w:tc>
          <w:tcPr>
            <w:tcW w:w="604" w:type="pct"/>
            <w:shd w:val="clear" w:color="auto" w:fill="auto"/>
            <w:vAlign w:val="center"/>
          </w:tcPr>
          <w:p w14:paraId="73E193A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3.49</w:t>
            </w:r>
          </w:p>
        </w:tc>
      </w:tr>
      <w:tr w14:paraId="7C6E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381CDFA8">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62EAA0F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7AFFB3F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道滘厂</w:t>
            </w:r>
          </w:p>
        </w:tc>
        <w:tc>
          <w:tcPr>
            <w:tcW w:w="1533" w:type="pct"/>
            <w:shd w:val="clear" w:color="auto" w:fill="auto"/>
            <w:noWrap/>
            <w:vAlign w:val="center"/>
          </w:tcPr>
          <w:p w14:paraId="46F81F1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东莞市道滘镇厚德上梁洲二横路</w:t>
            </w:r>
          </w:p>
        </w:tc>
        <w:tc>
          <w:tcPr>
            <w:tcW w:w="648" w:type="pct"/>
            <w:shd w:val="clear" w:color="auto" w:fill="auto"/>
            <w:noWrap/>
            <w:vAlign w:val="center"/>
          </w:tcPr>
          <w:p w14:paraId="231E6AA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15.40</w:t>
            </w:r>
          </w:p>
        </w:tc>
        <w:tc>
          <w:tcPr>
            <w:tcW w:w="604" w:type="pct"/>
            <w:shd w:val="clear" w:color="auto" w:fill="auto"/>
            <w:vAlign w:val="center"/>
          </w:tcPr>
          <w:p w14:paraId="1039668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9.19</w:t>
            </w:r>
          </w:p>
        </w:tc>
      </w:tr>
      <w:tr w14:paraId="191F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472090CC">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4187F32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428B186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高埗厂二期</w:t>
            </w:r>
          </w:p>
        </w:tc>
        <w:tc>
          <w:tcPr>
            <w:tcW w:w="1533" w:type="pct"/>
            <w:shd w:val="clear" w:color="auto" w:fill="auto"/>
            <w:noWrap/>
            <w:vAlign w:val="center"/>
          </w:tcPr>
          <w:p w14:paraId="4A9D376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东莞市高埗镇低涌村南蛇头</w:t>
            </w:r>
          </w:p>
        </w:tc>
        <w:tc>
          <w:tcPr>
            <w:tcW w:w="648" w:type="pct"/>
            <w:shd w:val="clear" w:color="auto" w:fill="auto"/>
            <w:noWrap/>
            <w:vAlign w:val="center"/>
          </w:tcPr>
          <w:p w14:paraId="5597649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28.70</w:t>
            </w:r>
          </w:p>
        </w:tc>
        <w:tc>
          <w:tcPr>
            <w:tcW w:w="604" w:type="pct"/>
            <w:shd w:val="clear" w:color="auto" w:fill="auto"/>
            <w:vAlign w:val="center"/>
          </w:tcPr>
          <w:p w14:paraId="4D4C0DD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6.97</w:t>
            </w:r>
          </w:p>
        </w:tc>
      </w:tr>
      <w:tr w14:paraId="0049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5AB107DF">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390C5A6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7262AF2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高埗厂一期</w:t>
            </w:r>
          </w:p>
        </w:tc>
        <w:tc>
          <w:tcPr>
            <w:tcW w:w="1533" w:type="pct"/>
            <w:shd w:val="clear" w:color="auto" w:fill="auto"/>
            <w:noWrap/>
            <w:vAlign w:val="center"/>
          </w:tcPr>
          <w:p w14:paraId="2479581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东莞市高埗镇低涌村南蛇头</w:t>
            </w:r>
          </w:p>
        </w:tc>
        <w:tc>
          <w:tcPr>
            <w:tcW w:w="648" w:type="pct"/>
            <w:shd w:val="clear" w:color="auto" w:fill="auto"/>
            <w:noWrap/>
            <w:vAlign w:val="center"/>
          </w:tcPr>
          <w:p w14:paraId="4652F4E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28.70</w:t>
            </w:r>
          </w:p>
        </w:tc>
        <w:tc>
          <w:tcPr>
            <w:tcW w:w="604" w:type="pct"/>
            <w:shd w:val="clear" w:color="auto" w:fill="auto"/>
            <w:vAlign w:val="center"/>
          </w:tcPr>
          <w:p w14:paraId="5F036CA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12.31</w:t>
            </w:r>
          </w:p>
        </w:tc>
      </w:tr>
      <w:tr w14:paraId="5FAD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30D7A9EC">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5CC0160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24FDBB1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麻涌厂二期</w:t>
            </w:r>
          </w:p>
        </w:tc>
        <w:tc>
          <w:tcPr>
            <w:tcW w:w="1533" w:type="pct"/>
            <w:shd w:val="clear" w:color="auto" w:fill="auto"/>
            <w:noWrap/>
            <w:vAlign w:val="center"/>
          </w:tcPr>
          <w:p w14:paraId="19F1F2D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东莞市麻涌镇漳澎村破流水闸旁</w:t>
            </w:r>
          </w:p>
        </w:tc>
        <w:tc>
          <w:tcPr>
            <w:tcW w:w="648" w:type="pct"/>
            <w:shd w:val="clear" w:color="auto" w:fill="auto"/>
            <w:noWrap/>
            <w:vAlign w:val="center"/>
          </w:tcPr>
          <w:p w14:paraId="1CE07D6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16.90</w:t>
            </w:r>
          </w:p>
        </w:tc>
        <w:tc>
          <w:tcPr>
            <w:tcW w:w="604" w:type="pct"/>
            <w:shd w:val="clear" w:color="auto" w:fill="auto"/>
            <w:vAlign w:val="center"/>
          </w:tcPr>
          <w:p w14:paraId="33FBDDC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4.92</w:t>
            </w:r>
          </w:p>
        </w:tc>
      </w:tr>
      <w:tr w14:paraId="0FCF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3848F140">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3548731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56D70E2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麻涌厂一期</w:t>
            </w:r>
          </w:p>
        </w:tc>
        <w:tc>
          <w:tcPr>
            <w:tcW w:w="1533" w:type="pct"/>
            <w:shd w:val="clear" w:color="auto" w:fill="auto"/>
            <w:noWrap/>
            <w:vAlign w:val="center"/>
          </w:tcPr>
          <w:p w14:paraId="0F9D388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东莞市麻涌镇漳澎村破流水闸旁</w:t>
            </w:r>
          </w:p>
        </w:tc>
        <w:tc>
          <w:tcPr>
            <w:tcW w:w="648" w:type="pct"/>
            <w:shd w:val="clear" w:color="auto" w:fill="auto"/>
            <w:noWrap/>
            <w:vAlign w:val="center"/>
          </w:tcPr>
          <w:p w14:paraId="6F17F57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16.90</w:t>
            </w:r>
          </w:p>
        </w:tc>
        <w:tc>
          <w:tcPr>
            <w:tcW w:w="604" w:type="pct"/>
            <w:shd w:val="clear" w:color="auto" w:fill="auto"/>
            <w:vAlign w:val="center"/>
          </w:tcPr>
          <w:p w14:paraId="491CF72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7.48</w:t>
            </w:r>
          </w:p>
        </w:tc>
      </w:tr>
      <w:tr w14:paraId="1D7F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4A5AAF19">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118AE6B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55189AA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石碣沙腰厂二期</w:t>
            </w:r>
          </w:p>
        </w:tc>
        <w:tc>
          <w:tcPr>
            <w:tcW w:w="1533" w:type="pct"/>
            <w:shd w:val="clear" w:color="auto" w:fill="auto"/>
            <w:noWrap/>
            <w:vAlign w:val="center"/>
          </w:tcPr>
          <w:p w14:paraId="293CC44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东莞市石碣镇沙腰村</w:t>
            </w:r>
          </w:p>
        </w:tc>
        <w:tc>
          <w:tcPr>
            <w:tcW w:w="648" w:type="pct"/>
            <w:shd w:val="clear" w:color="auto" w:fill="auto"/>
            <w:noWrap/>
            <w:vAlign w:val="center"/>
          </w:tcPr>
          <w:p w14:paraId="48C462D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32.70</w:t>
            </w:r>
          </w:p>
        </w:tc>
        <w:tc>
          <w:tcPr>
            <w:tcW w:w="604" w:type="pct"/>
            <w:shd w:val="clear" w:color="auto" w:fill="auto"/>
            <w:vAlign w:val="center"/>
          </w:tcPr>
          <w:p w14:paraId="50FB187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15.57</w:t>
            </w:r>
          </w:p>
        </w:tc>
      </w:tr>
      <w:tr w14:paraId="4D65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717E08C9">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5B0515C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638EDA3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石碣沙腰厂一期</w:t>
            </w:r>
          </w:p>
        </w:tc>
        <w:tc>
          <w:tcPr>
            <w:tcW w:w="1533" w:type="pct"/>
            <w:shd w:val="clear" w:color="auto" w:fill="auto"/>
            <w:noWrap/>
            <w:vAlign w:val="center"/>
          </w:tcPr>
          <w:p w14:paraId="3C350F9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东莞市石碣镇沙腰村</w:t>
            </w:r>
          </w:p>
        </w:tc>
        <w:tc>
          <w:tcPr>
            <w:tcW w:w="648" w:type="pct"/>
            <w:shd w:val="clear" w:color="auto" w:fill="auto"/>
            <w:noWrap/>
            <w:vAlign w:val="center"/>
          </w:tcPr>
          <w:p w14:paraId="3CE9A8E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32.70</w:t>
            </w:r>
          </w:p>
        </w:tc>
        <w:tc>
          <w:tcPr>
            <w:tcW w:w="604" w:type="pct"/>
            <w:shd w:val="clear" w:color="auto" w:fill="auto"/>
            <w:vAlign w:val="center"/>
          </w:tcPr>
          <w:p w14:paraId="4A64D06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16.07</w:t>
            </w:r>
          </w:p>
        </w:tc>
      </w:tr>
      <w:tr w14:paraId="21E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53466CF6">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0E57CA6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5B5197A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石龙新区厂</w:t>
            </w:r>
          </w:p>
        </w:tc>
        <w:tc>
          <w:tcPr>
            <w:tcW w:w="1533" w:type="pct"/>
            <w:shd w:val="clear" w:color="auto" w:fill="auto"/>
            <w:noWrap/>
            <w:vAlign w:val="center"/>
          </w:tcPr>
          <w:p w14:paraId="130E746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东莞市石龙镇新城区环卫所以南</w:t>
            </w:r>
          </w:p>
        </w:tc>
        <w:tc>
          <w:tcPr>
            <w:tcW w:w="648" w:type="pct"/>
            <w:shd w:val="clear" w:color="auto" w:fill="auto"/>
            <w:noWrap/>
            <w:vAlign w:val="center"/>
          </w:tcPr>
          <w:p w14:paraId="250E84C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42.20</w:t>
            </w:r>
          </w:p>
        </w:tc>
        <w:tc>
          <w:tcPr>
            <w:tcW w:w="604" w:type="pct"/>
            <w:shd w:val="clear" w:color="auto" w:fill="auto"/>
            <w:vAlign w:val="center"/>
          </w:tcPr>
          <w:p w14:paraId="07A1907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7.13</w:t>
            </w:r>
          </w:p>
        </w:tc>
      </w:tr>
      <w:tr w14:paraId="76B6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14C9357B">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0160329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68025D0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市区厂三期</w:t>
            </w:r>
          </w:p>
        </w:tc>
        <w:tc>
          <w:tcPr>
            <w:tcW w:w="1533" w:type="pct"/>
            <w:shd w:val="clear" w:color="auto" w:fill="auto"/>
            <w:noWrap/>
            <w:vAlign w:val="center"/>
          </w:tcPr>
          <w:p w14:paraId="2DE3116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东莞市南城区石鼓村王洲</w:t>
            </w:r>
          </w:p>
        </w:tc>
        <w:tc>
          <w:tcPr>
            <w:tcW w:w="648" w:type="pct"/>
            <w:shd w:val="clear" w:color="auto" w:fill="auto"/>
            <w:noWrap/>
            <w:vAlign w:val="center"/>
          </w:tcPr>
          <w:p w14:paraId="7CAC2DB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20.60</w:t>
            </w:r>
          </w:p>
        </w:tc>
        <w:tc>
          <w:tcPr>
            <w:tcW w:w="604" w:type="pct"/>
            <w:shd w:val="clear" w:color="auto" w:fill="auto"/>
            <w:vAlign w:val="center"/>
          </w:tcPr>
          <w:p w14:paraId="7243CCB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88.46</w:t>
            </w:r>
          </w:p>
        </w:tc>
      </w:tr>
      <w:tr w14:paraId="1A9C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787E3453">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374627F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34700F6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市区厂一二期</w:t>
            </w:r>
          </w:p>
        </w:tc>
        <w:tc>
          <w:tcPr>
            <w:tcW w:w="1533" w:type="pct"/>
            <w:shd w:val="clear" w:color="auto" w:fill="auto"/>
            <w:noWrap/>
            <w:vAlign w:val="center"/>
          </w:tcPr>
          <w:p w14:paraId="438D14F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东莞市南城区石鼓村王洲</w:t>
            </w:r>
          </w:p>
        </w:tc>
        <w:tc>
          <w:tcPr>
            <w:tcW w:w="648" w:type="pct"/>
            <w:shd w:val="clear" w:color="auto" w:fill="auto"/>
            <w:noWrap/>
            <w:vAlign w:val="center"/>
          </w:tcPr>
          <w:p w14:paraId="0938276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20.60</w:t>
            </w:r>
          </w:p>
        </w:tc>
        <w:tc>
          <w:tcPr>
            <w:tcW w:w="604" w:type="pct"/>
            <w:shd w:val="clear" w:color="auto" w:fill="auto"/>
            <w:vAlign w:val="center"/>
          </w:tcPr>
          <w:p w14:paraId="42FFACB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28.35</w:t>
            </w:r>
          </w:p>
        </w:tc>
      </w:tr>
      <w:tr w14:paraId="3F1E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1A55DE02">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0561F82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54371B6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万江厂二期</w:t>
            </w:r>
          </w:p>
        </w:tc>
        <w:tc>
          <w:tcPr>
            <w:tcW w:w="1533" w:type="pct"/>
            <w:shd w:val="clear" w:color="auto" w:fill="auto"/>
            <w:noWrap/>
            <w:vAlign w:val="center"/>
          </w:tcPr>
          <w:p w14:paraId="2CE34BE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东莞市万江区流涌尾社区白水涡</w:t>
            </w:r>
          </w:p>
        </w:tc>
        <w:tc>
          <w:tcPr>
            <w:tcW w:w="648" w:type="pct"/>
            <w:shd w:val="clear" w:color="auto" w:fill="auto"/>
            <w:noWrap/>
            <w:vAlign w:val="center"/>
          </w:tcPr>
          <w:p w14:paraId="42E9897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19.30</w:t>
            </w:r>
          </w:p>
        </w:tc>
        <w:tc>
          <w:tcPr>
            <w:tcW w:w="604" w:type="pct"/>
            <w:shd w:val="clear" w:color="auto" w:fill="auto"/>
            <w:vAlign w:val="center"/>
          </w:tcPr>
          <w:p w14:paraId="1E00542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9.47</w:t>
            </w:r>
          </w:p>
        </w:tc>
      </w:tr>
      <w:tr w14:paraId="039F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5E635921">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36EE1DA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75015A8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万江厂一期</w:t>
            </w:r>
          </w:p>
        </w:tc>
        <w:tc>
          <w:tcPr>
            <w:tcW w:w="1533" w:type="pct"/>
            <w:shd w:val="clear" w:color="auto" w:fill="auto"/>
            <w:noWrap/>
            <w:vAlign w:val="center"/>
          </w:tcPr>
          <w:p w14:paraId="0453EC2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东莞市万江区流涌尾社区白水涡</w:t>
            </w:r>
          </w:p>
        </w:tc>
        <w:tc>
          <w:tcPr>
            <w:tcW w:w="648" w:type="pct"/>
            <w:shd w:val="clear" w:color="auto" w:fill="auto"/>
            <w:noWrap/>
            <w:vAlign w:val="center"/>
          </w:tcPr>
          <w:p w14:paraId="6454583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19.30</w:t>
            </w:r>
          </w:p>
        </w:tc>
        <w:tc>
          <w:tcPr>
            <w:tcW w:w="604" w:type="pct"/>
            <w:shd w:val="clear" w:color="auto" w:fill="auto"/>
            <w:vAlign w:val="center"/>
          </w:tcPr>
          <w:p w14:paraId="3050B68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10.70</w:t>
            </w:r>
          </w:p>
        </w:tc>
      </w:tr>
      <w:tr w14:paraId="1FFE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33AFF9AB">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4C8405C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1DBCBD1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望洪厂</w:t>
            </w:r>
          </w:p>
        </w:tc>
        <w:tc>
          <w:tcPr>
            <w:tcW w:w="1533" w:type="pct"/>
            <w:shd w:val="clear" w:color="auto" w:fill="auto"/>
            <w:noWrap/>
            <w:vAlign w:val="center"/>
          </w:tcPr>
          <w:p w14:paraId="2AF0C27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东莞市望牛墩镇朱平沙</w:t>
            </w:r>
          </w:p>
        </w:tc>
        <w:tc>
          <w:tcPr>
            <w:tcW w:w="648" w:type="pct"/>
            <w:shd w:val="clear" w:color="auto" w:fill="auto"/>
            <w:noWrap/>
            <w:vAlign w:val="center"/>
          </w:tcPr>
          <w:p w14:paraId="14DE139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13.00</w:t>
            </w:r>
          </w:p>
        </w:tc>
        <w:tc>
          <w:tcPr>
            <w:tcW w:w="604" w:type="pct"/>
            <w:shd w:val="clear" w:color="auto" w:fill="auto"/>
            <w:vAlign w:val="center"/>
          </w:tcPr>
          <w:p w14:paraId="7A6F7E7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7.41</w:t>
            </w:r>
          </w:p>
        </w:tc>
      </w:tr>
      <w:tr w14:paraId="305C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14026980">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2C7367E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357CE59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中堂厂二期</w:t>
            </w:r>
          </w:p>
        </w:tc>
        <w:tc>
          <w:tcPr>
            <w:tcW w:w="1533" w:type="pct"/>
            <w:shd w:val="clear" w:color="auto" w:fill="auto"/>
            <w:noWrap/>
            <w:vAlign w:val="center"/>
          </w:tcPr>
          <w:p w14:paraId="48C023F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东莞市中堂镇东向村水闸口中堂污水处理厂</w:t>
            </w:r>
          </w:p>
        </w:tc>
        <w:tc>
          <w:tcPr>
            <w:tcW w:w="648" w:type="pct"/>
            <w:shd w:val="clear" w:color="auto" w:fill="auto"/>
            <w:noWrap/>
            <w:vAlign w:val="center"/>
          </w:tcPr>
          <w:p w14:paraId="70B0D81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23.40</w:t>
            </w:r>
          </w:p>
        </w:tc>
        <w:tc>
          <w:tcPr>
            <w:tcW w:w="604" w:type="pct"/>
            <w:shd w:val="clear" w:color="auto" w:fill="auto"/>
            <w:vAlign w:val="center"/>
          </w:tcPr>
          <w:p w14:paraId="4905CF6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8.17</w:t>
            </w:r>
          </w:p>
        </w:tc>
      </w:tr>
      <w:tr w14:paraId="1F6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7357128B">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71C66F8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东江下游片区</w:t>
            </w:r>
          </w:p>
        </w:tc>
        <w:tc>
          <w:tcPr>
            <w:tcW w:w="936" w:type="pct"/>
            <w:shd w:val="clear" w:color="auto" w:fill="auto"/>
            <w:noWrap/>
            <w:vAlign w:val="center"/>
          </w:tcPr>
          <w:p w14:paraId="66F91DF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中堂厂一期</w:t>
            </w:r>
          </w:p>
        </w:tc>
        <w:tc>
          <w:tcPr>
            <w:tcW w:w="1533" w:type="pct"/>
            <w:shd w:val="clear" w:color="auto" w:fill="auto"/>
            <w:noWrap/>
            <w:vAlign w:val="center"/>
          </w:tcPr>
          <w:p w14:paraId="6DE3142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东莞市中堂镇东向村水闸口中堂污水处理厂</w:t>
            </w:r>
          </w:p>
        </w:tc>
        <w:tc>
          <w:tcPr>
            <w:tcW w:w="648" w:type="pct"/>
            <w:shd w:val="clear" w:color="auto" w:fill="auto"/>
            <w:noWrap/>
            <w:vAlign w:val="center"/>
          </w:tcPr>
          <w:p w14:paraId="4E31690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23.40</w:t>
            </w:r>
          </w:p>
        </w:tc>
        <w:tc>
          <w:tcPr>
            <w:tcW w:w="604" w:type="pct"/>
            <w:shd w:val="clear" w:color="auto" w:fill="auto"/>
            <w:vAlign w:val="center"/>
          </w:tcPr>
          <w:p w14:paraId="6688236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7.79</w:t>
            </w:r>
          </w:p>
        </w:tc>
      </w:tr>
      <w:tr w14:paraId="2D1A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00CB5882">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5F772A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滨海湾片区</w:t>
            </w:r>
          </w:p>
        </w:tc>
        <w:tc>
          <w:tcPr>
            <w:tcW w:w="936" w:type="pct"/>
            <w:noWrap/>
            <w:vAlign w:val="center"/>
          </w:tcPr>
          <w:p w14:paraId="73278FD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东城牛山厂二期</w:t>
            </w:r>
          </w:p>
        </w:tc>
        <w:tc>
          <w:tcPr>
            <w:tcW w:w="1533" w:type="pct"/>
            <w:shd w:val="clear" w:color="auto" w:fill="auto"/>
            <w:noWrap/>
            <w:vAlign w:val="center"/>
          </w:tcPr>
          <w:p w14:paraId="7E09C83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东莞市东城街道象山路7号20栋101室</w:t>
            </w:r>
          </w:p>
        </w:tc>
        <w:tc>
          <w:tcPr>
            <w:tcW w:w="648" w:type="pct"/>
            <w:noWrap/>
            <w:vAlign w:val="center"/>
          </w:tcPr>
          <w:p w14:paraId="1F50994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28.70</w:t>
            </w:r>
          </w:p>
        </w:tc>
        <w:tc>
          <w:tcPr>
            <w:tcW w:w="604" w:type="pct"/>
            <w:vAlign w:val="center"/>
          </w:tcPr>
          <w:p w14:paraId="63ED654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5.24</w:t>
            </w:r>
          </w:p>
        </w:tc>
      </w:tr>
      <w:tr w14:paraId="6D1C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3664A556">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5996DB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滨海湾片区</w:t>
            </w:r>
          </w:p>
        </w:tc>
        <w:tc>
          <w:tcPr>
            <w:tcW w:w="936" w:type="pct"/>
            <w:noWrap/>
            <w:vAlign w:val="center"/>
          </w:tcPr>
          <w:p w14:paraId="611B5CF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东城牛山厂一期</w:t>
            </w:r>
          </w:p>
        </w:tc>
        <w:tc>
          <w:tcPr>
            <w:tcW w:w="1533" w:type="pct"/>
            <w:shd w:val="clear" w:color="auto" w:fill="auto"/>
            <w:noWrap/>
            <w:vAlign w:val="center"/>
          </w:tcPr>
          <w:p w14:paraId="4CEE168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东莞市东城街道象山路7号20栋101室</w:t>
            </w:r>
          </w:p>
        </w:tc>
        <w:tc>
          <w:tcPr>
            <w:tcW w:w="648" w:type="pct"/>
            <w:noWrap/>
            <w:vAlign w:val="center"/>
          </w:tcPr>
          <w:p w14:paraId="0EE215F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28.70</w:t>
            </w:r>
          </w:p>
        </w:tc>
        <w:tc>
          <w:tcPr>
            <w:tcW w:w="604" w:type="pct"/>
            <w:vAlign w:val="center"/>
          </w:tcPr>
          <w:p w14:paraId="53D5ABC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6.69</w:t>
            </w:r>
          </w:p>
        </w:tc>
      </w:tr>
      <w:tr w14:paraId="3989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33A8821A">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1297122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61FB63E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厚街沙塘厂二期</w:t>
            </w:r>
          </w:p>
        </w:tc>
        <w:tc>
          <w:tcPr>
            <w:tcW w:w="1533" w:type="pct"/>
            <w:shd w:val="clear" w:color="auto" w:fill="auto"/>
            <w:noWrap/>
            <w:vAlign w:val="center"/>
          </w:tcPr>
          <w:p w14:paraId="46127B5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东莞市厚街镇沙塘村沙隆路39号</w:t>
            </w:r>
          </w:p>
        </w:tc>
        <w:tc>
          <w:tcPr>
            <w:tcW w:w="648" w:type="pct"/>
            <w:shd w:val="clear" w:color="auto" w:fill="auto"/>
            <w:noWrap/>
            <w:vAlign w:val="center"/>
          </w:tcPr>
          <w:p w14:paraId="6DF9E5F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17.00</w:t>
            </w:r>
          </w:p>
        </w:tc>
        <w:tc>
          <w:tcPr>
            <w:tcW w:w="604" w:type="pct"/>
            <w:shd w:val="clear" w:color="auto" w:fill="auto"/>
            <w:vAlign w:val="center"/>
          </w:tcPr>
          <w:p w14:paraId="60A94CE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31.05</w:t>
            </w:r>
          </w:p>
        </w:tc>
      </w:tr>
      <w:tr w14:paraId="1749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7803C30D">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28A2CA9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1875F01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厚街沙塘厂一期</w:t>
            </w:r>
          </w:p>
        </w:tc>
        <w:tc>
          <w:tcPr>
            <w:tcW w:w="1533" w:type="pct"/>
            <w:shd w:val="clear" w:color="auto" w:fill="auto"/>
            <w:noWrap/>
            <w:vAlign w:val="center"/>
          </w:tcPr>
          <w:p w14:paraId="7911A30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东莞市厚街镇沙塘村沙隆路39号</w:t>
            </w:r>
          </w:p>
        </w:tc>
        <w:tc>
          <w:tcPr>
            <w:tcW w:w="648" w:type="pct"/>
            <w:shd w:val="clear" w:color="auto" w:fill="auto"/>
            <w:noWrap/>
            <w:vAlign w:val="center"/>
          </w:tcPr>
          <w:p w14:paraId="28A1A09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17.00</w:t>
            </w:r>
          </w:p>
        </w:tc>
        <w:tc>
          <w:tcPr>
            <w:tcW w:w="604" w:type="pct"/>
            <w:shd w:val="clear" w:color="auto" w:fill="auto"/>
            <w:vAlign w:val="center"/>
          </w:tcPr>
          <w:p w14:paraId="2754201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32.42</w:t>
            </w:r>
          </w:p>
        </w:tc>
      </w:tr>
      <w:tr w14:paraId="4B6F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78924434">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56D9E51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7E42865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虎门海岛厂一期</w:t>
            </w:r>
          </w:p>
        </w:tc>
        <w:tc>
          <w:tcPr>
            <w:tcW w:w="1533" w:type="pct"/>
            <w:shd w:val="clear" w:color="auto" w:fill="auto"/>
            <w:noWrap/>
            <w:vAlign w:val="center"/>
          </w:tcPr>
          <w:p w14:paraId="0B991C9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东莞市虎门镇威远岛武山沙五围</w:t>
            </w:r>
          </w:p>
        </w:tc>
        <w:tc>
          <w:tcPr>
            <w:tcW w:w="648" w:type="pct"/>
            <w:shd w:val="clear" w:color="auto" w:fill="auto"/>
            <w:noWrap/>
            <w:vAlign w:val="center"/>
          </w:tcPr>
          <w:p w14:paraId="575CBE8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20.60</w:t>
            </w:r>
          </w:p>
        </w:tc>
        <w:tc>
          <w:tcPr>
            <w:tcW w:w="604" w:type="pct"/>
            <w:shd w:val="clear" w:color="auto" w:fill="auto"/>
            <w:vAlign w:val="center"/>
          </w:tcPr>
          <w:p w14:paraId="6ADE9D5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2.11</w:t>
            </w:r>
          </w:p>
        </w:tc>
      </w:tr>
      <w:tr w14:paraId="1076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0D3113BC">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425C977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5CBC1DE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虎门宁洲厂二期</w:t>
            </w:r>
          </w:p>
        </w:tc>
        <w:tc>
          <w:tcPr>
            <w:tcW w:w="1533" w:type="pct"/>
            <w:shd w:val="clear" w:color="auto" w:fill="auto"/>
            <w:noWrap/>
            <w:vAlign w:val="center"/>
          </w:tcPr>
          <w:p w14:paraId="62ED424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东莞市虎门镇南栅民昌路九巷5号</w:t>
            </w:r>
          </w:p>
        </w:tc>
        <w:tc>
          <w:tcPr>
            <w:tcW w:w="648" w:type="pct"/>
            <w:shd w:val="clear" w:color="auto" w:fill="auto"/>
            <w:noWrap/>
            <w:vAlign w:val="center"/>
          </w:tcPr>
          <w:p w14:paraId="0ED156E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30.40</w:t>
            </w:r>
          </w:p>
        </w:tc>
        <w:tc>
          <w:tcPr>
            <w:tcW w:w="604" w:type="pct"/>
            <w:shd w:val="clear" w:color="auto" w:fill="auto"/>
            <w:vAlign w:val="center"/>
          </w:tcPr>
          <w:p w14:paraId="652BB98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34.32</w:t>
            </w:r>
          </w:p>
        </w:tc>
      </w:tr>
      <w:tr w14:paraId="74C1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3E2F49A9">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0FD6F00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64106A8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虎门宁洲厂三期</w:t>
            </w:r>
          </w:p>
        </w:tc>
        <w:tc>
          <w:tcPr>
            <w:tcW w:w="1533" w:type="pct"/>
            <w:shd w:val="clear" w:color="auto" w:fill="auto"/>
            <w:noWrap/>
            <w:vAlign w:val="center"/>
          </w:tcPr>
          <w:p w14:paraId="740EA25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东莞市虎门镇南栅民昌路九巷5号</w:t>
            </w:r>
          </w:p>
        </w:tc>
        <w:tc>
          <w:tcPr>
            <w:tcW w:w="648" w:type="pct"/>
            <w:shd w:val="clear" w:color="auto" w:fill="auto"/>
            <w:noWrap/>
            <w:vAlign w:val="center"/>
          </w:tcPr>
          <w:p w14:paraId="3B69D66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30.40</w:t>
            </w:r>
          </w:p>
        </w:tc>
        <w:tc>
          <w:tcPr>
            <w:tcW w:w="604" w:type="pct"/>
            <w:shd w:val="clear" w:color="auto" w:fill="auto"/>
            <w:vAlign w:val="center"/>
          </w:tcPr>
          <w:p w14:paraId="13F21DA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18.37</w:t>
            </w:r>
          </w:p>
        </w:tc>
      </w:tr>
      <w:tr w14:paraId="44F4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3D675546">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6B97A7C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0DF0B52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虎门宁洲厂一期</w:t>
            </w:r>
          </w:p>
        </w:tc>
        <w:tc>
          <w:tcPr>
            <w:tcW w:w="1533" w:type="pct"/>
            <w:shd w:val="clear" w:color="auto" w:fill="auto"/>
            <w:noWrap/>
            <w:vAlign w:val="center"/>
          </w:tcPr>
          <w:p w14:paraId="39FBCED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东莞市虎门镇南栅民昌路九巷5号</w:t>
            </w:r>
          </w:p>
        </w:tc>
        <w:tc>
          <w:tcPr>
            <w:tcW w:w="648" w:type="pct"/>
            <w:shd w:val="clear" w:color="auto" w:fill="auto"/>
            <w:noWrap/>
            <w:vAlign w:val="center"/>
          </w:tcPr>
          <w:p w14:paraId="310D38F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30.40</w:t>
            </w:r>
          </w:p>
        </w:tc>
        <w:tc>
          <w:tcPr>
            <w:tcW w:w="604" w:type="pct"/>
            <w:shd w:val="clear" w:color="auto" w:fill="auto"/>
            <w:vAlign w:val="center"/>
          </w:tcPr>
          <w:p w14:paraId="2A7D50C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35.16</w:t>
            </w:r>
          </w:p>
        </w:tc>
      </w:tr>
      <w:tr w14:paraId="272C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2C2F9719">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054E655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4E699BD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沙田福禄沙厂二期</w:t>
            </w:r>
          </w:p>
        </w:tc>
        <w:tc>
          <w:tcPr>
            <w:tcW w:w="1533" w:type="pct"/>
            <w:shd w:val="clear" w:color="auto" w:fill="auto"/>
            <w:noWrap/>
            <w:vAlign w:val="center"/>
          </w:tcPr>
          <w:p w14:paraId="4A0E33C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东莞市沙田镇福禄沙村</w:t>
            </w:r>
          </w:p>
        </w:tc>
        <w:tc>
          <w:tcPr>
            <w:tcW w:w="648" w:type="pct"/>
            <w:shd w:val="clear" w:color="auto" w:fill="auto"/>
            <w:noWrap/>
            <w:vAlign w:val="center"/>
          </w:tcPr>
          <w:p w14:paraId="5CC419C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12.10</w:t>
            </w:r>
          </w:p>
        </w:tc>
        <w:tc>
          <w:tcPr>
            <w:tcW w:w="604" w:type="pct"/>
            <w:shd w:val="clear" w:color="auto" w:fill="auto"/>
            <w:vAlign w:val="center"/>
          </w:tcPr>
          <w:p w14:paraId="29C6427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6.72</w:t>
            </w:r>
          </w:p>
        </w:tc>
      </w:tr>
      <w:tr w14:paraId="22F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79B3CE63">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452D5D3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0B22A08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沙田福禄沙厂一期</w:t>
            </w:r>
          </w:p>
        </w:tc>
        <w:tc>
          <w:tcPr>
            <w:tcW w:w="1533" w:type="pct"/>
            <w:shd w:val="clear" w:color="auto" w:fill="auto"/>
            <w:noWrap/>
            <w:vAlign w:val="center"/>
          </w:tcPr>
          <w:p w14:paraId="580E4B2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东莞市沙田镇福禄沙村</w:t>
            </w:r>
          </w:p>
        </w:tc>
        <w:tc>
          <w:tcPr>
            <w:tcW w:w="648" w:type="pct"/>
            <w:shd w:val="clear" w:color="auto" w:fill="auto"/>
            <w:noWrap/>
            <w:vAlign w:val="center"/>
          </w:tcPr>
          <w:p w14:paraId="4B46305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12.10</w:t>
            </w:r>
          </w:p>
        </w:tc>
        <w:tc>
          <w:tcPr>
            <w:tcW w:w="604" w:type="pct"/>
            <w:shd w:val="clear" w:color="auto" w:fill="auto"/>
            <w:vAlign w:val="center"/>
          </w:tcPr>
          <w:p w14:paraId="69706FB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10.92</w:t>
            </w:r>
          </w:p>
        </w:tc>
      </w:tr>
      <w:tr w14:paraId="778E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2F353836">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2B45633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65E8087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长安三洲厂</w:t>
            </w:r>
          </w:p>
        </w:tc>
        <w:tc>
          <w:tcPr>
            <w:tcW w:w="1533" w:type="pct"/>
            <w:shd w:val="clear" w:color="auto" w:fill="auto"/>
            <w:noWrap/>
            <w:vAlign w:val="center"/>
          </w:tcPr>
          <w:p w14:paraId="754D21B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东莞市长安镇锦厦三洲路2号</w:t>
            </w:r>
          </w:p>
        </w:tc>
        <w:tc>
          <w:tcPr>
            <w:tcW w:w="648" w:type="pct"/>
            <w:shd w:val="clear" w:color="auto" w:fill="auto"/>
            <w:noWrap/>
            <w:vAlign w:val="center"/>
          </w:tcPr>
          <w:p w14:paraId="275CD93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39.80</w:t>
            </w:r>
          </w:p>
        </w:tc>
        <w:tc>
          <w:tcPr>
            <w:tcW w:w="604" w:type="pct"/>
            <w:shd w:val="clear" w:color="auto" w:fill="auto"/>
            <w:vAlign w:val="center"/>
          </w:tcPr>
          <w:p w14:paraId="05937A6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41.01</w:t>
            </w:r>
          </w:p>
        </w:tc>
      </w:tr>
      <w:tr w14:paraId="5350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shd w:val="clear" w:color="auto" w:fill="auto"/>
            <w:noWrap/>
            <w:vAlign w:val="center"/>
          </w:tcPr>
          <w:p w14:paraId="52B85D8B">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lang w:val="en-US" w:eastAsia="zh-CN" w:bidi="ar-SA"/>
              </w:rPr>
            </w:pPr>
          </w:p>
        </w:tc>
        <w:tc>
          <w:tcPr>
            <w:tcW w:w="890" w:type="pct"/>
            <w:shd w:val="clear" w:color="auto" w:fill="auto"/>
            <w:noWrap/>
            <w:vAlign w:val="center"/>
          </w:tcPr>
          <w:p w14:paraId="6F8F43B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滨海湾片区</w:t>
            </w:r>
          </w:p>
        </w:tc>
        <w:tc>
          <w:tcPr>
            <w:tcW w:w="936" w:type="pct"/>
            <w:shd w:val="clear" w:color="auto" w:fill="auto"/>
            <w:noWrap/>
            <w:vAlign w:val="center"/>
          </w:tcPr>
          <w:p w14:paraId="10A0712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长安新区厂</w:t>
            </w:r>
          </w:p>
        </w:tc>
        <w:tc>
          <w:tcPr>
            <w:tcW w:w="1533" w:type="pct"/>
            <w:shd w:val="clear" w:color="auto" w:fill="auto"/>
            <w:noWrap/>
            <w:vAlign w:val="center"/>
          </w:tcPr>
          <w:p w14:paraId="550DBD1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东莞市长安镇乌沙社区乌沙滩</w:t>
            </w:r>
          </w:p>
        </w:tc>
        <w:tc>
          <w:tcPr>
            <w:tcW w:w="648" w:type="pct"/>
            <w:shd w:val="clear" w:color="auto" w:fill="auto"/>
            <w:noWrap/>
            <w:vAlign w:val="center"/>
          </w:tcPr>
          <w:p w14:paraId="5DBD60E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37.40</w:t>
            </w:r>
          </w:p>
        </w:tc>
        <w:tc>
          <w:tcPr>
            <w:tcW w:w="604" w:type="pct"/>
            <w:shd w:val="clear" w:color="auto" w:fill="auto"/>
            <w:vAlign w:val="center"/>
          </w:tcPr>
          <w:p w14:paraId="693F0FB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67.82</w:t>
            </w:r>
          </w:p>
        </w:tc>
      </w:tr>
      <w:tr w14:paraId="284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6F4B31CE">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5316AD4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4BB0DAC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凤岗雁田厂一二期</w:t>
            </w:r>
          </w:p>
        </w:tc>
        <w:tc>
          <w:tcPr>
            <w:tcW w:w="1533" w:type="pct"/>
            <w:shd w:val="clear" w:color="auto" w:fill="auto"/>
            <w:noWrap/>
            <w:vAlign w:val="center"/>
          </w:tcPr>
          <w:p w14:paraId="19D52AD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东莞市凤岗镇雁田村</w:t>
            </w:r>
          </w:p>
        </w:tc>
        <w:tc>
          <w:tcPr>
            <w:tcW w:w="648" w:type="pct"/>
            <w:noWrap/>
            <w:vAlign w:val="center"/>
          </w:tcPr>
          <w:p w14:paraId="641E078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83.30</w:t>
            </w:r>
          </w:p>
        </w:tc>
        <w:tc>
          <w:tcPr>
            <w:tcW w:w="604" w:type="pct"/>
            <w:vAlign w:val="center"/>
          </w:tcPr>
          <w:p w14:paraId="793C7B7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16.98</w:t>
            </w:r>
          </w:p>
        </w:tc>
      </w:tr>
      <w:tr w14:paraId="2BAE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79EA1E65">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5D59FD2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2E2D521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凤岗竹塘厂二期</w:t>
            </w:r>
          </w:p>
        </w:tc>
        <w:tc>
          <w:tcPr>
            <w:tcW w:w="1533" w:type="pct"/>
            <w:shd w:val="clear" w:color="auto" w:fill="auto"/>
            <w:noWrap/>
            <w:vAlign w:val="center"/>
          </w:tcPr>
          <w:p w14:paraId="49744A4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东莞市凤岗镇雁田村</w:t>
            </w:r>
          </w:p>
        </w:tc>
        <w:tc>
          <w:tcPr>
            <w:tcW w:w="648" w:type="pct"/>
            <w:noWrap/>
            <w:vAlign w:val="center"/>
          </w:tcPr>
          <w:p w14:paraId="49623F4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78.60</w:t>
            </w:r>
          </w:p>
        </w:tc>
        <w:tc>
          <w:tcPr>
            <w:tcW w:w="604" w:type="pct"/>
            <w:vAlign w:val="center"/>
          </w:tcPr>
          <w:p w14:paraId="5D624A5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20.33</w:t>
            </w:r>
          </w:p>
        </w:tc>
      </w:tr>
      <w:tr w14:paraId="0F61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75960B28">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77CFBD1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3672379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凤岗竹塘厂一期</w:t>
            </w:r>
          </w:p>
        </w:tc>
        <w:tc>
          <w:tcPr>
            <w:tcW w:w="1533" w:type="pct"/>
            <w:shd w:val="clear" w:color="auto" w:fill="auto"/>
            <w:noWrap/>
            <w:vAlign w:val="center"/>
          </w:tcPr>
          <w:p w14:paraId="451782F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东莞市凤岗镇竹塘村浸校组</w:t>
            </w:r>
          </w:p>
        </w:tc>
        <w:tc>
          <w:tcPr>
            <w:tcW w:w="648" w:type="pct"/>
            <w:noWrap/>
            <w:vAlign w:val="center"/>
          </w:tcPr>
          <w:p w14:paraId="17FAE45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78.60</w:t>
            </w:r>
          </w:p>
        </w:tc>
        <w:tc>
          <w:tcPr>
            <w:tcW w:w="604" w:type="pct"/>
            <w:vAlign w:val="center"/>
          </w:tcPr>
          <w:p w14:paraId="4D01468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11.58</w:t>
            </w:r>
          </w:p>
        </w:tc>
      </w:tr>
      <w:tr w14:paraId="5B13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52A3124D">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8FA27F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3D4FD97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企石厂</w:t>
            </w:r>
          </w:p>
        </w:tc>
        <w:tc>
          <w:tcPr>
            <w:tcW w:w="1533" w:type="pct"/>
            <w:shd w:val="clear" w:color="auto" w:fill="auto"/>
            <w:noWrap/>
            <w:vAlign w:val="center"/>
          </w:tcPr>
          <w:p w14:paraId="23731C8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东莞市企石镇江边管理区湖滨北路9号</w:t>
            </w:r>
          </w:p>
        </w:tc>
        <w:tc>
          <w:tcPr>
            <w:tcW w:w="648" w:type="pct"/>
            <w:noWrap/>
            <w:vAlign w:val="center"/>
          </w:tcPr>
          <w:p w14:paraId="66BA2C4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57.20</w:t>
            </w:r>
          </w:p>
        </w:tc>
        <w:tc>
          <w:tcPr>
            <w:tcW w:w="604" w:type="pct"/>
            <w:vAlign w:val="center"/>
          </w:tcPr>
          <w:p w14:paraId="4597719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12.78</w:t>
            </w:r>
          </w:p>
        </w:tc>
      </w:tr>
      <w:tr w14:paraId="19A7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07FF0C18">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1CD9EB7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693E706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桥头厂二期</w:t>
            </w:r>
          </w:p>
        </w:tc>
        <w:tc>
          <w:tcPr>
            <w:tcW w:w="1533" w:type="pct"/>
            <w:shd w:val="clear" w:color="auto" w:fill="auto"/>
            <w:noWrap/>
            <w:vAlign w:val="center"/>
          </w:tcPr>
          <w:p w14:paraId="5764A5A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东莞市桥头镇东深路8号</w:t>
            </w:r>
          </w:p>
        </w:tc>
        <w:tc>
          <w:tcPr>
            <w:tcW w:w="648" w:type="pct"/>
            <w:noWrap/>
            <w:vAlign w:val="center"/>
          </w:tcPr>
          <w:p w14:paraId="79F4CF2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63.20</w:t>
            </w:r>
          </w:p>
        </w:tc>
        <w:tc>
          <w:tcPr>
            <w:tcW w:w="604" w:type="pct"/>
            <w:vAlign w:val="center"/>
          </w:tcPr>
          <w:p w14:paraId="2B5F840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11.47</w:t>
            </w:r>
          </w:p>
        </w:tc>
      </w:tr>
      <w:tr w14:paraId="0581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5C31DFFF">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71196E2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40AE14B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桥头厂一期</w:t>
            </w:r>
          </w:p>
        </w:tc>
        <w:tc>
          <w:tcPr>
            <w:tcW w:w="1533" w:type="pct"/>
            <w:shd w:val="clear" w:color="auto" w:fill="auto"/>
            <w:noWrap/>
            <w:vAlign w:val="center"/>
          </w:tcPr>
          <w:p w14:paraId="3D4E48F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东莞市桥头镇东深路8号</w:t>
            </w:r>
          </w:p>
        </w:tc>
        <w:tc>
          <w:tcPr>
            <w:tcW w:w="648" w:type="pct"/>
            <w:noWrap/>
            <w:vAlign w:val="center"/>
          </w:tcPr>
          <w:p w14:paraId="458B15F8">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63.20</w:t>
            </w:r>
          </w:p>
        </w:tc>
        <w:tc>
          <w:tcPr>
            <w:tcW w:w="604" w:type="pct"/>
            <w:vAlign w:val="center"/>
          </w:tcPr>
          <w:p w14:paraId="5C9834A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11.25</w:t>
            </w:r>
          </w:p>
        </w:tc>
      </w:tr>
      <w:tr w14:paraId="5286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5A8E6FE0">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6CC0748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553FFDC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清溪厦坭厂二期</w:t>
            </w:r>
          </w:p>
        </w:tc>
        <w:tc>
          <w:tcPr>
            <w:tcW w:w="1533" w:type="pct"/>
            <w:shd w:val="clear" w:color="auto" w:fill="auto"/>
            <w:noWrap/>
            <w:vAlign w:val="center"/>
          </w:tcPr>
          <w:p w14:paraId="4FBAA93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清溪镇厦坭村江背路75号</w:t>
            </w:r>
          </w:p>
        </w:tc>
        <w:tc>
          <w:tcPr>
            <w:tcW w:w="648" w:type="pct"/>
            <w:noWrap/>
            <w:vAlign w:val="center"/>
          </w:tcPr>
          <w:p w14:paraId="5F218BF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76.30</w:t>
            </w:r>
          </w:p>
        </w:tc>
        <w:tc>
          <w:tcPr>
            <w:tcW w:w="604" w:type="pct"/>
            <w:vAlign w:val="center"/>
          </w:tcPr>
          <w:p w14:paraId="51967E9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6.53</w:t>
            </w:r>
          </w:p>
        </w:tc>
      </w:tr>
      <w:tr w14:paraId="2D47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04D65F38">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4CB08C03">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107F094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清溪厦坭厂一期</w:t>
            </w:r>
          </w:p>
        </w:tc>
        <w:tc>
          <w:tcPr>
            <w:tcW w:w="1533" w:type="pct"/>
            <w:shd w:val="clear" w:color="auto" w:fill="auto"/>
            <w:noWrap/>
            <w:vAlign w:val="center"/>
          </w:tcPr>
          <w:p w14:paraId="1A43483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清溪镇厦坭村江背路75号</w:t>
            </w:r>
          </w:p>
        </w:tc>
        <w:tc>
          <w:tcPr>
            <w:tcW w:w="648" w:type="pct"/>
            <w:noWrap/>
            <w:vAlign w:val="center"/>
          </w:tcPr>
          <w:p w14:paraId="1D3EDAB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76.30</w:t>
            </w:r>
          </w:p>
        </w:tc>
        <w:tc>
          <w:tcPr>
            <w:tcW w:w="604" w:type="pct"/>
            <w:vAlign w:val="center"/>
          </w:tcPr>
          <w:p w14:paraId="3F62465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16.04</w:t>
            </w:r>
          </w:p>
        </w:tc>
      </w:tr>
      <w:tr w14:paraId="504A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57D09643">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1302EF5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6D97F91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清溪长山头厂一二期</w:t>
            </w:r>
          </w:p>
        </w:tc>
        <w:tc>
          <w:tcPr>
            <w:tcW w:w="1533" w:type="pct"/>
            <w:shd w:val="clear" w:color="auto" w:fill="auto"/>
            <w:noWrap/>
            <w:vAlign w:val="center"/>
          </w:tcPr>
          <w:p w14:paraId="49F7229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东莞市清溪镇长山头村</w:t>
            </w:r>
          </w:p>
        </w:tc>
        <w:tc>
          <w:tcPr>
            <w:tcW w:w="648" w:type="pct"/>
            <w:noWrap/>
            <w:vAlign w:val="center"/>
          </w:tcPr>
          <w:p w14:paraId="226025E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72.30</w:t>
            </w:r>
          </w:p>
        </w:tc>
        <w:tc>
          <w:tcPr>
            <w:tcW w:w="604" w:type="pct"/>
            <w:vAlign w:val="center"/>
          </w:tcPr>
          <w:p w14:paraId="58775E7B">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22.82</w:t>
            </w:r>
          </w:p>
        </w:tc>
      </w:tr>
      <w:tr w14:paraId="7C4A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77313231">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33EAD4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5A59D6A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塘厦白泥湖厂</w:t>
            </w:r>
          </w:p>
        </w:tc>
        <w:tc>
          <w:tcPr>
            <w:tcW w:w="1533" w:type="pct"/>
            <w:shd w:val="clear" w:color="auto" w:fill="auto"/>
            <w:noWrap/>
            <w:vAlign w:val="center"/>
          </w:tcPr>
          <w:p w14:paraId="26933C2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东莞市塘厦镇南一横路21号</w:t>
            </w:r>
          </w:p>
        </w:tc>
        <w:tc>
          <w:tcPr>
            <w:tcW w:w="648" w:type="pct"/>
            <w:noWrap/>
            <w:vAlign w:val="center"/>
          </w:tcPr>
          <w:p w14:paraId="6C4F4111">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70.90</w:t>
            </w:r>
          </w:p>
        </w:tc>
        <w:tc>
          <w:tcPr>
            <w:tcW w:w="604" w:type="pct"/>
            <w:vAlign w:val="center"/>
          </w:tcPr>
          <w:p w14:paraId="39CAB67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9.26</w:t>
            </w:r>
          </w:p>
        </w:tc>
      </w:tr>
      <w:tr w14:paraId="34FC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16588358">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1EA4F98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0FC944CA">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塘厦林村厂二期</w:t>
            </w:r>
          </w:p>
        </w:tc>
        <w:tc>
          <w:tcPr>
            <w:tcW w:w="1533" w:type="pct"/>
            <w:shd w:val="clear" w:color="auto" w:fill="auto"/>
            <w:noWrap/>
            <w:vAlign w:val="center"/>
          </w:tcPr>
          <w:p w14:paraId="7AFF800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东莞市塘厦镇林村居委会鸡爪桥猪仔沥</w:t>
            </w:r>
          </w:p>
        </w:tc>
        <w:tc>
          <w:tcPr>
            <w:tcW w:w="648" w:type="pct"/>
            <w:noWrap/>
            <w:vAlign w:val="center"/>
          </w:tcPr>
          <w:p w14:paraId="313CE7E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70.10</w:t>
            </w:r>
          </w:p>
        </w:tc>
        <w:tc>
          <w:tcPr>
            <w:tcW w:w="604" w:type="pct"/>
            <w:vAlign w:val="center"/>
          </w:tcPr>
          <w:p w14:paraId="3B24A2E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13.65</w:t>
            </w:r>
          </w:p>
        </w:tc>
      </w:tr>
      <w:tr w14:paraId="3256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5BB7C8C7">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6CB9B79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0DA278D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塘厦林村厂一期</w:t>
            </w:r>
          </w:p>
        </w:tc>
        <w:tc>
          <w:tcPr>
            <w:tcW w:w="1533" w:type="pct"/>
            <w:shd w:val="clear" w:color="auto" w:fill="auto"/>
            <w:noWrap/>
            <w:vAlign w:val="center"/>
          </w:tcPr>
          <w:p w14:paraId="54ED7F6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东莞市塘厦镇林村居委会鸡爪桥猪仔沥</w:t>
            </w:r>
          </w:p>
        </w:tc>
        <w:tc>
          <w:tcPr>
            <w:tcW w:w="648" w:type="pct"/>
            <w:noWrap/>
            <w:vAlign w:val="center"/>
          </w:tcPr>
          <w:p w14:paraId="4A0D7D56">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70.10</w:t>
            </w:r>
          </w:p>
        </w:tc>
        <w:tc>
          <w:tcPr>
            <w:tcW w:w="604" w:type="pct"/>
            <w:vAlign w:val="center"/>
          </w:tcPr>
          <w:p w14:paraId="45E15B2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49.76</w:t>
            </w:r>
          </w:p>
        </w:tc>
      </w:tr>
      <w:tr w14:paraId="58CB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4D21E6B8">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41D139E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3643EAE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塘厦石桥头厂</w:t>
            </w:r>
          </w:p>
        </w:tc>
        <w:tc>
          <w:tcPr>
            <w:tcW w:w="1533" w:type="pct"/>
            <w:shd w:val="clear" w:color="auto" w:fill="auto"/>
            <w:noWrap/>
            <w:vAlign w:val="center"/>
          </w:tcPr>
          <w:p w14:paraId="1F278AF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东莞市塘厦镇环市南路132号</w:t>
            </w:r>
          </w:p>
        </w:tc>
        <w:tc>
          <w:tcPr>
            <w:tcW w:w="648" w:type="pct"/>
            <w:noWrap/>
            <w:vAlign w:val="center"/>
          </w:tcPr>
          <w:p w14:paraId="0C6983E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73.50</w:t>
            </w:r>
          </w:p>
        </w:tc>
        <w:tc>
          <w:tcPr>
            <w:tcW w:w="604" w:type="pct"/>
            <w:vAlign w:val="center"/>
          </w:tcPr>
          <w:p w14:paraId="079D1D2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15.95</w:t>
            </w:r>
          </w:p>
        </w:tc>
      </w:tr>
      <w:tr w14:paraId="29C0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5BDD39C0">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151BED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045EC03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虾公潭厂</w:t>
            </w:r>
          </w:p>
        </w:tc>
        <w:tc>
          <w:tcPr>
            <w:tcW w:w="1533" w:type="pct"/>
            <w:shd w:val="clear" w:color="auto" w:fill="auto"/>
            <w:noWrap/>
            <w:vAlign w:val="center"/>
          </w:tcPr>
          <w:p w14:paraId="6D1FF11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东莞市凤岗镇油甘埔村虾公潭污水处理厂</w:t>
            </w:r>
          </w:p>
        </w:tc>
        <w:tc>
          <w:tcPr>
            <w:tcW w:w="648" w:type="pct"/>
            <w:noWrap/>
            <w:vAlign w:val="center"/>
          </w:tcPr>
          <w:p w14:paraId="011AA29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12.90</w:t>
            </w:r>
          </w:p>
        </w:tc>
        <w:tc>
          <w:tcPr>
            <w:tcW w:w="604" w:type="pct"/>
            <w:vAlign w:val="center"/>
          </w:tcPr>
          <w:p w14:paraId="3E1DC1D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5.25</w:t>
            </w:r>
          </w:p>
        </w:tc>
      </w:tr>
      <w:tr w14:paraId="4DF6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1420F7A0">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130B86A0">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7E7A5D5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谢岗厂二期</w:t>
            </w:r>
          </w:p>
        </w:tc>
        <w:tc>
          <w:tcPr>
            <w:tcW w:w="1533" w:type="pct"/>
            <w:shd w:val="clear" w:color="auto" w:fill="auto"/>
            <w:noWrap/>
            <w:vAlign w:val="center"/>
          </w:tcPr>
          <w:p w14:paraId="1A092605">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东莞市谢岗镇谢岗村工业大道北侧</w:t>
            </w:r>
          </w:p>
        </w:tc>
        <w:tc>
          <w:tcPr>
            <w:tcW w:w="648" w:type="pct"/>
            <w:noWrap/>
            <w:vAlign w:val="center"/>
          </w:tcPr>
          <w:p w14:paraId="664F22E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69.90</w:t>
            </w:r>
          </w:p>
        </w:tc>
        <w:tc>
          <w:tcPr>
            <w:tcW w:w="604" w:type="pct"/>
            <w:vAlign w:val="center"/>
          </w:tcPr>
          <w:p w14:paraId="45B545E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8.54</w:t>
            </w:r>
          </w:p>
        </w:tc>
      </w:tr>
      <w:tr w14:paraId="312E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58CFF2BF">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0C81372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7CFD7AF7">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谢岗厂一期</w:t>
            </w:r>
          </w:p>
        </w:tc>
        <w:tc>
          <w:tcPr>
            <w:tcW w:w="1533" w:type="pct"/>
            <w:shd w:val="clear" w:color="auto" w:fill="auto"/>
            <w:noWrap/>
            <w:vAlign w:val="center"/>
          </w:tcPr>
          <w:p w14:paraId="7E6EBE7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东莞市谢岗镇谢岗村工业大道北侧</w:t>
            </w:r>
          </w:p>
        </w:tc>
        <w:tc>
          <w:tcPr>
            <w:tcW w:w="648" w:type="pct"/>
            <w:noWrap/>
            <w:vAlign w:val="center"/>
          </w:tcPr>
          <w:p w14:paraId="0BB3E20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69.90</w:t>
            </w:r>
          </w:p>
        </w:tc>
        <w:tc>
          <w:tcPr>
            <w:tcW w:w="604" w:type="pct"/>
            <w:vAlign w:val="center"/>
          </w:tcPr>
          <w:p w14:paraId="51BBB1F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11.25</w:t>
            </w:r>
          </w:p>
        </w:tc>
      </w:tr>
      <w:tr w14:paraId="5D15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181EEAD5">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0A3408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232A6AA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樟木头厂三期</w:t>
            </w:r>
          </w:p>
        </w:tc>
        <w:tc>
          <w:tcPr>
            <w:tcW w:w="1533" w:type="pct"/>
            <w:shd w:val="clear" w:color="auto" w:fill="auto"/>
            <w:noWrap/>
            <w:vAlign w:val="center"/>
          </w:tcPr>
          <w:p w14:paraId="42B8CD84">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东莞市樟木头镇柏地旗岭村柏峰路169号</w:t>
            </w:r>
          </w:p>
        </w:tc>
        <w:tc>
          <w:tcPr>
            <w:tcW w:w="648" w:type="pct"/>
            <w:noWrap/>
            <w:vAlign w:val="center"/>
          </w:tcPr>
          <w:p w14:paraId="41D9C4E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63.40</w:t>
            </w:r>
          </w:p>
        </w:tc>
        <w:tc>
          <w:tcPr>
            <w:tcW w:w="604" w:type="pct"/>
            <w:vAlign w:val="center"/>
          </w:tcPr>
          <w:p w14:paraId="3438197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7.30</w:t>
            </w:r>
          </w:p>
        </w:tc>
      </w:tr>
      <w:tr w14:paraId="3E27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7BB5F823">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2EA9157C">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4E49061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樟木头厂一二期</w:t>
            </w:r>
          </w:p>
        </w:tc>
        <w:tc>
          <w:tcPr>
            <w:tcW w:w="1533" w:type="pct"/>
            <w:shd w:val="clear" w:color="auto" w:fill="auto"/>
            <w:noWrap/>
            <w:vAlign w:val="center"/>
          </w:tcPr>
          <w:p w14:paraId="5D3BA17F">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东莞市樟木头镇柏地旗岭村柏峰路169号</w:t>
            </w:r>
          </w:p>
        </w:tc>
        <w:tc>
          <w:tcPr>
            <w:tcW w:w="648" w:type="pct"/>
            <w:noWrap/>
            <w:vAlign w:val="center"/>
          </w:tcPr>
          <w:p w14:paraId="1364A3B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63.40</w:t>
            </w:r>
          </w:p>
        </w:tc>
        <w:tc>
          <w:tcPr>
            <w:tcW w:w="604" w:type="pct"/>
            <w:vAlign w:val="center"/>
          </w:tcPr>
          <w:p w14:paraId="46DAC43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15.94</w:t>
            </w:r>
          </w:p>
        </w:tc>
      </w:tr>
      <w:tr w14:paraId="229E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 w:type="pct"/>
            <w:noWrap/>
            <w:vAlign w:val="center"/>
          </w:tcPr>
          <w:p w14:paraId="30561E61">
            <w:pPr>
              <w:keepNext w:val="0"/>
              <w:keepLines w:val="0"/>
              <w:pageBreakBefore w:val="0"/>
              <w:widowControl/>
              <w:numPr>
                <w:ilvl w:val="0"/>
                <w:numId w:val="3"/>
              </w:numPr>
              <w:kinsoku/>
              <w:wordWrap/>
              <w:overflowPunct/>
              <w:topLinePunct w:val="0"/>
              <w:autoSpaceDE/>
              <w:autoSpaceDN/>
              <w:bidi w:val="0"/>
              <w:adjustRightInd/>
              <w:snapToGrid/>
              <w:spacing w:before="100" w:line="240" w:lineRule="auto"/>
              <w:ind w:left="0" w:leftChars="0" w:firstLine="60" w:firstLineChars="0"/>
              <w:jc w:val="center"/>
              <w:textAlignment w:val="auto"/>
              <w:rPr>
                <w:rFonts w:hint="eastAsia" w:ascii="宋体" w:hAnsi="宋体" w:eastAsia="宋体" w:cs="宋体"/>
                <w:color w:val="auto"/>
                <w:kern w:val="0"/>
                <w:sz w:val="21"/>
                <w:szCs w:val="21"/>
                <w:highlight w:val="none"/>
              </w:rPr>
            </w:pPr>
          </w:p>
        </w:tc>
        <w:tc>
          <w:tcPr>
            <w:tcW w:w="890" w:type="pct"/>
            <w:noWrap/>
            <w:vAlign w:val="center"/>
          </w:tcPr>
          <w:p w14:paraId="19F5BB9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石马河片区</w:t>
            </w:r>
          </w:p>
        </w:tc>
        <w:tc>
          <w:tcPr>
            <w:tcW w:w="936" w:type="pct"/>
            <w:noWrap/>
            <w:vAlign w:val="center"/>
          </w:tcPr>
          <w:p w14:paraId="7AB9C689">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樟木头裕丰厂</w:t>
            </w:r>
          </w:p>
        </w:tc>
        <w:tc>
          <w:tcPr>
            <w:tcW w:w="1533" w:type="pct"/>
            <w:shd w:val="clear" w:color="auto" w:fill="auto"/>
            <w:noWrap/>
            <w:vAlign w:val="center"/>
          </w:tcPr>
          <w:p w14:paraId="0CB4DB42">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广东省东莞市樟木头镇莞樟路樟木头段710号</w:t>
            </w:r>
          </w:p>
        </w:tc>
        <w:tc>
          <w:tcPr>
            <w:tcW w:w="648" w:type="pct"/>
            <w:noWrap/>
            <w:vAlign w:val="center"/>
          </w:tcPr>
          <w:p w14:paraId="0C0AA3CD">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63.20</w:t>
            </w:r>
          </w:p>
        </w:tc>
        <w:tc>
          <w:tcPr>
            <w:tcW w:w="604" w:type="pct"/>
            <w:vAlign w:val="center"/>
          </w:tcPr>
          <w:p w14:paraId="407D1FDE">
            <w:pPr>
              <w:keepNext w:val="0"/>
              <w:keepLines w:val="0"/>
              <w:pageBreakBefore w:val="0"/>
              <w:widowControl/>
              <w:kinsoku/>
              <w:wordWrap/>
              <w:overflowPunct/>
              <w:topLinePunct w:val="0"/>
              <w:autoSpaceDE/>
              <w:autoSpaceDN/>
              <w:bidi w:val="0"/>
              <w:adjustRightInd/>
              <w:snapToGrid/>
              <w:spacing w:before="10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0.41</w:t>
            </w:r>
          </w:p>
        </w:tc>
      </w:tr>
    </w:tbl>
    <w:p w14:paraId="5CFA57F5">
      <w:pPr>
        <w:pStyle w:val="69"/>
        <w:spacing w:line="360" w:lineRule="auto"/>
        <w:ind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以上清单介绍的各污水处理厂（处理站）情况，以及预计的半干污泥量为暂定量，仅为便于了解项目情况使用，不作为甲方最终委托运输量的保证，甲方有权根据实际需求进行调整，包括扩大或者缩小污水处理厂（处理站）范围，污水处理厂（处理站）位置均在东莞市辖区内。最终需要运输的污水处理厂（处理站）以及对应污泥运输量，以甲方具体需求为准，乙方应积极响应。在服务期内，当需要转运半干污泥时，甲方通知乙方到指定污水厂进行运输。乙方不得因未获得具体半干污泥转运量，或因半干污泥转运量的减少或增加而要求提供任何形式的补偿或赔偿。</w:t>
      </w:r>
    </w:p>
    <w:p w14:paraId="7041BEC7">
      <w:pPr>
        <w:pStyle w:val="69"/>
        <w:spacing w:line="360" w:lineRule="auto"/>
        <w:ind w:firstLineChars="0"/>
        <w:rPr>
          <w:rFonts w:hint="eastAsia" w:ascii="宋体" w:hAnsi="宋体" w:eastAsia="宋体" w:cs="宋体"/>
          <w:b/>
          <w:bCs/>
          <w:color w:val="auto"/>
          <w:kern w:val="2"/>
          <w:sz w:val="24"/>
          <w:szCs w:val="24"/>
          <w:highlight w:val="none"/>
          <w:lang w:val="en-US" w:eastAsia="zh-CN" w:bidi="ar-SA"/>
        </w:rPr>
      </w:pPr>
    </w:p>
    <w:p w14:paraId="73425F41">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合同价款</w:t>
      </w:r>
    </w:p>
    <w:p w14:paraId="24D05A03">
      <w:pPr>
        <w:pStyle w:val="70"/>
        <w:tabs>
          <w:tab w:val="left" w:pos="142"/>
        </w:tabs>
        <w:wordWrap/>
        <w:spacing w:line="360" w:lineRule="auto"/>
        <w:ind w:left="0" w:leftChars="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2.1</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运输服务合同单价（即销售额，不含乙方销项税额）为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元/（吨·公里）(大写人民币每吨公里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，即</w:t>
      </w:r>
      <w:r>
        <w:rPr>
          <w:rFonts w:hint="eastAsia" w:ascii="宋体" w:hAnsi="宋体" w:eastAsia="宋体" w:cs="宋体"/>
          <w:color w:val="auto"/>
          <w:kern w:val="2"/>
          <w:sz w:val="24"/>
          <w:szCs w:val="24"/>
          <w:highlight w:val="none"/>
          <w:lang w:val="zh-CN"/>
        </w:rPr>
        <w:t>从</w:t>
      </w:r>
      <w:r>
        <w:rPr>
          <w:rFonts w:hint="eastAsia" w:ascii="宋体" w:hAnsi="宋体" w:eastAsia="宋体" w:cs="宋体"/>
          <w:color w:val="auto"/>
          <w:kern w:val="2"/>
          <w:sz w:val="24"/>
          <w:szCs w:val="24"/>
          <w:highlight w:val="none"/>
          <w:lang w:val="en-US" w:eastAsia="zh-CN"/>
        </w:rPr>
        <w:t>东莞市区域内的污水处理厂（处理站）将污泥运输至污泥项目的不含税运输服务费单价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在本合同履行过程中，合同单价（即销限额，不含乙方销项税额）固定不变，不因法律法规政策、物价人工、油价、电价、路桥费、劳务成本等调整而进行调整，未经甲方书面确认，乙方无权增加任何费用。</w:t>
      </w:r>
    </w:p>
    <w:p w14:paraId="1BF84D25">
      <w:pPr>
        <w:wordWrap/>
        <w:spacing w:line="360" w:lineRule="auto"/>
        <w:ind w:left="0" w:leftChars="0" w:right="0" w:firstLine="544" w:firstLineChars="227"/>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2.2 </w:t>
      </w:r>
      <w:r>
        <w:rPr>
          <w:rFonts w:hint="eastAsia" w:ascii="宋体" w:hAnsi="宋体" w:eastAsia="宋体" w:cs="宋体"/>
          <w:color w:val="auto"/>
          <w:sz w:val="24"/>
          <w:szCs w:val="24"/>
          <w:highlight w:val="none"/>
        </w:rPr>
        <w:t>依法计得并根据本合同约定确定的销项税额由甲方承担。根据《中华人民共和国增值税法实施条例》（国务院令第826号）及当前税务部门的相关规定，本合同项目的增值税税率为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，对应的销项税额为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元/（吨·公里）（大写人民币每吨</w:t>
      </w:r>
      <w:r>
        <w:rPr>
          <w:rFonts w:hint="eastAsia" w:ascii="宋体" w:hAnsi="宋体" w:eastAsia="宋体" w:cs="宋体"/>
          <w:color w:val="auto"/>
          <w:sz w:val="24"/>
          <w:szCs w:val="24"/>
          <w:highlight w:val="none"/>
          <w:lang w:val="en-US" w:eastAsia="zh-CN"/>
        </w:rPr>
        <w:t>公里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405F924">
      <w:pPr>
        <w:wordWrap/>
        <w:spacing w:line="360" w:lineRule="auto"/>
        <w:ind w:left="0" w:leftChars="0" w:right="0" w:firstLine="544" w:firstLineChars="227"/>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在本合同履行过程中，税收政策变动导致增值税税率调整，依法应调整销项税额的，依法调整；但因乙方未按合同约定</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、未根据合同约定提供合法、完整的请款资料、</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验收不合格导致的返工或退货、</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验收合格前的非正常损耗等原因导致销项税额增加的，相应损失由乙方承担。</w:t>
      </w:r>
    </w:p>
    <w:p w14:paraId="4DEDD960">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运输服务合同单价价税合计为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元/（吨·公里）（大写人民币每吨</w:t>
      </w:r>
      <w:r>
        <w:rPr>
          <w:rFonts w:hint="eastAsia" w:ascii="宋体" w:hAnsi="宋体" w:eastAsia="宋体" w:cs="宋体"/>
          <w:color w:val="auto"/>
          <w:sz w:val="24"/>
          <w:szCs w:val="24"/>
          <w:highlight w:val="none"/>
          <w:lang w:val="en-US" w:eastAsia="zh-CN"/>
        </w:rPr>
        <w:t>公里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），合同履行期间根据本条第2项规定调整销项税额的，合同单价价税合计对应调整。</w:t>
      </w:r>
    </w:p>
    <w:p w14:paraId="44AA7FD6">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2.4 </w:t>
      </w:r>
      <w:r>
        <w:rPr>
          <w:rFonts w:hint="eastAsia" w:ascii="宋体" w:hAnsi="宋体" w:eastAsia="宋体" w:cs="宋体"/>
          <w:color w:val="auto"/>
          <w:kern w:val="2"/>
          <w:sz w:val="24"/>
          <w:szCs w:val="24"/>
          <w:highlight w:val="none"/>
        </w:rPr>
        <w:t>污水处理厂（处理站）</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运输服务合同单价包括了</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为完成</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约定</w:t>
      </w:r>
      <w:r>
        <w:rPr>
          <w:rFonts w:hint="eastAsia" w:ascii="宋体" w:hAnsi="宋体" w:eastAsia="宋体" w:cs="宋体"/>
          <w:color w:val="auto"/>
          <w:sz w:val="24"/>
          <w:szCs w:val="24"/>
          <w:highlight w:val="none"/>
        </w:rPr>
        <w:t>和合同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的全部工作所需支付的一切费用，</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运输服务合同单价为包干价，包括但不限于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履行本合同所发生的运输服务范围内所需的人工费（含加班和节假日补贴）、车辆使用及燃油费、电费、污泥装车卸车的人工或器械作业费、作业现场除尘及场地清洗费、污泥运输过路桥费（含高速路）、提供运输服务人员的工资、食宿、保险费（包括运输车辆交强险、第三者责任险等商业保险，</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及其雇员社会保障资金、保险、第三者责任险，环境污染责任险等）、</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复核污泥重量的称重费（如有）、因部分污泥贮存点现场条件限制只能安排小型运输车辆而增加的成本、日常配合服务费、</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销项税额以外的税费等合同实施过程中产生的全部直接和间接费用。</w:t>
      </w:r>
    </w:p>
    <w:p w14:paraId="1AA4A4B5">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因乙方未按法定税率计算税额或未根据本合同约定出具对应合法的发票等乙方原因导致甲方多支付税额的，乙方必须退还甲方，给甲方造成损失的，乙方须向甲方赔偿</w:t>
      </w:r>
      <w:r>
        <w:rPr>
          <w:rFonts w:hint="eastAsia" w:ascii="宋体" w:hAnsi="宋体" w:eastAsia="宋体" w:cs="宋体"/>
          <w:color w:val="auto"/>
          <w:sz w:val="24"/>
          <w:szCs w:val="24"/>
          <w:highlight w:val="none"/>
        </w:rPr>
        <w:t>相应损失。</w:t>
      </w:r>
    </w:p>
    <w:p w14:paraId="32FC972B">
      <w:pPr>
        <w:pStyle w:val="70"/>
        <w:wordWrap/>
        <w:spacing w:line="360" w:lineRule="auto"/>
        <w:ind w:left="0" w:leftChars="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2.5（不含税）运输服务费=不含税运输服务费单价[单位：元/（吨·公里）]×运输距离（公里）×运输半干污泥重量（吨）。 其中，</w:t>
      </w:r>
    </w:p>
    <w:p w14:paraId="1E5CF7F8">
      <w:pPr>
        <w:pStyle w:val="33"/>
        <w:wordWrap/>
        <w:spacing w:line="360" w:lineRule="auto"/>
        <w:ind w:left="0" w:leftChars="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（1）每个污水处理厂（处理站）的半干污泥首次转移运输前，运输路线和运输距离由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报审，经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审核确认后确定行</w:t>
      </w:r>
      <w:r>
        <w:rPr>
          <w:rFonts w:hint="eastAsia" w:ascii="宋体" w:hAnsi="宋体" w:eastAsia="宋体" w:cs="宋体"/>
          <w:color w:val="auto"/>
          <w:sz w:val="24"/>
          <w:szCs w:val="24"/>
          <w:highlight w:val="none"/>
          <w:lang w:val="en-US" w:eastAsia="zh-CN"/>
        </w:rPr>
        <w:t>驶</w:t>
      </w:r>
      <w:r>
        <w:rPr>
          <w:rFonts w:hint="eastAsia" w:ascii="宋体" w:hAnsi="宋体" w:eastAsia="宋体" w:cs="宋体"/>
          <w:color w:val="auto"/>
          <w:sz w:val="24"/>
          <w:szCs w:val="24"/>
          <w:highlight w:val="none"/>
        </w:rPr>
        <w:t>路线和运输距离，经</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双方签字确定后作为该污水处理厂（处理站）后续运输距离的计费依据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未经甲乙双方签订确认的路线和运输距离不得作为计费依据</w:t>
      </w:r>
      <w:r>
        <w:rPr>
          <w:rFonts w:hint="eastAsia" w:ascii="宋体" w:hAnsi="宋体" w:eastAsia="宋体" w:cs="宋体"/>
          <w:color w:val="auto"/>
          <w:sz w:val="24"/>
          <w:szCs w:val="24"/>
          <w:highlight w:val="none"/>
        </w:rPr>
        <w:t xml:space="preserve">。 </w:t>
      </w:r>
    </w:p>
    <w:p w14:paraId="23586A23">
      <w:pPr>
        <w:pStyle w:val="33"/>
        <w:wordWrap/>
        <w:spacing w:line="360" w:lineRule="auto"/>
        <w:ind w:left="0" w:leftChars="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（2）运输费按</w:t>
      </w:r>
      <w:r>
        <w:rPr>
          <w:rFonts w:hint="eastAsia" w:ascii="宋体" w:hAnsi="宋体" w:eastAsia="宋体" w:cs="宋体"/>
          <w:color w:val="auto"/>
          <w:sz w:val="24"/>
          <w:szCs w:val="24"/>
          <w:highlight w:val="none"/>
          <w:lang w:eastAsia="zh-CN"/>
        </w:rPr>
        <w:t>甲乙双方签字确认的</w:t>
      </w:r>
      <w:r>
        <w:rPr>
          <w:rFonts w:hint="eastAsia" w:ascii="宋体" w:hAnsi="宋体" w:eastAsia="宋体" w:cs="宋体"/>
          <w:color w:val="auto"/>
          <w:sz w:val="24"/>
          <w:szCs w:val="24"/>
          <w:highlight w:val="none"/>
        </w:rPr>
        <w:t>单程运输距离计算，不计算运输车辆返程路程。</w:t>
      </w:r>
    </w:p>
    <w:p w14:paraId="3B844A0F">
      <w:pPr>
        <w:pStyle w:val="33"/>
        <w:wordWrap/>
        <w:spacing w:line="360" w:lineRule="auto"/>
        <w:ind w:left="0" w:leftChars="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重量以污泥项目设置的地磅系统或</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指定的第三方地磅系统计算的重量为准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称重的过磅费用由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对过磅重量或数据录入有异议的，可再次前往双方指定的第三方过磅复核重量，复核产生的费用由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承担</w:t>
      </w:r>
      <w:r>
        <w:rPr>
          <w:rFonts w:hint="eastAsia" w:ascii="宋体" w:hAnsi="宋体" w:eastAsia="宋体" w:cs="宋体"/>
          <w:color w:val="auto"/>
          <w:sz w:val="24"/>
          <w:szCs w:val="24"/>
          <w:highlight w:val="none"/>
        </w:rPr>
        <w:t>。</w:t>
      </w:r>
    </w:p>
    <w:p w14:paraId="3A9B033D">
      <w:pPr>
        <w:pStyle w:val="70"/>
        <w:wordWrap/>
        <w:spacing w:line="360" w:lineRule="auto"/>
        <w:ind w:left="0" w:leftChars="0" w:right="0" w:firstLineChars="0"/>
        <w:jc w:val="both"/>
        <w:textAlignment w:val="auto"/>
        <w:outlineLvl w:val="9"/>
        <w:rPr>
          <w:rFonts w:hint="eastAsia" w:ascii="宋体" w:hAnsi="宋体" w:eastAsia="宋体" w:cs="宋体"/>
          <w:b/>
          <w:color w:val="auto"/>
          <w:sz w:val="24"/>
          <w:szCs w:val="24"/>
          <w:highlight w:val="none"/>
        </w:rPr>
      </w:pPr>
    </w:p>
    <w:p w14:paraId="03523925">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第三条 污泥运输量确认及资料要求 </w:t>
      </w:r>
    </w:p>
    <w:p w14:paraId="742DA55D">
      <w:pPr>
        <w:pStyle w:val="70"/>
        <w:wordWrap/>
        <w:spacing w:line="360" w:lineRule="auto"/>
        <w:ind w:left="0" w:leftChars="0" w:right="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运输距离根据百度地图APP对应类型货车行驶路线最短距离计算，按四舍五入保留到个位数（公里）。百度地图</w:t>
      </w:r>
      <w:r>
        <w:rPr>
          <w:rFonts w:hint="eastAsia" w:ascii="宋体" w:hAnsi="宋体" w:eastAsia="宋体" w:cs="宋体"/>
          <w:color w:val="auto"/>
          <w:sz w:val="24"/>
          <w:szCs w:val="24"/>
          <w:highlight w:val="none"/>
          <w:lang w:val="en-US" w:eastAsia="zh-CN"/>
        </w:rPr>
        <w:t>APP</w:t>
      </w:r>
      <w:r>
        <w:rPr>
          <w:rFonts w:hint="eastAsia" w:ascii="宋体" w:hAnsi="宋体" w:eastAsia="宋体" w:cs="宋体"/>
          <w:color w:val="auto"/>
          <w:sz w:val="24"/>
          <w:szCs w:val="24"/>
          <w:highlight w:val="none"/>
        </w:rPr>
        <w:t>推荐多条路线时，以距离最短方案载明的路线里程为准，不考虑躲避拥堵、红绿灯少等偏好。</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因公安及交通等管理部门规定限行，以及根据实际情况存在限重确实需要绕行的，需经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审核同意后以调整后的运输路线距离作为计费的运输距离。</w:t>
      </w:r>
    </w:p>
    <w:p w14:paraId="7DA1ADD3">
      <w:pPr>
        <w:pStyle w:val="70"/>
        <w:wordWrap/>
        <w:spacing w:line="360" w:lineRule="auto"/>
        <w:ind w:left="0" w:leftChars="0" w:right="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在转移</w:t>
      </w:r>
      <w:r>
        <w:rPr>
          <w:rFonts w:hint="eastAsia" w:ascii="宋体" w:hAnsi="宋体" w:eastAsia="宋体" w:cs="宋体"/>
          <w:color w:val="auto"/>
          <w:sz w:val="24"/>
          <w:szCs w:val="24"/>
          <w:highlight w:val="none"/>
          <w:lang w:eastAsia="zh-CN"/>
        </w:rPr>
        <w:t>污泥</w:t>
      </w:r>
      <w:r>
        <w:rPr>
          <w:rFonts w:hint="eastAsia" w:ascii="宋体" w:hAnsi="宋体" w:eastAsia="宋体" w:cs="宋体"/>
          <w:color w:val="auto"/>
          <w:sz w:val="24"/>
          <w:szCs w:val="24"/>
          <w:highlight w:val="none"/>
        </w:rPr>
        <w:t>时，应配合</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按照规范填写《生活</w:t>
      </w:r>
      <w:r>
        <w:rPr>
          <w:rFonts w:hint="eastAsia" w:ascii="宋体" w:hAnsi="宋体" w:eastAsia="宋体" w:cs="宋体"/>
          <w:color w:val="auto"/>
          <w:sz w:val="24"/>
          <w:szCs w:val="24"/>
          <w:highlight w:val="none"/>
          <w:lang w:eastAsia="zh-CN"/>
        </w:rPr>
        <w:t>污泥</w:t>
      </w:r>
      <w:r>
        <w:rPr>
          <w:rFonts w:hint="eastAsia" w:ascii="宋体" w:hAnsi="宋体" w:eastAsia="宋体" w:cs="宋体"/>
          <w:color w:val="auto"/>
          <w:sz w:val="24"/>
          <w:szCs w:val="24"/>
          <w:highlight w:val="none"/>
        </w:rPr>
        <w:t>转移联单》（</w:t>
      </w:r>
      <w:r>
        <w:rPr>
          <w:rFonts w:hint="eastAsia" w:ascii="宋体" w:hAnsi="宋体" w:eastAsia="宋体" w:cs="宋体"/>
          <w:color w:val="auto"/>
          <w:sz w:val="24"/>
          <w:szCs w:val="24"/>
          <w:highlight w:val="none"/>
          <w:lang w:eastAsia="zh-CN"/>
        </w:rPr>
        <w:t>污泥专用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运送人员和</w:t>
      </w:r>
      <w:r>
        <w:rPr>
          <w:rFonts w:hint="eastAsia" w:ascii="宋体" w:hAnsi="宋体" w:eastAsia="宋体" w:cs="宋体"/>
          <w:color w:val="auto"/>
          <w:sz w:val="24"/>
          <w:szCs w:val="24"/>
          <w:highlight w:val="none"/>
          <w:lang w:eastAsia="zh-CN"/>
        </w:rPr>
        <w:t>甲方污泥</w:t>
      </w:r>
      <w:r>
        <w:rPr>
          <w:rFonts w:hint="eastAsia" w:ascii="宋体" w:hAnsi="宋体" w:eastAsia="宋体" w:cs="宋体"/>
          <w:color w:val="auto"/>
          <w:sz w:val="24"/>
          <w:szCs w:val="24"/>
          <w:highlight w:val="none"/>
        </w:rPr>
        <w:t>管理人员交接时共同核对填写并盖章，并配合办理东莞市污泥主管部门相关备案手续。</w:t>
      </w:r>
    </w:p>
    <w:p w14:paraId="0E0E6D51">
      <w:pPr>
        <w:pStyle w:val="68"/>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乙方必须在污泥到达甲方指定卸货点的次日10:00前，向甲方提供该车污泥装卸货过程中的相关资料。</w:t>
      </w:r>
    </w:p>
    <w:p w14:paraId="494ED45D">
      <w:pPr>
        <w:pStyle w:val="68"/>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制作要求：（1）运输车辆到达污泥装车地点，拍摄装车过程照片，装车照片应清晰显示车牌号码及车辆正在进行污泥装车；（2）装车完成后上锁封条，拍摄封条照片，封条照片应清晰显示封条编号及封条未拆卸；（3）填写一式两份派车单并由运输司机及现场负责人签名，提交给污泥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指定卸泥点后拍摄卸货前封条照片，照片应清晰显示封条编号及封条未拆封；（7）卸货过程应拍摄照片及视频，照片应清晰显示车牌号码、正在起斗的过程，以及车后的泥仓；视频应按</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的视频模板拍摄，视频时长约15秒，从车头车牌开始录制，缓慢移步至车辆一侧录制卸泥过程，要求显示起斗过程及泥仓；（8）卸货完成后，磅单与联单合拍照片，照片应清晰显示各项信息，包括出厂日期、过磅时间、重量、联单编号及各处签名等；（9）上述照片、视频务必使用“今日水印相机”软件拍摄、录制，定位信息能清晰显示地点及日期。</w:t>
      </w:r>
    </w:p>
    <w:p w14:paraId="5588436F">
      <w:pPr>
        <w:pStyle w:val="68"/>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资料提交要求：（1）</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按照本条款的要求进行拍摄、整理每日运输影像资料后，以压缩文件形式在次日上午10:00前发送至</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指定邮箱：swjt_dsyhn@163.com（邮箱如有变化以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通知为准）；邮件及影像资料附件名称为“运输单位+卸泥地点+日期（年月日）+污泥运输资料”；（2）</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以“运输单位+卸泥地点+日期+联单磅单”为一级文件夹名称，“污泥产生单位”为二级文件夹名称，将过程资料放入该文件夹中，通过邮件提交给</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p>
    <w:p w14:paraId="7B28642B">
      <w:pPr>
        <w:pStyle w:val="68"/>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指定的智慧化系统平台投入使用后，以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发出正式通知之日起，</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不再需通过邮件报送运输资料，转而全面启用智慧化系统平台，按</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要求进行资料的登记、上传工作。</w:t>
      </w:r>
    </w:p>
    <w:p w14:paraId="6626A1C0">
      <w:pPr>
        <w:pStyle w:val="70"/>
        <w:wordWrap/>
        <w:spacing w:line="360" w:lineRule="auto"/>
        <w:ind w:left="0" w:leftChars="0" w:right="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 乙方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指定的智慧化系统平台处理运输任务及填报上传污泥运输资料，包括但不限于以下内容：</w:t>
      </w:r>
    </w:p>
    <w:p w14:paraId="1DD1868B">
      <w:pPr>
        <w:pStyle w:val="70"/>
        <w:wordWrap/>
        <w:spacing w:line="360" w:lineRule="auto"/>
        <w:ind w:left="0" w:leftChars="0" w:right="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指定的智慧化系统平台包括电脑端和移动端，电脑或手机等设备由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自行配备，</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仅提供系统平台的使用。</w:t>
      </w:r>
    </w:p>
    <w:p w14:paraId="340EC4C2">
      <w:pPr>
        <w:pStyle w:val="70"/>
        <w:wordWrap/>
        <w:spacing w:line="360" w:lineRule="auto"/>
        <w:ind w:left="0" w:leftChars="0" w:right="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要求在智慧化系统平台上上传污泥运输车队相关基本信息（包括但不限于运输车辆行驶证、驾驶员驾驶证等）。</w:t>
      </w:r>
    </w:p>
    <w:p w14:paraId="7E8AEA6D">
      <w:pPr>
        <w:pStyle w:val="70"/>
        <w:wordWrap/>
        <w:spacing w:line="360" w:lineRule="auto"/>
        <w:ind w:left="0" w:leftChars="0" w:right="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要求通过指定的线上或线下方式每日及时处理运输任务，派遣司机和车辆并及时反馈给</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p>
    <w:p w14:paraId="0D64778E">
      <w:pPr>
        <w:pStyle w:val="70"/>
        <w:wordWrap/>
        <w:spacing w:line="360" w:lineRule="auto"/>
        <w:ind w:left="0" w:leftChars="0" w:right="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应按指定的运输需求任务进行污泥运输，</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指定的系统平台填报和上传相关资料，相关资料包括但不限于污泥装车过程照片、过磅单、污泥卸车照片和视频、转运联单等。</w:t>
      </w:r>
    </w:p>
    <w:p w14:paraId="58691B7B">
      <w:pPr>
        <w:pStyle w:val="70"/>
        <w:wordWrap/>
        <w:spacing w:line="360" w:lineRule="auto"/>
        <w:ind w:left="0" w:leftChars="0" w:right="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污泥外运次日，乙方应与甲方对磅单《生活污泥转移联单》（污泥专用）、（乙方）《月度污泥外运签证表》数据进行初次核对确认污泥转移运输数量。</w:t>
      </w:r>
    </w:p>
    <w:p w14:paraId="3B4E793D">
      <w:pPr>
        <w:pStyle w:val="70"/>
        <w:wordWrap/>
        <w:spacing w:line="360" w:lineRule="auto"/>
        <w:ind w:left="0" w:leftChars="0" w:right="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按每月一次的频次，根据初次核对确认的污泥外运数量和资料填报要求，向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提交经</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盖章确认的《生活污泥转移联单》（污泥专用）、磅单、《月度污泥外运签证表》（含电子文档）等资料。</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对接收的资料复核后，发现资料有误的，</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必须在3日内按要求重新提交。</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将复核后的资料送污泥产生单位盖章确认，经</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、污泥产生单位、</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共同签字/盖章确认后，确定该批次污泥实际转移数量，并由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交东莞市环境保护部门留存备查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经甲方、乙方以及污泥产生单位三方</w:t>
      </w:r>
      <w:r>
        <w:rPr>
          <w:rFonts w:hint="eastAsia" w:ascii="宋体" w:hAnsi="宋体" w:eastAsia="宋体" w:cs="宋体"/>
          <w:color w:val="auto"/>
          <w:sz w:val="24"/>
          <w:szCs w:val="24"/>
          <w:highlight w:val="none"/>
        </w:rPr>
        <w:t>共同签字/盖章确认</w:t>
      </w:r>
      <w:r>
        <w:rPr>
          <w:rFonts w:hint="eastAsia" w:ascii="宋体" w:hAnsi="宋体" w:eastAsia="宋体" w:cs="宋体"/>
          <w:color w:val="auto"/>
          <w:sz w:val="24"/>
          <w:szCs w:val="24"/>
          <w:highlight w:val="none"/>
          <w:lang w:val="en-US" w:eastAsia="zh-CN"/>
        </w:rPr>
        <w:t>的资料才可作为有效请款凭证</w:t>
      </w:r>
      <w:r>
        <w:rPr>
          <w:rFonts w:hint="eastAsia" w:ascii="宋体" w:hAnsi="宋体" w:eastAsia="宋体" w:cs="宋体"/>
          <w:color w:val="auto"/>
          <w:sz w:val="24"/>
          <w:szCs w:val="24"/>
          <w:highlight w:val="none"/>
        </w:rPr>
        <w:t>。</w:t>
      </w:r>
    </w:p>
    <w:p w14:paraId="73244994">
      <w:pPr>
        <w:wordWrap/>
        <w:spacing w:line="360" w:lineRule="auto"/>
        <w:ind w:left="0" w:leftChars="0" w:right="0" w:firstLine="484" w:firstLineChars="201"/>
        <w:jc w:val="both"/>
        <w:textAlignment w:val="auto"/>
        <w:outlineLvl w:val="9"/>
        <w:rPr>
          <w:rFonts w:hint="eastAsia" w:ascii="宋体" w:hAnsi="宋体" w:eastAsia="宋体" w:cs="宋体"/>
          <w:b/>
          <w:color w:val="auto"/>
          <w:sz w:val="24"/>
          <w:szCs w:val="24"/>
          <w:highlight w:val="none"/>
        </w:rPr>
      </w:pPr>
    </w:p>
    <w:p w14:paraId="2805522E">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考核办法</w:t>
      </w:r>
    </w:p>
    <w:p w14:paraId="4D04495A">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服务期内，甲方根据乙方每月的实际工作情况进行月度综合考核，具体的评价内容参见《东莞市尚源环能科技有限公司调试期污泥运输服务考核表》（详见附件1）。考核结果按最终得分分值（X）分为优良（85分＜X≤100分），中（75分＜X≤85分），差（60分＜X≤75分），不合格（X≤60分）共四个等级。每月的综合考核结果与该月应支付的运输服务费用挂钩。</w:t>
      </w:r>
    </w:p>
    <w:p w14:paraId="4F081424">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lang w:val="en-US" w:eastAsia="zh-CN"/>
        </w:rPr>
      </w:pPr>
    </w:p>
    <w:p w14:paraId="12E65B31">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付款方式</w:t>
      </w:r>
    </w:p>
    <w:p w14:paraId="0E2370F4">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合同履约过程中，乙方根据本合同约定需向甲方支付违约金、赔偿金、或其他应付费用等款项的，乙方必须向甲方支付完相关款项后，甲方才根据本合同向乙方支付合同价和对应的税额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且不视为甲方违约</w:t>
      </w:r>
      <w:r>
        <w:rPr>
          <w:rFonts w:hint="eastAsia" w:ascii="宋体" w:hAnsi="宋体" w:eastAsia="宋体" w:cs="宋体"/>
          <w:color w:val="auto"/>
          <w:sz w:val="24"/>
          <w:szCs w:val="24"/>
          <w:highlight w:val="none"/>
          <w:lang w:val="en-US" w:eastAsia="zh-CN"/>
        </w:rPr>
        <w:t>，乙方不得以此为由拒绝或迟延履行合同义务</w:t>
      </w:r>
      <w:r>
        <w:rPr>
          <w:rFonts w:hint="eastAsia" w:ascii="宋体" w:hAnsi="宋体" w:eastAsia="宋体" w:cs="宋体"/>
          <w:color w:val="auto"/>
          <w:sz w:val="24"/>
          <w:szCs w:val="24"/>
          <w:highlight w:val="none"/>
        </w:rPr>
        <w:t>。若因乙方未能支付前述费用，影响项目实施的，甲方有权直接从未付合同款项中直接扣除，且乙方必须按照扣除前述费用前的不含税运输服务费（销售额）开具对应的合法发票，保证增值税税额符合法律规定。</w:t>
      </w:r>
    </w:p>
    <w:p w14:paraId="658DF243">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付款方式</w:t>
      </w:r>
    </w:p>
    <w:p w14:paraId="529C8401">
      <w:pPr>
        <w:wordWrap/>
        <w:spacing w:line="360" w:lineRule="auto"/>
        <w:ind w:left="0" w:leftChars="0" w:right="0" w:firstLine="480" w:firstLineChars="200"/>
        <w:jc w:val="both"/>
        <w:textAlignment w:val="auto"/>
        <w:outlineLvl w:val="9"/>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支付方式：支付方式为银行转账或银行承兑汇票，汇票期限不超过三个月，每期款项支付方式由甲方决定。</w:t>
      </w:r>
    </w:p>
    <w:p w14:paraId="248B875A">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甲方按本条的约定进行付款，乙方未能按合同要求履约，根据合同约定甲方可暂缓或延期付款的，从其约定，且不视为甲方违约，乙方不得以此为由拒绝或迟延履行合同义务。 </w:t>
      </w:r>
    </w:p>
    <w:p w14:paraId="71030138">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运输服务费按月支付。乙方应</w:t>
      </w:r>
      <w:r>
        <w:rPr>
          <w:rFonts w:hint="eastAsia" w:ascii="宋体" w:hAnsi="宋体" w:eastAsia="宋体" w:cs="宋体"/>
          <w:color w:val="auto"/>
          <w:sz w:val="24"/>
          <w:szCs w:val="24"/>
          <w:highlight w:val="none"/>
          <w:lang w:val="en-US" w:eastAsia="zh-CN"/>
        </w:rPr>
        <w:t>于</w:t>
      </w:r>
      <w:r>
        <w:rPr>
          <w:rFonts w:hint="eastAsia" w:ascii="宋体" w:hAnsi="宋体" w:eastAsia="宋体" w:cs="宋体"/>
          <w:color w:val="auto"/>
          <w:sz w:val="24"/>
          <w:szCs w:val="24"/>
          <w:highlight w:val="none"/>
        </w:rPr>
        <w:t>每月10日前，向甲方提交以下</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文件及单据等有效的请款凭证，</w:t>
      </w:r>
      <w:r>
        <w:rPr>
          <w:rFonts w:hint="eastAsia" w:ascii="宋体" w:hAnsi="宋体" w:eastAsia="宋体" w:cs="宋体"/>
          <w:color w:val="auto"/>
          <w:sz w:val="24"/>
          <w:szCs w:val="24"/>
          <w:highlight w:val="none"/>
          <w:lang w:val="en-US" w:eastAsia="zh-CN"/>
        </w:rPr>
        <w:t>乙方根据请款月份的</w:t>
      </w:r>
      <w:r>
        <w:rPr>
          <w:rFonts w:hint="eastAsia" w:ascii="宋体" w:hAnsi="宋体" w:eastAsia="宋体" w:cs="宋体"/>
          <w:color w:val="auto"/>
          <w:sz w:val="24"/>
          <w:szCs w:val="24"/>
          <w:highlight w:val="none"/>
        </w:rPr>
        <w:t>月度综合考核</w:t>
      </w:r>
      <w:r>
        <w:rPr>
          <w:rFonts w:hint="eastAsia" w:ascii="宋体" w:hAnsi="宋体" w:eastAsia="宋体" w:cs="宋体"/>
          <w:color w:val="auto"/>
          <w:sz w:val="24"/>
          <w:szCs w:val="24"/>
          <w:highlight w:val="none"/>
          <w:lang w:val="en-US" w:eastAsia="zh-CN"/>
        </w:rPr>
        <w:t>评分计算出当月的实际金额并按该金额进行请款，</w:t>
      </w:r>
      <w:r>
        <w:rPr>
          <w:rFonts w:hint="eastAsia" w:ascii="宋体" w:hAnsi="宋体" w:eastAsia="宋体" w:cs="宋体"/>
          <w:color w:val="auto"/>
          <w:sz w:val="24"/>
          <w:szCs w:val="24"/>
          <w:highlight w:val="none"/>
        </w:rPr>
        <w:t>甲方收到请款凭证后在</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个工作日内完成核实工作（乙方提供的请款资料因不符合要求进行修改、补充的期间不纳入前述</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个工作日内），核实</w:t>
      </w:r>
      <w:r>
        <w:rPr>
          <w:rFonts w:hint="eastAsia" w:ascii="宋体" w:hAnsi="宋体" w:eastAsia="宋体" w:cs="宋体"/>
          <w:color w:val="auto"/>
          <w:sz w:val="24"/>
          <w:szCs w:val="24"/>
          <w:highlight w:val="none"/>
          <w:lang w:val="en-US" w:eastAsia="zh-CN"/>
        </w:rPr>
        <w:t>乙方提交的材料符合要求</w:t>
      </w:r>
      <w:r>
        <w:rPr>
          <w:rFonts w:hint="eastAsia" w:ascii="宋体" w:hAnsi="宋体" w:eastAsia="宋体" w:cs="宋体"/>
          <w:color w:val="auto"/>
          <w:sz w:val="24"/>
          <w:szCs w:val="24"/>
          <w:highlight w:val="none"/>
        </w:rPr>
        <w:t>后向乙方支付上月运输服务费用：</w:t>
      </w:r>
    </w:p>
    <w:p w14:paraId="248D5D63">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请款</w:t>
      </w:r>
      <w:r>
        <w:rPr>
          <w:rFonts w:hint="eastAsia" w:ascii="宋体" w:hAnsi="宋体" w:eastAsia="宋体" w:cs="宋体"/>
          <w:color w:val="auto"/>
          <w:sz w:val="24"/>
          <w:szCs w:val="24"/>
          <w:highlight w:val="none"/>
        </w:rPr>
        <w:t>运输服务费</w:t>
      </w:r>
      <w:r>
        <w:rPr>
          <w:rFonts w:hint="eastAsia" w:ascii="宋体" w:hAnsi="宋体" w:eastAsia="宋体" w:cs="宋体"/>
          <w:color w:val="auto"/>
          <w:sz w:val="24"/>
          <w:szCs w:val="24"/>
          <w:highlight w:val="none"/>
          <w:lang w:val="en-US" w:eastAsia="zh-CN"/>
        </w:rPr>
        <w:t>对应月份的</w:t>
      </w:r>
      <w:r>
        <w:rPr>
          <w:rFonts w:hint="eastAsia" w:ascii="宋体" w:hAnsi="宋体" w:eastAsia="宋体" w:cs="宋体"/>
          <w:color w:val="auto"/>
          <w:sz w:val="24"/>
          <w:szCs w:val="24"/>
          <w:highlight w:val="none"/>
        </w:rPr>
        <w:t>《月度污泥外运签证表》；</w:t>
      </w:r>
    </w:p>
    <w:p w14:paraId="26053F60">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请款</w:t>
      </w:r>
      <w:r>
        <w:rPr>
          <w:rFonts w:hint="eastAsia" w:ascii="宋体" w:hAnsi="宋体" w:eastAsia="宋体" w:cs="宋体"/>
          <w:color w:val="auto"/>
          <w:sz w:val="24"/>
          <w:szCs w:val="24"/>
          <w:highlight w:val="none"/>
        </w:rPr>
        <w:t>运输服务费</w:t>
      </w:r>
      <w:r>
        <w:rPr>
          <w:rFonts w:hint="eastAsia" w:ascii="宋体" w:hAnsi="宋体" w:eastAsia="宋体" w:cs="宋体"/>
          <w:color w:val="auto"/>
          <w:sz w:val="24"/>
          <w:szCs w:val="24"/>
          <w:highlight w:val="none"/>
          <w:lang w:val="en-US" w:eastAsia="zh-CN"/>
        </w:rPr>
        <w:t>对应月份的</w:t>
      </w:r>
      <w:r>
        <w:rPr>
          <w:rFonts w:hint="eastAsia" w:ascii="宋体" w:hAnsi="宋体" w:eastAsia="宋体" w:cs="宋体"/>
          <w:color w:val="auto"/>
          <w:sz w:val="24"/>
          <w:szCs w:val="24"/>
          <w:highlight w:val="none"/>
        </w:rPr>
        <w:t>《东莞市尚源环能科技有限公司污泥运输服务考核表》；</w:t>
      </w:r>
    </w:p>
    <w:p w14:paraId="4469BCA3">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w:t>
      </w:r>
      <w:r>
        <w:rPr>
          <w:rFonts w:hint="default" w:ascii="宋体" w:hAnsi="宋体" w:eastAsia="宋体" w:cs="宋体"/>
          <w:color w:val="auto"/>
          <w:sz w:val="24"/>
          <w:szCs w:val="24"/>
          <w:highlight w:val="none"/>
          <w:lang w:val="en-US"/>
        </w:rPr>
        <w:t>请款数额</w:t>
      </w:r>
      <w:r>
        <w:rPr>
          <w:rFonts w:hint="eastAsia" w:ascii="宋体" w:hAnsi="宋体" w:eastAsia="宋体" w:cs="宋体"/>
          <w:color w:val="auto"/>
          <w:sz w:val="24"/>
          <w:szCs w:val="24"/>
          <w:highlight w:val="none"/>
        </w:rPr>
        <w:t xml:space="preserve">一致的有效增值税专用发票； </w:t>
      </w:r>
    </w:p>
    <w:p w14:paraId="2D770D86">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）请款报告（必须加盖乙方的公章）。</w:t>
      </w:r>
    </w:p>
    <w:p w14:paraId="5C9BF8B0">
      <w:pPr>
        <w:wordWrap/>
        <w:spacing w:line="360" w:lineRule="auto"/>
        <w:ind w:left="0" w:leftChars="0" w:right="0" w:firstLine="544" w:firstLineChars="227"/>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 乙方逾期提供请款资料及发票或前述资料不符合甲方要求的，甲方付款时间顺延，并不承担逾期付款违约责任，乙方不得以此为由拒绝或迟延履行合同义务。由于乙方提供的发票不符合税法规定，给甲方造成的损失由乙方承担赔偿责任。</w:t>
      </w:r>
    </w:p>
    <w:p w14:paraId="39E9CA07">
      <w:pPr>
        <w:wordWrap/>
        <w:spacing w:line="360" w:lineRule="auto"/>
        <w:ind w:left="0" w:leftChars="0" w:right="0" w:firstLine="544" w:firstLineChars="227"/>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乙方的月度综合考核评定为“优良”的，该月度服务费用100%支付；考核评定为“中”的，该月度服务费用</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核定价款乘以（考核得分+10）的百分比支付服务费（如，考核得分为80分，则该月度服务费用应支付价款=核定价款×（80+10）%）；考核评定为“差”的，该月度服务费用</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核定价款乘以考核得分的百分比支付服务费（如，评分为66分，则该月度服务费用应支付价款=核定价款×66%），乙方被评定为“不合格”的，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不予支付该月度服务费并有权</w:t>
      </w:r>
      <w:r>
        <w:rPr>
          <w:rFonts w:hint="eastAsia" w:ascii="宋体" w:hAnsi="宋体" w:eastAsia="宋体" w:cs="宋体"/>
          <w:color w:val="auto"/>
          <w:sz w:val="24"/>
          <w:szCs w:val="24"/>
          <w:highlight w:val="none"/>
          <w:lang w:val="en-US" w:eastAsia="zh-CN"/>
        </w:rPr>
        <w:t>单方</w:t>
      </w:r>
      <w:r>
        <w:rPr>
          <w:rFonts w:hint="eastAsia" w:ascii="宋体" w:hAnsi="宋体" w:eastAsia="宋体" w:cs="宋体"/>
          <w:color w:val="auto"/>
          <w:sz w:val="24"/>
          <w:szCs w:val="24"/>
          <w:highlight w:val="none"/>
        </w:rPr>
        <w:t>解除合同。</w:t>
      </w:r>
    </w:p>
    <w:p w14:paraId="22AE0A9B">
      <w:pPr>
        <w:wordWrap/>
        <w:spacing w:line="360" w:lineRule="auto"/>
        <w:ind w:left="0" w:leftChars="0" w:right="0" w:firstLine="482" w:firstLineChars="201"/>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5.5 </w:t>
      </w:r>
      <w:r>
        <w:rPr>
          <w:rFonts w:hint="eastAsia" w:ascii="宋体" w:hAnsi="宋体" w:eastAsia="宋体" w:cs="宋体"/>
          <w:b w:val="0"/>
          <w:bCs/>
          <w:color w:val="auto"/>
          <w:sz w:val="24"/>
          <w:szCs w:val="24"/>
          <w:highlight w:val="none"/>
        </w:rPr>
        <w:t>结算价计算过程中产生小数均参与计算，仅结果保留两位小数</w:t>
      </w:r>
      <w:r>
        <w:rPr>
          <w:rFonts w:hint="eastAsia" w:ascii="宋体" w:hAnsi="宋体" w:eastAsia="宋体" w:cs="宋体"/>
          <w:b w:val="0"/>
          <w:bCs/>
          <w:color w:val="auto"/>
          <w:sz w:val="24"/>
          <w:szCs w:val="24"/>
          <w:highlight w:val="none"/>
          <w:lang w:eastAsia="zh-CN"/>
        </w:rPr>
        <w:t>，</w:t>
      </w:r>
      <w:r>
        <w:rPr>
          <w:rFonts w:hint="eastAsia" w:ascii="宋体" w:hAnsi="宋体" w:eastAsia="宋体" w:cs="宋体"/>
          <w:bCs/>
          <w:color w:val="auto"/>
          <w:sz w:val="24"/>
          <w:szCs w:val="24"/>
          <w:highlight w:val="none"/>
        </w:rPr>
        <w:t>小数点后第三位及第三位后面的小数均舍去</w:t>
      </w:r>
      <w:r>
        <w:rPr>
          <w:rFonts w:hint="eastAsia" w:ascii="宋体" w:hAnsi="宋体" w:eastAsia="宋体" w:cs="宋体"/>
          <w:b w:val="0"/>
          <w:bCs/>
          <w:color w:val="auto"/>
          <w:sz w:val="24"/>
          <w:szCs w:val="24"/>
          <w:highlight w:val="none"/>
        </w:rPr>
        <w:t>。</w:t>
      </w:r>
    </w:p>
    <w:p w14:paraId="39AD3469">
      <w:pPr>
        <w:pStyle w:val="31"/>
        <w:rPr>
          <w:rFonts w:hint="eastAsia" w:ascii="宋体" w:hAnsi="宋体" w:eastAsia="宋体" w:cs="宋体"/>
          <w:color w:val="auto"/>
          <w:highlight w:val="none"/>
        </w:rPr>
      </w:pPr>
    </w:p>
    <w:p w14:paraId="197BFC65">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双方权利义务</w:t>
      </w:r>
    </w:p>
    <w:p w14:paraId="5056D0A6">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甲方权利和义务</w:t>
      </w:r>
    </w:p>
    <w:p w14:paraId="204F1CA0">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.1.1 甲方有权对污泥运输全过程进行监督。</w:t>
      </w:r>
    </w:p>
    <w:p w14:paraId="138EE29F">
      <w:pPr>
        <w:wordWrap/>
        <w:adjustRightInd/>
        <w:spacing w:line="360" w:lineRule="auto"/>
        <w:ind w:firstLine="484" w:firstLineChars="202"/>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甲方有权要求乙方对不符合要求的问题提出书面整改意见，乙方应在甲方</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的时间内完成整改。逾期未完成整改或拒绝整改或经整改仍达不到甲方要求的，甲方有权暂停乙方继续提供运输服务或直接单方解除本合同，取消</w:t>
      </w:r>
      <w:r>
        <w:rPr>
          <w:rFonts w:hint="eastAsia" w:ascii="宋体" w:hAnsi="宋体" w:eastAsia="宋体" w:cs="宋体"/>
          <w:color w:val="auto"/>
          <w:sz w:val="24"/>
          <w:szCs w:val="24"/>
          <w:highlight w:val="none"/>
          <w:lang w:eastAsia="zh-CN"/>
        </w:rPr>
        <w:t>乙方服务资格</w:t>
      </w:r>
      <w:r>
        <w:rPr>
          <w:rFonts w:hint="eastAsia" w:ascii="宋体" w:hAnsi="宋体" w:eastAsia="宋体" w:cs="宋体"/>
          <w:color w:val="auto"/>
          <w:sz w:val="24"/>
          <w:szCs w:val="24"/>
          <w:highlight w:val="none"/>
        </w:rPr>
        <w:t>，并有权按照本合同约定追究乙方违约责任</w:t>
      </w:r>
      <w:r>
        <w:rPr>
          <w:rFonts w:hint="eastAsia" w:ascii="宋体" w:hAnsi="宋体" w:eastAsia="宋体" w:cs="宋体"/>
          <w:color w:val="auto"/>
          <w:sz w:val="24"/>
          <w:szCs w:val="24"/>
          <w:highlight w:val="none"/>
          <w:lang w:eastAsia="zh-CN"/>
        </w:rPr>
        <w:t>。</w:t>
      </w:r>
    </w:p>
    <w:p w14:paraId="0950D82E">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6.1.3</w:t>
      </w:r>
      <w:r>
        <w:rPr>
          <w:rFonts w:hint="eastAsia" w:ascii="宋体" w:hAnsi="宋体" w:eastAsia="宋体" w:cs="宋体"/>
          <w:color w:val="auto"/>
          <w:sz w:val="24"/>
          <w:szCs w:val="24"/>
          <w:highlight w:val="none"/>
        </w:rPr>
        <w:t xml:space="preserve"> 甲方有权对污泥运输全过程进行监督、查阅</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运输车辆的行车记录或数据，若发现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存在中间装卸操作、偷排偷倒等问题，</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w:t>
      </w:r>
      <w:r>
        <w:rPr>
          <w:rFonts w:hint="eastAsia" w:ascii="宋体" w:hAnsi="宋体" w:eastAsia="宋体" w:cs="宋体"/>
          <w:color w:val="auto"/>
          <w:sz w:val="24"/>
          <w:szCs w:val="24"/>
          <w:highlight w:val="none"/>
          <w:lang w:val="en-US" w:eastAsia="zh-CN"/>
        </w:rPr>
        <w:t>单方解除本</w:t>
      </w:r>
      <w:r>
        <w:rPr>
          <w:rFonts w:hint="eastAsia" w:ascii="宋体" w:hAnsi="宋体" w:eastAsia="宋体" w:cs="宋体"/>
          <w:color w:val="auto"/>
          <w:sz w:val="24"/>
          <w:szCs w:val="24"/>
          <w:highlight w:val="none"/>
        </w:rPr>
        <w:t>合同并追究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的违约责任，因此导致的</w:t>
      </w:r>
      <w:r>
        <w:rPr>
          <w:rFonts w:hint="eastAsia" w:ascii="宋体" w:hAnsi="宋体" w:eastAsia="宋体" w:cs="宋体"/>
          <w:color w:val="auto"/>
          <w:sz w:val="24"/>
          <w:szCs w:val="24"/>
          <w:highlight w:val="none"/>
          <w:lang w:val="en-US" w:eastAsia="zh-CN"/>
        </w:rPr>
        <w:t>全部损失、</w:t>
      </w:r>
      <w:r>
        <w:rPr>
          <w:rFonts w:hint="eastAsia" w:ascii="宋体" w:hAnsi="宋体" w:eastAsia="宋体" w:cs="宋体"/>
          <w:color w:val="auto"/>
          <w:sz w:val="24"/>
          <w:szCs w:val="24"/>
          <w:highlight w:val="none"/>
        </w:rPr>
        <w:t>法律及相关责任由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14:paraId="3A933B5E">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合同的执行标准。在合同履行期内，乙方同意不因相关执行标准的调整而要求甲方增加费用或要求补偿。</w:t>
      </w:r>
    </w:p>
    <w:p w14:paraId="384DBF5D">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甲方及时办理运输</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费的支付手续。</w:t>
      </w:r>
    </w:p>
    <w:p w14:paraId="1F565320">
      <w:pPr>
        <w:tabs>
          <w:tab w:val="left" w:pos="142"/>
        </w:tabs>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 xml:space="preserve">文件、本合同文件及附件内容约定的甲方其他权利义务。 </w:t>
      </w:r>
    </w:p>
    <w:p w14:paraId="5A6330B1">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】为本项目的联系人，代表甲方与乙方进行沟通、联络。</w:t>
      </w:r>
    </w:p>
    <w:p w14:paraId="3A8C98BA">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乙方权利和义务</w:t>
      </w:r>
    </w:p>
    <w:p w14:paraId="3EC68943">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在本合同履行期间，乙方应承担其聘请人员的用工责任及用人单位责任。为其雇员、劳动者依法提供劳动保护，为从事运输工作的人员</w:t>
      </w:r>
      <w:r>
        <w:rPr>
          <w:rFonts w:hint="eastAsia" w:ascii="宋体" w:hAnsi="宋体" w:eastAsia="宋体" w:cs="宋体"/>
          <w:color w:val="auto"/>
          <w:sz w:val="24"/>
          <w:szCs w:val="24"/>
          <w:highlight w:val="none"/>
          <w:lang w:val="en-US" w:eastAsia="zh-CN"/>
        </w:rPr>
        <w:t>足额</w:t>
      </w:r>
      <w:r>
        <w:rPr>
          <w:rFonts w:hint="eastAsia" w:ascii="宋体" w:hAnsi="宋体" w:eastAsia="宋体" w:cs="宋体"/>
          <w:color w:val="auto"/>
          <w:sz w:val="24"/>
          <w:szCs w:val="24"/>
          <w:highlight w:val="none"/>
        </w:rPr>
        <w:t>购买社会保险或意外伤害保险，并为承担本合同运输工作的车辆设备办理第三者责任等保险，承担并支付保险费用。如乙方人员（包括雇员、乙方劳动者等）在服务过程中发生意外事故或发生劳资纠纷</w:t>
      </w:r>
      <w:r>
        <w:rPr>
          <w:rFonts w:hint="eastAsia" w:ascii="宋体" w:hAnsi="宋体" w:eastAsia="宋体" w:cs="宋体"/>
          <w:color w:val="auto"/>
          <w:sz w:val="24"/>
          <w:szCs w:val="24"/>
          <w:highlight w:val="none"/>
          <w:lang w:val="en-US" w:eastAsia="zh-CN"/>
        </w:rPr>
        <w:t>或导致甲方、第三方人身损害、财产损失</w:t>
      </w:r>
      <w:r>
        <w:rPr>
          <w:rFonts w:hint="eastAsia" w:ascii="宋体" w:hAnsi="宋体" w:eastAsia="宋体" w:cs="宋体"/>
          <w:color w:val="auto"/>
          <w:sz w:val="24"/>
          <w:szCs w:val="24"/>
          <w:highlight w:val="none"/>
        </w:rPr>
        <w:t>的，由乙方承担全部责任并支付全部费用。</w:t>
      </w:r>
    </w:p>
    <w:p w14:paraId="4FD5F09C">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乙方应严格遵守国家法律、法规，协助甲方做好社会治安综合管理工作等工作。乙方员工有违法乱纪的行为，乙方应承担一切经济责任和法律责任。</w:t>
      </w:r>
    </w:p>
    <w:p w14:paraId="557B89A3">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每逢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79FB865F">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乙方应保存好全部文件资料，且不得将上述文件资料向第三人披露或用于本项目之外的目的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乙方的保密义务不随本合同的终止而终止</w:t>
      </w:r>
      <w:r>
        <w:rPr>
          <w:rFonts w:hint="eastAsia" w:ascii="宋体" w:hAnsi="宋体" w:eastAsia="宋体" w:cs="宋体"/>
          <w:color w:val="auto"/>
          <w:sz w:val="24"/>
          <w:szCs w:val="24"/>
          <w:highlight w:val="none"/>
        </w:rPr>
        <w:t>。在合同解除或终止后，按照甲方的要求，做好本项目的交接工作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将与本项目相关的资料全部移交给甲方，乙方不得留存或备份</w:t>
      </w:r>
      <w:r>
        <w:rPr>
          <w:rFonts w:hint="eastAsia" w:ascii="宋体" w:hAnsi="宋体" w:eastAsia="宋体" w:cs="宋体"/>
          <w:color w:val="auto"/>
          <w:sz w:val="24"/>
          <w:szCs w:val="24"/>
          <w:highlight w:val="none"/>
        </w:rPr>
        <w:t>。如因资料缺失对甲方后续工作造成影响的，由此产生的费用</w:t>
      </w:r>
      <w:r>
        <w:rPr>
          <w:rFonts w:hint="eastAsia" w:ascii="宋体" w:hAnsi="宋体" w:eastAsia="宋体" w:cs="宋体"/>
          <w:color w:val="auto"/>
          <w:sz w:val="24"/>
          <w:szCs w:val="24"/>
          <w:highlight w:val="none"/>
          <w:lang w:val="en-US" w:eastAsia="zh-CN"/>
        </w:rPr>
        <w:t>及损失</w:t>
      </w:r>
      <w:r>
        <w:rPr>
          <w:rFonts w:hint="eastAsia" w:ascii="宋体" w:hAnsi="宋体" w:eastAsia="宋体" w:cs="宋体"/>
          <w:color w:val="auto"/>
          <w:sz w:val="24"/>
          <w:szCs w:val="24"/>
          <w:highlight w:val="none"/>
        </w:rPr>
        <w:t>由乙方全部承担。</w:t>
      </w:r>
    </w:p>
    <w:p w14:paraId="0850ED19">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乙方不得将本合同全部的权利义务转让给第三人；未经甲方书面同意，乙方不得将本合同项下乙方的部分权利义务转让给第三人。</w:t>
      </w:r>
    </w:p>
    <w:p w14:paraId="67AF2650">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安排专人负责本项目管理，调度运输车辆，收集每车外运污泥的电子地磅的称重单（含载泥前的称重单和载泥时的称重单），建立污泥运输台账，详细、如实记录污泥接收量、装车地点、卸车地点、运输距离等情况，并接受甲方的监督、管理，并如实向甲方反映污泥收运情况</w:t>
      </w:r>
      <w:r>
        <w:rPr>
          <w:rFonts w:hint="eastAsia" w:ascii="宋体" w:hAnsi="宋体" w:eastAsia="宋体" w:cs="宋体"/>
          <w:color w:val="auto"/>
          <w:sz w:val="24"/>
          <w:szCs w:val="24"/>
          <w:highlight w:val="none"/>
        </w:rPr>
        <w:t>。</w:t>
      </w:r>
    </w:p>
    <w:p w14:paraId="528B193E">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运输过程中不得进行中间装卸操作，严禁将</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在污水处理厂外进行中转存放或堆放，严禁将</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向环境中倾倒、丢弃、遗洒，发生以上事件所产生的一切行政和经济法律责任由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14:paraId="4FE874DA">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应严格按照交通运输及相关法律、法规操作，安全、合法地运输，在任何情况下都不得进行任何形式的超载运输，否则造成的一切后果由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14:paraId="7909307E">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要求服从污泥项目所在园区相关管理条例，对于所有参与本次污泥运输服务的运输车辆，均需向立沙岛精细化工园区管委会审批备案以获取入园资格。</w:t>
      </w:r>
    </w:p>
    <w:p w14:paraId="4645CB0E">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应当配合甲方或甲方指定接卸地点现场人员调度，遵守装车、卸车现场安全作业行为规范。在接收污泥时必须严格遵守甲方或甲方指定接卸地点的现场安全、环境、质量管理要求以及相关管理规定，根据甲方安全管理要求做好相关防护措施，维护好甲方或甲方指定接卸地点场地卫生环境现象，每车离场前必须清扫干净装车、卸车区域地面，保持该区域卫生情况良好</w:t>
      </w:r>
      <w:r>
        <w:rPr>
          <w:rFonts w:hint="eastAsia" w:ascii="宋体" w:hAnsi="宋体" w:eastAsia="宋体" w:cs="宋体"/>
          <w:color w:val="auto"/>
          <w:sz w:val="24"/>
          <w:szCs w:val="24"/>
          <w:highlight w:val="none"/>
        </w:rPr>
        <w:t>。</w:t>
      </w:r>
    </w:p>
    <w:p w14:paraId="1BB9A2F3">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对运输过程的环境、安全负全责。运输过程中，乙方应进行全过程监控和管理，防止因裸露、散落、泄漏、随意丢弃或倾倒等造成二次污染，乙方负责做好污泥运输及装卸过程的安全、卫生及防止污泥污染扩散工作。运输过程中导致环境污染的，由乙方</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lang w:eastAsia="zh-CN"/>
        </w:rPr>
        <w:t>承担相应的行政责任及经济责任，并承担由此产生的一切行政和经济法律责任</w:t>
      </w:r>
      <w:r>
        <w:rPr>
          <w:rFonts w:hint="eastAsia" w:ascii="宋体" w:hAnsi="宋体" w:eastAsia="宋体" w:cs="宋体"/>
          <w:color w:val="auto"/>
          <w:sz w:val="24"/>
          <w:szCs w:val="24"/>
          <w:highlight w:val="none"/>
        </w:rPr>
        <w:t>。</w:t>
      </w:r>
    </w:p>
    <w:p w14:paraId="179B7F0A">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在甲方或甲方指定装卸地点厂区内按指定路线完成污泥运输工作，</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车辆在甲方或甲方指定接卸地点厂区内的安全由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自行负责，在行驶过程中如对甲方或甲方指定接卸地点的构筑物及设备或人员造成侵害的，或对第三方人身或财产造成损害的，</w:t>
      </w:r>
      <w:r>
        <w:rPr>
          <w:rFonts w:hint="eastAsia" w:ascii="宋体" w:hAnsi="宋体" w:eastAsia="宋体" w:cs="宋体"/>
          <w:color w:val="auto"/>
          <w:sz w:val="24"/>
          <w:szCs w:val="24"/>
          <w:highlight w:val="none"/>
          <w:lang w:val="en-US" w:eastAsia="zh-CN"/>
        </w:rPr>
        <w:t>乙方自行</w:t>
      </w:r>
      <w:r>
        <w:rPr>
          <w:rFonts w:hint="eastAsia" w:ascii="宋体" w:hAnsi="宋体" w:eastAsia="宋体" w:cs="宋体"/>
          <w:color w:val="auto"/>
          <w:sz w:val="24"/>
          <w:szCs w:val="24"/>
          <w:highlight w:val="none"/>
          <w:lang w:eastAsia="zh-CN"/>
        </w:rPr>
        <w:t>负责修复或赔偿</w:t>
      </w:r>
      <w:r>
        <w:rPr>
          <w:rFonts w:hint="eastAsia" w:ascii="宋体" w:hAnsi="宋体" w:eastAsia="宋体" w:cs="宋体"/>
          <w:color w:val="auto"/>
          <w:sz w:val="24"/>
          <w:szCs w:val="24"/>
          <w:highlight w:val="none"/>
        </w:rPr>
        <w:t>。</w:t>
      </w:r>
    </w:p>
    <w:p w14:paraId="27CCB74F">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必须制定与</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转运有关的规章制度和发生意外事故时的应急预案，并</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报备。在运输过程中发生燃烧、爆炸、污染、中毒或者被盗、丢失、流散、泄漏等事故，</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应当立即采取紧急处理措施，运输驾驶员、押运人员应当立即向公安部门、</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、环境保护行政主管部门报告，说明事故情况，并采取一切可能的警示措施和应急措施，积极配合有关部门进行处置。</w:t>
      </w:r>
    </w:p>
    <w:p w14:paraId="5E4A0BE6">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聘用的运输从业人员应具备《中华人民共和国道路运输从业人员从业资格证》或相关从业资格证并在核定的从业范围内，并保证在本合同履行过程中前述资质及证件始终有效。在从事道路运输活动时，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应当携带相应的从业资格证件，并应当遵守国家相关法规和道路运输安全操作规程，不得违法经营、违章作业。</w:t>
      </w:r>
    </w:p>
    <w:p w14:paraId="7EE914CE">
      <w:pPr>
        <w:spacing w:beforeLines="0" w:afterLines="0" w:line="360" w:lineRule="auto"/>
        <w:ind w:firstLine="482" w:firstLineChars="201"/>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应按照甲方通知的时间、转运量安排车辆到指定的地点将污泥及时运输至甲方指定的处理处置地点，如果</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不能按甲方通知的时间前来收运，应至少提前6小时先向甲方告知，并取得甲方同意后才能更改收运时间，如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未能及时告知或未取得甲方同意擅自更改收运时间，则应承担因此造成的后果并赔偿甲方所遭受的损失。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服务期内累计出现3次或以上前述事件的，甲方有权单方面解除合同，因此对甲方产生的经济损失，甲方将根据合同约定追究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2BB5FABD">
      <w:pPr>
        <w:wordWrap/>
        <w:adjustRightInd/>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不得借故拒绝接受委托。</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如因车辆维修、年检等原因导致预定运输车辆无法调配的，在取得甲方同意后应及时更换运输车辆，</w:t>
      </w:r>
      <w:r>
        <w:rPr>
          <w:rFonts w:hint="eastAsia" w:ascii="宋体" w:hAnsi="宋体" w:eastAsia="宋体" w:cs="宋体"/>
          <w:color w:val="auto"/>
          <w:sz w:val="24"/>
          <w:szCs w:val="24"/>
          <w:highlight w:val="none"/>
          <w:lang w:val="en-US" w:eastAsia="zh-CN"/>
        </w:rPr>
        <w:t>但不得更改收运时间</w:t>
      </w:r>
      <w:r>
        <w:rPr>
          <w:rFonts w:hint="eastAsia" w:ascii="宋体" w:hAnsi="宋体" w:eastAsia="宋体" w:cs="宋体"/>
          <w:color w:val="auto"/>
          <w:sz w:val="24"/>
          <w:szCs w:val="24"/>
          <w:highlight w:val="none"/>
          <w:lang w:eastAsia="zh-CN"/>
        </w:rPr>
        <w:t>。若确实无法调配运输车辆，不能对甲方该批次污泥等进行运输的，应在当天出具书面通知函告知甲方，获得甲方同意后方可暂停运输。除非因外部环境或不可抗力因素影响</w:t>
      </w:r>
      <w:r>
        <w:rPr>
          <w:rFonts w:hint="eastAsia" w:ascii="宋体" w:hAnsi="宋体" w:eastAsia="宋体" w:cs="宋体"/>
          <w:color w:val="auto"/>
          <w:sz w:val="24"/>
          <w:szCs w:val="24"/>
          <w:highlight w:val="none"/>
          <w:lang w:val="en-US" w:eastAsia="zh-CN"/>
        </w:rPr>
        <w:t>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无法</w:t>
      </w:r>
      <w:r>
        <w:rPr>
          <w:rFonts w:hint="eastAsia" w:ascii="宋体" w:hAnsi="宋体" w:eastAsia="宋体" w:cs="宋体"/>
          <w:color w:val="auto"/>
          <w:sz w:val="24"/>
          <w:szCs w:val="24"/>
          <w:highlight w:val="none"/>
          <w:lang w:val="en-US" w:eastAsia="zh-CN"/>
        </w:rPr>
        <w:t>按要求</w:t>
      </w:r>
      <w:r>
        <w:rPr>
          <w:rFonts w:hint="eastAsia" w:ascii="宋体" w:hAnsi="宋体" w:eastAsia="宋体" w:cs="宋体"/>
          <w:color w:val="auto"/>
          <w:sz w:val="24"/>
          <w:szCs w:val="24"/>
          <w:highlight w:val="none"/>
          <w:lang w:eastAsia="zh-CN"/>
        </w:rPr>
        <w:t>对甲方污泥等进行运输服务的，视为</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违约</w:t>
      </w:r>
      <w:r>
        <w:rPr>
          <w:rFonts w:hint="eastAsia" w:ascii="宋体" w:hAnsi="宋体" w:eastAsia="宋体" w:cs="宋体"/>
          <w:color w:val="auto"/>
          <w:sz w:val="24"/>
          <w:szCs w:val="24"/>
          <w:highlight w:val="none"/>
        </w:rPr>
        <w:t>。</w:t>
      </w:r>
    </w:p>
    <w:p w14:paraId="4B2D1EDC">
      <w:pPr>
        <w:wordWrap/>
        <w:spacing w:beforeLines="0" w:afterLines="0" w:line="360" w:lineRule="auto"/>
        <w:ind w:left="0" w:leftChars="0" w:right="0" w:firstLine="482" w:firstLineChars="201"/>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不得将</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交付的</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交由第三方运输，禁止转包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分包</w:t>
      </w:r>
      <w:r>
        <w:rPr>
          <w:rFonts w:hint="eastAsia" w:ascii="宋体" w:hAnsi="宋体" w:eastAsia="宋体" w:cs="宋体"/>
          <w:color w:val="auto"/>
          <w:sz w:val="24"/>
          <w:szCs w:val="24"/>
          <w:highlight w:val="none"/>
        </w:rPr>
        <w:t>，否则，由此导致的一切责任和风险全部由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承担，并根据合同的约定承担违约责任，赔偿由此给</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造成的损失。</w:t>
      </w:r>
    </w:p>
    <w:p w14:paraId="3C91CDC1">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文件、本合同文件及附件内容约定的乙方其他权利义务。</w:t>
      </w:r>
    </w:p>
    <w:p w14:paraId="1CFEF7A0">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6.2.19</w:t>
      </w:r>
      <w:r>
        <w:rPr>
          <w:rFonts w:hint="eastAsia" w:ascii="宋体" w:hAnsi="宋体" w:eastAsia="宋体" w:cs="宋体"/>
          <w:color w:val="auto"/>
          <w:sz w:val="24"/>
          <w:szCs w:val="24"/>
          <w:highlight w:val="none"/>
        </w:rPr>
        <w:t xml:space="preserve"> 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】为本项目的联系人，代表乙方与甲方进行沟通、联络。</w:t>
      </w:r>
    </w:p>
    <w:p w14:paraId="0D3D89BF">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p>
    <w:p w14:paraId="2CFAEC66">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 服务要求</w:t>
      </w:r>
    </w:p>
    <w:p w14:paraId="5D8CD083">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为保证污水处理厂（处理站）的正常生产运营，</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必须具备每天不间断实施污泥运输的能力。在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通知污泥转运的时间内，必须保证安排足够的车辆及司机，满足</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污水处理厂等产泥点每天24小时不间断的出泥要求，提供每天不间断运输服务。</w:t>
      </w:r>
    </w:p>
    <w:p w14:paraId="3EF061E6">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rPr>
        <w:t>污泥运输应参照执行《危险货物道路运输规则》(JT/T 617-2018)、《中华人民共和国道路运输条例》和《道路危险货物运输管理规定》的相关要求。污泥运输采用陆路运输，禁止采用水路运输</w:t>
      </w:r>
      <w:r>
        <w:rPr>
          <w:rFonts w:hint="eastAsia" w:ascii="宋体" w:hAnsi="宋体" w:eastAsia="宋体" w:cs="宋体"/>
          <w:color w:val="auto"/>
          <w:sz w:val="24"/>
          <w:szCs w:val="24"/>
          <w:highlight w:val="none"/>
        </w:rPr>
        <w:t>。</w:t>
      </w:r>
    </w:p>
    <w:p w14:paraId="39173D2B">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污泥运输车辆必须符合公安、道路交通运输、环保等相关职能部门的相关要求，证照齐全、符合污泥运输的要求。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取得运输服务资格后，应将污泥运输车辆的行驶证、营运证及驾驶员等信息向甲方备案，明确非备案的车辆及驾驶员不能运输污泥，出现非备案车辆及驾驶员运输污泥情况的，所产生的一切行政和经济法律责任由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rPr>
        <w:t>。</w:t>
      </w:r>
    </w:p>
    <w:p w14:paraId="11AD3384">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采用密闭车辆运输污泥，要求密封、防水、不渗漏，四周槽帮牢固可靠、无破损、挡板严密，在驶出装载现场前，应将车辆槽帮和车轮冲洗干净，不得车轮带泥行驶、不得沿途泄漏，运输时发现自身有泄漏的，应及时采取有效措施清扫干净，车辆运输过程中</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应采取必要的管控措施，避免在半干污泥中混入杂物影响污泥项目相关设备的正常运转。</w:t>
      </w:r>
    </w:p>
    <w:p w14:paraId="53333050">
      <w:pPr>
        <w:wordWrap/>
        <w:adjustRightInd/>
        <w:spacing w:line="360" w:lineRule="auto"/>
        <w:ind w:left="0" w:leftChars="0" w:right="0" w:firstLine="484" w:firstLineChars="202"/>
        <w:contextualSpacing/>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承诺使用的车辆必须安装GPS，符合《道路运输车辆卫星定位系统平台技术要求》《道路运输车辆卫星定位系统车载终端技术要求》的要求，以防止偷排偷倒，或违约使用车辆。运输车辆的GPS定位系统，应能直接与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在线监管平台对接，实时显示污泥运输轨迹等信息。在运输过程中，</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应保证GPS 定位系统能正常接收信号，运输全程纳入定位管理，若运输过程中出现信号无法正常连接或中断的，期间发生交通运输事故或运输过程中导致环境污染的，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须负主要责任，并承担由此产生的一切行政和经济法律责任。</w:t>
      </w:r>
    </w:p>
    <w:p w14:paraId="6CB288B2">
      <w:pPr>
        <w:wordWrap/>
        <w:spacing w:line="360" w:lineRule="auto"/>
        <w:ind w:left="0" w:leftChars="0" w:right="0" w:firstLine="482" w:firstLineChars="201"/>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7.6 </w:t>
      </w:r>
      <w:r>
        <w:rPr>
          <w:rFonts w:hint="eastAsia" w:ascii="宋体" w:hAnsi="宋体" w:eastAsia="宋体" w:cs="宋体"/>
          <w:color w:val="auto"/>
          <w:sz w:val="24"/>
          <w:szCs w:val="24"/>
          <w:highlight w:val="none"/>
          <w:lang w:eastAsia="zh-CN"/>
        </w:rPr>
        <w:t>乙方</w:t>
      </w:r>
      <w:r>
        <w:rPr>
          <w:rFonts w:hint="eastAsia" w:ascii="宋体" w:hAnsi="宋体" w:eastAsia="宋体" w:cs="宋体"/>
          <w:b w:val="0"/>
          <w:bCs/>
          <w:color w:val="auto"/>
          <w:sz w:val="24"/>
          <w:szCs w:val="24"/>
          <w:highlight w:val="none"/>
        </w:rPr>
        <w:t>的运输车辆必须具备后翻自卸功能及具备行驶证、营运证、交强险、车损险、第三者责任险等证件资料。</w:t>
      </w:r>
      <w:r>
        <w:rPr>
          <w:rFonts w:hint="eastAsia" w:ascii="宋体" w:hAnsi="宋体" w:eastAsia="宋体" w:cs="宋体"/>
          <w:color w:val="auto"/>
          <w:sz w:val="24"/>
          <w:szCs w:val="24"/>
          <w:highlight w:val="none"/>
          <w:lang w:eastAsia="zh-CN"/>
        </w:rPr>
        <w:t>乙方</w:t>
      </w:r>
      <w:r>
        <w:rPr>
          <w:rFonts w:hint="eastAsia" w:ascii="宋体" w:hAnsi="宋体" w:eastAsia="宋体" w:cs="宋体"/>
          <w:b w:val="0"/>
          <w:bCs/>
          <w:color w:val="auto"/>
          <w:sz w:val="24"/>
          <w:szCs w:val="24"/>
          <w:highlight w:val="none"/>
        </w:rPr>
        <w:t>应根据污水处理厂污泥产生情况以及</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提出的时间及时安排对应型号的车辆前往运输，包括但不限于载重10吨、20吨、30吨等型号的车辆。</w:t>
      </w:r>
    </w:p>
    <w:p w14:paraId="7F07A94D">
      <w:pPr>
        <w:wordWrap/>
        <w:spacing w:line="360" w:lineRule="auto"/>
        <w:ind w:left="0" w:leftChars="0" w:right="0" w:firstLine="482" w:firstLineChars="201"/>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7.7 </w:t>
      </w:r>
      <w:r>
        <w:rPr>
          <w:rFonts w:hint="eastAsia" w:ascii="宋体" w:hAnsi="宋体" w:eastAsia="宋体" w:cs="宋体"/>
          <w:color w:val="auto"/>
          <w:sz w:val="24"/>
          <w:szCs w:val="24"/>
          <w:highlight w:val="none"/>
          <w:lang w:eastAsia="zh-CN"/>
        </w:rPr>
        <w:t>乙方</w:t>
      </w:r>
      <w:r>
        <w:rPr>
          <w:rFonts w:hint="eastAsia" w:ascii="宋体" w:hAnsi="宋体" w:eastAsia="宋体" w:cs="宋体"/>
          <w:bCs/>
          <w:color w:val="auto"/>
          <w:sz w:val="24"/>
          <w:szCs w:val="24"/>
          <w:highlight w:val="none"/>
        </w:rPr>
        <w:t>运输污泥的时间应避开上下班高峰期，运输路线应避开人群密集区，尽可能减少对周边居民的影响，严禁车辆停放在人群密集区。同时，运输污泥应遵循“一车一运”的原则，以确保污泥计量的准确、可靠。</w:t>
      </w:r>
    </w:p>
    <w:p w14:paraId="3C1FCFDA">
      <w:pPr>
        <w:wordWrap/>
        <w:spacing w:line="360" w:lineRule="auto"/>
        <w:ind w:left="0" w:leftChars="0" w:right="0" w:firstLine="484" w:firstLineChars="201"/>
        <w:jc w:val="both"/>
        <w:textAlignment w:val="auto"/>
        <w:outlineLvl w:val="9"/>
        <w:rPr>
          <w:rFonts w:hint="eastAsia" w:ascii="宋体" w:hAnsi="宋体" w:eastAsia="宋体" w:cs="宋体"/>
          <w:b/>
          <w:color w:val="auto"/>
          <w:sz w:val="24"/>
          <w:szCs w:val="24"/>
          <w:highlight w:val="none"/>
        </w:rPr>
      </w:pPr>
    </w:p>
    <w:p w14:paraId="7ECE9AFF">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 违约责任</w:t>
      </w:r>
    </w:p>
    <w:p w14:paraId="44B4525B">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乙方经甲方通知后拒不向甲方提供污泥服务</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运输能力不满足本合同第一条第1.3款约定泥量的，甲方有权每次要求乙方支付1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000元的违约金，如因此造成甲方的经济损失（包括委托第三方运输的差价），由乙方承担全部赔偿。连续或累计达3次出现前述违约行为的，甲方有权要求乙方支付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元违约金，并且有权单方解除本合同。</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75542C73">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因乙方未能根据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文件及本合同承诺安排足够的车辆及司机，不能提供每天不间断运输服务的要求，甲方有权要求乙方每次支付</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元的违约金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连续或累计达3次出现前述违约行为的，甲方有权要求乙方支付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元违约金，并且有权单方解除本合同。</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5B213AB0">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因乙方未能按约定时间运输</w:t>
      </w:r>
      <w:r>
        <w:rPr>
          <w:rFonts w:hint="eastAsia" w:ascii="宋体" w:hAnsi="宋体" w:eastAsia="宋体" w:cs="宋体"/>
          <w:color w:val="auto"/>
          <w:sz w:val="24"/>
          <w:szCs w:val="24"/>
          <w:highlight w:val="none"/>
          <w:lang w:val="en-US" w:eastAsia="zh-CN"/>
        </w:rPr>
        <w:t>污</w:t>
      </w:r>
      <w:r>
        <w:rPr>
          <w:rFonts w:hint="eastAsia" w:ascii="宋体" w:hAnsi="宋体" w:eastAsia="宋体" w:cs="宋体"/>
          <w:color w:val="auto"/>
          <w:sz w:val="24"/>
          <w:szCs w:val="24"/>
          <w:highlight w:val="none"/>
        </w:rPr>
        <w:t>泥导致生活污水处理厂（处理站）停产或减产的，甲方有权要求乙方每次支付</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元的违约金。乙方连续或累计达5次出现前述违约行为的，甲方有权要求乙方支付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元违约金，并且甲方有权单方解除本合同。</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1D0011BB">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8.4 </w:t>
      </w:r>
      <w:r>
        <w:rPr>
          <w:rFonts w:hint="eastAsia" w:ascii="宋体" w:hAnsi="宋体" w:eastAsia="宋体" w:cs="宋体"/>
          <w:color w:val="auto"/>
          <w:sz w:val="24"/>
          <w:szCs w:val="24"/>
          <w:highlight w:val="none"/>
        </w:rPr>
        <w:t>乙方运输车辆未密闭、防水，运输过程中出现裸露、散落、泄漏等情况的，甲方有权要求乙方每次支付</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元的违约金，乙方必须在甲方限期内整改完毕，乙方再次出现前述违约行为的，甲方有权要求乙方每次支付</w:t>
      </w:r>
      <w:r>
        <w:rPr>
          <w:rFonts w:hint="eastAsia" w:ascii="宋体" w:hAnsi="宋体" w:eastAsia="宋体" w:cs="宋体"/>
          <w:color w:val="auto"/>
          <w:sz w:val="24"/>
          <w:szCs w:val="24"/>
          <w:highlight w:val="none"/>
          <w:lang w:val="en-US" w:eastAsia="zh-CN"/>
        </w:rPr>
        <w:t>3,000</w:t>
      </w:r>
      <w:r>
        <w:rPr>
          <w:rFonts w:hint="eastAsia" w:ascii="宋体" w:hAnsi="宋体" w:eastAsia="宋体" w:cs="宋体"/>
          <w:color w:val="auto"/>
          <w:sz w:val="24"/>
          <w:szCs w:val="24"/>
          <w:highlight w:val="none"/>
        </w:rPr>
        <w:t>元的违约金。乙方运输过程中存在不规范行为（如撒漏、未做好防泄漏措施等）而被执法部门每处罚一次，甲方有权要求乙方每次支付</w:t>
      </w: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元的违约金，并暂停委托污泥转移运输服务，要求乙方限期整改。</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3549612C">
      <w:pPr>
        <w:widowControl/>
        <w:wordWrap/>
        <w:spacing w:line="360" w:lineRule="auto"/>
        <w:ind w:left="0" w:leftChars="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乙方必须保证运输车辆车厢内清洁，乙方运输车辆车厢内不得存在危险废弃物、铁棒铁丝、石块及塑料等可能导致污泥处置单位机械卡停、损坏的其它杂物的，甲方（或甲方委托的相关服务单位）每发现一次，甲方有权要求乙方每次支付</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元的违约金，并要求乙方限期整改，乙方未能在甲方限期内完成整改或整改后仍不符合甲方要求的，甲方有权要求乙方支付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元违约金，并且有权单方解除本合同。因此造成的损失需要赔偿的，乙方承担相应责任及赔偿。</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69962D4C">
      <w:pPr>
        <w:widowControl/>
        <w:wordWrap/>
        <w:spacing w:line="360" w:lineRule="auto"/>
        <w:ind w:left="0" w:leftChars="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车辆及运输人员到达甲方污泥贮存点或污泥处置单位卸泥现场后，应服从甲方（或污泥产生单位、甲方委托的污泥减量化服务单位、污泥处置单位）现场管理人员的调度、指挥，遵守现场安全作业行为规范、现场秩序和防疫要求。如有违反，甲方有权按照300元/人次标准要求乙方支付违约金，并要求乙方限期整改，乙方未能在甲方限期内完成整改或整改后仍不符合甲方要求的，甲方有权单方解除本合同，并有权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0E501321">
      <w:pPr>
        <w:widowControl/>
        <w:wordWrap/>
        <w:spacing w:line="360" w:lineRule="auto"/>
        <w:ind w:left="0" w:leftChars="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乙方给污泥产生单位、甲方委托的污泥减量化服务单位、污泥处置单位造成的损失，全部由乙方承担相应责任及赔偿。因乙方未能及时赔偿的，甲方有权从乙方的服务费中扣除相关款项先行赔付第三方。</w:t>
      </w:r>
    </w:p>
    <w:p w14:paraId="23F4C6F9">
      <w:pPr>
        <w:widowControl/>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最大限度减少或降低对生活污水处理厂（处理站）的影响，未经甲方同意，不得进入生活污水处理厂（处理站）其他生产、办公区域，不得影响生活污水处理厂（处理站）现场的工作。如有违反，甲方有权要求乙方按照</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000元/人次的标准支付违约金，并要求乙方限期整改，乙方未能在甲方限期内完成整改或整改后仍不符合甲方要求的，甲方有权要求乙方支付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元违约金，并且有权单方解除本合同。乙方应支付的该等违约金，甲方有权从未付的服务费中直接抵扣。</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1E60AD59">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乙方应当制定而未制定</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运输意外事故应急预案的，甲方有权要求乙方支付</w:t>
      </w:r>
      <w:r>
        <w:rPr>
          <w:rFonts w:hint="eastAsia" w:ascii="宋体" w:hAnsi="宋体" w:eastAsia="宋体" w:cs="宋体"/>
          <w:color w:val="auto"/>
          <w:sz w:val="24"/>
          <w:szCs w:val="24"/>
          <w:highlight w:val="none"/>
          <w:lang w:val="en-US" w:eastAsia="zh-CN"/>
        </w:rPr>
        <w:t>2,000</w:t>
      </w:r>
      <w:r>
        <w:rPr>
          <w:rFonts w:hint="eastAsia" w:ascii="宋体" w:hAnsi="宋体" w:eastAsia="宋体" w:cs="宋体"/>
          <w:color w:val="auto"/>
          <w:sz w:val="24"/>
          <w:szCs w:val="24"/>
          <w:highlight w:val="none"/>
        </w:rPr>
        <w:t>元的违约金，同时，甲方有权要求乙方在指定期限内</w:t>
      </w:r>
      <w:r>
        <w:rPr>
          <w:rFonts w:hint="eastAsia" w:ascii="宋体" w:hAnsi="宋体" w:eastAsia="宋体" w:cs="宋体"/>
          <w:color w:val="auto"/>
          <w:sz w:val="24"/>
          <w:szCs w:val="24"/>
          <w:highlight w:val="none"/>
          <w:lang w:eastAsia="zh-CN"/>
        </w:rPr>
        <w:t>制定</w:t>
      </w:r>
      <w:r>
        <w:rPr>
          <w:rFonts w:hint="eastAsia" w:ascii="宋体" w:hAnsi="宋体" w:eastAsia="宋体" w:cs="宋体"/>
          <w:color w:val="auto"/>
          <w:sz w:val="24"/>
          <w:szCs w:val="24"/>
          <w:highlight w:val="none"/>
        </w:rPr>
        <w:t>应急预案的，乙方在甲方限期内未完成应急预案编制的，甲方有权委托第三方服务单位编制应急预案，费用由乙方承担，甲方有权从乙方未付的服务费中直接抵扣。</w:t>
      </w:r>
    </w:p>
    <w:p w14:paraId="296F3C1B">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乙方在提供本合同服务过程中，如存在污泥向环境中倾倒、丢弃、遗洒等违法行为的，由此造成的后果全部由乙方承担。甲方有权要求乙方支付本合同范围内应收运输服务费总额10%的违约金，并承担由此造成的一切损失。同时，甲方有权单方解除本合同。如造成甲方受到行政处罚的，由此导致的经济损失由乙方承担赔偿责任。</w:t>
      </w:r>
    </w:p>
    <w:p w14:paraId="6996E70B">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乙方在任何情况下都不得进行任何形式的超载运输，否则造成的一切后果由乙方承担，甲方有权要求乙方每次支付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000元的违约金。</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65F9314B">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乙方在</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运输过程中不得擅自进行中间装卸操作，如发生泄漏等情况，由乙方自行承担责任，甲方有权要求乙方每次支付</w:t>
      </w:r>
      <w:r>
        <w:rPr>
          <w:rFonts w:hint="eastAsia" w:ascii="宋体" w:hAnsi="宋体" w:eastAsia="宋体" w:cs="宋体"/>
          <w:color w:val="auto"/>
          <w:sz w:val="24"/>
          <w:szCs w:val="24"/>
          <w:highlight w:val="none"/>
          <w:lang w:val="en-US" w:eastAsia="zh-CN"/>
        </w:rPr>
        <w:t>10,000</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22610181">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如因乙方运输过程中存在不规范行为而被污泥产生单位、污泥减量化服务单位、污泥处置单位投诉的，经甲方核实的，甲方有权要求乙方每次支付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000元的违约金（本合同对该违约行为约定的违约金高于本款约定的，按较高的违约金计），并要求乙方限期整改，乙方未能在甲方限期内完成整改或整改后仍不符合甲方要求的，甲方有权要求乙方支付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元违约金，并且有权单方解除本合同。</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F4255A2">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乙方在提供运输服务过程中，因发生安全事故或引起其他损失、造成不良后果的，或因违章运输</w:t>
      </w:r>
      <w:r>
        <w:rPr>
          <w:rFonts w:hint="eastAsia" w:ascii="宋体" w:hAnsi="宋体" w:eastAsia="宋体" w:cs="宋体"/>
          <w:color w:val="auto"/>
          <w:sz w:val="24"/>
          <w:szCs w:val="24"/>
          <w:highlight w:val="none"/>
          <w:lang w:val="en-US" w:eastAsia="zh-CN"/>
        </w:rPr>
        <w:t>污泥</w:t>
      </w:r>
      <w:r>
        <w:rPr>
          <w:rFonts w:hint="eastAsia" w:ascii="宋体" w:hAnsi="宋体" w:eastAsia="宋体" w:cs="宋体"/>
          <w:color w:val="auto"/>
          <w:sz w:val="24"/>
          <w:szCs w:val="24"/>
          <w:highlight w:val="none"/>
        </w:rPr>
        <w:t>而遭受有关部门的投诉或处罚，一切责任及经济损失均由乙方承担。</w:t>
      </w:r>
    </w:p>
    <w:p w14:paraId="4B73D506">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如乙方未按本合同第三条的要求制作、及时、完整地向甲方提交资料，甲方有权按以下标准要求乙方承担违约责任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p>
    <w:p w14:paraId="0BCE9581">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甲方每月统计乙方未按要求提交资料的次数，乙方按以下情形承担违约责任：</w:t>
      </w:r>
    </w:p>
    <w:p w14:paraId="0210DC45">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（1）单月首次出错的，甲方有权口头要求乙方整改；</w:t>
      </w:r>
    </w:p>
    <w:p w14:paraId="6A449AE8">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（2）单月出错次数大于等于2次且小于5次的，乙方应向甲方支付违约金500元/次；</w:t>
      </w:r>
    </w:p>
    <w:p w14:paraId="784E0BB5">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（3）单月出错次数大于等于5次且小于10次的，乙方应向甲方支付违约金1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000元/次；</w:t>
      </w:r>
    </w:p>
    <w:p w14:paraId="08B95E88">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（4）单月出错次数大于等于10次且小于20次的，乙方应向甲方支付违约金1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500元/次；</w:t>
      </w:r>
    </w:p>
    <w:p w14:paraId="015F0698">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（5）单月出错次数大于等于20次的，乙方应向甲方支付违约金2000元/次，且甲方有权单方面解除合同，同时取消乙方服务资格</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lang w:val="en-US" w:eastAsia="zh-CN"/>
        </w:rPr>
        <w:t>；</w:t>
      </w:r>
    </w:p>
    <w:p w14:paraId="4B6C335D">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8.16 乙方进行污泥运输的车辆未按甲方要求安装GPS设备或私自变更、调换GPS设备的，乙方应向甲方支付违约金1,000元/车次。本款约定的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1046322D">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8.17 乙方进行污泥运输的车辆未经甲方同意，在非甲方指定的第三方过磅点位进行称重的，甲方不予支付该车次的过磅及运输费用。</w:t>
      </w:r>
    </w:p>
    <w:p w14:paraId="4448CFF8">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8.18 未经甲方同意，乙方不得在运输过程中擅自拆卸封条，否则甲方有权要求乙方支付5,000元/次的违约金。本款约定的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11F90B">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8.19 经甲方核实，乙方存在弄虚作假虚报转移运输量或运输距离的，甲方有权要求乙方每次承担20,000元的违约金，并有权单方解除本合同。本款约定的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EA6BC76">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8.20 在本合同履行过程中，因乙方违约行为导致的索赔金额、甲方损失以及因索赔所发生的费用等，甲方有权在乙方未付款项中直接扣除。</w:t>
      </w:r>
    </w:p>
    <w:p w14:paraId="6B604E0A">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 若乙方发生本合同规定之外的任何违法行为，不得解除其在本合同下的任何责任或义务。</w:t>
      </w:r>
    </w:p>
    <w:p w14:paraId="27602C63">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 甲方现场核查发现乙方污泥运输能力不足，运输过程不规范、不符合国家、行业及主管部门的规定，存在环保风险，甲方有权要求乙方限期内完成整改并达标，否则甲方有权单方解除本合同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lang w:val="en-US" w:eastAsia="zh-CN"/>
        </w:rPr>
        <w:t>。</w:t>
      </w:r>
    </w:p>
    <w:p w14:paraId="09A79F63">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 乙方必须根据合同及附件中的各项条款，履行各项职责。如乙方未能按照合同及附件及经甲方确认的服务方案履行义务，视实际影响情况，甲方有权单方解除合同。造成甲方经济损失的，乙方应给予甲方经济赔偿，并承担相应的法律责任。</w:t>
      </w:r>
    </w:p>
    <w:p w14:paraId="571683D5">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8.24 在本合同有效期内，乙方应当保持相应资质的有效性，且具备在东莞市提供运输服务工作的资格条件。如甲方在合同履行期间，因乙方资质条件丧失，导致无法承接委托的，乙方需向甲方支付20,000元的违约金。同时甲方有权单方解除本合同，取消乙方服务资格，甲方按照本合同约定追究乙方的违约责任。</w:t>
      </w:r>
    </w:p>
    <w:p w14:paraId="6E2F03F1">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8.25 乙方必须积极响应并接受相关部门的监督检查，若受到相关部门的批评，经调查认定情况属实的，甲方有权要求乙方每次支付5,000元违约金，若因此受到相关部门行政处罚或违法处罚的，由此导致的经济损失由乙方承担赔偿责任，并有权单方解除合同，若由此给甲方造成损失的，乙方还应当承担全部赔偿责任。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5BC64DB4">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8.26 乙方违反本合同约定将合同项下乙方的权利义务全部转让给第三方，或未经甲方书面同意将部分权利义务转让给第三方的，甲方有权单方解除合同，并有权要求乙方承担20,000元违约金，若由此给甲方造成损失的，乙方还应当承担全部赔偿责任。如因乙方将乙方本合同项下全部/部分权利义务转让给第三方导致安全事故或人身损害事故，造成甲方其他损失或甲方被认定承担赔偿责任的，甲方有权向乙方追偿，前述违约金不足以弥补的甲方损失，乙方还需足额赔偿。</w:t>
      </w:r>
    </w:p>
    <w:p w14:paraId="538E9CB9">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8.27 合同履约期间</w:t>
      </w:r>
      <w:r>
        <w:rPr>
          <w:rFonts w:hint="eastAsia" w:ascii="宋体" w:hAnsi="宋体" w:eastAsia="宋体" w:cs="宋体"/>
          <w:color w:val="auto"/>
          <w:sz w:val="24"/>
          <w:szCs w:val="24"/>
          <w:highlight w:val="none"/>
          <w:lang w:val="zh-CN" w:eastAsia="zh-CN"/>
        </w:rPr>
        <w:t>甲方有权组织对</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eastAsia="zh-CN"/>
        </w:rPr>
        <w:t>单位的合法性、</w:t>
      </w:r>
      <w:r>
        <w:rPr>
          <w:rFonts w:hint="eastAsia" w:ascii="宋体" w:hAnsi="宋体" w:eastAsia="宋体" w:cs="宋体"/>
          <w:color w:val="auto"/>
          <w:sz w:val="24"/>
          <w:szCs w:val="24"/>
          <w:highlight w:val="none"/>
          <w:lang w:val="en-US" w:eastAsia="zh-CN"/>
        </w:rPr>
        <w:t>响应（报价）</w:t>
      </w:r>
      <w:r>
        <w:rPr>
          <w:rFonts w:hint="eastAsia" w:ascii="宋体" w:hAnsi="宋体" w:eastAsia="宋体" w:cs="宋体"/>
          <w:color w:val="auto"/>
          <w:sz w:val="24"/>
          <w:szCs w:val="24"/>
          <w:highlight w:val="none"/>
          <w:lang w:val="zh-CN" w:eastAsia="zh-CN"/>
        </w:rPr>
        <w:t>文件承诺的真实性、履约能力进行核查。核查内容包括但不限于：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eastAsia="zh-CN"/>
        </w:rPr>
        <w:t>资格条件、履约能力是否符合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eastAsia="zh-CN"/>
        </w:rPr>
        <w:t>文件要求及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eastAsia="zh-CN"/>
        </w:rPr>
        <w:t>文件承诺，是否已取得所属行业主管部门的许可资质或批复等。若发现乙方提供虚假证明文件、虚假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eastAsia="zh-CN"/>
        </w:rPr>
        <w:t>文件等弄虚作假行为的，或乙方未取得国家、行业主管部门规定必须的许可资质或批复的，或经现场核查乙方运输车辆、司机人员与</w:t>
      </w:r>
      <w:r>
        <w:rPr>
          <w:rFonts w:hint="eastAsia" w:ascii="宋体" w:hAnsi="宋体" w:eastAsia="宋体" w:cs="宋体"/>
          <w:color w:val="auto"/>
          <w:sz w:val="24"/>
          <w:szCs w:val="24"/>
          <w:highlight w:val="none"/>
          <w:lang w:val="en-US" w:eastAsia="zh-CN"/>
        </w:rPr>
        <w:t>响应（报价）</w:t>
      </w:r>
      <w:r>
        <w:rPr>
          <w:rFonts w:hint="eastAsia" w:ascii="宋体" w:hAnsi="宋体" w:eastAsia="宋体" w:cs="宋体"/>
          <w:color w:val="auto"/>
          <w:sz w:val="24"/>
          <w:szCs w:val="24"/>
          <w:highlight w:val="none"/>
          <w:lang w:val="zh-CN" w:eastAsia="zh-CN"/>
        </w:rPr>
        <w:t>文件不符的，甲方有权取消乙方服务资格或单方解除本合同，并</w:t>
      </w:r>
      <w:r>
        <w:rPr>
          <w:rFonts w:hint="eastAsia" w:ascii="宋体" w:hAnsi="宋体" w:eastAsia="宋体" w:cs="宋体"/>
          <w:color w:val="auto"/>
          <w:sz w:val="24"/>
          <w:szCs w:val="24"/>
          <w:highlight w:val="none"/>
        </w:rPr>
        <w:t>要求乙方支付</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lang w:val="zh-CN" w:eastAsia="zh-CN"/>
        </w:rPr>
        <w:t>。</w:t>
      </w:r>
    </w:p>
    <w:p w14:paraId="4081A86C">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8.28 </w:t>
      </w:r>
      <w:r>
        <w:rPr>
          <w:rFonts w:hint="eastAsia" w:ascii="宋体" w:hAnsi="宋体" w:eastAsia="宋体" w:cs="宋体"/>
          <w:color w:val="auto"/>
          <w:sz w:val="24"/>
          <w:szCs w:val="24"/>
          <w:highlight w:val="none"/>
          <w:lang w:val="zh-CN" w:eastAsia="zh-CN"/>
        </w:rPr>
        <w:t>运输服务期间，乙方应保持安全作业，具体要求</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lang w:val="zh-CN" w:eastAsia="zh-CN"/>
        </w:rPr>
        <w:t>车辆上路前应检查是否具备上路资格避免出现车辆故障而导致运输过程的中断；车辆应配置防火器具；驾驶人员运输前要充分休息，</w:t>
      </w:r>
      <w:r>
        <w:rPr>
          <w:rFonts w:hint="eastAsia" w:ascii="宋体" w:hAnsi="宋体" w:eastAsia="宋体" w:cs="宋体"/>
          <w:color w:val="auto"/>
          <w:sz w:val="24"/>
          <w:szCs w:val="24"/>
          <w:highlight w:val="none"/>
          <w:lang w:val="en-US" w:eastAsia="zh-CN"/>
        </w:rPr>
        <w:t>严禁超过4小时连续驾驶、</w:t>
      </w:r>
      <w:r>
        <w:rPr>
          <w:rFonts w:hint="eastAsia" w:ascii="宋体" w:hAnsi="宋体" w:eastAsia="宋体" w:cs="宋体"/>
          <w:color w:val="auto"/>
          <w:sz w:val="24"/>
          <w:szCs w:val="24"/>
          <w:highlight w:val="none"/>
          <w:lang w:val="zh-CN" w:eastAsia="zh-CN"/>
        </w:rPr>
        <w:t>严禁在接班前和运输工作中饮酒；</w:t>
      </w:r>
      <w:r>
        <w:rPr>
          <w:rFonts w:hint="eastAsia" w:ascii="宋体" w:hAnsi="宋体" w:eastAsia="宋体" w:cs="宋体"/>
          <w:color w:val="auto"/>
          <w:sz w:val="24"/>
          <w:szCs w:val="24"/>
          <w:highlight w:val="none"/>
          <w:lang w:val="en-US" w:eastAsia="zh-CN"/>
        </w:rPr>
        <w:t>到达处置点后应</w:t>
      </w:r>
      <w:r>
        <w:rPr>
          <w:rFonts w:hint="eastAsia" w:ascii="宋体" w:hAnsi="宋体" w:eastAsia="宋体" w:cs="宋体"/>
          <w:color w:val="auto"/>
          <w:sz w:val="24"/>
          <w:szCs w:val="24"/>
          <w:highlight w:val="none"/>
          <w:lang w:val="zh-CN" w:eastAsia="zh-CN"/>
        </w:rPr>
        <w:t>加强安全</w:t>
      </w:r>
      <w:r>
        <w:rPr>
          <w:rFonts w:hint="eastAsia" w:ascii="宋体" w:hAnsi="宋体" w:eastAsia="宋体" w:cs="宋体"/>
          <w:color w:val="auto"/>
          <w:sz w:val="24"/>
          <w:szCs w:val="24"/>
          <w:highlight w:val="none"/>
          <w:lang w:val="en-US" w:eastAsia="zh-CN"/>
        </w:rPr>
        <w:t>意识</w:t>
      </w:r>
      <w:r>
        <w:rPr>
          <w:rFonts w:hint="eastAsia" w:ascii="宋体" w:hAnsi="宋体" w:eastAsia="宋体" w:cs="宋体"/>
          <w:color w:val="auto"/>
          <w:sz w:val="24"/>
          <w:szCs w:val="24"/>
          <w:highlight w:val="none"/>
          <w:lang w:val="zh-CN" w:eastAsia="zh-CN"/>
        </w:rPr>
        <w:t>，杜绝围车</w:t>
      </w:r>
      <w:r>
        <w:rPr>
          <w:rFonts w:hint="eastAsia" w:ascii="宋体" w:hAnsi="宋体" w:eastAsia="宋体" w:cs="宋体"/>
          <w:color w:val="auto"/>
          <w:sz w:val="24"/>
          <w:szCs w:val="24"/>
          <w:highlight w:val="none"/>
          <w:lang w:val="en-US" w:eastAsia="zh-CN"/>
        </w:rPr>
        <w:t>堵门</w:t>
      </w:r>
      <w:r>
        <w:rPr>
          <w:rFonts w:hint="eastAsia" w:ascii="宋体" w:hAnsi="宋体" w:eastAsia="宋体" w:cs="宋体"/>
          <w:color w:val="auto"/>
          <w:sz w:val="24"/>
          <w:szCs w:val="24"/>
          <w:highlight w:val="none"/>
          <w:lang w:val="zh-CN" w:eastAsia="zh-CN"/>
        </w:rPr>
        <w:t>，保持</w:t>
      </w:r>
      <w:r>
        <w:rPr>
          <w:rFonts w:hint="eastAsia" w:ascii="宋体" w:hAnsi="宋体" w:eastAsia="宋体" w:cs="宋体"/>
          <w:color w:val="auto"/>
          <w:sz w:val="24"/>
          <w:szCs w:val="24"/>
          <w:highlight w:val="none"/>
          <w:lang w:val="en-US" w:eastAsia="zh-CN"/>
        </w:rPr>
        <w:t>甲方、污泥产生单位及厂区单位现场</w:t>
      </w:r>
      <w:r>
        <w:rPr>
          <w:rFonts w:hint="eastAsia" w:ascii="宋体" w:hAnsi="宋体" w:eastAsia="宋体" w:cs="宋体"/>
          <w:color w:val="auto"/>
          <w:sz w:val="24"/>
          <w:szCs w:val="24"/>
          <w:highlight w:val="none"/>
          <w:lang w:val="zh-CN" w:eastAsia="zh-CN"/>
        </w:rPr>
        <w:t>良好的治安环境</w:t>
      </w:r>
      <w:r>
        <w:rPr>
          <w:rFonts w:hint="eastAsia" w:ascii="宋体" w:hAnsi="宋体" w:eastAsia="宋体" w:cs="宋体"/>
          <w:color w:val="auto"/>
          <w:sz w:val="24"/>
          <w:szCs w:val="24"/>
          <w:highlight w:val="none"/>
          <w:lang w:val="en-US" w:eastAsia="zh-CN"/>
        </w:rPr>
        <w:t>及出入秩序</w:t>
      </w:r>
      <w:r>
        <w:rPr>
          <w:rFonts w:hint="eastAsia" w:ascii="宋体" w:hAnsi="宋体" w:eastAsia="宋体" w:cs="宋体"/>
          <w:color w:val="auto"/>
          <w:sz w:val="24"/>
          <w:szCs w:val="24"/>
          <w:highlight w:val="none"/>
          <w:lang w:val="zh-CN" w:eastAsia="zh-CN"/>
        </w:rPr>
        <w:t>。乙方违反前述任一要求的，</w:t>
      </w:r>
      <w:r>
        <w:rPr>
          <w:rFonts w:hint="eastAsia" w:ascii="宋体" w:hAnsi="宋体" w:eastAsia="宋体" w:cs="宋体"/>
          <w:color w:val="auto"/>
          <w:sz w:val="24"/>
          <w:szCs w:val="24"/>
          <w:highlight w:val="none"/>
          <w:lang w:val="en-US" w:eastAsia="zh-CN"/>
        </w:rPr>
        <w:t>每违反一处，需向甲方支付2,000元的违约金，同时甲方有权根据实际情况单方解除合同。造成甲方经济损失的，乙方应足额赔偿，并承担相应的法律责任。本款约定的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208A03C9">
      <w:pPr>
        <w:wordWrap/>
        <w:spacing w:line="360" w:lineRule="auto"/>
        <w:ind w:firstLine="482" w:firstLineChars="201"/>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8.29 在本合同有效期内，乙方违反本合同其他约定的，甲方有权提出书面意见要求限期改正，如乙方拒不改正、怠于改正或改正后仍不符合甲方要求的，甲方有权单方解除本合同，并要求乙方支付20,000元的违约金。本款约定的</w:t>
      </w:r>
      <w:r>
        <w:rPr>
          <w:rFonts w:hint="eastAsia" w:ascii="宋体" w:hAnsi="宋体" w:eastAsia="宋体" w:cs="宋体"/>
          <w:color w:val="auto"/>
          <w:sz w:val="24"/>
          <w:szCs w:val="24"/>
          <w:highlight w:val="none"/>
        </w:rPr>
        <w:t>违约金累计总额最高不超过</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另外，甲方有权另行委托第三方履行，产生的相应费用由乙方承担。</w:t>
      </w:r>
    </w:p>
    <w:p w14:paraId="24CFA13A">
      <w:pPr>
        <w:wordWrap/>
        <w:spacing w:line="360" w:lineRule="auto"/>
        <w:ind w:firstLine="482" w:firstLineChars="20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8.30 </w:t>
      </w:r>
      <w:r>
        <w:rPr>
          <w:rFonts w:hint="eastAsia" w:ascii="宋体" w:hAnsi="宋体" w:eastAsia="宋体" w:cs="宋体"/>
          <w:color w:val="auto"/>
          <w:sz w:val="24"/>
          <w:szCs w:val="24"/>
          <w:highlight w:val="none"/>
          <w:lang w:eastAsia="zh-C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违约金</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lang w:eastAsia="zh-CN"/>
        </w:rPr>
        <w:t xml:space="preserve">元；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27C00B08">
      <w:pPr>
        <w:wordWrap/>
        <w:spacing w:line="360" w:lineRule="auto"/>
        <w:ind w:firstLine="482" w:firstLineChars="201"/>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31 </w:t>
      </w:r>
      <w:r>
        <w:rPr>
          <w:rFonts w:hint="eastAsia" w:ascii="宋体" w:hAnsi="宋体" w:eastAsia="宋体" w:cs="宋体"/>
          <w:color w:val="auto"/>
          <w:sz w:val="24"/>
          <w:szCs w:val="24"/>
          <w:highlight w:val="none"/>
          <w:lang w:eastAsia="zh-CN"/>
        </w:rPr>
        <w:t>乙方违反本合同约定或未按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文件中承诺的事项履约，合同对违约责任有特别约定的，适用该特别约定；无特别约定的，甲方有权要求乙方向甲方支付违约金</w:t>
      </w:r>
      <w:r>
        <w:rPr>
          <w:rFonts w:hint="eastAsia" w:ascii="宋体" w:hAnsi="宋体" w:eastAsia="宋体" w:cs="宋体"/>
          <w:color w:val="auto"/>
          <w:sz w:val="24"/>
          <w:szCs w:val="24"/>
          <w:highlight w:val="none"/>
          <w:lang w:val="en-US" w:eastAsia="zh-CN"/>
        </w:rPr>
        <w:t>2,000</w:t>
      </w:r>
      <w:r>
        <w:rPr>
          <w:rFonts w:hint="eastAsia" w:ascii="宋体" w:hAnsi="宋体" w:eastAsia="宋体" w:cs="宋体"/>
          <w:color w:val="auto"/>
          <w:sz w:val="24"/>
          <w:szCs w:val="24"/>
          <w:highlight w:val="none"/>
          <w:lang w:eastAsia="zh-CN"/>
        </w:rPr>
        <w:t>元。违约金不足以弥补甲方因此所受损失的，乙方应予以补足。</w:t>
      </w:r>
    </w:p>
    <w:p w14:paraId="2B838BF6">
      <w:pPr>
        <w:rPr>
          <w:rFonts w:hint="eastAsia" w:ascii="宋体" w:hAnsi="宋体" w:eastAsia="宋体" w:cs="宋体"/>
          <w:color w:val="auto"/>
          <w:sz w:val="24"/>
          <w:szCs w:val="24"/>
          <w:highlight w:val="none"/>
        </w:rPr>
      </w:pPr>
    </w:p>
    <w:p w14:paraId="5D5EA628">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其它约定</w:t>
      </w:r>
    </w:p>
    <w:p w14:paraId="0613CFD1">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在合同期内，非因甲方原因，乙方未能按要求做好运输工作，造成甲方、乙方、第三方的人身和财产损失，由乙方独自承担法律和经济责任。因此造成甲方损失的，乙方应承担赔偿责任。</w:t>
      </w:r>
    </w:p>
    <w:p w14:paraId="36117903">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乙方承诺将严格遵守甲方（或甲方上级单位）提出或调整的日常管理制度或相关管理要求。乙方服务期间，出现不服从甲方（或甲方上级单位）提出或调整的日常管理制度或相关管理要求，甲方有权取消其服务资格。</w:t>
      </w:r>
    </w:p>
    <w:p w14:paraId="2B35650A">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合同履行期间，如</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上级单位调整污泥运输工作部署或应主管部门要求，需由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自行实施污泥运输工作的，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有权单方提前解除服务合同。</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不得因此要求</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上级单位给予任何补偿或赔偿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甲方也无需为此承担违约责任</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提前解除服务合同的，应至少提前30</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以书面形式通知</w:t>
      </w:r>
      <w:r>
        <w:rPr>
          <w:rFonts w:hint="eastAsia" w:ascii="宋体" w:hAnsi="宋体" w:eastAsia="宋体" w:cs="宋体"/>
          <w:color w:val="auto"/>
          <w:sz w:val="24"/>
          <w:szCs w:val="24"/>
          <w:highlight w:val="none"/>
          <w:lang w:val="en-US" w:eastAsia="zh-CN"/>
        </w:rPr>
        <w:t>乙方。</w:t>
      </w:r>
    </w:p>
    <w:p w14:paraId="14674009">
      <w:pPr>
        <w:wordWrap/>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9.4 </w:t>
      </w:r>
      <w:r>
        <w:rPr>
          <w:rFonts w:hint="eastAsia" w:ascii="宋体" w:hAnsi="宋体" w:eastAsia="宋体" w:cs="宋体"/>
          <w:color w:val="auto"/>
          <w:sz w:val="24"/>
          <w:szCs w:val="24"/>
          <w:highlight w:val="none"/>
        </w:rPr>
        <w:t xml:space="preserve"> 乙方应保证提供服务不侵犯第三方的合法权益，如第三方以本合同服务侵权为由提起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鉴定费、差旅费以及甲方依法向第三方支付的赔偿款等全部费用）。</w:t>
      </w:r>
    </w:p>
    <w:p w14:paraId="6F3A3F9C">
      <w:pPr>
        <w:wordWrap/>
        <w:spacing w:line="360" w:lineRule="auto"/>
        <w:ind w:left="0" w:leftChars="0" w:right="0" w:firstLine="470" w:firstLineChars="196"/>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9.5 </w:t>
      </w:r>
      <w:r>
        <w:rPr>
          <w:rFonts w:hint="eastAsia" w:ascii="宋体" w:hAnsi="宋体" w:eastAsia="宋体" w:cs="宋体"/>
          <w:b w:val="0"/>
          <w:bCs/>
          <w:color w:val="auto"/>
          <w:sz w:val="24"/>
          <w:szCs w:val="24"/>
          <w:highlight w:val="none"/>
        </w:rPr>
        <w:t>自</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提前解除服务合同书面通知中明确的合同终止之日起，</w:t>
      </w:r>
      <w:r>
        <w:rPr>
          <w:rFonts w:hint="eastAsia" w:ascii="宋体" w:hAnsi="宋体" w:eastAsia="宋体" w:cs="宋体"/>
          <w:b w:val="0"/>
          <w:bCs/>
          <w:color w:val="auto"/>
          <w:sz w:val="24"/>
          <w:szCs w:val="24"/>
          <w:highlight w:val="none"/>
          <w:lang w:val="en-US" w:eastAsia="zh-CN"/>
        </w:rPr>
        <w:t>甲、乙</w:t>
      </w:r>
      <w:r>
        <w:rPr>
          <w:rFonts w:hint="eastAsia" w:ascii="宋体" w:hAnsi="宋体" w:eastAsia="宋体" w:cs="宋体"/>
          <w:b w:val="0"/>
          <w:bCs/>
          <w:color w:val="auto"/>
          <w:sz w:val="24"/>
          <w:szCs w:val="24"/>
          <w:highlight w:val="none"/>
        </w:rPr>
        <w:t>双方权利义务终止，</w:t>
      </w:r>
      <w:r>
        <w:rPr>
          <w:rFonts w:hint="eastAsia" w:ascii="宋体" w:hAnsi="宋体" w:eastAsia="宋体" w:cs="宋体"/>
          <w:b w:val="0"/>
          <w:bCs/>
          <w:color w:val="auto"/>
          <w:sz w:val="24"/>
          <w:szCs w:val="24"/>
          <w:highlight w:val="none"/>
          <w:lang w:val="en-US" w:eastAsia="zh-CN"/>
        </w:rPr>
        <w:t>乙方</w:t>
      </w:r>
      <w:r>
        <w:rPr>
          <w:rFonts w:hint="eastAsia" w:ascii="宋体" w:hAnsi="宋体" w:eastAsia="宋体" w:cs="宋体"/>
          <w:b w:val="0"/>
          <w:bCs/>
          <w:color w:val="auto"/>
          <w:sz w:val="24"/>
          <w:szCs w:val="24"/>
          <w:highlight w:val="none"/>
        </w:rPr>
        <w:t>应配合</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做好项目交接工作。</w:t>
      </w:r>
    </w:p>
    <w:p w14:paraId="39D0F6BB">
      <w:pPr>
        <w:pStyle w:val="31"/>
        <w:rPr>
          <w:rFonts w:hint="eastAsia" w:ascii="宋体" w:hAnsi="宋体" w:eastAsia="宋体" w:cs="宋体"/>
          <w:color w:val="auto"/>
          <w:highlight w:val="none"/>
          <w:lang w:val="en-US" w:eastAsia="zh-CN"/>
        </w:rPr>
      </w:pPr>
    </w:p>
    <w:p w14:paraId="6DAFB0AE">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争议解决</w:t>
      </w:r>
    </w:p>
    <w:p w14:paraId="542D7E25">
      <w:pPr>
        <w:wordWrap/>
        <w:spacing w:line="360" w:lineRule="auto"/>
        <w:ind w:left="0" w:leftChars="0" w:right="0" w:firstLine="470" w:firstLineChars="196"/>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双方在履约中发生争执和分歧，双方应通过友好协商解决，如不能通过友好协商解决的，任何一方均可向甲方住所地有管辖权的人民法院提起诉讼解决。</w:t>
      </w:r>
    </w:p>
    <w:p w14:paraId="1A7D95AD">
      <w:pPr>
        <w:wordWrap/>
        <w:spacing w:line="360" w:lineRule="auto"/>
        <w:ind w:left="0" w:leftChars="0" w:right="0" w:firstLine="470" w:firstLineChars="196"/>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2EC5C0A">
      <w:pPr>
        <w:wordWrap/>
        <w:spacing w:line="360" w:lineRule="auto"/>
        <w:ind w:left="0" w:leftChars="0" w:right="0" w:firstLine="470" w:firstLineChars="196"/>
        <w:jc w:val="both"/>
        <w:textAlignment w:val="auto"/>
        <w:outlineLvl w:val="9"/>
        <w:rPr>
          <w:rFonts w:hint="eastAsia" w:ascii="宋体" w:hAnsi="宋体" w:eastAsia="宋体" w:cs="宋体"/>
          <w:color w:val="auto"/>
          <w:sz w:val="24"/>
          <w:szCs w:val="24"/>
          <w:highlight w:val="none"/>
        </w:rPr>
      </w:pPr>
    </w:p>
    <w:p w14:paraId="53DCF2B0">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条 不可抗力</w:t>
      </w:r>
    </w:p>
    <w:p w14:paraId="2AB8D276">
      <w:pPr>
        <w:wordWrap/>
        <w:spacing w:line="360" w:lineRule="auto"/>
        <w:ind w:left="0" w:leftChars="0" w:right="0" w:firstLine="470" w:firstLineChars="196"/>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 15 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14:paraId="52CD3050">
      <w:pPr>
        <w:wordWrap/>
        <w:spacing w:line="360" w:lineRule="auto"/>
        <w:ind w:left="0" w:leftChars="0" w:right="0" w:firstLine="484" w:firstLineChars="201"/>
        <w:jc w:val="both"/>
        <w:textAlignment w:val="auto"/>
        <w:outlineLvl w:val="9"/>
        <w:rPr>
          <w:rFonts w:hint="eastAsia" w:ascii="宋体" w:hAnsi="宋体" w:eastAsia="宋体" w:cs="宋体"/>
          <w:b/>
          <w:color w:val="auto"/>
          <w:sz w:val="24"/>
          <w:szCs w:val="24"/>
          <w:highlight w:val="none"/>
        </w:rPr>
      </w:pPr>
    </w:p>
    <w:p w14:paraId="1EAC0F98">
      <w:pPr>
        <w:widowControl w:val="0"/>
        <w:wordWrap/>
        <w:adjustRightInd/>
        <w:snapToGrid/>
        <w:spacing w:line="360" w:lineRule="auto"/>
        <w:ind w:left="0" w:leftChars="0" w:right="0" w:firstLine="482" w:firstLineChars="200"/>
        <w:jc w:val="both"/>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十二</w:t>
      </w:r>
      <w:r>
        <w:rPr>
          <w:rFonts w:hint="eastAsia" w:ascii="宋体" w:hAnsi="宋体" w:eastAsia="宋体" w:cs="宋体"/>
          <w:b/>
          <w:bCs/>
          <w:color w:val="auto"/>
          <w:sz w:val="24"/>
          <w:szCs w:val="24"/>
          <w:highlight w:val="none"/>
        </w:rPr>
        <w:t xml:space="preserve">条 </w:t>
      </w:r>
      <w:r>
        <w:rPr>
          <w:rFonts w:hint="eastAsia" w:ascii="宋体" w:hAnsi="宋体" w:eastAsia="宋体" w:cs="宋体"/>
          <w:b/>
          <w:bCs/>
          <w:color w:val="auto"/>
          <w:sz w:val="24"/>
          <w:szCs w:val="24"/>
          <w:highlight w:val="none"/>
          <w:lang w:val="en-US" w:eastAsia="zh-CN"/>
        </w:rPr>
        <w:t xml:space="preserve">其他   </w:t>
      </w:r>
    </w:p>
    <w:p w14:paraId="740CC2E2">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乙方在签订本合同时，须与甲方签订《安全生产管理协议》。乙方人员在甲方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7F3C69C7">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US" w:eastAsia="zh-CN"/>
        </w:rPr>
        <w:t xml:space="preserve">  肆 </w:t>
      </w:r>
      <w:r>
        <w:rPr>
          <w:rFonts w:hint="eastAsia" w:ascii="宋体" w:hAnsi="宋体" w:eastAsia="宋体" w:cs="宋体"/>
          <w:color w:val="auto"/>
          <w:sz w:val="24"/>
          <w:szCs w:val="24"/>
          <w:highlight w:val="none"/>
        </w:rPr>
        <w:t>份，具有同等法律效力。甲方执</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lang w:val="en-US" w:eastAsia="zh-CN"/>
        </w:rPr>
        <w:t xml:space="preserve">  壹  </w:t>
      </w:r>
      <w:r>
        <w:rPr>
          <w:rFonts w:hint="eastAsia" w:ascii="宋体" w:hAnsi="宋体" w:eastAsia="宋体" w:cs="宋体"/>
          <w:color w:val="auto"/>
          <w:sz w:val="24"/>
          <w:szCs w:val="24"/>
          <w:highlight w:val="none"/>
        </w:rPr>
        <w:t>份。</w:t>
      </w:r>
    </w:p>
    <w:p w14:paraId="1B19113F">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本合同经双方盖章、并由双方法定代表人签字后生效。</w:t>
      </w:r>
    </w:p>
    <w:p w14:paraId="62E982D5">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本合同未尽事宜，由双方协商处理，协商后所签订的补充协议与本合同具有同等效力。</w:t>
      </w:r>
    </w:p>
    <w:p w14:paraId="5A00A6F6">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且乙方不得以附件内容冲突主张合同条款无效。</w:t>
      </w:r>
    </w:p>
    <w:p w14:paraId="6375B882">
      <w:pPr>
        <w:wordWrap/>
        <w:spacing w:line="360" w:lineRule="auto"/>
        <w:ind w:left="0" w:leftChars="0" w:right="0" w:firstLine="482" w:firstLineChars="201"/>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70B30739">
      <w:pPr>
        <w:pStyle w:val="62"/>
        <w:wordWrap/>
        <w:spacing w:line="360" w:lineRule="auto"/>
        <w:ind w:firstLine="482" w:firstLineChars="201"/>
        <w:textAlignment w:val="auto"/>
        <w:rPr>
          <w:rFonts w:hint="eastAsia" w:ascii="宋体" w:hAnsi="宋体" w:eastAsia="宋体" w:cs="宋体"/>
          <w:color w:val="auto"/>
          <w:sz w:val="24"/>
          <w:szCs w:val="24"/>
          <w:highlight w:val="none"/>
          <w:lang w:val="en-US" w:eastAsia="zh-CN"/>
        </w:rPr>
      </w:pPr>
    </w:p>
    <w:p w14:paraId="3B78AB40">
      <w:pPr>
        <w:pStyle w:val="62"/>
        <w:wordWrap/>
        <w:ind w:left="0" w:leftChars="0" w:right="0" w:firstLine="482" w:firstLineChars="201"/>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附件一：用户需求书；附件二：</w:t>
      </w:r>
      <w:r>
        <w:rPr>
          <w:rFonts w:hint="eastAsia" w:ascii="宋体" w:hAnsi="宋体" w:eastAsia="宋体" w:cs="宋体"/>
          <w:color w:val="auto"/>
          <w:sz w:val="24"/>
          <w:szCs w:val="24"/>
          <w:highlight w:val="none"/>
        </w:rPr>
        <w:t>安全生产管理协议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附件三：阳光合作告知函。</w:t>
      </w:r>
    </w:p>
    <w:p w14:paraId="5D49E74D">
      <w:pPr>
        <w:pageBreakBefore/>
        <w:wordWrap/>
        <w:spacing w:line="360" w:lineRule="auto"/>
        <w:ind w:left="-708" w:leftChars="-295" w:right="-482" w:firstLine="1132" w:firstLineChars="470"/>
        <w:textAlignment w:val="auto"/>
        <w:rPr>
          <w:rFonts w:hint="eastAsia" w:ascii="宋体" w:hAnsi="宋体" w:eastAsia="宋体" w:cs="宋体"/>
          <w:b/>
          <w:color w:val="auto"/>
          <w:sz w:val="24"/>
          <w:szCs w:val="24"/>
          <w:highlight w:val="none"/>
        </w:rPr>
      </w:pPr>
    </w:p>
    <w:tbl>
      <w:tblPr>
        <w:tblStyle w:val="26"/>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243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3C4FC5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甲方（盖章）：东莞市尚源环能科技有限公司</w:t>
            </w:r>
          </w:p>
          <w:p w14:paraId="04D4820F">
            <w:pPr>
              <w:spacing w:line="360" w:lineRule="auto"/>
              <w:jc w:val="both"/>
              <w:rPr>
                <w:rFonts w:hint="eastAsia" w:ascii="宋体" w:hAnsi="宋体" w:eastAsia="宋体" w:cs="宋体"/>
                <w:color w:val="auto"/>
                <w:sz w:val="24"/>
                <w:szCs w:val="24"/>
                <w:highlight w:val="none"/>
              </w:rPr>
            </w:pPr>
          </w:p>
        </w:tc>
        <w:tc>
          <w:tcPr>
            <w:tcW w:w="5102" w:type="dxa"/>
            <w:tcBorders>
              <w:tl2br w:val="nil"/>
              <w:tr2bl w:val="nil"/>
            </w:tcBorders>
            <w:tcMar>
              <w:top w:w="0" w:type="dxa"/>
              <w:left w:w="57" w:type="dxa"/>
              <w:bottom w:w="0" w:type="dxa"/>
              <w:right w:w="57" w:type="dxa"/>
            </w:tcMar>
          </w:tcPr>
          <w:p w14:paraId="7711003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tc>
      </w:tr>
      <w:tr w14:paraId="20D3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7ACEA11">
            <w:pPr>
              <w:spacing w:line="360" w:lineRule="auto"/>
              <w:jc w:val="both"/>
              <w:rPr>
                <w:rFonts w:hint="eastAsia" w:ascii="宋体" w:hAnsi="宋体" w:eastAsia="宋体" w:cs="宋体"/>
                <w:color w:val="auto"/>
                <w:sz w:val="24"/>
                <w:szCs w:val="24"/>
                <w:highlight w:val="none"/>
              </w:rPr>
            </w:pPr>
          </w:p>
          <w:p w14:paraId="51AC61C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5102" w:type="dxa"/>
            <w:tcBorders>
              <w:tl2br w:val="nil"/>
              <w:tr2bl w:val="nil"/>
            </w:tcBorders>
            <w:tcMar>
              <w:top w:w="0" w:type="dxa"/>
              <w:left w:w="57" w:type="dxa"/>
              <w:bottom w:w="0" w:type="dxa"/>
              <w:right w:w="57" w:type="dxa"/>
            </w:tcMar>
          </w:tcPr>
          <w:p w14:paraId="2E65CEC9">
            <w:pPr>
              <w:spacing w:line="360" w:lineRule="auto"/>
              <w:jc w:val="both"/>
              <w:rPr>
                <w:rFonts w:hint="eastAsia" w:ascii="宋体" w:hAnsi="宋体" w:eastAsia="宋体" w:cs="宋体"/>
                <w:color w:val="auto"/>
                <w:sz w:val="24"/>
                <w:szCs w:val="24"/>
                <w:highlight w:val="none"/>
              </w:rPr>
            </w:pPr>
          </w:p>
          <w:p w14:paraId="5D304BA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6CB0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04F82D9">
            <w:pPr>
              <w:spacing w:line="360" w:lineRule="auto"/>
              <w:jc w:val="both"/>
              <w:rPr>
                <w:rFonts w:hint="eastAsia" w:ascii="宋体" w:hAnsi="宋体" w:eastAsia="宋体" w:cs="宋体"/>
                <w:color w:val="auto"/>
                <w:sz w:val="24"/>
                <w:szCs w:val="24"/>
                <w:highlight w:val="none"/>
              </w:rPr>
            </w:pPr>
          </w:p>
          <w:p w14:paraId="6DA0A0C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地址：广东省东莞市沙田镇立沙中路</w:t>
            </w:r>
          </w:p>
        </w:tc>
        <w:tc>
          <w:tcPr>
            <w:tcW w:w="5102" w:type="dxa"/>
            <w:tcBorders>
              <w:tl2br w:val="nil"/>
              <w:tr2bl w:val="nil"/>
            </w:tcBorders>
            <w:tcMar>
              <w:top w:w="0" w:type="dxa"/>
              <w:left w:w="57" w:type="dxa"/>
              <w:bottom w:w="0" w:type="dxa"/>
              <w:right w:w="57" w:type="dxa"/>
            </w:tcMar>
            <w:vAlign w:val="top"/>
          </w:tcPr>
          <w:p w14:paraId="7EC43E50">
            <w:pPr>
              <w:spacing w:line="360" w:lineRule="auto"/>
              <w:ind w:left="720" w:hanging="720" w:hangingChars="300"/>
              <w:jc w:val="both"/>
              <w:rPr>
                <w:rFonts w:hint="eastAsia" w:ascii="宋体" w:hAnsi="宋体" w:eastAsia="宋体" w:cs="宋体"/>
                <w:color w:val="auto"/>
                <w:sz w:val="24"/>
                <w:szCs w:val="24"/>
                <w:highlight w:val="none"/>
              </w:rPr>
            </w:pPr>
          </w:p>
          <w:p w14:paraId="6777334F">
            <w:pPr>
              <w:spacing w:line="360" w:lineRule="auto"/>
              <w:ind w:left="720" w:leftChars="0" w:hanging="720" w:hanging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r>
      <w:tr w14:paraId="5FA7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E544F52">
            <w:pPr>
              <w:spacing w:line="360" w:lineRule="auto"/>
              <w:jc w:val="both"/>
              <w:rPr>
                <w:rFonts w:hint="eastAsia" w:ascii="宋体" w:hAnsi="宋体" w:eastAsia="宋体" w:cs="宋体"/>
                <w:color w:val="auto"/>
                <w:sz w:val="24"/>
                <w:szCs w:val="24"/>
                <w:highlight w:val="none"/>
              </w:rPr>
            </w:pPr>
          </w:p>
        </w:tc>
        <w:tc>
          <w:tcPr>
            <w:tcW w:w="5102" w:type="dxa"/>
            <w:tcBorders>
              <w:tl2br w:val="nil"/>
              <w:tr2bl w:val="nil"/>
            </w:tcBorders>
            <w:tcMar>
              <w:top w:w="0" w:type="dxa"/>
              <w:left w:w="57" w:type="dxa"/>
              <w:bottom w:w="0" w:type="dxa"/>
              <w:right w:w="57" w:type="dxa"/>
            </w:tcMar>
            <w:vAlign w:val="top"/>
          </w:tcPr>
          <w:p w14:paraId="1373E1B8">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2EDD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911261B">
            <w:pPr>
              <w:spacing w:line="360" w:lineRule="auto"/>
              <w:jc w:val="both"/>
              <w:rPr>
                <w:rFonts w:hint="eastAsia" w:ascii="宋体" w:hAnsi="宋体" w:eastAsia="宋体" w:cs="宋体"/>
                <w:color w:val="auto"/>
                <w:sz w:val="24"/>
                <w:szCs w:val="24"/>
                <w:highlight w:val="none"/>
              </w:rPr>
            </w:pPr>
          </w:p>
        </w:tc>
        <w:tc>
          <w:tcPr>
            <w:tcW w:w="5102" w:type="dxa"/>
            <w:tcBorders>
              <w:tl2br w:val="nil"/>
              <w:tr2bl w:val="nil"/>
            </w:tcBorders>
            <w:tcMar>
              <w:top w:w="0" w:type="dxa"/>
              <w:left w:w="57" w:type="dxa"/>
              <w:bottom w:w="0" w:type="dxa"/>
              <w:right w:w="57" w:type="dxa"/>
            </w:tcMar>
            <w:vAlign w:val="top"/>
          </w:tcPr>
          <w:p w14:paraId="11EF92C2">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303C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EC49236">
            <w:pPr>
              <w:spacing w:line="360" w:lineRule="auto"/>
              <w:jc w:val="both"/>
              <w:rPr>
                <w:rFonts w:hint="eastAsia" w:ascii="宋体" w:hAnsi="宋体" w:eastAsia="宋体" w:cs="宋体"/>
                <w:color w:val="auto"/>
                <w:sz w:val="24"/>
                <w:szCs w:val="24"/>
                <w:highlight w:val="none"/>
              </w:rPr>
            </w:pPr>
          </w:p>
        </w:tc>
        <w:tc>
          <w:tcPr>
            <w:tcW w:w="5102" w:type="dxa"/>
            <w:tcBorders>
              <w:tl2br w:val="nil"/>
              <w:tr2bl w:val="nil"/>
            </w:tcBorders>
            <w:tcMar>
              <w:top w:w="0" w:type="dxa"/>
              <w:left w:w="57" w:type="dxa"/>
              <w:bottom w:w="0" w:type="dxa"/>
              <w:right w:w="57" w:type="dxa"/>
            </w:tcMar>
            <w:vAlign w:val="top"/>
          </w:tcPr>
          <w:p w14:paraId="2629E4D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7C28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9AA71C2">
            <w:pPr>
              <w:spacing w:line="360" w:lineRule="auto"/>
              <w:jc w:val="both"/>
              <w:rPr>
                <w:rFonts w:hint="eastAsia" w:ascii="宋体" w:hAnsi="宋体" w:eastAsia="宋体" w:cs="宋体"/>
                <w:color w:val="auto"/>
                <w:sz w:val="24"/>
                <w:szCs w:val="24"/>
                <w:highlight w:val="none"/>
              </w:rPr>
            </w:pPr>
          </w:p>
        </w:tc>
        <w:tc>
          <w:tcPr>
            <w:tcW w:w="5102" w:type="dxa"/>
            <w:tcBorders>
              <w:tl2br w:val="nil"/>
              <w:tr2bl w:val="nil"/>
            </w:tcBorders>
            <w:tcMar>
              <w:top w:w="0" w:type="dxa"/>
              <w:left w:w="57" w:type="dxa"/>
              <w:bottom w:w="0" w:type="dxa"/>
              <w:right w:w="57" w:type="dxa"/>
            </w:tcMar>
            <w:vAlign w:val="top"/>
          </w:tcPr>
          <w:p w14:paraId="3ADAEFA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r>
      <w:tr w14:paraId="5AFC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CC6BE94">
            <w:pPr>
              <w:spacing w:line="360" w:lineRule="auto"/>
              <w:jc w:val="both"/>
              <w:rPr>
                <w:rFonts w:hint="eastAsia" w:ascii="宋体" w:hAnsi="宋体" w:eastAsia="宋体" w:cs="宋体"/>
                <w:color w:val="auto"/>
                <w:sz w:val="24"/>
                <w:szCs w:val="24"/>
                <w:highlight w:val="none"/>
              </w:rPr>
            </w:pPr>
          </w:p>
        </w:tc>
        <w:tc>
          <w:tcPr>
            <w:tcW w:w="5102" w:type="dxa"/>
            <w:tcBorders>
              <w:tl2br w:val="nil"/>
              <w:tr2bl w:val="nil"/>
            </w:tcBorders>
            <w:tcMar>
              <w:top w:w="0" w:type="dxa"/>
              <w:left w:w="57" w:type="dxa"/>
              <w:bottom w:w="0" w:type="dxa"/>
              <w:right w:w="57" w:type="dxa"/>
            </w:tcMar>
            <w:vAlign w:val="top"/>
          </w:tcPr>
          <w:p w14:paraId="2F89F80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税号：</w:t>
            </w:r>
          </w:p>
        </w:tc>
      </w:tr>
    </w:tbl>
    <w:p w14:paraId="4AA61338">
      <w:pPr>
        <w:spacing w:line="360" w:lineRule="auto"/>
        <w:rPr>
          <w:rFonts w:hint="eastAsia" w:ascii="宋体" w:hAnsi="宋体" w:eastAsia="宋体" w:cs="宋体"/>
          <w:color w:val="auto"/>
          <w:sz w:val="24"/>
          <w:szCs w:val="24"/>
          <w:highlight w:val="none"/>
        </w:rPr>
      </w:pPr>
    </w:p>
    <w:p w14:paraId="1E1AE8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   </w:t>
      </w:r>
    </w:p>
    <w:p w14:paraId="0F714E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签订地点：广东省东莞市</w:t>
      </w:r>
    </w:p>
    <w:p w14:paraId="16F3657D">
      <w:pPr>
        <w:pageBreakBefore/>
        <w:kinsoku/>
        <w:overflowPunct/>
        <w:topLinePunct w:val="0"/>
        <w:bidi w:val="0"/>
        <w:spacing w:line="360" w:lineRule="auto"/>
        <w:outlineLvl w:val="1"/>
        <w:rPr>
          <w:rFonts w:hint="eastAsia" w:ascii="宋体" w:hAnsi="宋体" w:eastAsia="宋体" w:cs="宋体"/>
          <w:b/>
          <w:color w:val="auto"/>
          <w:sz w:val="28"/>
          <w:szCs w:val="28"/>
          <w:highlight w:val="none"/>
        </w:rPr>
        <w:sectPr>
          <w:footerReference r:id="rId7" w:type="first"/>
          <w:footerReference r:id="rId6" w:type="default"/>
          <w:pgSz w:w="12240" w:h="15840"/>
          <w:pgMar w:top="1191" w:right="1117" w:bottom="1191" w:left="1043" w:header="720" w:footer="720" w:gutter="0"/>
          <w:pgBorders>
            <w:top w:val="none" w:sz="0" w:space="0"/>
            <w:left w:val="none" w:sz="0" w:space="0"/>
            <w:bottom w:val="none" w:sz="0" w:space="0"/>
            <w:right w:val="none" w:sz="0" w:space="0"/>
          </w:pgBorders>
          <w:pgNumType w:fmt="decimal" w:start="1"/>
          <w:cols w:space="0" w:num="1"/>
          <w:rtlGutter w:val="0"/>
          <w:docGrid w:linePitch="326" w:charSpace="0"/>
        </w:sectPr>
      </w:pPr>
    </w:p>
    <w:p w14:paraId="06086594">
      <w:pPr>
        <w:widowControl/>
        <w:wordWrap w:val="0"/>
        <w:ind w:right="934" w:firstLine="6000" w:firstLineChars="2500"/>
        <w:textAlignment w:val="bottom"/>
        <w:rPr>
          <w:rFonts w:hAnsi="宋体" w:cs="宋体"/>
          <w:szCs w:val="32"/>
        </w:rPr>
      </w:pPr>
    </w:p>
    <w:p w14:paraId="1D2BF249">
      <w:pPr>
        <w:pageBreakBefore/>
        <w:kinsoku/>
        <w:overflowPunct/>
        <w:topLinePunct w:val="0"/>
        <w:bidi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w:t>
      </w:r>
    </w:p>
    <w:p w14:paraId="72E6F570">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安全生产管理协议</w:t>
      </w:r>
    </w:p>
    <w:p w14:paraId="2E72C0CD">
      <w:pPr>
        <w:spacing w:line="360" w:lineRule="auto"/>
        <w:rPr>
          <w:rFonts w:hint="eastAsia" w:ascii="宋体" w:hAnsi="宋体" w:eastAsia="宋体" w:cs="宋体"/>
          <w:color w:val="auto"/>
          <w:sz w:val="21"/>
          <w:szCs w:val="21"/>
          <w:highlight w:val="none"/>
        </w:rPr>
      </w:pPr>
    </w:p>
    <w:p w14:paraId="3BC0F9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东莞市尚源环能科技有限公司</w:t>
      </w:r>
    </w:p>
    <w:p w14:paraId="4A12E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single"/>
        </w:rPr>
        <w:t>广东省东莞市沙田镇立沙中路</w:t>
      </w:r>
    </w:p>
    <w:p w14:paraId="16B57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0F54C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p>
    <w:p w14:paraId="73E586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4F783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478477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0BB74E04">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highlight w:val="none"/>
        </w:rPr>
      </w:pPr>
    </w:p>
    <w:p w14:paraId="6BDD4551">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根据《中华人民共和国安全生产法》和《建设工程安全生产管理条例》等法规要求，为加强作业现场的安全管理，落实各自</w:t>
      </w:r>
      <w:r>
        <w:rPr>
          <w:rFonts w:hint="eastAsia" w:ascii="宋体" w:hAnsi="宋体" w:eastAsia="宋体" w:cs="宋体"/>
          <w:color w:val="auto"/>
          <w:sz w:val="24"/>
          <w:szCs w:val="24"/>
          <w:highlight w:val="none"/>
        </w:rPr>
        <w:t>的安全生产职责，进一步加强作业的安全管理，杜绝作业人员因安全管理不善而引发的各类安全事故，保证甲、乙双方的财产和员工的人身安全不受侵害，经甲乙双方协商一致，签订协议如下：</w:t>
      </w:r>
    </w:p>
    <w:p w14:paraId="6A4B9EFE">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东莞市尚源环能科技有限公司污泥运输管理服务采购项目</w:t>
      </w:r>
    </w:p>
    <w:p w14:paraId="75B107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5D0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项目时间：</w:t>
      </w:r>
      <w:r>
        <w:rPr>
          <w:rFonts w:hint="eastAsia" w:ascii="宋体" w:hAnsi="宋体" w:eastAsia="宋体" w:cs="宋体"/>
          <w:color w:val="auto"/>
          <w:sz w:val="24"/>
          <w:szCs w:val="24"/>
          <w:highlight w:val="none"/>
          <w:u w:val="single"/>
        </w:rPr>
        <w:t>自本合同签订之日始至本合同权利义务履行完毕时止。</w:t>
      </w:r>
    </w:p>
    <w:p w14:paraId="3E06B9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一、污水处理厂风险辨识</w:t>
      </w:r>
    </w:p>
    <w:p w14:paraId="522F0C32">
      <w:pPr>
        <w:keepNext w:val="0"/>
        <w:keepLines w:val="0"/>
        <w:pageBreakBefore w:val="0"/>
        <w:widowControl w:val="0"/>
        <w:kinsoku/>
        <w:wordWrap/>
        <w:overflowPunct/>
        <w:topLinePunct w:val="0"/>
        <w:autoSpaceDE/>
        <w:autoSpaceDN/>
        <w:bidi w:val="0"/>
        <w:adjustRightInd/>
        <w:snapToGrid/>
        <w:spacing w:line="360" w:lineRule="auto"/>
        <w:ind w:left="100" w:right="99"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97B3EC4">
      <w:pPr>
        <w:keepNext w:val="0"/>
        <w:keepLines w:val="0"/>
        <w:pageBreakBefore w:val="0"/>
        <w:widowControl w:val="0"/>
        <w:kinsoku/>
        <w:wordWrap/>
        <w:overflowPunct/>
        <w:topLinePunct w:val="0"/>
        <w:autoSpaceDE/>
        <w:autoSpaceDN/>
        <w:bidi w:val="0"/>
        <w:adjustRightInd/>
        <w:snapToGrid/>
        <w:spacing w:line="360" w:lineRule="auto"/>
        <w:ind w:left="100" w:right="99"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2、其他有限空间辨识，如:建筑施工未完工的地下暗室、管道及管道井等封闭、半封闭的设施及场所（地下隐蔽工程、密闭容器、长期不用的设施或通风不畅的场所等）等。</w:t>
      </w:r>
    </w:p>
    <w:p w14:paraId="6C2AF3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二、危害因素分析</w:t>
      </w:r>
    </w:p>
    <w:p w14:paraId="0EE5B2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宋体" w:hAnsi="宋体" w:eastAsia="宋体" w:cs="宋体"/>
          <w:color w:val="auto"/>
          <w:sz w:val="24"/>
          <w:szCs w:val="24"/>
          <w:highlight w:val="none"/>
          <w:lang w:eastAsia="zh-CN"/>
        </w:rPr>
        <w:t>。</w:t>
      </w:r>
    </w:p>
    <w:p w14:paraId="7A70888C">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三、协议实施条款</w:t>
      </w:r>
    </w:p>
    <w:p w14:paraId="6A054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“相关方”是指：在公司从事与公司生产经营活动有关的、在公司内从事各种公务活动和进行业务往来的外部单位和个人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以下简称“相关方”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。主要包括： </w:t>
      </w:r>
    </w:p>
    <w:p w14:paraId="259C1A0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（1）依照与公司订立的有关合同，在公司内从事基建、设</w:t>
      </w:r>
    </w:p>
    <w:p w14:paraId="3DD83F9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备安装、维修保养、运输、后勤服务、劳务输出以及其他承包各种项目的外来单位或个人。 </w:t>
      </w:r>
    </w:p>
    <w:p w14:paraId="3E38C3D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进入单位内进行商务洽谈、参观访问、工作检查、学习交流及其他各类公务活动的外来单位或个人。</w:t>
      </w:r>
    </w:p>
    <w:p w14:paraId="2146E1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目前我司相关方包括但不限于保安人员、绿化环卫人员、安装施工人员、配送人员、参观人员等。</w:t>
      </w:r>
    </w:p>
    <w:p w14:paraId="056A3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危险作业包括但不限于以下内容：临水作业、进入受限空间作业、临时用电作业、高处作业、断路作业、破土作业、吊装作业、盲板抽堵作业。（以下简称：危险作业）</w:t>
      </w:r>
    </w:p>
    <w:p w14:paraId="298D8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1CDA26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安全交底。每次进行危险作业等其他可能存在危险的作业前需由乙方的带班人员对作业人员进行安全交底。</w:t>
      </w:r>
    </w:p>
    <w:p w14:paraId="7E46B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乙方需完善并加强对</w:t>
      </w:r>
      <w:r>
        <w:rPr>
          <w:rFonts w:hint="eastAsia" w:ascii="宋体" w:hAnsi="宋体" w:eastAsia="宋体" w:cs="宋体"/>
          <w:color w:val="auto"/>
          <w:sz w:val="24"/>
          <w:szCs w:val="24"/>
          <w:highlight w:val="none"/>
          <w:lang w:val="en-US" w:eastAsia="zh-CN"/>
        </w:rPr>
        <w:t>相关方的的日常考勤管理，严格遵守厂区对进出人员的管理要求。</w:t>
      </w:r>
    </w:p>
    <w:p w14:paraId="43BCCD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乙方应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作业场所配备</w:t>
      </w:r>
      <w:r>
        <w:rPr>
          <w:rFonts w:hint="eastAsia" w:ascii="宋体" w:hAnsi="宋体" w:eastAsia="宋体" w:cs="宋体"/>
          <w:color w:val="auto"/>
          <w:sz w:val="24"/>
          <w:szCs w:val="24"/>
          <w:highlight w:val="none"/>
          <w:lang w:val="en-US" w:eastAsia="zh-CN"/>
        </w:rPr>
        <w:t>专职或兼职</w:t>
      </w:r>
      <w:r>
        <w:rPr>
          <w:rFonts w:hint="eastAsia" w:ascii="宋体" w:hAnsi="宋体" w:eastAsia="宋体" w:cs="宋体"/>
          <w:color w:val="auto"/>
          <w:sz w:val="24"/>
          <w:szCs w:val="24"/>
          <w:highlight w:val="none"/>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宋体" w:hAnsi="宋体" w:eastAsia="宋体" w:cs="宋体"/>
          <w:color w:val="auto"/>
          <w:sz w:val="24"/>
          <w:szCs w:val="24"/>
          <w:highlight w:val="none"/>
          <w:lang w:val="en-US" w:eastAsia="zh-CN"/>
        </w:rPr>
        <w:t>进行维修作业</w:t>
      </w:r>
      <w:r>
        <w:rPr>
          <w:rFonts w:hint="eastAsia" w:ascii="宋体" w:hAnsi="宋体" w:eastAsia="宋体" w:cs="宋体"/>
          <w:color w:val="auto"/>
          <w:sz w:val="24"/>
          <w:szCs w:val="24"/>
          <w:highlight w:val="none"/>
        </w:rPr>
        <w:t>等其他可能存在危险的作业前需由</w:t>
      </w:r>
      <w:r>
        <w:rPr>
          <w:rFonts w:hint="eastAsia" w:ascii="宋体" w:hAnsi="宋体" w:eastAsia="宋体" w:cs="宋体"/>
          <w:color w:val="auto"/>
          <w:sz w:val="24"/>
          <w:szCs w:val="24"/>
          <w:highlight w:val="none"/>
          <w:lang w:val="en-US" w:eastAsia="zh-CN"/>
        </w:rPr>
        <w:t>乙方的</w:t>
      </w:r>
      <w:r>
        <w:rPr>
          <w:rFonts w:hint="eastAsia" w:ascii="宋体" w:hAnsi="宋体" w:eastAsia="宋体" w:cs="宋体"/>
          <w:color w:val="auto"/>
          <w:sz w:val="24"/>
          <w:szCs w:val="24"/>
          <w:highlight w:val="none"/>
        </w:rPr>
        <w:t>带班</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对作业人员进行安全交底。</w:t>
      </w:r>
    </w:p>
    <w:p w14:paraId="022931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乙方使用被派遣劳动者的，应当将被派遣劳动者纳入本单位从业人员统一管理，对被派遣劳动者进行岗位安全操作规程和安全操作技能的教育和培训。</w:t>
      </w:r>
    </w:p>
    <w:p w14:paraId="270E3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乙方应制定与作业范围相适应的应急处置预案，并定期组织演练或者参加甲方组织的演练。</w:t>
      </w:r>
    </w:p>
    <w:p w14:paraId="1D7D7C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5A74A8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乙方应当教育和督促从业人员严格执行本单位的安全生产规章制度和安全操作规程；并向从业人员如实告知作业场所和工作岗位存在的危险因素、防范措施以及事故应急措施。</w:t>
      </w:r>
    </w:p>
    <w:p w14:paraId="0FF90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乙方依法参加工伤保险，为从业人员缴纳保险费，并应当为从事危险作业的人员办理意外伤害保险。</w:t>
      </w:r>
    </w:p>
    <w:p w14:paraId="482E7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color w:val="auto"/>
          <w:sz w:val="24"/>
          <w:szCs w:val="24"/>
          <w:highlight w:val="none"/>
        </w:rPr>
        <w:t>乙方应严格遵守国家、地方政府有关安全生产及劳动保护的法律法规、标准、规定，贯彻执行甲方的各项安全管理规章制度，严格按照生产场所操作规程制度。</w:t>
      </w:r>
    </w:p>
    <w:p w14:paraId="3BCBEB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13、</w:t>
      </w:r>
      <w:r>
        <w:rPr>
          <w:rFonts w:hint="eastAsia" w:ascii="宋体" w:hAnsi="宋体" w:eastAsia="宋体" w:cs="宋体"/>
          <w:color w:val="auto"/>
          <w:sz w:val="24"/>
          <w:szCs w:val="24"/>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72A3E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w:t>
      </w:r>
      <w:r>
        <w:rPr>
          <w:rFonts w:hint="eastAsia" w:ascii="宋体" w:hAnsi="宋体" w:eastAsia="宋体" w:cs="宋体"/>
          <w:color w:val="auto"/>
          <w:sz w:val="24"/>
          <w:szCs w:val="24"/>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B214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15、</w:t>
      </w:r>
      <w:r>
        <w:rPr>
          <w:rFonts w:hint="eastAsia" w:ascii="宋体" w:hAnsi="宋体" w:eastAsia="宋体" w:cs="宋体"/>
          <w:color w:val="auto"/>
          <w:sz w:val="24"/>
          <w:szCs w:val="24"/>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531CFD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16、</w:t>
      </w:r>
      <w:r>
        <w:rPr>
          <w:rFonts w:hint="eastAsia" w:ascii="宋体" w:hAnsi="宋体" w:eastAsia="宋体" w:cs="宋体"/>
          <w:color w:val="auto"/>
          <w:sz w:val="24"/>
          <w:szCs w:val="24"/>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宋体" w:hAnsi="宋体" w:eastAsia="宋体" w:cs="宋体"/>
          <w:color w:val="auto"/>
          <w:sz w:val="24"/>
          <w:szCs w:val="24"/>
          <w:highlight w:val="none"/>
          <w:lang w:val="en-US" w:eastAsia="zh-CN"/>
        </w:rPr>
        <w:t>单方</w:t>
      </w:r>
      <w:r>
        <w:rPr>
          <w:rFonts w:hint="eastAsia" w:ascii="宋体" w:hAnsi="宋体" w:eastAsia="宋体" w:cs="宋体"/>
          <w:color w:val="auto"/>
          <w:sz w:val="24"/>
          <w:szCs w:val="24"/>
          <w:highlight w:val="none"/>
        </w:rPr>
        <w:t>解除合同，并要求乙方清退出场。</w:t>
      </w:r>
    </w:p>
    <w:p w14:paraId="7DF0C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17、</w:t>
      </w:r>
      <w:r>
        <w:rPr>
          <w:rFonts w:hint="eastAsia" w:ascii="宋体" w:hAnsi="宋体" w:eastAsia="宋体" w:cs="宋体"/>
          <w:color w:val="auto"/>
          <w:sz w:val="24"/>
          <w:szCs w:val="24"/>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26D741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18、</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作业人员在甲方区域内</w:t>
      </w:r>
      <w:r>
        <w:rPr>
          <w:rFonts w:hint="eastAsia" w:ascii="宋体" w:hAnsi="宋体" w:eastAsia="宋体" w:cs="宋体"/>
          <w:color w:val="auto"/>
          <w:sz w:val="24"/>
          <w:szCs w:val="24"/>
          <w:highlight w:val="none"/>
        </w:rPr>
        <w:t>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w:t>
      </w:r>
      <w:r>
        <w:rPr>
          <w:rFonts w:hint="eastAsia" w:ascii="宋体" w:hAnsi="宋体" w:eastAsia="宋体" w:cs="宋体"/>
          <w:color w:val="auto"/>
          <w:sz w:val="24"/>
          <w:szCs w:val="24"/>
          <w:highlight w:val="none"/>
          <w:lang w:val="en-US" w:eastAsia="zh-CN"/>
        </w:rPr>
        <w:t>并要求乙方承担违约责任</w:t>
      </w:r>
      <w:r>
        <w:rPr>
          <w:rFonts w:hint="eastAsia" w:ascii="宋体" w:hAnsi="宋体" w:eastAsia="宋体" w:cs="宋体"/>
          <w:color w:val="auto"/>
          <w:sz w:val="24"/>
          <w:szCs w:val="24"/>
          <w:highlight w:val="none"/>
        </w:rPr>
        <w:t>。</w:t>
      </w:r>
    </w:p>
    <w:p w14:paraId="670495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19、</w:t>
      </w:r>
      <w:r>
        <w:rPr>
          <w:rFonts w:hint="eastAsia" w:ascii="宋体" w:hAnsi="宋体" w:eastAsia="宋体" w:cs="宋体"/>
          <w:color w:val="auto"/>
          <w:sz w:val="24"/>
          <w:szCs w:val="24"/>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14:paraId="6660B2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20、</w:t>
      </w:r>
      <w:r>
        <w:rPr>
          <w:rFonts w:hint="eastAsia" w:ascii="宋体" w:hAnsi="宋体" w:eastAsia="宋体" w:cs="宋体"/>
          <w:color w:val="auto"/>
          <w:sz w:val="24"/>
          <w:szCs w:val="24"/>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14:paraId="0DA33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21、</w:t>
      </w:r>
      <w:r>
        <w:rPr>
          <w:rFonts w:hint="eastAsia" w:ascii="宋体" w:hAnsi="宋体" w:eastAsia="宋体" w:cs="宋体"/>
          <w:color w:val="auto"/>
          <w:sz w:val="24"/>
          <w:szCs w:val="24"/>
          <w:highlight w:val="none"/>
        </w:rPr>
        <w:t>因乙方原因，造成乙方损失，由乙方自负，给甲方造成财产损失和人员伤害，乙方要负全部责任，并全额赔偿甲方。</w:t>
      </w:r>
    </w:p>
    <w:p w14:paraId="08680B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22、</w:t>
      </w:r>
      <w:r>
        <w:rPr>
          <w:rFonts w:hint="eastAsia" w:ascii="宋体" w:hAnsi="宋体" w:eastAsia="宋体" w:cs="宋体"/>
          <w:color w:val="auto"/>
          <w:sz w:val="24"/>
          <w:szCs w:val="24"/>
          <w:highlight w:val="none"/>
        </w:rPr>
        <w:t>非因甲方原因，造成乙方损失的，甲方不承担任何责任，由乙方自行承担全部责任。</w:t>
      </w:r>
    </w:p>
    <w:p w14:paraId="42A236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w:t>
      </w:r>
      <w:r>
        <w:rPr>
          <w:rFonts w:hint="eastAsia" w:ascii="宋体" w:hAnsi="宋体" w:eastAsia="宋体" w:cs="宋体"/>
          <w:color w:val="auto"/>
          <w:sz w:val="24"/>
          <w:szCs w:val="24"/>
          <w:highlight w:val="none"/>
        </w:rPr>
        <w:t>乙方应严格遵守法律法规以及甲方的安全管理要求，并接受甲方的安全生产工作协调和监督，积极消除安全隐患。安全管理的基本要求包括但不限于以下条款：</w:t>
      </w:r>
    </w:p>
    <w:p w14:paraId="48ACB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①禁火区内严禁吸烟、动火。有火灾危险的作业区域，乙方必须配置足够的灭火设施。</w:t>
      </w:r>
    </w:p>
    <w:p w14:paraId="356F9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②焊接、气割作业时两瓶距离必须达到5M及以上，气瓶距可能产生火花的电器、设备和其它火源的间距必须达到10M及以上。</w:t>
      </w:r>
    </w:p>
    <w:p w14:paraId="187661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③严禁</w:t>
      </w:r>
      <w:r>
        <w:rPr>
          <w:rFonts w:hint="eastAsia" w:ascii="宋体" w:hAnsi="宋体" w:eastAsia="宋体" w:cs="宋体"/>
          <w:color w:val="auto"/>
          <w:sz w:val="24"/>
          <w:szCs w:val="24"/>
          <w:highlight w:val="none"/>
          <w:lang w:val="en-US"/>
        </w:rPr>
        <w:t>在厂内道路、消防通道内搭建临时建筑或堆放物资</w:t>
      </w:r>
      <w:r>
        <w:rPr>
          <w:rFonts w:hint="eastAsia" w:ascii="宋体" w:hAnsi="宋体" w:eastAsia="宋体" w:cs="宋体"/>
          <w:color w:val="auto"/>
          <w:sz w:val="24"/>
          <w:szCs w:val="24"/>
          <w:highlight w:val="none"/>
          <w:lang w:val="en-US" w:eastAsia="zh-CN"/>
        </w:rPr>
        <w:t>；</w:t>
      </w:r>
    </w:p>
    <w:p w14:paraId="6C3164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严禁</w:t>
      </w:r>
      <w:r>
        <w:rPr>
          <w:rFonts w:hint="eastAsia" w:ascii="宋体" w:hAnsi="宋体" w:eastAsia="宋体" w:cs="宋体"/>
          <w:color w:val="auto"/>
          <w:sz w:val="24"/>
          <w:szCs w:val="24"/>
          <w:highlight w:val="none"/>
        </w:rPr>
        <w:t>占用、堵塞、遮掩、挪用、损毁、破坏</w:t>
      </w:r>
      <w:r>
        <w:rPr>
          <w:rFonts w:hint="eastAsia" w:ascii="宋体" w:hAnsi="宋体" w:eastAsia="宋体" w:cs="宋体"/>
          <w:color w:val="auto"/>
          <w:sz w:val="24"/>
          <w:szCs w:val="24"/>
          <w:highlight w:val="none"/>
          <w:lang w:val="en-US" w:eastAsia="zh-CN"/>
        </w:rPr>
        <w:t>或因装修作业等工作或其他原因导致消防设施设备损坏</w:t>
      </w:r>
      <w:r>
        <w:rPr>
          <w:rFonts w:hint="eastAsia" w:ascii="宋体" w:hAnsi="宋体" w:eastAsia="宋体" w:cs="宋体"/>
          <w:color w:val="auto"/>
          <w:sz w:val="24"/>
          <w:szCs w:val="24"/>
          <w:highlight w:val="none"/>
        </w:rPr>
        <w:t>。</w:t>
      </w:r>
    </w:p>
    <w:p w14:paraId="687E2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④作业场所的电动工具、电焊机等须有漏电保护器和相应的安全防护装置。</w:t>
      </w:r>
    </w:p>
    <w:p w14:paraId="3557C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⑤作业现场及居住室、办公室内的用电设施必须符合要求，严禁电线乱接、乱拉，刀闸和开关无盖，在电器设施上堆放物品。</w:t>
      </w:r>
    </w:p>
    <w:p w14:paraId="6AA1D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⑥防雷、防静电设施及用电设施要有良好接地。</w:t>
      </w:r>
    </w:p>
    <w:p w14:paraId="12361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⑦作业现场的危险区域，如临边、深坑、土方堆填区等，必须设置围栏和危险标志，夜间要设信号灯。</w:t>
      </w:r>
    </w:p>
    <w:p w14:paraId="7873D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9208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2F7E57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6D90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24、</w:t>
      </w:r>
      <w:r>
        <w:rPr>
          <w:rFonts w:hint="eastAsia" w:ascii="宋体" w:hAnsi="宋体" w:eastAsia="宋体" w:cs="宋体"/>
          <w:color w:val="auto"/>
          <w:sz w:val="24"/>
          <w:szCs w:val="24"/>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640787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25、</w:t>
      </w:r>
      <w:r>
        <w:rPr>
          <w:rFonts w:hint="eastAsia" w:ascii="宋体" w:hAnsi="宋体" w:eastAsia="宋体" w:cs="宋体"/>
          <w:color w:val="auto"/>
          <w:sz w:val="24"/>
          <w:szCs w:val="24"/>
          <w:highlight w:val="none"/>
        </w:rPr>
        <w:t>乙方必须接受甲方的检查与监督，并应主动配合，做好安全工作。乙方若有出现违反本协议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第三条，</w:t>
      </w:r>
      <w:r>
        <w:rPr>
          <w:rFonts w:hint="eastAsia" w:ascii="宋体" w:hAnsi="宋体" w:eastAsia="宋体" w:cs="宋体"/>
          <w:color w:val="auto"/>
          <w:sz w:val="24"/>
          <w:szCs w:val="24"/>
          <w:highlight w:val="none"/>
        </w:rPr>
        <w:t>协议实施条款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任一情形的，甲方有权要求乙方立即整改，且甲方有权视情况从工程结算款/服务价款中扣除2000元/次作为违约金。</w:t>
      </w:r>
    </w:p>
    <w:p w14:paraId="5A4D7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26、</w:t>
      </w:r>
      <w:r>
        <w:rPr>
          <w:rFonts w:hint="eastAsia" w:ascii="宋体" w:hAnsi="宋体" w:eastAsia="宋体" w:cs="宋体"/>
          <w:color w:val="auto"/>
          <w:sz w:val="24"/>
          <w:szCs w:val="24"/>
          <w:highlight w:val="none"/>
        </w:rPr>
        <w:t>若乙方有下列情形之一的或在整改后仍违反协议的，甲方有权单方解除合同，</w:t>
      </w:r>
      <w:r>
        <w:rPr>
          <w:rFonts w:hint="eastAsia" w:ascii="宋体" w:hAnsi="宋体" w:eastAsia="宋体" w:cs="宋体"/>
          <w:color w:val="auto"/>
          <w:sz w:val="24"/>
          <w:szCs w:val="24"/>
          <w:highlight w:val="none"/>
          <w:lang w:val="en-US" w:eastAsia="zh-CN"/>
        </w:rPr>
        <w:t>甲方有权要求</w:t>
      </w:r>
      <w:r>
        <w:rPr>
          <w:rFonts w:hint="eastAsia" w:ascii="宋体" w:hAnsi="宋体" w:eastAsia="宋体" w:cs="宋体"/>
          <w:color w:val="auto"/>
          <w:sz w:val="24"/>
          <w:szCs w:val="24"/>
          <w:highlight w:val="none"/>
        </w:rPr>
        <w:t>乙方向甲方支付</w:t>
      </w:r>
      <w:r>
        <w:rPr>
          <w:rFonts w:hint="eastAsia" w:ascii="宋体" w:hAnsi="宋体" w:eastAsia="宋体" w:cs="宋体"/>
          <w:color w:val="auto"/>
          <w:sz w:val="24"/>
          <w:szCs w:val="24"/>
          <w:highlight w:val="none"/>
          <w:lang w:val="en-US" w:eastAsia="zh-CN"/>
        </w:rPr>
        <w:t>本合同总金额的10%</w:t>
      </w:r>
      <w:r>
        <w:rPr>
          <w:rFonts w:hint="eastAsia" w:ascii="宋体" w:hAnsi="宋体" w:eastAsia="宋体" w:cs="宋体"/>
          <w:color w:val="auto"/>
          <w:sz w:val="24"/>
          <w:szCs w:val="24"/>
          <w:highlight w:val="none"/>
        </w:rPr>
        <w:t>作为违约金，同时甲方有权要求乙方承担第2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条的违约金。造成甲方损失的，乙方需另行赔偿：</w:t>
      </w:r>
    </w:p>
    <w:p w14:paraId="14E3B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①乙方不能提供与项目相匹配的营业执照、施工资质、安全生产许可证、技术人员、特种作业人员、安全员和设备设施的；</w:t>
      </w:r>
    </w:p>
    <w:p w14:paraId="1851E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②乙方未对作业人员进行岗位安全操作规程和安全操作技能的教育和培训的；没有向作业人员提供劳动防护用品的；</w:t>
      </w:r>
    </w:p>
    <w:p w14:paraId="4BA79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③乙方未对所属员工定期开展安全教育培训的；</w:t>
      </w:r>
    </w:p>
    <w:p w14:paraId="2820A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④在开展涉及危险性较高的作业时，乙方未在作业前报甲方的；</w:t>
      </w:r>
    </w:p>
    <w:p w14:paraId="2D5F5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⑤乙方违章作业或违章指挥作业的；</w:t>
      </w:r>
    </w:p>
    <w:p w14:paraId="42F66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⑥乙方现场安全管理不到位或不服从甲方安全管理的；</w:t>
      </w:r>
    </w:p>
    <w:p w14:paraId="01A9B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⑦发生事故后，乙方未及时开展应急救援工作的；</w:t>
      </w:r>
    </w:p>
    <w:p w14:paraId="6A8FC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⑨未制定与作业范围相适应的应急处置预案；</w:t>
      </w:r>
    </w:p>
    <w:p w14:paraId="73A19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⑩乙方不履行协议义务或者未按协议约定履行义务的其他情况。</w:t>
      </w:r>
    </w:p>
    <w:p w14:paraId="1DA411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27、</w:t>
      </w:r>
      <w:r>
        <w:rPr>
          <w:rFonts w:hint="eastAsia" w:ascii="宋体" w:hAnsi="宋体" w:eastAsia="宋体" w:cs="宋体"/>
          <w:color w:val="auto"/>
          <w:sz w:val="24"/>
          <w:szCs w:val="24"/>
          <w:highlight w:val="none"/>
          <w:lang w:val="en-US" w:eastAsia="zh-CN"/>
        </w:rPr>
        <w:t>乙方需</w:t>
      </w:r>
      <w:r>
        <w:rPr>
          <w:rFonts w:hint="eastAsia" w:ascii="宋体" w:hAnsi="宋体" w:eastAsia="宋体" w:cs="宋体"/>
          <w:color w:val="auto"/>
          <w:sz w:val="24"/>
          <w:szCs w:val="24"/>
          <w:highlight w:val="none"/>
        </w:rPr>
        <w:t>做好</w:t>
      </w:r>
      <w:r>
        <w:rPr>
          <w:rFonts w:hint="eastAsia" w:ascii="宋体" w:hAnsi="宋体" w:eastAsia="宋体" w:cs="宋体"/>
          <w:color w:val="auto"/>
          <w:sz w:val="24"/>
          <w:szCs w:val="24"/>
          <w:highlight w:val="none"/>
          <w:lang w:val="en-US" w:eastAsia="zh-CN"/>
        </w:rPr>
        <w:t>临水</w:t>
      </w:r>
      <w:r>
        <w:rPr>
          <w:rFonts w:hint="eastAsia" w:ascii="宋体" w:hAnsi="宋体" w:eastAsia="宋体" w:cs="宋体"/>
          <w:color w:val="auto"/>
          <w:sz w:val="24"/>
          <w:szCs w:val="24"/>
          <w:highlight w:val="none"/>
        </w:rPr>
        <w:t>作业安全保障工作，</w:t>
      </w:r>
      <w:r>
        <w:rPr>
          <w:rFonts w:hint="eastAsia" w:ascii="宋体" w:hAnsi="宋体" w:eastAsia="宋体" w:cs="宋体"/>
          <w:color w:val="auto"/>
          <w:sz w:val="24"/>
          <w:szCs w:val="24"/>
          <w:highlight w:val="none"/>
          <w:lang w:val="en-US" w:eastAsia="zh-CN"/>
        </w:rPr>
        <w:t>临水</w:t>
      </w:r>
      <w:r>
        <w:rPr>
          <w:rFonts w:hint="eastAsia" w:ascii="宋体" w:hAnsi="宋体" w:eastAsia="宋体" w:cs="宋体"/>
          <w:color w:val="auto"/>
          <w:sz w:val="24"/>
          <w:szCs w:val="24"/>
          <w:highlight w:val="none"/>
        </w:rPr>
        <w:t>作业的范围包括但不限于：构筑物水面垃圾的打捞（含粗格栅、细格栅、生化池、沉淀池/二沉池；生化池、二沉池、滤布滤池、出水明渠、硝化池、反硝化池等构筑物）的池内清洗等。具体要求如下：</w:t>
      </w:r>
    </w:p>
    <w:p w14:paraId="408A3D5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乙方在实施</w:t>
      </w:r>
      <w:r>
        <w:rPr>
          <w:rFonts w:hint="eastAsia" w:ascii="宋体" w:hAnsi="宋体" w:eastAsia="宋体" w:cs="宋体"/>
          <w:color w:val="auto"/>
          <w:sz w:val="24"/>
          <w:szCs w:val="24"/>
          <w:highlight w:val="none"/>
          <w:lang w:val="en-US" w:eastAsia="zh-CN"/>
        </w:rPr>
        <w:t>临水</w:t>
      </w:r>
      <w:r>
        <w:rPr>
          <w:rFonts w:hint="eastAsia" w:ascii="宋体" w:hAnsi="宋体" w:eastAsia="宋体" w:cs="宋体"/>
          <w:color w:val="auto"/>
          <w:sz w:val="24"/>
          <w:szCs w:val="24"/>
          <w:highlight w:val="none"/>
        </w:rPr>
        <w:t>作业时，需设一名或以上监护人员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作业</w:t>
      </w:r>
      <w:r>
        <w:rPr>
          <w:rFonts w:hint="eastAsia" w:ascii="宋体" w:hAnsi="宋体" w:eastAsia="宋体" w:cs="宋体"/>
          <w:color w:val="auto"/>
          <w:sz w:val="24"/>
          <w:szCs w:val="24"/>
          <w:highlight w:val="none"/>
        </w:rPr>
        <w:t>存在</w:t>
      </w:r>
      <w:r>
        <w:rPr>
          <w:rFonts w:hint="eastAsia" w:ascii="宋体" w:hAnsi="宋体" w:eastAsia="宋体" w:cs="宋体"/>
          <w:color w:val="auto"/>
          <w:sz w:val="24"/>
          <w:szCs w:val="24"/>
          <w:highlight w:val="none"/>
          <w:lang w:val="en-US" w:eastAsia="zh-CN"/>
        </w:rPr>
        <w:t>多种</w:t>
      </w:r>
      <w:r>
        <w:rPr>
          <w:rFonts w:hint="eastAsia" w:ascii="宋体" w:hAnsi="宋体" w:eastAsia="宋体" w:cs="宋体"/>
          <w:color w:val="auto"/>
          <w:sz w:val="24"/>
          <w:szCs w:val="24"/>
          <w:highlight w:val="none"/>
        </w:rPr>
        <w:t>危险作业</w:t>
      </w:r>
      <w:r>
        <w:rPr>
          <w:rFonts w:hint="eastAsia" w:ascii="宋体" w:hAnsi="宋体" w:eastAsia="宋体" w:cs="宋体"/>
          <w:color w:val="auto"/>
          <w:sz w:val="24"/>
          <w:szCs w:val="24"/>
          <w:highlight w:val="none"/>
          <w:lang w:val="en-US" w:eastAsia="zh-CN"/>
        </w:rPr>
        <w:t>情况下，</w:t>
      </w:r>
      <w:r>
        <w:rPr>
          <w:rFonts w:hint="eastAsia" w:ascii="宋体" w:hAnsi="宋体" w:eastAsia="宋体" w:cs="宋体"/>
          <w:color w:val="auto"/>
          <w:sz w:val="24"/>
          <w:szCs w:val="24"/>
          <w:highlight w:val="none"/>
        </w:rPr>
        <w:t>需严格落实2人或2人以上为一组协同作业</w:t>
      </w:r>
      <w:r>
        <w:rPr>
          <w:rFonts w:hint="eastAsia" w:ascii="宋体" w:hAnsi="宋体" w:eastAsia="宋体" w:cs="宋体"/>
          <w:color w:val="auto"/>
          <w:sz w:val="24"/>
          <w:szCs w:val="24"/>
          <w:highlight w:val="none"/>
          <w:lang w:val="en-US" w:eastAsia="zh-CN"/>
        </w:rPr>
        <w:t>或交替作业</w:t>
      </w:r>
      <w:r>
        <w:rPr>
          <w:rFonts w:hint="eastAsia" w:ascii="宋体" w:hAnsi="宋体" w:eastAsia="宋体" w:cs="宋体"/>
          <w:color w:val="auto"/>
          <w:sz w:val="24"/>
          <w:szCs w:val="24"/>
          <w:highlight w:val="none"/>
        </w:rPr>
        <w:t>，不能单独作业。</w:t>
      </w:r>
    </w:p>
    <w:p w14:paraId="1E3E6B4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危险作业前，必须检查作业工具是否完好，做好交底工作。</w:t>
      </w:r>
    </w:p>
    <w:p w14:paraId="52599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）危险作业时，必须做好安全防护措施（穿戴救生衣、安全绳（带）、水鞋、手套、不得穿拖鞋或凉鞋等），严格落实2人或2人以上为一组进行协同作业，不得单独作业。</w:t>
      </w:r>
    </w:p>
    <w:p w14:paraId="1110F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）如遇阴雨及大雾、雷暴雨、台风等恶劣天气，禁止危险作业。</w:t>
      </w:r>
    </w:p>
    <w:p w14:paraId="18D599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28．</w:t>
      </w:r>
      <w:r>
        <w:rPr>
          <w:rFonts w:hint="eastAsia" w:ascii="宋体" w:hAnsi="宋体" w:eastAsia="宋体" w:cs="宋体"/>
          <w:color w:val="auto"/>
          <w:sz w:val="24"/>
          <w:szCs w:val="24"/>
          <w:highlight w:val="none"/>
        </w:rPr>
        <w:t>乙方对作业过程中潜在的安全风险不明确的，不可盲目作业，否则，造成的后果由乙方独自承担。</w:t>
      </w:r>
    </w:p>
    <w:p w14:paraId="59158B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29．</w:t>
      </w:r>
      <w:r>
        <w:rPr>
          <w:rFonts w:hint="eastAsia" w:ascii="宋体" w:hAnsi="宋体" w:eastAsia="宋体" w:cs="宋体"/>
          <w:color w:val="auto"/>
          <w:sz w:val="24"/>
          <w:szCs w:val="24"/>
          <w:highlight w:val="none"/>
        </w:rPr>
        <w:t>本协议一式</w:t>
      </w:r>
      <w:r>
        <w:rPr>
          <w:rFonts w:hint="eastAsia" w:ascii="宋体" w:hAnsi="宋体" w:eastAsia="宋体" w:cs="宋体"/>
          <w:color w:val="auto"/>
          <w:sz w:val="24"/>
          <w:szCs w:val="24"/>
          <w:highlight w:val="none"/>
          <w:u w:val="single"/>
          <w:lang w:val="en-US" w:eastAsia="zh-CN"/>
        </w:rPr>
        <w:t xml:space="preserve">  肆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lang w:val="en-US" w:eastAsia="zh-CN"/>
        </w:rPr>
        <w:t xml:space="preserve">  壹  </w:t>
      </w:r>
      <w:r>
        <w:rPr>
          <w:rFonts w:hint="eastAsia" w:ascii="宋体" w:hAnsi="宋体" w:eastAsia="宋体" w:cs="宋体"/>
          <w:color w:val="auto"/>
          <w:sz w:val="24"/>
          <w:szCs w:val="24"/>
          <w:highlight w:val="none"/>
        </w:rPr>
        <w:t>份，自双方</w:t>
      </w:r>
      <w:r>
        <w:rPr>
          <w:rFonts w:hint="eastAsia" w:ascii="宋体" w:hAnsi="宋体" w:eastAsia="宋体" w:cs="宋体"/>
          <w:color w:val="auto"/>
          <w:sz w:val="24"/>
          <w:szCs w:val="24"/>
          <w:highlight w:val="none"/>
          <w:lang w:val="en-US" w:eastAsia="zh-CN"/>
        </w:rPr>
        <w:t>盖章并由双方</w:t>
      </w:r>
      <w:r>
        <w:rPr>
          <w:rFonts w:hint="eastAsia" w:ascii="宋体" w:hAnsi="宋体" w:eastAsia="宋体" w:cs="宋体"/>
          <w:color w:val="auto"/>
          <w:sz w:val="24"/>
          <w:szCs w:val="24"/>
          <w:highlight w:val="none"/>
        </w:rPr>
        <w:t>法定代表人签字后生效。</w:t>
      </w:r>
    </w:p>
    <w:p w14:paraId="5EDFE1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6615C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乙方声明：</w:t>
      </w:r>
    </w:p>
    <w:p w14:paraId="387378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乙方已认真阅读协议内容，对协议条款、现场的安全管理要求、安全风险充分理解，并自愿承担因违约造成的一切后果。</w:t>
      </w:r>
    </w:p>
    <w:p w14:paraId="114AA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以下无正文</w:t>
      </w:r>
      <w:r>
        <w:rPr>
          <w:rFonts w:hint="eastAsia" w:ascii="宋体" w:hAnsi="宋体" w:eastAsia="宋体" w:cs="宋体"/>
          <w:color w:val="auto"/>
          <w:sz w:val="24"/>
          <w:szCs w:val="24"/>
          <w:highlight w:val="none"/>
          <w:lang w:eastAsia="zh-CN"/>
        </w:rPr>
        <w:t>）</w:t>
      </w:r>
    </w:p>
    <w:p w14:paraId="29F828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4E962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乙方（盖章）： </w:t>
      </w:r>
    </w:p>
    <w:p w14:paraId="2ED0D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rPr>
        <w:t>：</w:t>
      </w:r>
    </w:p>
    <w:p w14:paraId="0A1E18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39D3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w:t>
      </w:r>
      <w:r>
        <w:rPr>
          <w:rFonts w:hint="eastAsia" w:ascii="宋体" w:hAnsi="宋体" w:eastAsia="宋体" w:cs="宋体"/>
          <w:color w:val="auto"/>
          <w:sz w:val="24"/>
          <w:szCs w:val="24"/>
          <w:highlight w:val="none"/>
        </w:rPr>
        <w:t>日期：</w:t>
      </w:r>
    </w:p>
    <w:p w14:paraId="1CDF12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签订地点：广东省东莞市</w:t>
      </w:r>
      <w:r>
        <w:rPr>
          <w:rFonts w:hint="eastAsia" w:ascii="宋体" w:hAnsi="宋体" w:eastAsia="宋体" w:cs="宋体"/>
          <w:color w:val="auto"/>
          <w:sz w:val="24"/>
          <w:szCs w:val="24"/>
          <w:highlight w:val="none"/>
        </w:rPr>
        <w:t xml:space="preserve">                              </w:t>
      </w:r>
    </w:p>
    <w:p w14:paraId="79BEC172">
      <w:pPr>
        <w:pageBreakBefore/>
        <w:kinsoku/>
        <w:overflowPunct/>
        <w:topLinePunct w:val="0"/>
        <w:bidi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w:t>
      </w:r>
    </w:p>
    <w:p w14:paraId="46315939">
      <w:pPr>
        <w:kinsoku/>
        <w:overflowPunct/>
        <w:topLinePunct w:val="0"/>
        <w:bidi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阳光合作告知函</w:t>
      </w:r>
    </w:p>
    <w:p w14:paraId="30D999CB">
      <w:pPr>
        <w:kinsoku/>
        <w:overflowPunct/>
        <w:topLinePunct w:val="0"/>
        <w:bidi w:val="0"/>
        <w:spacing w:line="360" w:lineRule="auto"/>
        <w:rPr>
          <w:rFonts w:hint="eastAsia" w:ascii="宋体" w:hAnsi="宋体" w:eastAsia="宋体" w:cs="宋体"/>
          <w:b/>
          <w:color w:val="auto"/>
          <w:sz w:val="21"/>
          <w:szCs w:val="21"/>
          <w:highlight w:val="none"/>
        </w:rPr>
      </w:pPr>
    </w:p>
    <w:p w14:paraId="7FD8CC16">
      <w:pPr>
        <w:kinsoku/>
        <w:overflowPunct/>
        <w:topLinePunct w:val="0"/>
        <w:bidi w:val="0"/>
        <w:spacing w:line="360" w:lineRule="auto"/>
        <w:ind w:left="1606" w:hanging="1205" w:hangingChars="5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lang w:eastAsia="zh-CN"/>
        </w:rPr>
        <w:t>东莞市尚源环能科技有限公司试运行初期污泥运输服务单位采购项目</w:t>
      </w:r>
    </w:p>
    <w:p w14:paraId="58D05541">
      <w:pPr>
        <w:kinsoku/>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（采购编号：JS-2026-040）</w:t>
      </w:r>
    </w:p>
    <w:p w14:paraId="38F3018D">
      <w:pPr>
        <w:kinsoku/>
        <w:overflowPunct/>
        <w:topLinePunct w:val="0"/>
        <w:bidi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30D7FD7">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为保证我集团人员廉洁从业，规范和鼓励诚信交易行为，防止腐败和商业贿赂发生，推动双方建立阳光合作关系，现将我方推行阳光合作的相关管理规定函告如下：</w:t>
      </w:r>
    </w:p>
    <w:p w14:paraId="274F0B3A">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一、我方负责对本单位有关人员进行阳光合作教育和管理。</w:t>
      </w:r>
    </w:p>
    <w:p w14:paraId="3641F6C0">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二、我方人员有责任向贵方介绍本单位有关阳光合作的相关规定。</w:t>
      </w:r>
    </w:p>
    <w:p w14:paraId="27525D4F">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三、我方人员应本着诚实守信、公平公开、平等互利原则开展交易合作，遵守国家相关法律法规。</w:t>
      </w:r>
    </w:p>
    <w:p w14:paraId="474E83D7">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四、我方人员应廉洁从业，自觉抵制商业贿赂及不正当交易行为，在交易业务中涉及本人、亲属或其他相关人员时，应主动提请回避。</w:t>
      </w:r>
    </w:p>
    <w:p w14:paraId="3650DB30">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五、在业务合作过程中，我方人员不得有以下违法违规行为：</w:t>
      </w:r>
    </w:p>
    <w:p w14:paraId="370077D5">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（一）合作过程中通过各种方式向贵方索贿、行贿，或为亲属、其他相关人员索取其他协助或服务； </w:t>
      </w:r>
    </w:p>
    <w:p w14:paraId="76EAC377">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05A221B5">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（三）擅自截留、挪用或侵占贵方财物； </w:t>
      </w:r>
    </w:p>
    <w:p w14:paraId="45C005DD">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（四）以各种形式参与民间借贷，帮助贵方过桥借贷； </w:t>
      </w:r>
    </w:p>
    <w:p w14:paraId="5A381BAB">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（五）参与黄、赌、毒等违法犯罪活动；</w:t>
      </w:r>
    </w:p>
    <w:p w14:paraId="03A62A1E">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（六）其他违反国家法律法规和违反廉洁从业的行为。 </w:t>
      </w:r>
    </w:p>
    <w:p w14:paraId="00EA77C9">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0C56A688">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2C33D289">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八、贵方投诉举报的情况，经查证属实，我方将视情节轻重和影响恶劣程度对相关人员进行内部处理；构成犯罪的，依法移送司法机关处置，并将调查结果及时向贵方反馈。</w:t>
      </w:r>
    </w:p>
    <w:p w14:paraId="631421F8">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九、如贵方经办人员或其他相关人员主动诱使我方人员作出本告知函第五点列明的违法违规行为的，我方有权终止双方的合作，由此造成的损失由贵方承担。</w:t>
      </w:r>
    </w:p>
    <w:p w14:paraId="53844C3D">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十、我方对如实举报和严格遵守阳光合作精神的合作方，在同等条件下给予后续合作的优先权。</w:t>
      </w:r>
    </w:p>
    <w:p w14:paraId="749EF6B2">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bookmarkStart w:id="18" w:name="OLE_LINK1"/>
      <w:r>
        <w:rPr>
          <w:rFonts w:hint="eastAsia" w:ascii="宋体" w:hAnsi="宋体" w:eastAsia="宋体" w:cs="宋体"/>
          <w:color w:val="auto"/>
          <w:sz w:val="24"/>
          <w:szCs w:val="24"/>
          <w:highlight w:val="none"/>
        </w:rPr>
        <w:t>其他</w:t>
      </w:r>
    </w:p>
    <w:p w14:paraId="30E76755">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（一）本告知函所言“其他相关人员”是指经办人以外的与合作项目有直接或间接利益关系的人员，包括但不仅限于项目经办人的亲友。</w:t>
      </w:r>
    </w:p>
    <w:bookmarkEnd w:id="18"/>
    <w:p w14:paraId="2F6BE07B">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（二）我方常设投诉举报受理部门及联系方式： </w:t>
      </w:r>
    </w:p>
    <w:p w14:paraId="32DC8015">
      <w:pPr>
        <w:pStyle w:val="61"/>
        <w:kinsoku/>
        <w:overflowPunct/>
        <w:topLinePunct w:val="0"/>
        <w:bidi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1.投诉举报受理部门：</w:t>
      </w:r>
      <w:r>
        <w:rPr>
          <w:rFonts w:hint="eastAsia" w:ascii="宋体" w:hAnsi="宋体" w:eastAsia="宋体" w:cs="宋体"/>
          <w:color w:val="auto"/>
          <w:sz w:val="24"/>
          <w:szCs w:val="24"/>
          <w:highlight w:val="none"/>
        </w:rPr>
        <w:t>东莞市水务环境投资控股集团有限公司纪检监察部；</w:t>
      </w:r>
    </w:p>
    <w:p w14:paraId="0AD07A29">
      <w:pPr>
        <w:pStyle w:val="61"/>
        <w:kinsoku/>
        <w:overflowPunct/>
        <w:topLinePunct w:val="0"/>
        <w:bidi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2.投诉举报电话：</w:t>
      </w:r>
      <w:r>
        <w:rPr>
          <w:rFonts w:hint="eastAsia" w:ascii="宋体" w:hAnsi="宋体" w:eastAsia="宋体" w:cs="宋体"/>
          <w:color w:val="auto"/>
          <w:sz w:val="24"/>
          <w:szCs w:val="24"/>
          <w:highlight w:val="none"/>
        </w:rPr>
        <w:t>0769–23076092（星期一至星期五：8:30-17:30）；</w:t>
      </w:r>
    </w:p>
    <w:p w14:paraId="382E32F0">
      <w:pPr>
        <w:pStyle w:val="61"/>
        <w:kinsoku/>
        <w:overflowPunct/>
        <w:topLinePunct w:val="0"/>
        <w:bidi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3.联系地址：</w:t>
      </w:r>
      <w:r>
        <w:rPr>
          <w:rFonts w:hint="eastAsia" w:ascii="宋体" w:hAnsi="宋体" w:eastAsia="宋体" w:cs="宋体"/>
          <w:color w:val="auto"/>
          <w:sz w:val="24"/>
          <w:szCs w:val="24"/>
          <w:highlight w:val="none"/>
        </w:rPr>
        <w:t>广东省东莞市南城街道宏北路16号水业大厦；</w:t>
      </w:r>
    </w:p>
    <w:p w14:paraId="3BE7C8CE">
      <w:pPr>
        <w:pStyle w:val="61"/>
        <w:kinsoku/>
        <w:overflowPunct/>
        <w:topLinePunct w:val="0"/>
        <w:bidi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4.邮编：</w:t>
      </w:r>
      <w:r>
        <w:rPr>
          <w:rFonts w:hint="eastAsia" w:ascii="宋体" w:hAnsi="宋体" w:eastAsia="宋体" w:cs="宋体"/>
          <w:color w:val="auto"/>
          <w:sz w:val="24"/>
          <w:szCs w:val="24"/>
          <w:highlight w:val="none"/>
        </w:rPr>
        <w:t>523000。</w:t>
      </w:r>
    </w:p>
    <w:p w14:paraId="6FBF7805">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让我们共同为建立健康、公平的商业秩序和实现双赢而努力。</w:t>
      </w:r>
    </w:p>
    <w:p w14:paraId="2B1AD871">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特此致函。</w:t>
      </w:r>
    </w:p>
    <w:p w14:paraId="711539D4">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p>
    <w:p w14:paraId="7B1667CB">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p>
    <w:p w14:paraId="44D6C8C9">
      <w:pPr>
        <w:pStyle w:val="61"/>
        <w:kinsoku/>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p>
    <w:p w14:paraId="0ACC4B16">
      <w:pPr>
        <w:pStyle w:val="61"/>
        <w:kinsoku/>
        <w:wordWrap w:val="0"/>
        <w:overflowPunct/>
        <w:topLinePunct w:val="0"/>
        <w:bidi w:val="0"/>
        <w:snapToGrid w:val="0"/>
        <w:spacing w:line="360" w:lineRule="auto"/>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东莞市尚源环能科技有限公司</w:t>
      </w:r>
    </w:p>
    <w:p w14:paraId="11537987">
      <w:pPr>
        <w:pStyle w:val="61"/>
        <w:kinsoku/>
        <w:overflowPunct/>
        <w:topLinePunct w:val="0"/>
        <w:bidi w:val="0"/>
        <w:snapToGrid w:val="0"/>
        <w:spacing w:line="360" w:lineRule="auto"/>
        <w:ind w:firstLine="4560" w:firstLineChars="1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bookmarkStart w:id="19" w:name="设计变更通知单"/>
      <w:bookmarkEnd w:id="19"/>
      <w:bookmarkStart w:id="20" w:name="现场签证通知单"/>
      <w:bookmarkEnd w:id="20"/>
    </w:p>
    <w:p w14:paraId="53444A17">
      <w:pPr>
        <w:pStyle w:val="62"/>
        <w:kinsoku/>
        <w:overflowPunct/>
        <w:topLinePunct w:val="0"/>
        <w:bidi w:val="0"/>
        <w:spacing w:line="480" w:lineRule="auto"/>
        <w:rPr>
          <w:rFonts w:hint="eastAsia" w:ascii="宋体" w:hAnsi="宋体" w:eastAsia="宋体" w:cs="宋体"/>
          <w:color w:val="auto"/>
          <w:sz w:val="21"/>
          <w:szCs w:val="21"/>
          <w:highlight w:val="none"/>
          <w:lang w:val="zh-CN"/>
        </w:rPr>
      </w:pPr>
    </w:p>
    <w:p w14:paraId="7B10DB3F">
      <w:pPr>
        <w:pStyle w:val="61"/>
        <w:keepNext w:val="0"/>
        <w:keepLines w:val="0"/>
        <w:pageBreakBefore/>
        <w:widowControl w:val="0"/>
        <w:kinsoku/>
        <w:wordWrap/>
        <w:overflowPunct/>
        <w:topLinePunct w:val="0"/>
        <w:autoSpaceDE w:val="0"/>
        <w:autoSpaceDN w:val="0"/>
        <w:bidi w:val="0"/>
        <w:adjustRightInd w:val="0"/>
        <w:snapToGrid w:val="0"/>
        <w:spacing w:line="480" w:lineRule="auto"/>
        <w:ind w:firstLine="0"/>
        <w:jc w:val="center"/>
        <w:textAlignment w:val="baseline"/>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阳光合作告知函回执</w:t>
      </w:r>
    </w:p>
    <w:p w14:paraId="7207EC22">
      <w:pPr>
        <w:pStyle w:val="61"/>
        <w:kinsoku/>
        <w:overflowPunct/>
        <w:topLinePunct w:val="0"/>
        <w:bidi w:val="0"/>
        <w:snapToGrid w:val="0"/>
        <w:spacing w:line="480" w:lineRule="auto"/>
        <w:ind w:firstLine="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编号：JS-2026-040</w:t>
      </w:r>
      <w:r>
        <w:rPr>
          <w:rFonts w:hint="eastAsia" w:ascii="宋体" w:hAnsi="宋体" w:eastAsia="宋体" w:cs="宋体"/>
          <w:color w:val="auto"/>
          <w:sz w:val="24"/>
          <w:szCs w:val="24"/>
          <w:highlight w:val="none"/>
          <w:lang w:val="en-US" w:eastAsia="zh-CN"/>
        </w:rPr>
        <w:t xml:space="preserve">   </w:t>
      </w:r>
    </w:p>
    <w:p w14:paraId="070672CF">
      <w:pPr>
        <w:pStyle w:val="61"/>
        <w:kinsoku/>
        <w:overflowPunct/>
        <w:topLinePunct w:val="0"/>
        <w:bidi w:val="0"/>
        <w:snapToGrid w:val="0"/>
        <w:spacing w:line="480" w:lineRule="auto"/>
        <w:ind w:firstLine="0"/>
        <w:jc w:val="center"/>
        <w:rPr>
          <w:rFonts w:hint="eastAsia" w:ascii="宋体" w:hAnsi="宋体" w:eastAsia="宋体" w:cs="宋体"/>
          <w:color w:val="auto"/>
          <w:sz w:val="24"/>
          <w:szCs w:val="24"/>
          <w:highlight w:val="none"/>
          <w:lang w:val="zh-CN"/>
        </w:rPr>
      </w:pPr>
    </w:p>
    <w:p w14:paraId="132DE701">
      <w:pPr>
        <w:kinsoku/>
        <w:overflowPunct/>
        <w:topLinePunct w:val="0"/>
        <w:autoSpaceDE w:val="0"/>
        <w:autoSpaceDN w:val="0"/>
        <w:bidi w:val="0"/>
        <w:adjustRightInd w:val="0"/>
        <w:spacing w:line="480" w:lineRule="auto"/>
        <w:ind w:firstLine="600" w:firstLineChars="25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我单位于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日收到</w:t>
      </w:r>
      <w:r>
        <w:rPr>
          <w:rFonts w:hint="eastAsia" w:ascii="宋体" w:hAnsi="宋体" w:eastAsia="宋体" w:cs="宋体"/>
          <w:color w:val="auto"/>
          <w:sz w:val="24"/>
          <w:szCs w:val="24"/>
          <w:highlight w:val="none"/>
          <w:u w:val="single"/>
          <w:lang w:val="en-US" w:eastAsia="zh-CN"/>
        </w:rPr>
        <w:t>东莞市尚源环能科技有限公司</w:t>
      </w:r>
      <w:r>
        <w:rPr>
          <w:rFonts w:hint="eastAsia" w:ascii="宋体" w:hAnsi="宋体" w:eastAsia="宋体" w:cs="宋体"/>
          <w:color w:val="auto"/>
          <w:sz w:val="24"/>
          <w:szCs w:val="24"/>
          <w:highlight w:val="none"/>
          <w:lang w:val="zh-CN"/>
        </w:rPr>
        <w:t>的《阳光合作告知</w:t>
      </w:r>
      <w:r>
        <w:rPr>
          <w:rFonts w:hint="eastAsia" w:ascii="宋体" w:hAnsi="宋体" w:eastAsia="宋体" w:cs="宋体"/>
          <w:color w:val="auto"/>
          <w:kern w:val="0"/>
          <w:sz w:val="24"/>
          <w:szCs w:val="24"/>
          <w:highlight w:val="none"/>
          <w:lang w:val="zh-CN"/>
        </w:rPr>
        <w:t>函</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lang w:val="zh-CN"/>
        </w:rPr>
        <w:t>，承诺理解函告内容并告知相关人员严格执行其中规定。</w:t>
      </w:r>
    </w:p>
    <w:p w14:paraId="3FD99652">
      <w:pPr>
        <w:kinsoku/>
        <w:overflowPunct/>
        <w:topLinePunct w:val="0"/>
        <w:autoSpaceDE w:val="0"/>
        <w:autoSpaceDN w:val="0"/>
        <w:bidi w:val="0"/>
        <w:adjustRightInd w:val="0"/>
        <w:snapToGrid w:val="0"/>
        <w:spacing w:line="480" w:lineRule="auto"/>
        <w:jc w:val="left"/>
        <w:rPr>
          <w:rFonts w:hint="eastAsia" w:ascii="宋体" w:hAnsi="宋体" w:eastAsia="宋体" w:cs="宋体"/>
          <w:color w:val="auto"/>
          <w:sz w:val="24"/>
          <w:szCs w:val="24"/>
          <w:highlight w:val="none"/>
          <w:lang w:val="zh-CN"/>
        </w:rPr>
      </w:pPr>
    </w:p>
    <w:p w14:paraId="009DC11B">
      <w:pPr>
        <w:kinsoku/>
        <w:overflowPunct/>
        <w:topLinePunct w:val="0"/>
        <w:autoSpaceDE w:val="0"/>
        <w:autoSpaceDN w:val="0"/>
        <w:bidi w:val="0"/>
        <w:adjustRightInd w:val="0"/>
        <w:snapToGrid w:val="0"/>
        <w:spacing w:line="480" w:lineRule="auto"/>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（盖章）</w:t>
      </w:r>
    </w:p>
    <w:p w14:paraId="0279ED33">
      <w:pPr>
        <w:kinsoku/>
        <w:overflowPunct/>
        <w:topLinePunct w:val="0"/>
        <w:autoSpaceDE w:val="0"/>
        <w:autoSpaceDN w:val="0"/>
        <w:bidi w:val="0"/>
        <w:adjustRightInd w:val="0"/>
        <w:snapToGrid w:val="0"/>
        <w:spacing w:line="480" w:lineRule="auto"/>
        <w:jc w:val="right"/>
        <w:rPr>
          <w:rFonts w:hint="eastAsia" w:ascii="宋体" w:hAnsi="宋体" w:eastAsia="宋体" w:cs="宋体"/>
          <w:color w:val="auto"/>
          <w:sz w:val="24"/>
          <w:szCs w:val="24"/>
          <w:highlight w:val="none"/>
          <w:lang w:val="zh-CN"/>
        </w:rPr>
      </w:pPr>
    </w:p>
    <w:p w14:paraId="3BD45FAE">
      <w:pPr>
        <w:kinsoku/>
        <w:overflowPunct/>
        <w:topLinePunct w:val="0"/>
        <w:autoSpaceDE w:val="0"/>
        <w:autoSpaceDN w:val="0"/>
        <w:bidi w:val="0"/>
        <w:adjustRightInd w:val="0"/>
        <w:snapToGrid w:val="0"/>
        <w:spacing w:line="480" w:lineRule="auto"/>
        <w:ind w:right="1280" w:firstLine="3840" w:firstLineChars="16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567EDDAB">
      <w:pPr>
        <w:kinsoku/>
        <w:wordWrap w:val="0"/>
        <w:overflowPunct/>
        <w:topLinePunct w:val="0"/>
        <w:autoSpaceDE w:val="0"/>
        <w:autoSpaceDN w:val="0"/>
        <w:bidi w:val="0"/>
        <w:adjustRightInd w:val="0"/>
        <w:snapToGrid w:val="0"/>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AFF2DB">
      <w:pPr>
        <w:pStyle w:val="62"/>
        <w:kinsoku/>
        <w:overflowPunct/>
        <w:topLinePunct w:val="0"/>
        <w:bidi w:val="0"/>
        <w:spacing w:line="48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02AB5960">
      <w:pPr>
        <w:rPr>
          <w:rFonts w:hint="eastAsia" w:hAnsi="宋体" w:cs="宋体"/>
          <w:szCs w:val="32"/>
        </w:rPr>
      </w:pPr>
      <w:r>
        <w:rPr>
          <w:rFonts w:hint="eastAsia" w:hAnsi="宋体" w:cs="宋体"/>
          <w:szCs w:val="32"/>
        </w:rPr>
        <w:br w:type="page"/>
      </w:r>
    </w:p>
    <w:p w14:paraId="50252DDC">
      <w:pPr>
        <w:pStyle w:val="2"/>
        <w:spacing w:before="0" w:after="0"/>
        <w:jc w:val="center"/>
        <w:rPr>
          <w:rFonts w:hAnsi="宋体" w:cs="宋体"/>
          <w:szCs w:val="32"/>
        </w:rPr>
      </w:pPr>
      <w:bookmarkStart w:id="21" w:name="_Toc31294"/>
      <w:r>
        <w:rPr>
          <w:rFonts w:hint="eastAsia" w:hAnsi="宋体" w:cs="宋体"/>
          <w:szCs w:val="32"/>
        </w:rPr>
        <w:t xml:space="preserve">第四章 </w:t>
      </w:r>
      <w:r>
        <w:rPr>
          <w:rFonts w:hint="eastAsia" w:hAnsi="宋体" w:cs="宋体"/>
          <w:szCs w:val="32"/>
          <w:lang w:val="en-US" w:eastAsia="zh-CN"/>
        </w:rPr>
        <w:t>响应</w:t>
      </w:r>
      <w:r>
        <w:rPr>
          <w:rFonts w:hint="eastAsia" w:hAnsi="宋体" w:cs="宋体"/>
          <w:szCs w:val="32"/>
        </w:rPr>
        <w:t>须知</w:t>
      </w:r>
      <w:bookmarkEnd w:id="17"/>
      <w:bookmarkEnd w:id="21"/>
    </w:p>
    <w:p w14:paraId="1AC7F1FB">
      <w:pPr>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一、项目费用说明</w:t>
      </w:r>
    </w:p>
    <w:p w14:paraId="124A0A11">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供应商应按询比文件的具体要求，并结合企业的自身实际情况进行</w:t>
      </w:r>
      <w:r>
        <w:rPr>
          <w:rFonts w:hint="eastAsia" w:ascii="宋体" w:hAnsi="宋体" w:eastAsia="宋体" w:cs="宋体"/>
          <w:color w:val="000000" w:themeColor="text1"/>
          <w:sz w:val="21"/>
          <w:szCs w:val="21"/>
          <w:lang w:val="en-US" w:eastAsia="zh-CN"/>
          <w14:textFill>
            <w14:solidFill>
              <w14:schemeClr w14:val="tx1"/>
            </w14:solidFill>
          </w14:textFill>
        </w:rPr>
        <w:t>响应（或报价）</w:t>
      </w:r>
      <w:r>
        <w:rPr>
          <w:rFonts w:hint="eastAsia" w:ascii="宋体" w:hAnsi="宋体" w:eastAsia="宋体" w:cs="宋体"/>
          <w:color w:val="000000" w:themeColor="text1"/>
          <w:sz w:val="21"/>
          <w:szCs w:val="21"/>
          <w14:textFill>
            <w14:solidFill>
              <w14:schemeClr w14:val="tx1"/>
            </w14:solidFill>
          </w14:textFill>
        </w:rPr>
        <w:t>。所报的价格须包含为完成询比文件所规定的全部工作内容所需的一切费用（供应商销项税额除外），并应独立承担项目实施过程中的所有相应风险。</w:t>
      </w:r>
    </w:p>
    <w:p w14:paraId="37E553E0">
      <w:pPr>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二、响应文件的组成</w:t>
      </w:r>
    </w:p>
    <w:p w14:paraId="397B6461">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1.报价表；</w:t>
      </w:r>
    </w:p>
    <w:p w14:paraId="14529499">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2.项目响应声明；</w:t>
      </w:r>
    </w:p>
    <w:p w14:paraId="1732D488">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3.承诺函；</w:t>
      </w:r>
    </w:p>
    <w:p w14:paraId="20DA5A52">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4.资格要求；</w:t>
      </w:r>
    </w:p>
    <w:p w14:paraId="14F6191A">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供应商财务状况</w:t>
      </w:r>
      <w:r>
        <w:rPr>
          <w:rFonts w:hint="eastAsia" w:ascii="宋体" w:hAnsi="宋体" w:eastAsia="宋体" w:cs="宋体"/>
          <w:color w:val="000000" w:themeColor="text1"/>
          <w:sz w:val="21"/>
          <w:szCs w:val="21"/>
          <w14:textFill>
            <w14:solidFill>
              <w14:schemeClr w14:val="tx1"/>
            </w14:solidFill>
          </w14:textFill>
        </w:rPr>
        <w:t>；</w:t>
      </w:r>
    </w:p>
    <w:p w14:paraId="7EE8DA8F">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标准化体系认证</w:t>
      </w:r>
      <w:r>
        <w:rPr>
          <w:rFonts w:hint="eastAsia" w:ascii="宋体" w:hAnsi="宋体" w:eastAsia="宋体" w:cs="宋体"/>
          <w:color w:val="000000" w:themeColor="text1"/>
          <w:sz w:val="21"/>
          <w:szCs w:val="21"/>
          <w14:textFill>
            <w14:solidFill>
              <w14:schemeClr w14:val="tx1"/>
            </w14:solidFill>
          </w14:textFill>
        </w:rPr>
        <w:t>；</w:t>
      </w:r>
    </w:p>
    <w:p w14:paraId="1CD13BBF">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供应商业绩情况</w:t>
      </w:r>
      <w:r>
        <w:rPr>
          <w:rFonts w:hint="eastAsia" w:ascii="宋体" w:hAnsi="宋体" w:eastAsia="宋体" w:cs="宋体"/>
          <w:color w:val="000000" w:themeColor="text1"/>
          <w:sz w:val="21"/>
          <w:szCs w:val="21"/>
          <w14:textFill>
            <w14:solidFill>
              <w14:schemeClr w14:val="tx1"/>
            </w14:solidFill>
          </w14:textFill>
        </w:rPr>
        <w:t>；</w:t>
      </w:r>
    </w:p>
    <w:p w14:paraId="4C1F0BE9">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企业运输能力资料</w:t>
      </w:r>
      <w:r>
        <w:rPr>
          <w:rFonts w:hint="eastAsia" w:ascii="宋体" w:hAnsi="宋体" w:eastAsia="宋体" w:cs="宋体"/>
          <w:color w:val="000000" w:themeColor="text1"/>
          <w:sz w:val="21"/>
          <w:szCs w:val="21"/>
          <w14:textFill>
            <w14:solidFill>
              <w14:schemeClr w14:val="tx1"/>
            </w14:solidFill>
          </w14:textFill>
        </w:rPr>
        <w:t>；</w:t>
      </w:r>
    </w:p>
    <w:p w14:paraId="270691F7">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用户响应偏离情况</w:t>
      </w:r>
      <w:r>
        <w:rPr>
          <w:rFonts w:hint="eastAsia" w:ascii="宋体" w:hAnsi="宋体" w:eastAsia="宋体" w:cs="宋体"/>
          <w:color w:val="000000" w:themeColor="text1"/>
          <w:sz w:val="21"/>
          <w:szCs w:val="21"/>
          <w14:textFill>
            <w14:solidFill>
              <w14:schemeClr w14:val="tx1"/>
            </w14:solidFill>
          </w14:textFill>
        </w:rPr>
        <w:t>；</w:t>
      </w:r>
    </w:p>
    <w:p w14:paraId="1CCD8B2D">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10.应急预案和保障措施</w:t>
      </w:r>
    </w:p>
    <w:p w14:paraId="75B59C44">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11.供应商认为有必要提供的其它材料（不做强制要求）。</w:t>
      </w:r>
    </w:p>
    <w:p w14:paraId="2C45069B">
      <w:pPr>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三、响应文件的封装和递交</w:t>
      </w:r>
    </w:p>
    <w:p w14:paraId="27CAD572">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sz w:val="21"/>
          <w:szCs w:val="21"/>
        </w:rPr>
      </w:pPr>
      <w:r>
        <w:rPr>
          <w:rFonts w:hint="eastAsia" w:ascii="宋体" w:hAnsi="宋体" w:eastAsia="宋体" w:cs="宋体"/>
          <w:sz w:val="21"/>
          <w:szCs w:val="21"/>
        </w:rPr>
        <w:t>1.供应商应将响应文件一起密封在一个不透明的外层封装中。外层密封封装表面应正确标明项目名称、采购编号、供应商单位名称，封口位置盖公章。</w:t>
      </w:r>
    </w:p>
    <w:p w14:paraId="7F0AADE6">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
          <w:bCs/>
          <w:sz w:val="21"/>
          <w:szCs w:val="21"/>
        </w:rPr>
        <w:t>响应文件递交纸质版正本1份，副本2份，副本可为正本盖章后复印本。</w:t>
      </w:r>
      <w:r>
        <w:rPr>
          <w:rFonts w:hint="eastAsia" w:ascii="宋体" w:hAnsi="宋体" w:eastAsia="宋体" w:cs="宋体"/>
          <w:sz w:val="21"/>
          <w:szCs w:val="21"/>
        </w:rPr>
        <w:t>若响应文件装订成册，需同时提供电子文件，内容包括：签字、盖章后的响应文件扫描版PDF格式电子文件。电子文件不可设置密码，用U盘或DVD或CD-R光盘储存，并密封于“电子文件”内（电子文件的包装封面需注明项目名称、采购编号、供应商单位名称，并盖公章）。</w:t>
      </w:r>
    </w:p>
    <w:p w14:paraId="4ACAF2C1">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b/>
          <w:bCs/>
          <w:sz w:val="21"/>
          <w:szCs w:val="21"/>
        </w:rPr>
      </w:pPr>
      <w:r>
        <w:rPr>
          <w:rFonts w:hint="eastAsia" w:ascii="宋体" w:hAnsi="宋体" w:eastAsia="宋体" w:cs="宋体"/>
          <w:bCs/>
          <w:sz w:val="21"/>
          <w:szCs w:val="21"/>
        </w:rPr>
        <w:t>3.除响应人对错处作必要修改外，响应文件中不许有加行、涂抹或改写。若有修改须由签署响应文件的人进行签字（或盖私章），并加盖响应人法人公章。</w:t>
      </w:r>
    </w:p>
    <w:p w14:paraId="78F0B0C0">
      <w:pPr>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
          <w:bCs/>
          <w:sz w:val="21"/>
          <w:szCs w:val="21"/>
        </w:rPr>
        <w:t>密封好的响应文件，应于询比公告中规定的截止时间前递交到采购人指定的递交地点，否则视为放弃参与本项目。</w:t>
      </w:r>
    </w:p>
    <w:p w14:paraId="0F7B5715">
      <w:pPr>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四、响应有效性说明 </w:t>
      </w:r>
    </w:p>
    <w:p w14:paraId="3C468AF9">
      <w:pPr>
        <w:keepLines w:val="0"/>
        <w:pageBreakBefore w:val="0"/>
        <w:widowControl w:val="0"/>
        <w:kinsoku/>
        <w:wordWrap/>
        <w:overflowPunct/>
        <w:topLinePunct w:val="0"/>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 响应人不符合合格</w:t>
      </w: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的资格条件或基本条件[列入“信用中国”网站（www.creditchina.gov.cn）失信被执行人、重大税收违法失信主体、政府采购严重违法失信行为记录名单（处罚期限届满的除外）]。</w:t>
      </w:r>
    </w:p>
    <w:p w14:paraId="65363CDA">
      <w:pPr>
        <w:keepLines w:val="0"/>
        <w:pageBreakBefore w:val="0"/>
        <w:widowControl w:val="0"/>
        <w:kinsoku/>
        <w:wordWrap/>
        <w:overflowPunct/>
        <w:topLinePunct w:val="0"/>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2.响应人的不含税报价不得高于本项目不含税最高限价，否则视为无效</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 xml:space="preserve">。 </w:t>
      </w:r>
    </w:p>
    <w:p w14:paraId="252A63E5">
      <w:pPr>
        <w:keepLines w:val="0"/>
        <w:pageBreakBefore w:val="0"/>
        <w:widowControl w:val="0"/>
        <w:kinsoku/>
        <w:wordWrap/>
        <w:overflowPunct/>
        <w:topLinePunct w:val="0"/>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未按响应文件格式提供相应材料的，按无效</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处理。</w:t>
      </w:r>
    </w:p>
    <w:p w14:paraId="19D919EF">
      <w:pPr>
        <w:keepLines w:val="0"/>
        <w:pageBreakBefore w:val="0"/>
        <w:widowControl w:val="0"/>
        <w:kinsoku/>
        <w:wordWrap/>
        <w:overflowPunct/>
        <w:topLinePunct w:val="0"/>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4.①</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截止时间结束，</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文件不足三家，公开</w:t>
      </w:r>
      <w:r>
        <w:rPr>
          <w:rFonts w:hint="eastAsia" w:ascii="宋体" w:hAnsi="宋体" w:eastAsia="宋体" w:cs="宋体"/>
          <w:b/>
          <w:bCs/>
          <w:sz w:val="21"/>
          <w:szCs w:val="21"/>
          <w:lang w:val="en-US" w:eastAsia="zh-CN"/>
        </w:rPr>
        <w:t>询比</w:t>
      </w:r>
      <w:r>
        <w:rPr>
          <w:rFonts w:hint="eastAsia" w:ascii="宋体" w:hAnsi="宋体" w:eastAsia="宋体" w:cs="宋体"/>
          <w:b/>
          <w:bCs/>
          <w:sz w:val="21"/>
          <w:szCs w:val="21"/>
        </w:rPr>
        <w:t>采购失败。②在实行公开</w:t>
      </w:r>
      <w:r>
        <w:rPr>
          <w:rFonts w:hint="eastAsia" w:ascii="宋体" w:hAnsi="宋体" w:eastAsia="宋体" w:cs="宋体"/>
          <w:b/>
          <w:bCs/>
          <w:sz w:val="21"/>
          <w:szCs w:val="21"/>
          <w:lang w:val="en-US" w:eastAsia="zh-CN"/>
        </w:rPr>
        <w:t>询比</w:t>
      </w:r>
      <w:r>
        <w:rPr>
          <w:rFonts w:hint="eastAsia" w:ascii="宋体" w:hAnsi="宋体" w:eastAsia="宋体" w:cs="宋体"/>
          <w:b/>
          <w:bCs/>
          <w:sz w:val="21"/>
          <w:szCs w:val="21"/>
        </w:rPr>
        <w:t>过程中，合格供应商只有两家，但</w:t>
      </w:r>
      <w:r>
        <w:rPr>
          <w:rFonts w:hint="eastAsia" w:ascii="宋体" w:hAnsi="宋体" w:eastAsia="宋体" w:cs="宋体"/>
          <w:b/>
          <w:bCs/>
          <w:sz w:val="21"/>
          <w:szCs w:val="21"/>
          <w:lang w:val="en-US" w:eastAsia="zh-CN"/>
        </w:rPr>
        <w:t>询比</w:t>
      </w:r>
      <w:r>
        <w:rPr>
          <w:rFonts w:hint="eastAsia" w:ascii="宋体" w:hAnsi="宋体" w:eastAsia="宋体" w:cs="宋体"/>
          <w:b/>
          <w:bCs/>
          <w:sz w:val="21"/>
          <w:szCs w:val="21"/>
        </w:rPr>
        <w:t>文件没有不合理条款，且采购程序符合规定的，采购人可以继续开展采购活动。③当公开</w:t>
      </w:r>
      <w:r>
        <w:rPr>
          <w:rFonts w:hint="eastAsia" w:ascii="宋体" w:hAnsi="宋体" w:eastAsia="宋体" w:cs="宋体"/>
          <w:b/>
          <w:bCs/>
          <w:sz w:val="21"/>
          <w:szCs w:val="21"/>
          <w:lang w:val="en-US" w:eastAsia="zh-CN"/>
        </w:rPr>
        <w:t>询比</w:t>
      </w:r>
      <w:r>
        <w:rPr>
          <w:rFonts w:hint="eastAsia" w:ascii="宋体" w:hAnsi="宋体" w:eastAsia="宋体" w:cs="宋体"/>
          <w:b/>
          <w:bCs/>
          <w:sz w:val="21"/>
          <w:szCs w:val="21"/>
        </w:rPr>
        <w:t>合格供应商只有一家，采购失败</w:t>
      </w:r>
      <w:r>
        <w:rPr>
          <w:rFonts w:hint="eastAsia" w:ascii="宋体" w:hAnsi="宋体" w:eastAsia="宋体" w:cs="宋体"/>
          <w:b/>
          <w:bCs/>
          <w:sz w:val="21"/>
          <w:szCs w:val="21"/>
          <w:lang w:eastAsia="zh-CN"/>
        </w:rPr>
        <w:t>。</w:t>
      </w:r>
    </w:p>
    <w:p w14:paraId="56A5064C">
      <w:pPr>
        <w:keepLines w:val="0"/>
        <w:pageBreakBefore w:val="0"/>
        <w:widowControl w:val="0"/>
        <w:kinsoku/>
        <w:wordWrap/>
        <w:overflowPunct/>
        <w:topLinePunct w:val="0"/>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当被确定为成交候选供应商主动放弃成交资格，或经采购人和供应商核实确认其并未实质性满足采购需求时，采购人有权顺次确定综合评分次高的实质性满足需求的供应商为成交供应商，或我司有权重新进行采购。</w:t>
      </w:r>
    </w:p>
    <w:p w14:paraId="70E3C3C3">
      <w:pPr>
        <w:keepLines w:val="0"/>
        <w:pageBreakBefore w:val="0"/>
        <w:widowControl w:val="0"/>
        <w:kinsoku/>
        <w:wordWrap/>
        <w:overflowPunct/>
        <w:topLinePunct w:val="0"/>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4214E379">
      <w:pPr>
        <w:keepLines w:val="0"/>
        <w:pageBreakBefore w:val="0"/>
        <w:widowControl w:val="0"/>
        <w:kinsoku/>
        <w:wordWrap/>
        <w:overflowPunct/>
        <w:topLinePunct w:val="0"/>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.本项目不接受联合体</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。分支机构</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w:t>
      </w:r>
    </w:p>
    <w:p w14:paraId="5E3C369B">
      <w:pPr>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五、合同签订说明</w:t>
      </w:r>
    </w:p>
    <w:p w14:paraId="4A58E77B">
      <w:pPr>
        <w:keepLines w:val="0"/>
        <w:pageBreakBefore w:val="0"/>
        <w:widowControl w:val="0"/>
        <w:kinsoku/>
        <w:wordWrap/>
        <w:overflowPunct/>
        <w:topLinePunct w:val="0"/>
        <w:bidi w:val="0"/>
        <w:adjustRightInd/>
        <w:spacing w:line="360" w:lineRule="auto"/>
        <w:ind w:firstLine="481"/>
        <w:textAlignment w:val="auto"/>
        <w:rPr>
          <w:rFonts w:hint="eastAsia" w:ascii="宋体" w:hAnsi="宋体" w:eastAsia="宋体" w:cs="宋体"/>
          <w:b/>
          <w:sz w:val="21"/>
          <w:szCs w:val="21"/>
        </w:rPr>
      </w:pPr>
      <w:r>
        <w:rPr>
          <w:rFonts w:hint="eastAsia" w:ascii="宋体" w:hAnsi="宋体" w:eastAsia="宋体" w:cs="宋体"/>
          <w:b/>
          <w:sz w:val="21"/>
          <w:szCs w:val="21"/>
        </w:rPr>
        <w:t>本项目成交供应商会根据项目实际情况与</w:t>
      </w:r>
      <w:r>
        <w:rPr>
          <w:rFonts w:hint="eastAsia" w:ascii="宋体" w:hAnsi="宋体" w:eastAsia="宋体" w:cs="宋体"/>
          <w:b/>
          <w:bCs/>
          <w:color w:val="000000" w:themeColor="text1"/>
          <w:sz w:val="21"/>
          <w:szCs w:val="21"/>
          <w14:textFill>
            <w14:solidFill>
              <w14:schemeClr w14:val="tx1"/>
            </w14:solidFill>
          </w14:textFill>
        </w:rPr>
        <w:t>东莞市水务环境投资控股集团净水有限公司</w:t>
      </w:r>
      <w:r>
        <w:rPr>
          <w:rFonts w:hint="eastAsia" w:ascii="宋体" w:hAnsi="宋体" w:eastAsia="宋体" w:cs="宋体"/>
          <w:b/>
          <w:sz w:val="21"/>
          <w:szCs w:val="21"/>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73E322A7">
      <w:pPr>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六、评审内容</w:t>
      </w:r>
    </w:p>
    <w:p w14:paraId="2356509C">
      <w:pPr>
        <w:keepLines w:val="0"/>
        <w:pageBreakBefore w:val="0"/>
        <w:widowControl w:val="0"/>
        <w:kinsoku/>
        <w:wordWrap/>
        <w:overflowPunct/>
        <w:topLinePunct w:val="0"/>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采购人将组织评审小组，对实质性满足采购需求的供应商所提交的响应文件进行综合评审，综合评分满分为100分，由商务部分（</w:t>
      </w:r>
      <w:r>
        <w:rPr>
          <w:rFonts w:hint="eastAsia" w:ascii="宋体" w:hAnsi="宋体" w:eastAsia="宋体" w:cs="宋体"/>
          <w:b/>
          <w:bCs/>
          <w:sz w:val="21"/>
          <w:szCs w:val="21"/>
          <w:lang w:val="en-US" w:eastAsia="zh-CN"/>
        </w:rPr>
        <w:t>财务状况</w:t>
      </w:r>
      <w:r>
        <w:rPr>
          <w:rFonts w:hint="eastAsia" w:ascii="宋体" w:hAnsi="宋体" w:eastAsia="宋体" w:cs="宋体"/>
          <w:b/>
          <w:bCs/>
          <w:sz w:val="21"/>
          <w:szCs w:val="21"/>
        </w:rPr>
        <w:t>、标准化程度、</w:t>
      </w:r>
      <w:r>
        <w:rPr>
          <w:rFonts w:hint="eastAsia" w:ascii="宋体" w:hAnsi="宋体" w:eastAsia="宋体" w:cs="宋体"/>
          <w:b/>
          <w:bCs/>
          <w:sz w:val="21"/>
          <w:szCs w:val="21"/>
          <w:lang w:val="en-US" w:eastAsia="zh-CN"/>
        </w:rPr>
        <w:t>业绩、</w:t>
      </w:r>
      <w:r>
        <w:rPr>
          <w:rFonts w:hint="eastAsia" w:ascii="宋体" w:hAnsi="宋体" w:eastAsia="宋体" w:cs="宋体"/>
          <w:b/>
          <w:bCs/>
          <w:sz w:val="21"/>
          <w:szCs w:val="21"/>
          <w:lang w:val="zh-CN"/>
        </w:rPr>
        <w:t>企业运输能力</w:t>
      </w:r>
      <w:r>
        <w:rPr>
          <w:rFonts w:hint="eastAsia" w:ascii="宋体" w:hAnsi="宋体" w:eastAsia="宋体" w:cs="宋体"/>
          <w:b/>
          <w:bCs/>
          <w:sz w:val="21"/>
          <w:szCs w:val="21"/>
        </w:rPr>
        <w:t>）、技术部分（</w:t>
      </w:r>
      <w:r>
        <w:rPr>
          <w:rFonts w:hint="eastAsia" w:ascii="宋体" w:hAnsi="宋体" w:eastAsia="宋体" w:cs="宋体"/>
          <w:b/>
          <w:bCs/>
          <w:sz w:val="21"/>
          <w:szCs w:val="21"/>
          <w:lang w:val="zh-CN"/>
        </w:rPr>
        <w:t>用户需求的响应程度、</w:t>
      </w:r>
      <w:r>
        <w:rPr>
          <w:rFonts w:hint="eastAsia" w:ascii="宋体" w:hAnsi="宋体" w:eastAsia="宋体" w:cs="宋体"/>
          <w:b/>
          <w:bCs/>
          <w:sz w:val="21"/>
          <w:szCs w:val="21"/>
        </w:rPr>
        <w:t>拟投入运输的车辆的使用年限、拟投入的运输人员、应急预案</w:t>
      </w:r>
      <w:r>
        <w:rPr>
          <w:rFonts w:hint="eastAsia" w:ascii="宋体" w:hAnsi="宋体" w:eastAsia="宋体" w:cs="宋体"/>
          <w:b/>
          <w:bCs/>
          <w:sz w:val="21"/>
          <w:szCs w:val="21"/>
          <w:lang w:eastAsia="zh-CN"/>
        </w:rPr>
        <w:t>和保障措施</w:t>
      </w:r>
      <w:r>
        <w:rPr>
          <w:rFonts w:hint="eastAsia" w:ascii="宋体" w:hAnsi="宋体" w:eastAsia="宋体" w:cs="宋体"/>
          <w:b/>
          <w:bCs/>
          <w:sz w:val="21"/>
          <w:szCs w:val="21"/>
        </w:rPr>
        <w:t>）和价格部分得分相加得出。评审小组将根据以下评分因素和标准进行评审：</w:t>
      </w:r>
    </w:p>
    <w:p w14:paraId="48B16DF9">
      <w:pPr>
        <w:keepLines w:val="0"/>
        <w:pageBreakBefore w:val="0"/>
        <w:widowControl w:val="0"/>
        <w:tabs>
          <w:tab w:val="left" w:pos="1701"/>
        </w:tabs>
        <w:kinsoku/>
        <w:wordWrap/>
        <w:overflowPunct/>
        <w:topLinePunct w:val="0"/>
        <w:autoSpaceDE w:val="0"/>
        <w:autoSpaceDN w:val="0"/>
        <w:bidi w:val="0"/>
        <w:adjustRightInd w:val="0"/>
        <w:spacing w:line="360" w:lineRule="auto"/>
        <w:textAlignment w:val="auto"/>
        <w:rPr>
          <w:rFonts w:hint="eastAsia" w:ascii="宋体" w:hAnsi="宋体" w:eastAsia="宋体" w:cs="宋体"/>
          <w:b/>
          <w:color w:val="auto"/>
          <w:sz w:val="21"/>
          <w:szCs w:val="21"/>
          <w:highlight w:val="none"/>
          <w:lang w:val="zh-CN"/>
        </w:rPr>
      </w:pPr>
      <w:r>
        <w:rPr>
          <w:rFonts w:hint="eastAsia" w:ascii="宋体" w:hAnsi="宋体" w:eastAsia="宋体" w:cs="宋体"/>
          <w:b/>
          <w:bCs/>
          <w:sz w:val="21"/>
          <w:szCs w:val="21"/>
        </w:rPr>
        <w:t xml:space="preserve">     </w:t>
      </w:r>
      <w:bookmarkStart w:id="22" w:name="_Toc533708139"/>
      <w:bookmarkStart w:id="23" w:name="_Toc522047402"/>
      <w:bookmarkStart w:id="24" w:name="_Toc521918141"/>
      <w:bookmarkStart w:id="25" w:name="_Toc22601_WPSOffice_Level1"/>
      <w:r>
        <w:rPr>
          <w:rFonts w:hint="eastAsia" w:ascii="宋体" w:hAnsi="宋体" w:eastAsia="宋体" w:cs="宋体"/>
          <w:b/>
          <w:color w:val="auto"/>
          <w:sz w:val="21"/>
          <w:szCs w:val="21"/>
          <w:highlight w:val="none"/>
          <w:lang w:val="zh-CN"/>
        </w:rPr>
        <w:t>评分因素及分值</w:t>
      </w:r>
    </w:p>
    <w:tbl>
      <w:tblPr>
        <w:tblStyle w:val="25"/>
        <w:tblW w:w="47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9"/>
        <w:gridCol w:w="5332"/>
      </w:tblGrid>
      <w:tr w14:paraId="7A368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20D2E47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14:paraId="2B16ADC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0810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046E90A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60" w:type="dxa"/>
            <w:tcBorders>
              <w:top w:val="single" w:color="auto" w:sz="4" w:space="0"/>
              <w:left w:val="single" w:color="auto" w:sz="4" w:space="0"/>
              <w:bottom w:val="single" w:color="auto" w:sz="4" w:space="0"/>
              <w:right w:val="single" w:color="auto" w:sz="4" w:space="0"/>
            </w:tcBorders>
            <w:vAlign w:val="center"/>
          </w:tcPr>
          <w:p w14:paraId="31AD4487">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lang w:val="zh-CN"/>
              </w:rPr>
              <w:t>分</w:t>
            </w:r>
          </w:p>
        </w:tc>
      </w:tr>
      <w:tr w14:paraId="1AC26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D04A89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60" w:type="dxa"/>
            <w:tcBorders>
              <w:top w:val="single" w:color="auto" w:sz="4" w:space="0"/>
              <w:left w:val="single" w:color="auto" w:sz="4" w:space="0"/>
              <w:bottom w:val="single" w:color="auto" w:sz="4" w:space="0"/>
              <w:right w:val="single" w:color="auto" w:sz="4" w:space="0"/>
            </w:tcBorders>
            <w:vAlign w:val="center"/>
          </w:tcPr>
          <w:p w14:paraId="4BD8192B">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lang w:val="zh-CN"/>
              </w:rPr>
              <w:t>分</w:t>
            </w:r>
          </w:p>
        </w:tc>
      </w:tr>
      <w:tr w14:paraId="12094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AA10A3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60" w:type="dxa"/>
            <w:tcBorders>
              <w:top w:val="single" w:color="auto" w:sz="4" w:space="0"/>
              <w:left w:val="single" w:color="auto" w:sz="4" w:space="0"/>
              <w:bottom w:val="single" w:color="auto" w:sz="4" w:space="0"/>
              <w:right w:val="single" w:color="auto" w:sz="4" w:space="0"/>
            </w:tcBorders>
            <w:vAlign w:val="center"/>
          </w:tcPr>
          <w:p w14:paraId="3755F553">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lang w:val="zh-CN"/>
              </w:rPr>
              <w:t>分</w:t>
            </w:r>
          </w:p>
        </w:tc>
      </w:tr>
    </w:tbl>
    <w:p w14:paraId="21216695">
      <w:pPr>
        <w:keepLines w:val="0"/>
        <w:pageBreakBefore w:val="0"/>
        <w:widowControl w:val="0"/>
        <w:tabs>
          <w:tab w:val="left" w:pos="585"/>
        </w:tabs>
        <w:kinsoku/>
        <w:wordWrap/>
        <w:overflowPunct/>
        <w:topLinePunct w:val="0"/>
        <w:autoSpaceDE w:val="0"/>
        <w:autoSpaceDN w:val="0"/>
        <w:bidi w:val="0"/>
        <w:adjustRightInd w:val="0"/>
        <w:spacing w:line="360" w:lineRule="auto"/>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商务：总分</w:t>
      </w:r>
      <w:r>
        <w:rPr>
          <w:rFonts w:hint="eastAsia" w:ascii="宋体" w:hAnsi="宋体" w:eastAsia="宋体" w:cs="宋体"/>
          <w:b/>
          <w:color w:val="auto"/>
          <w:sz w:val="21"/>
          <w:szCs w:val="21"/>
          <w:highlight w:val="none"/>
          <w:lang w:val="en-US" w:eastAsia="zh-CN"/>
        </w:rPr>
        <w:t>40</w:t>
      </w:r>
      <w:r>
        <w:rPr>
          <w:rFonts w:hint="eastAsia" w:ascii="宋体" w:hAnsi="宋体" w:eastAsia="宋体" w:cs="宋体"/>
          <w:b/>
          <w:color w:val="auto"/>
          <w:sz w:val="21"/>
          <w:szCs w:val="21"/>
          <w:highlight w:val="none"/>
          <w:lang w:val="zh-CN"/>
        </w:rPr>
        <w:t>分</w:t>
      </w:r>
    </w:p>
    <w:tbl>
      <w:tblPr>
        <w:tblStyle w:val="25"/>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664A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062C890A">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5692122B">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41E057A1">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52C8114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0D4A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88BBC9F">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32DD9E26">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2A09BD34">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年三个年度，每具有1个年度盈利的得1分，满分3分。</w:t>
            </w:r>
          </w:p>
          <w:p w14:paraId="36FE76F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60" w:lineRule="auto"/>
              <w:ind w:left="0" w:right="0"/>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bCs/>
                <w:color w:val="auto"/>
                <w:sz w:val="21"/>
                <w:szCs w:val="21"/>
                <w:highlight w:val="none"/>
              </w:rPr>
              <w:t>备注：盈利指净利润为正数（非零、非负数），</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应提供202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年、202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年、202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年三个年度的财务报表，净利润以对应年度经审计的财务报表为准，应提供经独立会计师事务所审计过的有效的财务报表</w:t>
            </w:r>
            <w:r>
              <w:rPr>
                <w:rFonts w:hint="eastAsia" w:ascii="宋体" w:hAnsi="宋体" w:eastAsia="宋体" w:cs="宋体"/>
                <w:b/>
                <w:bCs/>
                <w:color w:val="auto"/>
                <w:sz w:val="21"/>
                <w:szCs w:val="21"/>
                <w:highlight w:val="none"/>
                <w:lang w:eastAsia="zh-CN"/>
              </w:rPr>
              <w:t>复印件</w:t>
            </w:r>
            <w:r>
              <w:rPr>
                <w:rFonts w:hint="eastAsia" w:ascii="宋体" w:hAnsi="宋体" w:eastAsia="宋体" w:cs="宋体"/>
                <w:b/>
                <w:bCs/>
                <w:color w:val="auto"/>
                <w:sz w:val="21"/>
                <w:szCs w:val="21"/>
                <w:highlight w:val="none"/>
              </w:rPr>
              <w:t>；未提供前述财务报表或财务报表未能反映净利润的，不得分。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1BF5E621">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3分</w:t>
            </w:r>
          </w:p>
        </w:tc>
      </w:tr>
      <w:tr w14:paraId="4A0E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E170FB1">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rPr>
            </w:pPr>
            <w:bookmarkStart w:id="26" w:name="_Hlk104987354"/>
            <w:bookmarkStart w:id="27" w:name="_Toc11639_WPSOffice_Level2"/>
            <w:r>
              <w:rPr>
                <w:rFonts w:hint="eastAsia" w:ascii="宋体" w:hAnsi="宋体" w:eastAsia="宋体" w:cs="宋体"/>
                <w:color w:val="auto"/>
                <w:kern w:val="0"/>
                <w:sz w:val="21"/>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0D8B6932">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6817229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具有有效期内的ISO9001质量管理体系认证证书得1分。</w:t>
            </w:r>
          </w:p>
          <w:p w14:paraId="738EF06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具有有效期内的ISO14001环境管理体系认证证书得1分。</w:t>
            </w:r>
          </w:p>
          <w:p w14:paraId="6BE5CB4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具有有效期内的OHSAS18001（或GB/T45001-2020，或ISO45001）职业健康安全管理体系认证证书得1分。</w:t>
            </w:r>
          </w:p>
          <w:p w14:paraId="2C904450">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60" w:lineRule="auto"/>
              <w:ind w:left="0" w:right="0"/>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rPr>
              <w:t>备注：</w:t>
            </w:r>
            <w:r>
              <w:rPr>
                <w:rFonts w:hint="eastAsia" w:ascii="宋体" w:hAnsi="宋体" w:eastAsia="宋体" w:cs="宋体"/>
                <w:b/>
                <w:bCs/>
                <w:color w:val="auto"/>
                <w:sz w:val="21"/>
                <w:szCs w:val="21"/>
                <w:lang w:eastAsia="zh-CN"/>
              </w:rPr>
              <w:t>供应商</w:t>
            </w:r>
            <w:r>
              <w:rPr>
                <w:rFonts w:hint="eastAsia" w:ascii="宋体" w:hAnsi="宋体" w:eastAsia="宋体" w:cs="宋体"/>
                <w:b/>
                <w:bCs/>
                <w:color w:val="auto"/>
                <w:sz w:val="21"/>
                <w:szCs w:val="21"/>
              </w:rPr>
              <w:t>应提供上述有效证书</w:t>
            </w:r>
            <w:r>
              <w:rPr>
                <w:rFonts w:hint="eastAsia" w:ascii="宋体" w:hAnsi="宋体" w:eastAsia="宋体" w:cs="宋体"/>
                <w:b/>
                <w:bCs/>
                <w:color w:val="auto"/>
                <w:sz w:val="21"/>
                <w:szCs w:val="21"/>
                <w:lang w:eastAsia="zh-CN"/>
              </w:rPr>
              <w:t>复印件</w:t>
            </w:r>
            <w:r>
              <w:rPr>
                <w:rFonts w:hint="eastAsia" w:ascii="宋体" w:hAnsi="宋体" w:eastAsia="宋体" w:cs="宋体"/>
                <w:b/>
                <w:bCs/>
                <w:color w:val="auto"/>
                <w:sz w:val="21"/>
                <w:szCs w:val="21"/>
              </w:rPr>
              <w:t>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6F23B6B6">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3分</w:t>
            </w:r>
          </w:p>
        </w:tc>
      </w:tr>
      <w:tr w14:paraId="09B7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DF35BEA">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4FB09934">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158A654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val="zh-CN"/>
              </w:rPr>
              <w:t>年1月1日至今（合同签订时间为</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val="zh-CN"/>
              </w:rPr>
              <w:t>年1月1日</w:t>
            </w:r>
            <w:r>
              <w:rPr>
                <w:rFonts w:hint="eastAsia" w:ascii="宋体" w:hAnsi="宋体" w:eastAsia="宋体" w:cs="宋体"/>
                <w:color w:val="auto"/>
                <w:sz w:val="21"/>
                <w:szCs w:val="21"/>
                <w:highlight w:val="none"/>
              </w:rPr>
              <w:t>或以后</w:t>
            </w:r>
            <w:r>
              <w:rPr>
                <w:rFonts w:hint="eastAsia" w:ascii="宋体" w:hAnsi="宋体" w:eastAsia="宋体" w:cs="宋体"/>
                <w:color w:val="auto"/>
                <w:sz w:val="21"/>
                <w:szCs w:val="21"/>
                <w:highlight w:val="none"/>
                <w:lang w:val="zh-CN"/>
              </w:rPr>
              <w:t>）承接过</w:t>
            </w:r>
            <w:r>
              <w:rPr>
                <w:rFonts w:hint="eastAsia" w:ascii="宋体" w:hAnsi="宋体" w:eastAsia="宋体" w:cs="宋体"/>
                <w:b/>
                <w:color w:val="auto"/>
                <w:sz w:val="21"/>
                <w:szCs w:val="21"/>
                <w:highlight w:val="none"/>
                <w:lang w:val="zh-CN"/>
              </w:rPr>
              <w:t>运输服务</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color w:val="auto"/>
                <w:sz w:val="21"/>
                <w:szCs w:val="21"/>
                <w:highlight w:val="none"/>
                <w:lang w:val="zh-CN"/>
              </w:rPr>
              <w:t>的业绩，</w:t>
            </w:r>
            <w:r>
              <w:rPr>
                <w:rFonts w:hint="eastAsia" w:ascii="宋体" w:hAnsi="宋体" w:eastAsia="宋体" w:cs="宋体"/>
                <w:color w:val="auto"/>
                <w:sz w:val="21"/>
                <w:szCs w:val="21"/>
                <w:highlight w:val="none"/>
              </w:rPr>
              <w:t>按下列情况评分，本项满分</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p w14:paraId="2BF6DEC4">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（1）单项合同运输服务</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万元的前述业绩，每项得3分。</w:t>
            </w:r>
          </w:p>
          <w:p w14:paraId="16BCCA2D">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单项合同运输服务对应金额＜</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万元的前述业绩，每项得2分。</w:t>
            </w:r>
          </w:p>
          <w:p w14:paraId="2D7614C4">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（3）6万元</w:t>
            </w:r>
            <w:r>
              <w:rPr>
                <w:rFonts w:hint="eastAsia" w:ascii="宋体" w:hAnsi="宋体" w:eastAsia="宋体" w:cs="宋体"/>
                <w:b w:val="0"/>
                <w:bCs w:val="0"/>
                <w:color w:val="auto"/>
                <w:sz w:val="21"/>
                <w:szCs w:val="21"/>
                <w:highlight w:val="none"/>
                <w:lang w:val="zh-CN"/>
              </w:rPr>
              <w:t>＜</w:t>
            </w:r>
            <w:r>
              <w:rPr>
                <w:rFonts w:hint="eastAsia" w:ascii="宋体" w:hAnsi="宋体" w:eastAsia="宋体" w:cs="宋体"/>
                <w:color w:val="auto"/>
                <w:kern w:val="2"/>
                <w:sz w:val="21"/>
                <w:szCs w:val="21"/>
                <w:highlight w:val="none"/>
                <w:lang w:val="en-US" w:eastAsia="zh-CN" w:bidi="ar-SA"/>
              </w:rPr>
              <w:t>单项合同运输服务对应金额</w:t>
            </w:r>
            <w:r>
              <w:rPr>
                <w:rFonts w:hint="eastAsia" w:ascii="宋体" w:hAnsi="宋体" w:eastAsia="宋体" w:cs="宋体"/>
                <w:b w:val="0"/>
                <w:bCs w:val="0"/>
                <w:color w:val="auto"/>
                <w:sz w:val="21"/>
                <w:szCs w:val="21"/>
                <w:highlight w:val="none"/>
                <w:lang w:val="zh-CN"/>
              </w:rPr>
              <w:t>≤</w:t>
            </w:r>
            <w:r>
              <w:rPr>
                <w:rFonts w:hint="eastAsia" w:ascii="宋体" w:hAnsi="宋体" w:eastAsia="宋体" w:cs="宋体"/>
                <w:color w:val="auto"/>
                <w:kern w:val="2"/>
                <w:sz w:val="21"/>
                <w:szCs w:val="21"/>
                <w:highlight w:val="none"/>
                <w:lang w:val="en-US" w:eastAsia="zh-CN" w:bidi="ar-SA"/>
              </w:rPr>
              <w:t>30万元的前述业绩，每项得1分，</w:t>
            </w:r>
            <w:r>
              <w:rPr>
                <w:rFonts w:hint="eastAsia" w:ascii="宋体" w:hAnsi="宋体" w:eastAsia="宋体" w:cs="宋体"/>
                <w:b/>
                <w:color w:val="auto"/>
                <w:kern w:val="2"/>
                <w:sz w:val="21"/>
                <w:szCs w:val="21"/>
                <w:highlight w:val="none"/>
                <w:lang w:val="en-US" w:eastAsia="zh-CN" w:bidi="ar-SA"/>
              </w:rPr>
              <w:t>本子项满分6分</w:t>
            </w:r>
            <w:r>
              <w:rPr>
                <w:rFonts w:hint="eastAsia" w:ascii="宋体" w:hAnsi="宋体" w:eastAsia="宋体" w:cs="宋体"/>
                <w:color w:val="auto"/>
                <w:kern w:val="2"/>
                <w:sz w:val="21"/>
                <w:szCs w:val="21"/>
                <w:highlight w:val="none"/>
                <w:lang w:val="en-US" w:eastAsia="zh-CN" w:bidi="ar-SA"/>
              </w:rPr>
              <w:t>。</w:t>
            </w:r>
          </w:p>
          <w:p w14:paraId="3A401C98">
            <w:pPr>
              <w:keepNext w:val="0"/>
              <w:keepLines w:val="0"/>
              <w:pageBreakBefore w:val="0"/>
              <w:widowControl w:val="0"/>
              <w:numPr>
                <w:ilvl w:val="0"/>
                <w:numId w:val="6"/>
              </w:numPr>
              <w:suppressLineNumbers w:val="0"/>
              <w:tabs>
                <w:tab w:val="left" w:pos="824"/>
              </w:tabs>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提供的上述第1项业绩中运输货物为污泥的，在上述得分基础上进行加分，本项满分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分。其中</w:t>
            </w:r>
            <w:r>
              <w:rPr>
                <w:rFonts w:hint="eastAsia" w:ascii="宋体" w:hAnsi="宋体" w:eastAsia="宋体" w:cs="宋体"/>
                <w:color w:val="auto"/>
                <w:sz w:val="21"/>
                <w:szCs w:val="21"/>
                <w:highlight w:val="none"/>
                <w:lang w:eastAsia="zh-CN"/>
              </w:rPr>
              <w:t>：</w:t>
            </w:r>
          </w:p>
          <w:p w14:paraId="7F298B4F">
            <w:pPr>
              <w:keepNext w:val="0"/>
              <w:keepLines w:val="0"/>
              <w:pageBreakBefore w:val="0"/>
              <w:widowControl w:val="0"/>
              <w:numPr>
                <w:ilvl w:val="0"/>
                <w:numId w:val="0"/>
              </w:numPr>
              <w:suppressLineNumbers w:val="0"/>
              <w:tabs>
                <w:tab w:val="left" w:pos="824"/>
              </w:tabs>
              <w:kinsoku/>
              <w:wordWrap/>
              <w:overflowPunct/>
              <w:topLinePunct w:val="0"/>
              <w:bidi w:val="0"/>
              <w:adjustRightInd/>
              <w:spacing w:before="0" w:beforeAutospacing="0" w:after="0" w:afterAutospacing="0" w:line="360" w:lineRule="auto"/>
              <w:ind w:right="0" w:rightChars="0"/>
              <w:jc w:val="both"/>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lang w:val="zh-CN" w:eastAsia="zh-CN" w:bidi="ar-SA"/>
              </w:rPr>
              <w:t>（1）</w:t>
            </w:r>
            <w:r>
              <w:rPr>
                <w:rFonts w:hint="eastAsia" w:ascii="宋体" w:hAnsi="宋体" w:eastAsia="宋体" w:cs="宋体"/>
                <w:b w:val="0"/>
                <w:bCs w:val="0"/>
                <w:color w:val="auto"/>
                <w:sz w:val="21"/>
                <w:szCs w:val="21"/>
                <w:highlight w:val="none"/>
              </w:rPr>
              <w:t>每项【单项</w:t>
            </w:r>
            <w:r>
              <w:rPr>
                <w:rFonts w:hint="eastAsia" w:ascii="宋体" w:hAnsi="宋体" w:eastAsia="宋体" w:cs="宋体"/>
                <w:b w:val="0"/>
                <w:bCs w:val="0"/>
                <w:color w:val="auto"/>
                <w:sz w:val="21"/>
                <w:szCs w:val="21"/>
                <w:highlight w:val="none"/>
                <w:lang w:val="zh-CN"/>
              </w:rPr>
              <w:t>运输合同金额</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val="zh-CN"/>
              </w:rPr>
              <w:t>万元</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zh-CN"/>
              </w:rPr>
              <w:t>的业绩</w:t>
            </w:r>
            <w:r>
              <w:rPr>
                <w:rFonts w:hint="eastAsia" w:ascii="宋体" w:hAnsi="宋体" w:eastAsia="宋体" w:cs="宋体"/>
                <w:b w:val="0"/>
                <w:bCs w:val="0"/>
                <w:color w:val="auto"/>
                <w:sz w:val="21"/>
                <w:szCs w:val="21"/>
                <w:highlight w:val="none"/>
              </w:rPr>
              <w:t>加1</w:t>
            </w:r>
            <w:r>
              <w:rPr>
                <w:rFonts w:hint="eastAsia" w:ascii="宋体" w:hAnsi="宋体" w:eastAsia="宋体" w:cs="宋体"/>
                <w:b w:val="0"/>
                <w:bCs w:val="0"/>
                <w:color w:val="auto"/>
                <w:sz w:val="21"/>
                <w:szCs w:val="21"/>
                <w:highlight w:val="none"/>
                <w:lang w:val="zh-CN"/>
              </w:rPr>
              <w:t>分；</w:t>
            </w:r>
          </w:p>
          <w:p w14:paraId="48F91B76">
            <w:pPr>
              <w:keepNext w:val="0"/>
              <w:keepLines w:val="0"/>
              <w:pageBreakBefore w:val="0"/>
              <w:widowControl w:val="0"/>
              <w:numPr>
                <w:ilvl w:val="0"/>
                <w:numId w:val="0"/>
              </w:numPr>
              <w:suppressLineNumbers w:val="0"/>
              <w:tabs>
                <w:tab w:val="left" w:pos="824"/>
              </w:tabs>
              <w:kinsoku/>
              <w:wordWrap/>
              <w:overflowPunct/>
              <w:topLinePunct w:val="0"/>
              <w:bidi w:val="0"/>
              <w:adjustRightInd/>
              <w:spacing w:before="0" w:beforeAutospacing="0" w:after="0" w:afterAutospacing="0" w:line="360" w:lineRule="auto"/>
              <w:ind w:right="0" w:rightChars="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 w:val="21"/>
                <w:szCs w:val="21"/>
                <w:highlight w:val="none"/>
              </w:rPr>
              <w:t>每项</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zh-CN"/>
              </w:rPr>
              <w:t>万元</w:t>
            </w:r>
            <w:r>
              <w:rPr>
                <w:rFonts w:hint="eastAsia" w:ascii="宋体" w:hAnsi="宋体" w:eastAsia="宋体" w:cs="宋体"/>
                <w:b w:val="0"/>
                <w:bCs w:val="0"/>
                <w:color w:val="auto"/>
                <w:sz w:val="21"/>
                <w:szCs w:val="21"/>
                <w:highlight w:val="none"/>
              </w:rPr>
              <w:t>＜单项</w:t>
            </w:r>
            <w:r>
              <w:rPr>
                <w:rFonts w:hint="eastAsia" w:ascii="宋体" w:hAnsi="宋体" w:eastAsia="宋体" w:cs="宋体"/>
                <w:b w:val="0"/>
                <w:bCs w:val="0"/>
                <w:color w:val="auto"/>
                <w:sz w:val="21"/>
                <w:szCs w:val="21"/>
                <w:highlight w:val="none"/>
                <w:lang w:val="zh-CN"/>
              </w:rPr>
              <w:t>运输合同金额</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val="zh-CN"/>
              </w:rPr>
              <w:t>万元】的业绩</w:t>
            </w:r>
            <w:r>
              <w:rPr>
                <w:rFonts w:hint="eastAsia" w:ascii="宋体" w:hAnsi="宋体" w:eastAsia="宋体" w:cs="宋体"/>
                <w:b w:val="0"/>
                <w:bCs w:val="0"/>
                <w:color w:val="auto"/>
                <w:sz w:val="21"/>
                <w:szCs w:val="21"/>
                <w:highlight w:val="none"/>
              </w:rPr>
              <w:t>加0.5分，</w:t>
            </w:r>
          </w:p>
          <w:p w14:paraId="79D8F0E1">
            <w:pPr>
              <w:keepNext w:val="0"/>
              <w:keepLines w:val="0"/>
              <w:pageBreakBefore w:val="0"/>
              <w:widowControl w:val="0"/>
              <w:numPr>
                <w:ilvl w:val="0"/>
                <w:numId w:val="0"/>
              </w:numPr>
              <w:suppressLineNumbers w:val="0"/>
              <w:tabs>
                <w:tab w:val="left" w:pos="824"/>
              </w:tabs>
              <w:kinsoku/>
              <w:wordWrap/>
              <w:overflowPunct/>
              <w:topLinePunct w:val="0"/>
              <w:bidi w:val="0"/>
              <w:adjustRightInd/>
              <w:spacing w:before="0" w:beforeAutospacing="0" w:after="0" w:afterAutospacing="0" w:line="360" w:lineRule="auto"/>
              <w:ind w:right="0" w:rightChars="0"/>
              <w:jc w:val="both"/>
              <w:textAlignment w:val="auto"/>
              <w:rPr>
                <w:rFonts w:hint="eastAsia" w:ascii="宋体" w:hAnsi="宋体" w:eastAsia="宋体" w:cs="宋体"/>
                <w:b/>
                <w:color w:val="auto"/>
                <w:kern w:val="2"/>
                <w:sz w:val="21"/>
                <w:szCs w:val="21"/>
                <w:highlight w:val="none"/>
              </w:rPr>
            </w:pPr>
            <w:r>
              <w:rPr>
                <w:rFonts w:hint="eastAsia" w:ascii="宋体" w:hAnsi="宋体" w:eastAsia="宋体" w:cs="宋体"/>
                <w:b w:val="0"/>
                <w:bCs w:val="0"/>
                <w:color w:val="auto"/>
                <w:kern w:val="2"/>
                <w:sz w:val="21"/>
                <w:szCs w:val="21"/>
                <w:lang w:val="en-US" w:eastAsia="zh-CN" w:bidi="ar-SA"/>
              </w:rPr>
              <w:t>（3）</w:t>
            </w:r>
            <w:r>
              <w:rPr>
                <w:rFonts w:hint="eastAsia" w:ascii="宋体" w:hAnsi="宋体" w:eastAsia="宋体" w:cs="宋体"/>
                <w:b w:val="0"/>
                <w:bCs w:val="0"/>
                <w:color w:val="auto"/>
                <w:sz w:val="21"/>
                <w:szCs w:val="21"/>
                <w:highlight w:val="none"/>
              </w:rPr>
              <w:t>每项</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zh-CN"/>
              </w:rPr>
              <w:t>万元＜</w:t>
            </w:r>
            <w:r>
              <w:rPr>
                <w:rFonts w:hint="eastAsia" w:ascii="宋体" w:hAnsi="宋体" w:eastAsia="宋体" w:cs="宋体"/>
                <w:b w:val="0"/>
                <w:bCs w:val="0"/>
                <w:color w:val="auto"/>
                <w:sz w:val="21"/>
                <w:szCs w:val="21"/>
                <w:highlight w:val="none"/>
              </w:rPr>
              <w:t>单项</w:t>
            </w:r>
            <w:r>
              <w:rPr>
                <w:rFonts w:hint="eastAsia" w:ascii="宋体" w:hAnsi="宋体" w:eastAsia="宋体" w:cs="宋体"/>
                <w:b w:val="0"/>
                <w:bCs w:val="0"/>
                <w:color w:val="auto"/>
                <w:sz w:val="21"/>
                <w:szCs w:val="21"/>
                <w:highlight w:val="none"/>
                <w:lang w:val="zh-CN"/>
              </w:rPr>
              <w:t>运输合同金额≤</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zh-CN"/>
              </w:rPr>
              <w:t>万元】的业绩</w:t>
            </w:r>
            <w:r>
              <w:rPr>
                <w:rFonts w:hint="eastAsia" w:ascii="宋体" w:hAnsi="宋体" w:eastAsia="宋体" w:cs="宋体"/>
                <w:b w:val="0"/>
                <w:bCs w:val="0"/>
                <w:color w:val="auto"/>
                <w:sz w:val="21"/>
                <w:szCs w:val="21"/>
                <w:highlight w:val="none"/>
              </w:rPr>
              <w:t>加0.2分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本子项满分</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w:t>
            </w:r>
          </w:p>
          <w:p w14:paraId="7980ED32">
            <w:pPr>
              <w:pStyle w:val="4"/>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1"/>
                <w:szCs w:val="21"/>
                <w:lang w:val="en-US" w:eastAsia="zh-CN"/>
              </w:rPr>
            </w:pPr>
          </w:p>
          <w:p w14:paraId="1B9C9224">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left"/>
              <w:textAlignment w:val="auto"/>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color w:val="auto"/>
                <w:kern w:val="2"/>
                <w:sz w:val="21"/>
                <w:szCs w:val="21"/>
                <w:highlight w:val="none"/>
                <w:lang w:val="zh-CN" w:eastAsia="zh-CN" w:bidi="ar-SA"/>
              </w:rPr>
              <w:t>备注：</w:t>
            </w:r>
          </w:p>
          <w:p w14:paraId="43C2F9E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1）业绩须同时提供①运输服务项目合同</w:t>
            </w:r>
            <w:r>
              <w:rPr>
                <w:rFonts w:hint="eastAsia" w:ascii="宋体" w:hAnsi="宋体" w:eastAsia="宋体" w:cs="宋体"/>
                <w:b/>
                <w:color w:val="auto"/>
                <w:sz w:val="21"/>
                <w:szCs w:val="21"/>
                <w:highlight w:val="none"/>
                <w:lang w:val="en-US" w:eastAsia="zh-CN"/>
              </w:rPr>
              <w:t>复印件</w:t>
            </w:r>
            <w:r>
              <w:rPr>
                <w:rFonts w:hint="eastAsia" w:ascii="宋体" w:hAnsi="宋体" w:eastAsia="宋体" w:cs="宋体"/>
                <w:b/>
                <w:color w:val="auto"/>
                <w:sz w:val="21"/>
                <w:szCs w:val="21"/>
                <w:highlight w:val="none"/>
              </w:rPr>
              <w:t>（合同服务提供方为</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），②已</w:t>
            </w:r>
            <w:r>
              <w:rPr>
                <w:rFonts w:hint="eastAsia" w:ascii="宋体" w:hAnsi="宋体" w:eastAsia="宋体" w:cs="宋体"/>
                <w:b/>
                <w:color w:val="auto"/>
                <w:sz w:val="21"/>
                <w:szCs w:val="21"/>
                <w:highlight w:val="none"/>
                <w:lang w:val="en-US" w:eastAsia="zh-CN"/>
              </w:rPr>
              <w:t>提供服务</w:t>
            </w:r>
            <w:r>
              <w:rPr>
                <w:rFonts w:hint="eastAsia" w:ascii="宋体" w:hAnsi="宋体" w:eastAsia="宋体" w:cs="宋体"/>
                <w:b/>
                <w:color w:val="auto"/>
                <w:sz w:val="21"/>
                <w:szCs w:val="21"/>
                <w:highlight w:val="none"/>
              </w:rPr>
              <w:t>任意一张发票</w:t>
            </w:r>
            <w:r>
              <w:rPr>
                <w:rFonts w:hint="eastAsia" w:ascii="宋体" w:hAnsi="宋体" w:eastAsia="宋体" w:cs="宋体"/>
                <w:b/>
                <w:color w:val="auto"/>
                <w:sz w:val="21"/>
                <w:szCs w:val="21"/>
                <w:highlight w:val="none"/>
                <w:lang w:eastAsia="zh-CN"/>
              </w:rPr>
              <w:t>复印件</w:t>
            </w:r>
            <w:r>
              <w:rPr>
                <w:rFonts w:hint="eastAsia" w:ascii="宋体" w:hAnsi="宋体" w:eastAsia="宋体" w:cs="宋体"/>
                <w:b/>
                <w:color w:val="auto"/>
                <w:sz w:val="21"/>
                <w:szCs w:val="21"/>
                <w:highlight w:val="none"/>
              </w:rPr>
              <w:t>（发票开具日期须在本项目招标公告发布之日前），否则不得分；</w:t>
            </w:r>
          </w:p>
          <w:p w14:paraId="02CEE5AF">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）若合同无法反映评分条件（合同签订日期为</w:t>
            </w:r>
            <w:r>
              <w:rPr>
                <w:rFonts w:hint="eastAsia" w:ascii="宋体" w:hAnsi="宋体" w:eastAsia="宋体" w:cs="宋体"/>
                <w:b/>
                <w:color w:val="auto"/>
                <w:sz w:val="21"/>
                <w:szCs w:val="21"/>
                <w:highlight w:val="none"/>
                <w:lang w:val="en-US" w:eastAsia="zh-CN"/>
              </w:rPr>
              <w:t>2023</w:t>
            </w:r>
            <w:r>
              <w:rPr>
                <w:rFonts w:hint="eastAsia" w:ascii="宋体" w:hAnsi="宋体" w:eastAsia="宋体" w:cs="宋体"/>
                <w:b/>
                <w:color w:val="auto"/>
                <w:sz w:val="21"/>
                <w:szCs w:val="21"/>
                <w:highlight w:val="none"/>
              </w:rPr>
              <w:t>年1月1日或以后、合同服务内容必须具有运输服务、合同运输服务对应金额）的，还需提供服务购买方出具的书面补充说明文件</w:t>
            </w:r>
            <w:r>
              <w:rPr>
                <w:rFonts w:hint="eastAsia" w:ascii="宋体" w:hAnsi="宋体" w:eastAsia="宋体" w:cs="宋体"/>
                <w:b/>
                <w:color w:val="auto"/>
                <w:sz w:val="21"/>
                <w:szCs w:val="21"/>
                <w:highlight w:val="none"/>
                <w:lang w:eastAsia="zh-CN"/>
              </w:rPr>
              <w:t>复印件</w:t>
            </w:r>
            <w:r>
              <w:rPr>
                <w:rFonts w:hint="eastAsia" w:ascii="宋体" w:hAnsi="宋体" w:eastAsia="宋体" w:cs="宋体"/>
                <w:b/>
                <w:color w:val="auto"/>
                <w:sz w:val="21"/>
                <w:szCs w:val="21"/>
                <w:highlight w:val="none"/>
              </w:rPr>
              <w:t>作为辅助证明（补充说明</w:t>
            </w:r>
            <w:r>
              <w:rPr>
                <w:rFonts w:hint="eastAsia" w:ascii="宋体" w:hAnsi="宋体" w:eastAsia="宋体" w:cs="宋体"/>
                <w:b/>
                <w:color w:val="auto"/>
                <w:sz w:val="21"/>
                <w:szCs w:val="21"/>
                <w:highlight w:val="none"/>
                <w:lang w:eastAsia="zh-CN"/>
              </w:rPr>
              <w:t>复印件</w:t>
            </w:r>
            <w:r>
              <w:rPr>
                <w:rFonts w:hint="eastAsia" w:ascii="宋体" w:hAnsi="宋体" w:eastAsia="宋体" w:cs="宋体"/>
                <w:b/>
                <w:color w:val="auto"/>
                <w:sz w:val="21"/>
                <w:szCs w:val="21"/>
                <w:highlight w:val="none"/>
              </w:rPr>
              <w:t>能显示服务购买方公章），否则不得分；</w:t>
            </w:r>
          </w:p>
          <w:p w14:paraId="672D1A09">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）若业绩为框架式协议或资格入围无明确金额的合同，必须同时提供合同期限内已服务发票金额统计表和发票</w:t>
            </w:r>
            <w:r>
              <w:rPr>
                <w:rFonts w:hint="eastAsia" w:ascii="宋体" w:hAnsi="宋体" w:eastAsia="宋体" w:cs="宋体"/>
                <w:b/>
                <w:color w:val="auto"/>
                <w:sz w:val="21"/>
                <w:szCs w:val="21"/>
                <w:highlight w:val="none"/>
                <w:lang w:eastAsia="zh-CN"/>
              </w:rPr>
              <w:t>复印件</w:t>
            </w:r>
            <w:r>
              <w:rPr>
                <w:rFonts w:hint="eastAsia" w:ascii="宋体" w:hAnsi="宋体" w:eastAsia="宋体" w:cs="宋体"/>
                <w:b/>
                <w:color w:val="auto"/>
                <w:sz w:val="21"/>
                <w:szCs w:val="21"/>
                <w:highlight w:val="none"/>
              </w:rPr>
              <w:t>；</w:t>
            </w:r>
          </w:p>
          <w:p w14:paraId="09F32E08">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right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）未按上述要求提供证明材料的业绩，或所附材料无法证明填报项目属</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329939F0">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分</w:t>
            </w:r>
          </w:p>
        </w:tc>
      </w:tr>
      <w:tr w14:paraId="750C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74" w:type="dxa"/>
            <w:vMerge w:val="restart"/>
            <w:tcBorders>
              <w:top w:val="single" w:color="auto" w:sz="4" w:space="0"/>
              <w:left w:val="single" w:color="auto" w:sz="4" w:space="0"/>
              <w:right w:val="single" w:color="auto" w:sz="4" w:space="0"/>
            </w:tcBorders>
            <w:vAlign w:val="center"/>
          </w:tcPr>
          <w:p w14:paraId="7BE2C3B9">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134" w:type="dxa"/>
            <w:vMerge w:val="restart"/>
            <w:tcBorders>
              <w:top w:val="single" w:color="auto" w:sz="4" w:space="0"/>
              <w:left w:val="single" w:color="auto" w:sz="4" w:space="0"/>
              <w:right w:val="single" w:color="auto" w:sz="4" w:space="0"/>
            </w:tcBorders>
            <w:vAlign w:val="center"/>
          </w:tcPr>
          <w:p w14:paraId="54823D40">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企业运输能力</w:t>
            </w:r>
          </w:p>
        </w:tc>
        <w:tc>
          <w:tcPr>
            <w:tcW w:w="7655" w:type="dxa"/>
            <w:tcBorders>
              <w:top w:val="single" w:color="auto" w:sz="4" w:space="0"/>
              <w:left w:val="single" w:color="auto" w:sz="4" w:space="0"/>
              <w:bottom w:val="single" w:color="auto" w:sz="4" w:space="0"/>
              <w:right w:val="single" w:color="auto" w:sz="4" w:space="0"/>
            </w:tcBorders>
            <w:vAlign w:val="top"/>
          </w:tcPr>
          <w:p w14:paraId="317FD9B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）根据供应商</w:t>
            </w:r>
            <w:r>
              <w:rPr>
                <w:rFonts w:hint="eastAsia" w:ascii="宋体" w:hAnsi="宋体" w:eastAsia="宋体" w:cs="宋体"/>
                <w:color w:val="auto"/>
                <w:sz w:val="21"/>
                <w:szCs w:val="21"/>
                <w:highlight w:val="none"/>
                <w:lang w:val="en-US" w:eastAsia="zh-CN"/>
              </w:rPr>
              <w:t>的自有驾驶员数量</w:t>
            </w:r>
            <w:r>
              <w:rPr>
                <w:rFonts w:hint="eastAsia" w:ascii="宋体" w:hAnsi="宋体" w:eastAsia="宋体" w:cs="宋体"/>
                <w:color w:val="auto"/>
                <w:sz w:val="21"/>
                <w:szCs w:val="21"/>
                <w:highlight w:val="none"/>
                <w:lang w:val="zh-CN"/>
              </w:rPr>
              <w:t>进行评审：供应商的自有驾驶员数量累计达到</w:t>
            </w:r>
            <w:r>
              <w:rPr>
                <w:rFonts w:hint="eastAsia" w:ascii="宋体" w:hAnsi="宋体" w:eastAsia="宋体" w:cs="宋体"/>
                <w:color w:val="auto"/>
                <w:sz w:val="21"/>
                <w:szCs w:val="21"/>
                <w:highlight w:val="none"/>
                <w:lang w:val="en-US" w:eastAsia="zh-CN"/>
              </w:rPr>
              <w:t>15人</w:t>
            </w:r>
            <w:r>
              <w:rPr>
                <w:rFonts w:hint="eastAsia" w:ascii="宋体" w:hAnsi="宋体" w:eastAsia="宋体" w:cs="宋体"/>
                <w:color w:val="auto"/>
                <w:sz w:val="21"/>
                <w:szCs w:val="21"/>
                <w:highlight w:val="none"/>
                <w:lang w:val="zh-CN"/>
              </w:rPr>
              <w:t>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分；在上述基础上，自有驾驶员每</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val="zh-CN"/>
              </w:rPr>
              <w:t>的加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r>
              <w:rPr>
                <w:rFonts w:hint="eastAsia" w:ascii="宋体" w:hAnsi="宋体" w:eastAsia="宋体" w:cs="宋体"/>
                <w:b/>
                <w:bCs/>
                <w:color w:val="auto"/>
                <w:sz w:val="21"/>
                <w:szCs w:val="21"/>
                <w:highlight w:val="none"/>
                <w:lang w:val="zh-CN"/>
              </w:rPr>
              <w:t>本项满分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分</w:t>
            </w:r>
            <w:r>
              <w:rPr>
                <w:rFonts w:hint="eastAsia" w:ascii="宋体" w:hAnsi="宋体" w:eastAsia="宋体" w:cs="宋体"/>
                <w:color w:val="auto"/>
                <w:sz w:val="21"/>
                <w:szCs w:val="21"/>
                <w:highlight w:val="none"/>
                <w:lang w:val="zh-CN"/>
              </w:rPr>
              <w:t>。</w:t>
            </w:r>
          </w:p>
          <w:p w14:paraId="57BBA1F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421B896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lang w:val="en-US" w:eastAsia="zh-CN"/>
              </w:rPr>
              <w:t>须提供驾驶员有效期内的A2驾驶证</w:t>
            </w:r>
            <w:r>
              <w:rPr>
                <w:rFonts w:hint="eastAsia" w:ascii="宋体" w:hAnsi="宋体" w:eastAsia="宋体" w:cs="宋体"/>
                <w:b/>
                <w:bCs/>
                <w:color w:val="auto"/>
                <w:sz w:val="21"/>
                <w:szCs w:val="21"/>
                <w:highlight w:val="none"/>
                <w:lang w:val="zh-CN"/>
              </w:rPr>
              <w:t>。</w:t>
            </w:r>
          </w:p>
          <w:p w14:paraId="216FCB83">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right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必须提供拟投入本项目污泥运输人员清单</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sz w:val="21"/>
                <w:szCs w:val="21"/>
                <w:highlight w:val="none"/>
              </w:rPr>
              <w:t>人力资源和社会保障部门（或税务部门）出具的最近</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个月（202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月至</w:t>
            </w:r>
            <w:r>
              <w:rPr>
                <w:rFonts w:hint="eastAsia" w:ascii="宋体" w:hAnsi="宋体" w:eastAsia="宋体" w:cs="宋体"/>
                <w:b/>
                <w:bCs/>
                <w:color w:val="auto"/>
                <w:sz w:val="21"/>
                <w:szCs w:val="21"/>
                <w:highlight w:val="none"/>
                <w:lang w:val="en-US" w:eastAsia="zh-CN"/>
              </w:rPr>
              <w:t>2026年2</w:t>
            </w:r>
            <w:r>
              <w:rPr>
                <w:rFonts w:hint="eastAsia" w:ascii="宋体" w:hAnsi="宋体" w:eastAsia="宋体" w:cs="宋体"/>
                <w:b/>
                <w:bCs/>
                <w:color w:val="auto"/>
                <w:sz w:val="21"/>
                <w:szCs w:val="21"/>
                <w:highlight w:val="none"/>
              </w:rPr>
              <w:t>月）的社保缴纳证明复印件</w:t>
            </w:r>
            <w:r>
              <w:rPr>
                <w:rFonts w:hint="eastAsia" w:ascii="宋体" w:hAnsi="宋体" w:eastAsia="宋体" w:cs="宋体"/>
                <w:b/>
                <w:bCs/>
                <w:color w:val="auto"/>
                <w:kern w:val="2"/>
                <w:sz w:val="21"/>
                <w:szCs w:val="21"/>
                <w:highlight w:val="none"/>
              </w:rPr>
              <w:t>、驾驶证复印件，提供的运输人员清单、驾驶证和社保缴纳证明复印件中人员名称必须一致，如不按要求提供相关评审证明或提供的证明材料中无法准确判断相关评审信息，不得分</w:t>
            </w:r>
            <w:r>
              <w:rPr>
                <w:rFonts w:hint="eastAsia" w:ascii="宋体" w:hAnsi="宋体" w:eastAsia="宋体" w:cs="宋体"/>
                <w:b/>
                <w:bCs/>
                <w:color w:val="auto"/>
                <w:sz w:val="21"/>
                <w:szCs w:val="21"/>
                <w:highlight w:val="none"/>
                <w:lang w:val="zh-CN"/>
              </w:rPr>
              <w:t>。</w:t>
            </w:r>
          </w:p>
        </w:tc>
        <w:tc>
          <w:tcPr>
            <w:tcW w:w="907" w:type="dxa"/>
            <w:vMerge w:val="restart"/>
            <w:tcBorders>
              <w:top w:val="single" w:color="auto" w:sz="4" w:space="0"/>
              <w:left w:val="single" w:color="auto" w:sz="4" w:space="0"/>
              <w:right w:val="single" w:color="auto" w:sz="4" w:space="0"/>
            </w:tcBorders>
            <w:vAlign w:val="center"/>
          </w:tcPr>
          <w:p w14:paraId="739454C3">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tr w14:paraId="412B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74" w:type="dxa"/>
            <w:vMerge w:val="continue"/>
            <w:tcBorders>
              <w:left w:val="single" w:color="auto" w:sz="4" w:space="0"/>
              <w:bottom w:val="single" w:color="auto" w:sz="4" w:space="0"/>
              <w:right w:val="single" w:color="auto" w:sz="4" w:space="0"/>
            </w:tcBorders>
            <w:vAlign w:val="center"/>
          </w:tcPr>
          <w:p w14:paraId="09B3451A">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rightChars="0"/>
              <w:jc w:val="left"/>
              <w:textAlignment w:val="auto"/>
              <w:rPr>
                <w:rFonts w:hint="eastAsia" w:ascii="宋体" w:hAnsi="宋体" w:eastAsia="宋体" w:cs="宋体"/>
                <w:sz w:val="21"/>
                <w:szCs w:val="21"/>
              </w:rPr>
            </w:pPr>
          </w:p>
        </w:tc>
        <w:tc>
          <w:tcPr>
            <w:tcW w:w="1134" w:type="dxa"/>
            <w:vMerge w:val="continue"/>
            <w:tcBorders>
              <w:left w:val="single" w:color="auto" w:sz="4" w:space="0"/>
              <w:bottom w:val="single" w:color="auto" w:sz="4" w:space="0"/>
              <w:right w:val="single" w:color="auto" w:sz="4" w:space="0"/>
            </w:tcBorders>
            <w:vAlign w:val="center"/>
          </w:tcPr>
          <w:p w14:paraId="245AEF79">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rightChars="0"/>
              <w:jc w:val="left"/>
              <w:textAlignment w:val="auto"/>
              <w:rPr>
                <w:rFonts w:hint="eastAsia" w:ascii="宋体" w:hAnsi="宋体" w:eastAsia="宋体" w:cs="宋体"/>
                <w:sz w:val="21"/>
                <w:szCs w:val="21"/>
              </w:rPr>
            </w:pPr>
          </w:p>
        </w:tc>
        <w:tc>
          <w:tcPr>
            <w:tcW w:w="7655" w:type="dxa"/>
            <w:tcBorders>
              <w:top w:val="single" w:color="auto" w:sz="4" w:space="0"/>
              <w:left w:val="single" w:color="auto" w:sz="4" w:space="0"/>
              <w:bottom w:val="single" w:color="auto" w:sz="4" w:space="0"/>
              <w:right w:val="single" w:color="auto" w:sz="4" w:space="0"/>
            </w:tcBorders>
            <w:vAlign w:val="top"/>
          </w:tcPr>
          <w:p w14:paraId="5F4D319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）根据供应商的运输能力进行评审：供应商的运输车</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要求车厢必须密封防渗漏</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数量累计达到</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台的，得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分；在上述基础上，运输车</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要求车厢必须密封防渗漏</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每多1台的加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r>
              <w:rPr>
                <w:rFonts w:hint="eastAsia" w:ascii="宋体" w:hAnsi="宋体" w:eastAsia="宋体" w:cs="宋体"/>
                <w:b/>
                <w:bCs/>
                <w:color w:val="auto"/>
                <w:sz w:val="21"/>
                <w:szCs w:val="21"/>
                <w:highlight w:val="none"/>
                <w:lang w:val="zh-CN"/>
              </w:rPr>
              <w:t>本项满分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分</w:t>
            </w:r>
            <w:r>
              <w:rPr>
                <w:rFonts w:hint="eastAsia" w:ascii="宋体" w:hAnsi="宋体" w:eastAsia="宋体" w:cs="宋体"/>
                <w:color w:val="auto"/>
                <w:sz w:val="21"/>
                <w:szCs w:val="21"/>
                <w:highlight w:val="none"/>
                <w:lang w:val="zh-CN"/>
              </w:rPr>
              <w:t>。</w:t>
            </w:r>
          </w:p>
          <w:p w14:paraId="134B9E3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1F96702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（1）自有的运输车的须提供：①车辆行驶证复印件；②车辆照片/图片（照片/图片须清晰显示拍摄时间为202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年</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zh-CN"/>
              </w:rPr>
              <w:t>月1日或以后）。</w:t>
            </w:r>
          </w:p>
          <w:p w14:paraId="5F879EF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委托第三方运输的须提供：①运输合同复印件；②受托方道路运输经营许可证复印件；③车辆道路运输证复印件；④车辆行驶证复印件；⑤车辆照片/图片（照片/图片须清晰显示拍摄时间为2026年1月1日或以后）。</w:t>
            </w:r>
          </w:p>
          <w:p w14:paraId="23CE8F44">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right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zh-CN"/>
              </w:rPr>
              <w:t>（3）未提供或者提供信息不全或证件无效的相应车辆不得分。</w:t>
            </w:r>
          </w:p>
        </w:tc>
        <w:tc>
          <w:tcPr>
            <w:tcW w:w="907" w:type="dxa"/>
            <w:vMerge w:val="continue"/>
            <w:tcBorders>
              <w:left w:val="single" w:color="auto" w:sz="4" w:space="0"/>
              <w:bottom w:val="single" w:color="auto" w:sz="4" w:space="0"/>
              <w:right w:val="single" w:color="auto" w:sz="4" w:space="0"/>
            </w:tcBorders>
            <w:vAlign w:val="center"/>
          </w:tcPr>
          <w:p w14:paraId="3B06E82F">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rightChars="0"/>
              <w:jc w:val="left"/>
              <w:textAlignment w:val="auto"/>
              <w:rPr>
                <w:rFonts w:hint="eastAsia" w:ascii="宋体" w:hAnsi="宋体" w:eastAsia="宋体" w:cs="宋体"/>
                <w:b/>
                <w:color w:val="auto"/>
                <w:sz w:val="21"/>
                <w:szCs w:val="21"/>
                <w:highlight w:val="none"/>
                <w:lang w:val="en-US" w:eastAsia="zh-CN"/>
              </w:rPr>
            </w:pPr>
          </w:p>
        </w:tc>
      </w:tr>
      <w:bookmarkEnd w:id="26"/>
    </w:tbl>
    <w:p w14:paraId="6D24B68E">
      <w:pPr>
        <w:keepLines w:val="0"/>
        <w:pageBreakBefore w:val="0"/>
        <w:widowControl w:val="0"/>
        <w:kinsoku/>
        <w:wordWrap/>
        <w:overflowPunct/>
        <w:topLinePunct w:val="0"/>
        <w:autoSpaceDE w:val="0"/>
        <w:autoSpaceDN w:val="0"/>
        <w:bidi w:val="0"/>
        <w:adjustRightInd w:val="0"/>
        <w:spacing w:line="360" w:lineRule="auto"/>
        <w:ind w:right="-26" w:firstLine="480"/>
        <w:jc w:val="center"/>
        <w:textAlignment w:val="auto"/>
        <w:rPr>
          <w:rFonts w:hint="eastAsia" w:ascii="宋体" w:hAnsi="宋体" w:eastAsia="宋体" w:cs="宋体"/>
          <w:b/>
          <w:bCs/>
          <w:color w:val="auto"/>
          <w:kern w:val="0"/>
          <w:sz w:val="21"/>
          <w:szCs w:val="21"/>
          <w:highlight w:val="none"/>
        </w:rPr>
      </w:pPr>
    </w:p>
    <w:p w14:paraId="217193AF">
      <w:pPr>
        <w:keepLines w:val="0"/>
        <w:pageBreakBefore w:val="0"/>
        <w:widowControl w:val="0"/>
        <w:tabs>
          <w:tab w:val="left" w:pos="585"/>
        </w:tabs>
        <w:kinsoku/>
        <w:wordWrap/>
        <w:overflowPunct/>
        <w:topLinePunct w:val="0"/>
        <w:autoSpaceDE w:val="0"/>
        <w:autoSpaceDN w:val="0"/>
        <w:bidi w:val="0"/>
        <w:adjustRightInd w:val="0"/>
        <w:spacing w:line="360" w:lineRule="auto"/>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技术：总分</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lang w:val="zh-CN"/>
        </w:rPr>
        <w:t>分</w:t>
      </w:r>
      <w:bookmarkEnd w:id="27"/>
    </w:p>
    <w:tbl>
      <w:tblPr>
        <w:tblStyle w:val="25"/>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2741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86BE1AF">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rPr>
            </w:pPr>
            <w:bookmarkStart w:id="28" w:name="_Hlk104987779"/>
            <w:r>
              <w:rPr>
                <w:rFonts w:hint="eastAsia" w:ascii="宋体" w:hAnsi="宋体" w:eastAsia="宋体" w:cs="宋体"/>
                <w:b/>
                <w:color w:val="auto"/>
                <w:kern w:val="0"/>
                <w:sz w:val="21"/>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B9AE2A0">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19213B0B">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1529293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1AEA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FBB92E5">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2EF4A7E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02A8329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分；同时参照其响应文件中技术资料内容进行对比，每发现一处供应商填写为无偏离或正偏离，但评标委员会评审认定其为负偏离的，每处扣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65491D7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2C24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FEF0A8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54060A8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2"/>
                <w:sz w:val="21"/>
                <w:szCs w:val="21"/>
                <w:highlight w:val="none"/>
              </w:rPr>
              <w:t>拟投入运输的车辆的使用年限</w:t>
            </w:r>
          </w:p>
        </w:tc>
        <w:tc>
          <w:tcPr>
            <w:tcW w:w="7655" w:type="dxa"/>
            <w:tcBorders>
              <w:top w:val="single" w:color="auto" w:sz="4" w:space="0"/>
              <w:left w:val="single" w:color="auto" w:sz="4" w:space="0"/>
              <w:bottom w:val="single" w:color="auto" w:sz="4" w:space="0"/>
              <w:right w:val="single" w:color="auto" w:sz="4" w:space="0"/>
            </w:tcBorders>
            <w:vAlign w:val="center"/>
          </w:tcPr>
          <w:p w14:paraId="3E5BD04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对运输管理方案中，投入作业</w:t>
            </w:r>
            <w:r>
              <w:rPr>
                <w:rFonts w:hint="eastAsia" w:ascii="宋体" w:hAnsi="宋体" w:eastAsia="宋体" w:cs="宋体"/>
                <w:color w:val="auto"/>
                <w:kern w:val="2"/>
                <w:sz w:val="21"/>
                <w:szCs w:val="21"/>
                <w:highlight w:val="none"/>
                <w:lang w:val="zh-CN"/>
              </w:rPr>
              <w:t>污泥运输车辆（要求车厢必须密封防渗漏）</w:t>
            </w:r>
            <w:r>
              <w:rPr>
                <w:rFonts w:hint="eastAsia" w:ascii="宋体" w:hAnsi="宋体" w:eastAsia="宋体" w:cs="宋体"/>
                <w:color w:val="auto"/>
                <w:sz w:val="21"/>
                <w:szCs w:val="21"/>
                <w:highlight w:val="none"/>
                <w:lang w:val="zh-CN"/>
              </w:rPr>
              <w:t>的使用年限进行评审，满分为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分，最低得0分。</w:t>
            </w:r>
          </w:p>
          <w:p w14:paraId="53D4AC7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辆，得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p>
          <w:p w14:paraId="3D6CCBC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辆≤拟投入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辆，得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分；</w:t>
            </w:r>
          </w:p>
          <w:p w14:paraId="081B3DA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辆≤拟投入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辆，得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470BE5D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辆≤拟投入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辆，得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14:paraId="1CE6B47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（5）拟投入污泥运输车辆中使用年限大于10年，每辆扣1分，最低得0分。</w:t>
            </w:r>
          </w:p>
          <w:p w14:paraId="65D0F2A2">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27B78CB6">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2"/>
                <w:sz w:val="21"/>
                <w:szCs w:val="21"/>
                <w:highlight w:val="none"/>
              </w:rPr>
              <w:t>需提供车辆营运证（或道路运输证）、行驶证的复印件（采用</w:t>
            </w:r>
            <w:r>
              <w:rPr>
                <w:rFonts w:hint="eastAsia" w:ascii="宋体" w:hAnsi="宋体" w:eastAsia="宋体" w:cs="宋体"/>
                <w:b/>
                <w:bCs/>
                <w:color w:val="auto"/>
                <w:sz w:val="21"/>
                <w:szCs w:val="21"/>
                <w:highlight w:val="none"/>
              </w:rPr>
              <w:t>半挂牵引车+半挂车组合车型的，必须同时提半挂供牵引车</w:t>
            </w:r>
            <w:r>
              <w:rPr>
                <w:rFonts w:hint="eastAsia" w:ascii="宋体" w:hAnsi="宋体" w:eastAsia="宋体" w:cs="宋体"/>
                <w:b/>
                <w:bCs/>
                <w:color w:val="auto"/>
                <w:kern w:val="2"/>
                <w:sz w:val="21"/>
                <w:szCs w:val="21"/>
                <w:highlight w:val="none"/>
              </w:rPr>
              <w:t>行驶证</w:t>
            </w:r>
            <w:r>
              <w:rPr>
                <w:rFonts w:hint="eastAsia" w:ascii="宋体" w:hAnsi="宋体" w:eastAsia="宋体" w:cs="宋体"/>
                <w:b/>
                <w:bCs/>
                <w:color w:val="auto"/>
                <w:sz w:val="21"/>
                <w:szCs w:val="21"/>
                <w:highlight w:val="none"/>
              </w:rPr>
              <w:t>和半挂车</w:t>
            </w:r>
            <w:r>
              <w:rPr>
                <w:rFonts w:hint="eastAsia" w:ascii="宋体" w:hAnsi="宋体" w:eastAsia="宋体" w:cs="宋体"/>
                <w:b/>
                <w:bCs/>
                <w:color w:val="auto"/>
                <w:kern w:val="2"/>
                <w:sz w:val="21"/>
                <w:szCs w:val="21"/>
                <w:highlight w:val="none"/>
              </w:rPr>
              <w:t>行驶证复印件，否则视为无效证明材料，不得分）和清晰显示车头和车尾车牌号的车辆的照片打印件/复印件作为证明材料，证件业主（户）名称（所有人）必须是</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。车辆使用年限以车辆行驶证中注册日期为依据（多个行驶证的按注册日期较早的日期为准），如不按要求提供相关评审证明或提供的证明材料中无法准确判断相关评审信息，不得分。</w:t>
            </w:r>
          </w:p>
        </w:tc>
        <w:tc>
          <w:tcPr>
            <w:tcW w:w="907" w:type="dxa"/>
            <w:tcBorders>
              <w:top w:val="single" w:color="auto" w:sz="4" w:space="0"/>
              <w:left w:val="single" w:color="auto" w:sz="4" w:space="0"/>
              <w:bottom w:val="single" w:color="auto" w:sz="4" w:space="0"/>
              <w:right w:val="single" w:color="auto" w:sz="4" w:space="0"/>
            </w:tcBorders>
            <w:vAlign w:val="center"/>
          </w:tcPr>
          <w:p w14:paraId="33ADFE4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5491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3503D3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19F3A83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拟投入的运输人员</w:t>
            </w:r>
          </w:p>
        </w:tc>
        <w:tc>
          <w:tcPr>
            <w:tcW w:w="7655" w:type="dxa"/>
            <w:tcBorders>
              <w:top w:val="single" w:color="auto" w:sz="4" w:space="0"/>
              <w:left w:val="single" w:color="auto" w:sz="4" w:space="0"/>
              <w:bottom w:val="single" w:color="auto" w:sz="4" w:space="0"/>
              <w:right w:val="single" w:color="auto" w:sz="4" w:space="0"/>
            </w:tcBorders>
            <w:vAlign w:val="center"/>
          </w:tcPr>
          <w:p w14:paraId="00D4C69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方案中，投入</w:t>
            </w:r>
            <w:r>
              <w:rPr>
                <w:rFonts w:hint="eastAsia" w:ascii="宋体" w:hAnsi="宋体" w:eastAsia="宋体" w:cs="宋体"/>
                <w:color w:val="auto"/>
                <w:sz w:val="21"/>
                <w:szCs w:val="21"/>
                <w:highlight w:val="none"/>
              </w:rPr>
              <w:t>驾龄超过5年（含5年）</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rPr>
              <w:t>运输人员数量</w:t>
            </w:r>
            <w:r>
              <w:rPr>
                <w:rFonts w:hint="eastAsia" w:ascii="宋体" w:hAnsi="宋体" w:eastAsia="宋体" w:cs="宋体"/>
                <w:color w:val="auto"/>
                <w:sz w:val="21"/>
                <w:szCs w:val="21"/>
                <w:highlight w:val="none"/>
                <w:lang w:val="zh-CN"/>
              </w:rPr>
              <w:t>进行评审，每一位</w:t>
            </w:r>
            <w:r>
              <w:rPr>
                <w:rFonts w:hint="eastAsia" w:ascii="宋体" w:hAnsi="宋体" w:eastAsia="宋体" w:cs="宋体"/>
                <w:color w:val="auto"/>
                <w:sz w:val="21"/>
                <w:szCs w:val="21"/>
                <w:highlight w:val="none"/>
              </w:rPr>
              <w:t>驾龄超过5年（含5年）</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rPr>
              <w:t>运输人员得0.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CN"/>
              </w:rPr>
              <w:t>满分为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p>
          <w:p w14:paraId="220DB26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67E0466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（1）驾龄按取得A2驾驶证的年份计算，驾龄不足5年的运输人员数量不列入评审。</w:t>
            </w:r>
          </w:p>
          <w:p w14:paraId="057CE6C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rPr>
              <w:t>（2）</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必须提供拟投入本项目污泥运输人员清单</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sz w:val="21"/>
                <w:szCs w:val="21"/>
                <w:highlight w:val="none"/>
              </w:rPr>
              <w:t>人力资源和社会保障部门（或税务部门）出具的最近</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个月（202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月至</w:t>
            </w:r>
            <w:r>
              <w:rPr>
                <w:rFonts w:hint="eastAsia" w:ascii="宋体" w:hAnsi="宋体" w:eastAsia="宋体" w:cs="宋体"/>
                <w:b/>
                <w:bCs/>
                <w:color w:val="auto"/>
                <w:sz w:val="21"/>
                <w:szCs w:val="21"/>
                <w:highlight w:val="none"/>
                <w:lang w:val="en-US" w:eastAsia="zh-CN"/>
              </w:rPr>
              <w:t>2026年2</w:t>
            </w:r>
            <w:r>
              <w:rPr>
                <w:rFonts w:hint="eastAsia" w:ascii="宋体" w:hAnsi="宋体" w:eastAsia="宋体" w:cs="宋体"/>
                <w:b/>
                <w:bCs/>
                <w:color w:val="auto"/>
                <w:sz w:val="21"/>
                <w:szCs w:val="21"/>
                <w:highlight w:val="none"/>
              </w:rPr>
              <w:t>月）的社保缴纳证明复印件</w:t>
            </w:r>
            <w:r>
              <w:rPr>
                <w:rFonts w:hint="eastAsia" w:ascii="宋体" w:hAnsi="宋体" w:eastAsia="宋体" w:cs="宋体"/>
                <w:b/>
                <w:bCs/>
                <w:color w:val="auto"/>
                <w:kern w:val="2"/>
                <w:sz w:val="21"/>
                <w:szCs w:val="21"/>
                <w:highlight w:val="none"/>
              </w:rPr>
              <w:t>、驾驶证复印件，提供的运输人员清单、驾驶证和社保缴纳证明复印件中人员名称必须一致，如不按要求提供相关评审证明或提供的证明材料中无法准确判断相关评审信息，不得分。</w:t>
            </w:r>
          </w:p>
        </w:tc>
        <w:tc>
          <w:tcPr>
            <w:tcW w:w="907" w:type="dxa"/>
            <w:tcBorders>
              <w:top w:val="single" w:color="auto" w:sz="4" w:space="0"/>
              <w:left w:val="single" w:color="auto" w:sz="4" w:space="0"/>
              <w:bottom w:val="single" w:color="auto" w:sz="4" w:space="0"/>
              <w:right w:val="single" w:color="auto" w:sz="4" w:space="0"/>
            </w:tcBorders>
            <w:vAlign w:val="center"/>
          </w:tcPr>
          <w:p w14:paraId="34069C9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3F7F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2DC35F8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497AE9B">
            <w:pPr>
              <w:pStyle w:val="67"/>
              <w:keepLines w:val="0"/>
              <w:pageBreakBefore w:val="0"/>
              <w:widowControl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和保障措施</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14:paraId="2B5E874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对</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临时污泥转移运输量急剧增加、发生交通事故、污泥散落、泄漏需紧急换车转移及环境污染防治等</w:t>
            </w:r>
            <w:r>
              <w:rPr>
                <w:rFonts w:hint="eastAsia" w:ascii="宋体" w:hAnsi="宋体" w:eastAsia="宋体" w:cs="宋体"/>
                <w:color w:val="auto"/>
                <w:kern w:val="2"/>
                <w:sz w:val="21"/>
                <w:szCs w:val="21"/>
                <w:highlight w:val="none"/>
                <w:lang w:val="en-US" w:eastAsia="zh-CN"/>
              </w:rPr>
              <w:t>横向比较后进行评审</w:t>
            </w:r>
            <w:r>
              <w:rPr>
                <w:rFonts w:hint="eastAsia" w:ascii="宋体" w:hAnsi="宋体" w:eastAsia="宋体" w:cs="宋体"/>
                <w:color w:val="auto"/>
                <w:kern w:val="2"/>
                <w:sz w:val="21"/>
                <w:szCs w:val="21"/>
                <w:highlight w:val="none"/>
                <w:lang w:eastAsia="zh-CN"/>
              </w:rPr>
              <w:t>：</w:t>
            </w:r>
          </w:p>
          <w:p w14:paraId="249605D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color w:val="auto"/>
                <w:sz w:val="21"/>
                <w:szCs w:val="21"/>
                <w:highlight w:val="none"/>
              </w:rPr>
              <w:t>：应急预案详实且完整，能够全面覆盖所有可能发生的应急情况，并对每一类应急情况制定了详尽且具有操作性的保障措施，并给出了</w:t>
            </w:r>
            <w:r>
              <w:rPr>
                <w:rFonts w:hint="eastAsia" w:ascii="宋体" w:hAnsi="宋体" w:eastAsia="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的解决方案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能有效指导现场处置行动，确保事故得到有效控制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rPr>
              <w:t>得[5-4.5]分；</w:t>
            </w:r>
          </w:p>
          <w:p w14:paraId="5C8A498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：应急预案较为完整，对各类应急情况制定了具体的保障措施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能够</w:t>
            </w:r>
            <w:r>
              <w:rPr>
                <w:rFonts w:hint="eastAsia" w:ascii="宋体" w:hAnsi="宋体" w:eastAsia="宋体" w:cs="宋体"/>
                <w:color w:val="auto"/>
                <w:sz w:val="21"/>
                <w:szCs w:val="21"/>
                <w:highlight w:val="none"/>
              </w:rPr>
              <w:t>考虑到了</w:t>
            </w:r>
            <w:r>
              <w:rPr>
                <w:rFonts w:hint="eastAsia" w:ascii="宋体" w:hAnsi="宋体" w:eastAsia="宋体" w:cs="宋体"/>
                <w:color w:val="auto"/>
                <w:sz w:val="21"/>
                <w:szCs w:val="21"/>
                <w:highlight w:val="none"/>
                <w:lang w:val="en-US" w:eastAsia="zh-CN"/>
              </w:rPr>
              <w:t>大部分情况下</w:t>
            </w:r>
            <w:r>
              <w:rPr>
                <w:rFonts w:hint="eastAsia" w:ascii="宋体" w:hAnsi="宋体" w:eastAsia="宋体" w:cs="宋体"/>
                <w:color w:val="auto"/>
                <w:sz w:val="21"/>
                <w:szCs w:val="21"/>
                <w:highlight w:val="none"/>
              </w:rPr>
              <w:t>可能发生的</w:t>
            </w:r>
            <w:r>
              <w:rPr>
                <w:rFonts w:hint="eastAsia" w:ascii="宋体" w:hAnsi="宋体" w:eastAsia="宋体" w:cs="宋体"/>
                <w:color w:val="auto"/>
                <w:sz w:val="21"/>
                <w:szCs w:val="21"/>
                <w:highlight w:val="none"/>
                <w:lang w:val="en-US" w:eastAsia="zh-CN"/>
              </w:rPr>
              <w:t>问题</w:t>
            </w:r>
            <w:r>
              <w:rPr>
                <w:rFonts w:hint="eastAsia" w:ascii="宋体" w:hAnsi="宋体" w:eastAsia="宋体" w:cs="宋体"/>
                <w:color w:val="auto"/>
                <w:sz w:val="21"/>
                <w:szCs w:val="21"/>
                <w:highlight w:val="none"/>
              </w:rPr>
              <w:t>，在少数特殊情况下可能存在一定的不确定性</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存在一些细节上的不足，但总体上仍能较好地指导现场处置行动，有效控制事故的发展</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4.5-3.5]分；</w:t>
            </w:r>
          </w:p>
          <w:p w14:paraId="4309056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：应急预案基本完整，对</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应急情况制定了</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但解决方案</w:t>
            </w:r>
            <w:r>
              <w:rPr>
                <w:rFonts w:hint="eastAsia" w:ascii="宋体" w:hAnsi="宋体" w:eastAsia="宋体" w:cs="宋体"/>
                <w:color w:val="auto"/>
                <w:sz w:val="21"/>
                <w:szCs w:val="21"/>
                <w:highlight w:val="none"/>
              </w:rPr>
              <w:t>需要进一步完善以提高其</w:t>
            </w:r>
            <w:r>
              <w:rPr>
                <w:rFonts w:hint="eastAsia" w:ascii="宋体" w:hAnsi="宋体" w:eastAsia="宋体" w:cs="宋体"/>
                <w:color w:val="auto"/>
                <w:sz w:val="21"/>
                <w:szCs w:val="21"/>
                <w:highlight w:val="none"/>
                <w:lang w:val="en-US" w:eastAsia="zh-CN"/>
              </w:rPr>
              <w:t>指导性</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3.5-2]分；</w:t>
            </w:r>
          </w:p>
          <w:p w14:paraId="0F4432A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：应急预案不完整</w:t>
            </w:r>
            <w:r>
              <w:rPr>
                <w:rFonts w:hint="eastAsia" w:ascii="宋体" w:hAnsi="宋体" w:eastAsia="宋体" w:cs="宋体"/>
                <w:color w:val="auto"/>
                <w:sz w:val="21"/>
                <w:szCs w:val="21"/>
                <w:highlight w:val="none"/>
                <w:lang w:val="en-US" w:eastAsia="zh-CN"/>
              </w:rPr>
              <w:t>或缺少合理性</w:t>
            </w:r>
            <w:r>
              <w:rPr>
                <w:rFonts w:hint="eastAsia" w:ascii="宋体" w:hAnsi="宋体" w:eastAsia="宋体" w:cs="宋体"/>
                <w:color w:val="auto"/>
                <w:sz w:val="21"/>
                <w:szCs w:val="21"/>
                <w:highlight w:val="none"/>
              </w:rPr>
              <w:t>，对各类应急情况的保障措施不够具体，</w:t>
            </w:r>
            <w:r>
              <w:rPr>
                <w:rFonts w:hint="eastAsia" w:ascii="宋体" w:hAnsi="宋体" w:eastAsia="宋体" w:cs="宋体"/>
                <w:color w:val="auto"/>
                <w:sz w:val="21"/>
                <w:szCs w:val="21"/>
                <w:highlight w:val="none"/>
                <w:lang w:val="en-US" w:eastAsia="zh-CN"/>
              </w:rPr>
              <w:t>无对应的解决方案，</w:t>
            </w:r>
            <w:r>
              <w:rPr>
                <w:rFonts w:hint="eastAsia" w:ascii="宋体" w:hAnsi="宋体" w:eastAsia="宋体" w:cs="宋体"/>
                <w:color w:val="auto"/>
                <w:sz w:val="21"/>
                <w:szCs w:val="21"/>
                <w:highlight w:val="none"/>
              </w:rPr>
              <w:t>可预判服务期间</w:t>
            </w:r>
            <w:r>
              <w:rPr>
                <w:rFonts w:hint="eastAsia" w:ascii="宋体" w:hAnsi="宋体" w:eastAsia="宋体" w:cs="宋体"/>
                <w:color w:val="auto"/>
                <w:sz w:val="21"/>
                <w:szCs w:val="21"/>
                <w:highlight w:val="none"/>
                <w:lang w:val="en-US" w:eastAsia="zh-CN"/>
              </w:rPr>
              <w:t>发生应急情况时会</w:t>
            </w:r>
            <w:r>
              <w:rPr>
                <w:rFonts w:hint="eastAsia" w:ascii="宋体" w:hAnsi="宋体" w:eastAsia="宋体" w:cs="宋体"/>
                <w:color w:val="auto"/>
                <w:sz w:val="21"/>
                <w:szCs w:val="21"/>
                <w:highlight w:val="none"/>
              </w:rPr>
              <w:t>出现频繁的负面问题</w:t>
            </w:r>
            <w:r>
              <w:rPr>
                <w:rFonts w:hint="eastAsia" w:ascii="宋体" w:hAnsi="宋体" w:eastAsia="宋体" w:cs="宋体"/>
                <w:color w:val="auto"/>
                <w:kern w:val="2"/>
                <w:sz w:val="21"/>
                <w:szCs w:val="21"/>
                <w:highlight w:val="none"/>
                <w:lang w:val="en-US" w:eastAsia="zh-CN"/>
              </w:rPr>
              <w:t>，得（2-0]分。</w:t>
            </w:r>
          </w:p>
          <w:p w14:paraId="1073F03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lang w:val="en-US" w:eastAsia="zh-CN"/>
              </w:rPr>
              <w:t>方案的不同内容分别</w:t>
            </w:r>
            <w:r>
              <w:rPr>
                <w:rFonts w:hint="eastAsia" w:ascii="宋体" w:hAnsi="宋体" w:eastAsia="宋体" w:cs="宋体"/>
                <w:b/>
                <w:bCs/>
                <w:color w:val="auto"/>
                <w:sz w:val="21"/>
                <w:szCs w:val="21"/>
                <w:highlight w:val="none"/>
              </w:rPr>
              <w:t>符合评审</w:t>
            </w:r>
            <w:r>
              <w:rPr>
                <w:rFonts w:hint="eastAsia" w:ascii="宋体" w:hAnsi="宋体" w:eastAsia="宋体" w:cs="宋体"/>
                <w:b/>
                <w:bCs/>
                <w:color w:val="auto"/>
                <w:sz w:val="21"/>
                <w:szCs w:val="21"/>
                <w:highlight w:val="none"/>
                <w:lang w:val="en-US" w:eastAsia="zh-CN"/>
              </w:rPr>
              <w:t>内容中不同档次</w:t>
            </w:r>
            <w:r>
              <w:rPr>
                <w:rFonts w:hint="eastAsia" w:ascii="宋体" w:hAnsi="宋体" w:eastAsia="宋体" w:cs="宋体"/>
                <w:b/>
                <w:bCs/>
                <w:color w:val="auto"/>
                <w:sz w:val="21"/>
                <w:szCs w:val="21"/>
                <w:highlight w:val="none"/>
              </w:rPr>
              <w:t>得分要求的，</w:t>
            </w:r>
            <w:r>
              <w:rPr>
                <w:rFonts w:hint="eastAsia" w:ascii="宋体" w:hAnsi="宋体" w:eastAsia="宋体" w:cs="宋体"/>
                <w:b/>
                <w:bCs/>
                <w:color w:val="auto"/>
                <w:sz w:val="21"/>
                <w:szCs w:val="21"/>
                <w:highlight w:val="none"/>
                <w:lang w:val="en-US" w:eastAsia="zh-CN"/>
              </w:rPr>
              <w:t>评审时优先按较低的档次计分（即若</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lang w:val="en-US" w:eastAsia="zh-CN"/>
              </w:rPr>
              <w:t>方案部分内容符合“优”的得分要求，另一部分内容符合“中”的得分要求时，应按“中”的档次考虑计分）。</w:t>
            </w:r>
          </w:p>
        </w:tc>
        <w:tc>
          <w:tcPr>
            <w:tcW w:w="907" w:type="dxa"/>
            <w:tcBorders>
              <w:top w:val="single" w:color="auto" w:sz="4" w:space="0"/>
              <w:left w:val="single" w:color="auto" w:sz="4" w:space="0"/>
              <w:bottom w:val="single" w:color="auto" w:sz="4" w:space="0"/>
              <w:right w:val="single" w:color="auto" w:sz="4" w:space="0"/>
            </w:tcBorders>
            <w:vAlign w:val="center"/>
          </w:tcPr>
          <w:p w14:paraId="65753EA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bookmarkEnd w:id="28"/>
    </w:tbl>
    <w:p w14:paraId="4DB6356A">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p w14:paraId="1A5BEC8C">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①表中“[”代表闭区间，“]”代表闭区间，如[0，1]代表该分数段范围为大于等于0且小于等于1。表中“（”代表开区间，“]”代表闭区间，如（1，2]代表该分数段范围为大于1且小于等于2。</w:t>
      </w:r>
    </w:p>
    <w:p w14:paraId="0CD8170A">
      <w:pPr>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②分数出现小数点，保留小数点后2位，从小数点后第3位四舍五入。</w:t>
      </w:r>
    </w:p>
    <w:p w14:paraId="28DAA594">
      <w:pPr>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val="zh-CN"/>
        </w:rPr>
        <w:t>③</w:t>
      </w:r>
      <w:r>
        <w:rPr>
          <w:rFonts w:hint="eastAsia" w:ascii="宋体" w:hAnsi="宋体" w:eastAsia="宋体" w:cs="宋体"/>
          <w:b/>
          <w:color w:val="auto"/>
          <w:kern w:val="0"/>
          <w:sz w:val="21"/>
          <w:szCs w:val="21"/>
          <w:highlight w:val="none"/>
          <w:lang w:val="zh-CN"/>
        </w:rPr>
        <w:t>对</w:t>
      </w:r>
      <w:r>
        <w:rPr>
          <w:rFonts w:hint="eastAsia" w:ascii="宋体" w:hAnsi="宋体" w:eastAsia="宋体" w:cs="宋体"/>
          <w:b/>
          <w:color w:val="auto"/>
          <w:kern w:val="0"/>
          <w:sz w:val="21"/>
          <w:szCs w:val="21"/>
          <w:highlight w:val="none"/>
        </w:rPr>
        <w:t>于各</w:t>
      </w:r>
      <w:r>
        <w:rPr>
          <w:rFonts w:hint="eastAsia" w:ascii="宋体" w:hAnsi="宋体" w:eastAsia="宋体" w:cs="宋体"/>
          <w:b/>
          <w:color w:val="auto"/>
          <w:kern w:val="0"/>
          <w:sz w:val="21"/>
          <w:szCs w:val="21"/>
          <w:highlight w:val="none"/>
          <w:lang w:val="zh-CN"/>
        </w:rPr>
        <w:t>评标委员会成员</w:t>
      </w:r>
      <w:r>
        <w:rPr>
          <w:rFonts w:hint="eastAsia" w:ascii="宋体" w:hAnsi="宋体" w:eastAsia="宋体" w:cs="宋体"/>
          <w:b/>
          <w:color w:val="auto"/>
          <w:kern w:val="0"/>
          <w:sz w:val="21"/>
          <w:szCs w:val="21"/>
          <w:highlight w:val="none"/>
        </w:rPr>
        <w:t>存在客观分打分不一致时</w:t>
      </w:r>
      <w:r>
        <w:rPr>
          <w:rFonts w:hint="eastAsia" w:ascii="宋体" w:hAnsi="宋体" w:eastAsia="宋体" w:cs="宋体"/>
          <w:b/>
          <w:color w:val="auto"/>
          <w:kern w:val="0"/>
          <w:sz w:val="21"/>
          <w:szCs w:val="21"/>
          <w:highlight w:val="none"/>
          <w:lang w:val="zh-CN"/>
        </w:rPr>
        <w:t>,根据少数服</w:t>
      </w:r>
      <w:r>
        <w:rPr>
          <w:rFonts w:hint="eastAsia" w:ascii="宋体" w:hAnsi="宋体" w:eastAsia="宋体" w:cs="宋体"/>
          <w:b/>
          <w:color w:val="auto"/>
          <w:kern w:val="0"/>
          <w:sz w:val="21"/>
          <w:szCs w:val="21"/>
          <w:highlight w:val="none"/>
        </w:rPr>
        <w:t>从</w:t>
      </w:r>
      <w:r>
        <w:rPr>
          <w:rFonts w:hint="eastAsia" w:ascii="宋体" w:hAnsi="宋体" w:eastAsia="宋体" w:cs="宋体"/>
          <w:b/>
          <w:color w:val="auto"/>
          <w:kern w:val="0"/>
          <w:sz w:val="21"/>
          <w:szCs w:val="21"/>
          <w:highlight w:val="none"/>
          <w:lang w:val="zh-CN"/>
        </w:rPr>
        <w:t>多数的原则，以记名方式表决</w:t>
      </w:r>
      <w:r>
        <w:rPr>
          <w:rFonts w:hint="eastAsia" w:ascii="宋体" w:hAnsi="宋体" w:eastAsia="宋体" w:cs="宋体"/>
          <w:b/>
          <w:color w:val="auto"/>
          <w:kern w:val="0"/>
          <w:sz w:val="21"/>
          <w:szCs w:val="21"/>
          <w:highlight w:val="none"/>
        </w:rPr>
        <w:t>确定该项的评分。</w:t>
      </w:r>
    </w:p>
    <w:bookmarkEnd w:id="22"/>
    <w:bookmarkEnd w:id="23"/>
    <w:bookmarkEnd w:id="24"/>
    <w:bookmarkEnd w:id="25"/>
    <w:p w14:paraId="222BB692">
      <w:pPr>
        <w:pStyle w:val="8"/>
        <w:keepLines w:val="0"/>
        <w:pageBreakBefore w:val="0"/>
        <w:widowControl w:val="0"/>
        <w:kinsoku/>
        <w:wordWrap/>
        <w:overflowPunct/>
        <w:topLinePunct w:val="0"/>
        <w:bidi w:val="0"/>
        <w:adjustRightInd/>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color w:val="auto"/>
          <w:sz w:val="21"/>
          <w:szCs w:val="21"/>
          <w:highlight w:val="none"/>
          <w:lang w:val="zh-CN"/>
        </w:rPr>
        <w:t>（3）</w:t>
      </w:r>
      <w:r>
        <w:rPr>
          <w:rFonts w:hint="eastAsia" w:ascii="宋体" w:hAnsi="宋体" w:eastAsia="宋体" w:cs="宋体"/>
          <w:b/>
          <w:sz w:val="21"/>
          <w:szCs w:val="21"/>
        </w:rPr>
        <w:t>价格评分：总分</w:t>
      </w:r>
      <w:r>
        <w:rPr>
          <w:rFonts w:hint="eastAsia" w:ascii="宋体" w:hAnsi="宋体" w:eastAsia="宋体" w:cs="宋体"/>
          <w:b/>
          <w:sz w:val="21"/>
          <w:szCs w:val="21"/>
          <w:lang w:val="en-US" w:eastAsia="zh-CN"/>
        </w:rPr>
        <w:t>3</w:t>
      </w:r>
      <w:r>
        <w:rPr>
          <w:rFonts w:hint="eastAsia" w:ascii="宋体" w:hAnsi="宋体" w:eastAsia="宋体" w:cs="宋体"/>
          <w:b/>
          <w:sz w:val="21"/>
          <w:szCs w:val="21"/>
        </w:rPr>
        <w:t>0分</w:t>
      </w:r>
    </w:p>
    <w:p w14:paraId="5A751231">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A、根据有效响应人的报价，最低价作为基准价。响应人报价等于基准价的得满分</w:t>
      </w:r>
      <w:r>
        <w:rPr>
          <w:rFonts w:hint="eastAsia" w:ascii="宋体" w:hAnsi="宋体" w:cs="宋体"/>
          <w:sz w:val="21"/>
          <w:szCs w:val="21"/>
          <w:lang w:val="en-US" w:eastAsia="zh-CN"/>
        </w:rPr>
        <w:t>30</w:t>
      </w:r>
      <w:r>
        <w:rPr>
          <w:rFonts w:hint="eastAsia" w:ascii="宋体" w:hAnsi="宋体" w:eastAsia="宋体" w:cs="宋体"/>
          <w:sz w:val="21"/>
          <w:szCs w:val="21"/>
        </w:rPr>
        <w:t>分，其他供应商的价格得分统一按照下列公式计算：</w:t>
      </w:r>
    </w:p>
    <w:p w14:paraId="3C46A083">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价格得分=(基准价／服务单位报价)×</w:t>
      </w:r>
      <w:r>
        <w:rPr>
          <w:rFonts w:hint="eastAsia" w:ascii="宋体" w:hAnsi="宋体" w:eastAsia="宋体" w:cs="宋体"/>
          <w:sz w:val="21"/>
          <w:szCs w:val="21"/>
          <w:lang w:val="en-US" w:eastAsia="zh-CN"/>
        </w:rPr>
        <w:t>3</w:t>
      </w:r>
      <w:r>
        <w:rPr>
          <w:rFonts w:hint="eastAsia" w:ascii="宋体" w:hAnsi="宋体" w:eastAsia="宋体" w:cs="宋体"/>
          <w:sz w:val="21"/>
          <w:szCs w:val="21"/>
        </w:rPr>
        <w:t>0</w:t>
      </w:r>
    </w:p>
    <w:p w14:paraId="5EB72023">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B、分数出现小数点，保留小数点后2位，从小数点后第3位四舍五入。</w:t>
      </w:r>
    </w:p>
    <w:p w14:paraId="5819EAE2">
      <w:pPr>
        <w:pStyle w:val="8"/>
        <w:keepLines w:val="0"/>
        <w:pageBreakBefore w:val="0"/>
        <w:widowControl w:val="0"/>
        <w:kinsoku/>
        <w:wordWrap/>
        <w:overflowPunct/>
        <w:topLinePunct w:val="0"/>
        <w:bidi w:val="0"/>
        <w:adjustRightInd/>
        <w:spacing w:after="0" w:line="360" w:lineRule="auto"/>
        <w:ind w:firstLine="422" w:firstLineChars="200"/>
        <w:textAlignment w:val="auto"/>
        <w:rPr>
          <w:rFonts w:hint="eastAsia" w:ascii="宋体" w:hAnsi="宋体" w:eastAsia="宋体" w:cs="宋体"/>
          <w:b/>
          <w:color w:val="auto"/>
          <w:sz w:val="21"/>
          <w:szCs w:val="21"/>
          <w:highlight w:val="none"/>
          <w:lang w:val="zh-CN"/>
        </w:rPr>
      </w:pPr>
      <w:bookmarkStart w:id="29" w:name="_Toc31624_WPSOffice_Level2"/>
      <w:r>
        <w:rPr>
          <w:rFonts w:hint="eastAsia" w:ascii="宋体"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zh-CN"/>
        </w:rPr>
        <w:t>综合得分排名</w:t>
      </w:r>
    </w:p>
    <w:p w14:paraId="59894AC4">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评审总得分=</w:t>
      </w:r>
      <w:bookmarkEnd w:id="29"/>
      <w:r>
        <w:rPr>
          <w:rFonts w:hint="eastAsia" w:ascii="宋体" w:hAnsi="宋体" w:eastAsia="宋体" w:cs="宋体"/>
          <w:sz w:val="21"/>
          <w:szCs w:val="21"/>
        </w:rPr>
        <w:t xml:space="preserve"> F1＋F2＋……+Fn</w:t>
      </w:r>
    </w:p>
    <w:p w14:paraId="74099235">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color w:val="auto"/>
          <w:kern w:val="0"/>
          <w:sz w:val="21"/>
          <w:szCs w:val="21"/>
          <w:highlight w:val="none"/>
        </w:rPr>
      </w:pPr>
      <w:bookmarkStart w:id="30" w:name="_Toc13236_WPSOffice_Level2"/>
      <w:r>
        <w:rPr>
          <w:rFonts w:hint="eastAsia" w:ascii="宋体" w:hAnsi="宋体" w:eastAsia="宋体" w:cs="宋体"/>
          <w:sz w:val="21"/>
          <w:szCs w:val="21"/>
        </w:rPr>
        <w:t>F1、F2、……Fn分别为商务、技术和价格的得分</w:t>
      </w:r>
      <w:bookmarkEnd w:id="30"/>
      <w:r>
        <w:rPr>
          <w:rFonts w:hint="eastAsia" w:ascii="宋体" w:hAnsi="宋体" w:eastAsia="宋体" w:cs="宋体"/>
          <w:sz w:val="21"/>
          <w:szCs w:val="21"/>
        </w:rPr>
        <w:t>。</w:t>
      </w:r>
    </w:p>
    <w:p w14:paraId="18E48420">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p>
    <w:p w14:paraId="31C34E9A">
      <w:pPr>
        <w:pStyle w:val="8"/>
        <w:keepLines w:val="0"/>
        <w:pageBreakBefore w:val="0"/>
        <w:widowControl w:val="0"/>
        <w:kinsoku/>
        <w:wordWrap/>
        <w:overflowPunct/>
        <w:topLinePunct w:val="0"/>
        <w:bidi w:val="0"/>
        <w:adjustRightInd/>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评审说明：</w:t>
      </w:r>
    </w:p>
    <w:p w14:paraId="2BDA9DB6">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1.评审小组首先对供应商进行资格性审查，审查通过的供应商方可进入详细评审。</w:t>
      </w:r>
    </w:p>
    <w:p w14:paraId="0D4D97C0">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2.技术部分和商务部分的得分由所有评委评分的算术平均值确定，分数出现小数点，保留小数点后2位，从小数点后第3位四舍五入。</w:t>
      </w:r>
    </w:p>
    <w:p w14:paraId="3CAE5243">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3.供应商的总得分为商务、技术、价格三部分得分之和。</w:t>
      </w:r>
    </w:p>
    <w:p w14:paraId="0177E203">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评审小组将按照总得分由高到低的顺序推荐成交候选供应商。如果有两个或以上的响应人的最后综合得分相同，则在最后综合得分相同的响应人中按报价由低到高顺序排出次序，报价低的排前，报价高的排后。如果出现响应人的最后综合得分及报价均相同时，则按技术标的评标得分高低排出次序，得分高的排前，得分低的排后。如果出现响应人的最后综合得分、报价及技术标得分均相同时，由评审小组进行投票，得票多的排名在先。当第一轮投票结果为响应人得票数相同时，再次进行投票，如此类推，直到能确定排序次序为止。</w:t>
      </w:r>
    </w:p>
    <w:p w14:paraId="23E98357">
      <w:pPr>
        <w:pStyle w:val="8"/>
        <w:keepLines w:val="0"/>
        <w:pageBreakBefore w:val="0"/>
        <w:widowControl w:val="0"/>
        <w:kinsoku/>
        <w:wordWrap/>
        <w:overflowPunct/>
        <w:topLinePunct w:val="0"/>
        <w:bidi w:val="0"/>
        <w:adjustRightIn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所有供应商均须承诺，其为参与本项目评分所提交的全部证明材料、案例、方案等内容均真实、有效、合法。如有任何失信或弄虚作假行为，由供应商自行承担全部法律责任，并自愿接受采购人据此作出的相应处理（包括但不限于取消其成交资格）。</w:t>
      </w:r>
    </w:p>
    <w:p w14:paraId="7D543464">
      <w:pPr>
        <w:ind w:firstLine="480" w:firstLineChars="200"/>
        <w:rPr>
          <w:rFonts w:hAnsi="宋体" w:cs="宋体"/>
        </w:rPr>
      </w:pPr>
      <w:r>
        <w:rPr>
          <w:rFonts w:hint="eastAsia" w:hAnsi="宋体" w:cs="宋体"/>
        </w:rPr>
        <w:br w:type="page"/>
      </w:r>
    </w:p>
    <w:p w14:paraId="42FED695">
      <w:pPr>
        <w:pStyle w:val="2"/>
        <w:spacing w:before="0" w:after="0"/>
        <w:jc w:val="center"/>
        <w:rPr>
          <w:rFonts w:hAnsi="宋体" w:cs="宋体"/>
          <w:szCs w:val="32"/>
        </w:rPr>
      </w:pPr>
      <w:bookmarkStart w:id="31" w:name="_Toc29476708"/>
      <w:bookmarkStart w:id="32" w:name="_Toc10359"/>
      <w:r>
        <w:rPr>
          <w:rFonts w:hint="eastAsia" w:hAnsi="宋体" w:cs="宋体"/>
          <w:szCs w:val="32"/>
        </w:rPr>
        <w:t>第五章 响应文件格式</w:t>
      </w:r>
      <w:bookmarkEnd w:id="31"/>
      <w:bookmarkEnd w:id="32"/>
    </w:p>
    <w:p w14:paraId="0482217C">
      <w:pPr>
        <w:pStyle w:val="2"/>
      </w:pPr>
      <w:bookmarkStart w:id="33" w:name="_Toc4797"/>
      <w:r>
        <w:rPr>
          <w:rFonts w:hint="eastAsia"/>
        </w:rPr>
        <w:t>1.报价表</w:t>
      </w:r>
      <w:bookmarkEnd w:id="33"/>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6631"/>
      </w:tblGrid>
      <w:tr w14:paraId="7131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578" w:type="dxa"/>
            <w:shd w:val="clear" w:color="auto" w:fill="auto"/>
            <w:vAlign w:val="center"/>
          </w:tcPr>
          <w:p w14:paraId="4B003C14">
            <w:pPr>
              <w:pStyle w:val="12"/>
              <w:spacing w:line="360" w:lineRule="auto"/>
              <w:jc w:val="center"/>
              <w:rPr>
                <w:rFonts w:hAnsi="宋体" w:cs="宋体"/>
                <w:color w:val="000000"/>
                <w:sz w:val="24"/>
                <w:szCs w:val="24"/>
              </w:rPr>
            </w:pPr>
            <w:r>
              <w:rPr>
                <w:rFonts w:hint="eastAsia" w:hAnsi="宋体" w:cs="宋体"/>
                <w:color w:val="000000"/>
                <w:sz w:val="24"/>
                <w:szCs w:val="24"/>
              </w:rPr>
              <w:t>项目名称</w:t>
            </w:r>
          </w:p>
        </w:tc>
        <w:tc>
          <w:tcPr>
            <w:tcW w:w="6631" w:type="dxa"/>
            <w:shd w:val="clear" w:color="auto" w:fill="auto"/>
            <w:vAlign w:val="center"/>
          </w:tcPr>
          <w:p w14:paraId="069C8586">
            <w:pPr>
              <w:autoSpaceDE/>
              <w:autoSpaceDN/>
              <w:adjustRightInd/>
              <w:jc w:val="center"/>
              <w:rPr>
                <w:rFonts w:hint="eastAsia" w:hAnsi="宋体" w:eastAsia="宋体"/>
                <w:bCs/>
                <w:color w:val="000000"/>
                <w:szCs w:val="21"/>
                <w:lang w:eastAsia="zh-CN"/>
              </w:rPr>
            </w:pPr>
            <w:r>
              <w:rPr>
                <w:rFonts w:hint="eastAsia" w:hAnsi="宋体"/>
                <w:bCs/>
                <w:color w:val="000000"/>
                <w:szCs w:val="21"/>
                <w:lang w:eastAsia="zh-CN"/>
              </w:rPr>
              <w:t>东莞市尚源环能科技有限公司试运行初期污泥运输服务单位采购项目</w:t>
            </w:r>
          </w:p>
        </w:tc>
      </w:tr>
      <w:tr w14:paraId="34A7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578" w:type="dxa"/>
            <w:shd w:val="clear" w:color="auto" w:fill="auto"/>
            <w:vAlign w:val="center"/>
          </w:tcPr>
          <w:p w14:paraId="0E03D0C3">
            <w:pPr>
              <w:pStyle w:val="12"/>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不含税报价</w:t>
            </w:r>
          </w:p>
          <w:p w14:paraId="0ECDB9A5">
            <w:pPr>
              <w:pStyle w:val="12"/>
              <w:jc w:val="center"/>
              <w:rPr>
                <w:rFonts w:hint="default" w:hAnsi="宋体" w:cs="宋体"/>
                <w:color w:val="000000"/>
                <w:szCs w:val="21"/>
                <w:lang w:val="en-US"/>
              </w:rPr>
            </w:pPr>
            <w:r>
              <w:rPr>
                <w:rFonts w:hint="eastAsia" w:ascii="宋体" w:hAnsi="宋体" w:eastAsia="宋体" w:cs="宋体"/>
                <w:color w:val="auto"/>
                <w:sz w:val="24"/>
                <w:szCs w:val="28"/>
                <w:highlight w:val="none"/>
                <w:lang w:val="en-US" w:eastAsia="zh-CN"/>
              </w:rPr>
              <w:t>[单位：元/（吨·公里）]</w:t>
            </w:r>
          </w:p>
        </w:tc>
        <w:tc>
          <w:tcPr>
            <w:tcW w:w="6631" w:type="dxa"/>
            <w:shd w:val="clear" w:color="auto" w:fill="auto"/>
            <w:vAlign w:val="center"/>
          </w:tcPr>
          <w:p w14:paraId="04634383">
            <w:pPr>
              <w:pStyle w:val="12"/>
              <w:ind w:firstLine="720" w:firstLineChars="300"/>
              <w:rPr>
                <w:rFonts w:hAnsi="宋体" w:cs="宋体"/>
                <w:color w:val="000000"/>
                <w:szCs w:val="21"/>
                <w:u w:val="single"/>
              </w:rPr>
            </w:pPr>
            <w:r>
              <w:rPr>
                <w:rFonts w:hint="eastAsia" w:hAnsi="宋体" w:cs="宋体"/>
                <w:color w:val="auto"/>
                <w:sz w:val="24"/>
                <w:szCs w:val="28"/>
                <w:highlight w:val="none"/>
              </w:rPr>
              <w:t>人民币（小写）：</w:t>
            </w:r>
            <w:r>
              <w:rPr>
                <w:rFonts w:hint="eastAsia" w:hAnsi="宋体" w:cs="宋体"/>
                <w:color w:val="auto"/>
                <w:sz w:val="24"/>
                <w:szCs w:val="28"/>
                <w:highlight w:val="none"/>
                <w:u w:val="single"/>
              </w:rPr>
              <w:t xml:space="preserve">                   </w:t>
            </w:r>
          </w:p>
        </w:tc>
      </w:tr>
      <w:tr w14:paraId="63B1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578" w:type="dxa"/>
            <w:shd w:val="clear" w:color="auto" w:fill="auto"/>
            <w:vAlign w:val="center"/>
          </w:tcPr>
          <w:p w14:paraId="04421EE4">
            <w:pPr>
              <w:pStyle w:val="12"/>
              <w:spacing w:line="360" w:lineRule="auto"/>
              <w:jc w:val="center"/>
              <w:rPr>
                <w:rFonts w:hAnsi="宋体" w:cs="宋体"/>
                <w:color w:val="000000"/>
                <w:szCs w:val="21"/>
                <w:u w:val="single"/>
              </w:rPr>
            </w:pPr>
            <w:r>
              <w:rPr>
                <w:rFonts w:hint="eastAsia" w:hAnsi="宋体" w:cs="宋体"/>
                <w:color w:val="000000"/>
                <w:sz w:val="24"/>
                <w:szCs w:val="28"/>
              </w:rPr>
              <w:t>完成时间</w:t>
            </w:r>
          </w:p>
        </w:tc>
        <w:tc>
          <w:tcPr>
            <w:tcW w:w="6631" w:type="dxa"/>
            <w:shd w:val="clear" w:color="auto" w:fill="auto"/>
            <w:vAlign w:val="center"/>
          </w:tcPr>
          <w:p w14:paraId="01CE6B59">
            <w:pPr>
              <w:autoSpaceDE/>
              <w:autoSpaceDN/>
              <w:adjustRightInd/>
              <w:spacing w:line="360" w:lineRule="auto"/>
              <w:jc w:val="center"/>
              <w:rPr>
                <w:rFonts w:hAnsi="宋体" w:cs="宋体"/>
                <w:bCs/>
                <w:color w:val="000000"/>
                <w:sz w:val="21"/>
                <w:szCs w:val="21"/>
              </w:rPr>
            </w:pPr>
            <w:r>
              <w:rPr>
                <w:rFonts w:hint="eastAsia" w:hAnsi="宋体"/>
                <w:bCs/>
                <w:color w:val="000000"/>
              </w:rPr>
              <w:t>详见用户需求书。</w:t>
            </w:r>
          </w:p>
        </w:tc>
      </w:tr>
      <w:tr w14:paraId="7FEC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578" w:type="dxa"/>
            <w:shd w:val="clear" w:color="auto" w:fill="auto"/>
            <w:vAlign w:val="center"/>
          </w:tcPr>
          <w:p w14:paraId="3C94BD58">
            <w:pPr>
              <w:pStyle w:val="12"/>
              <w:spacing w:line="360" w:lineRule="auto"/>
              <w:jc w:val="center"/>
              <w:rPr>
                <w:rFonts w:hAnsi="宋体" w:cs="宋体"/>
                <w:color w:val="000000"/>
                <w:szCs w:val="21"/>
              </w:rPr>
            </w:pPr>
            <w:r>
              <w:rPr>
                <w:rFonts w:hint="eastAsia" w:hAnsi="宋体" w:cs="宋体"/>
                <w:color w:val="000000"/>
                <w:sz w:val="24"/>
                <w:szCs w:val="28"/>
                <w:lang w:eastAsia="zh-CN"/>
              </w:rPr>
              <w:t>供应商</w:t>
            </w:r>
            <w:r>
              <w:rPr>
                <w:rFonts w:hint="eastAsia" w:hAnsi="宋体" w:cs="宋体"/>
                <w:color w:val="000000"/>
                <w:sz w:val="24"/>
                <w:szCs w:val="28"/>
              </w:rPr>
              <w:t>纳税类型</w:t>
            </w:r>
          </w:p>
        </w:tc>
        <w:tc>
          <w:tcPr>
            <w:tcW w:w="6631" w:type="dxa"/>
            <w:shd w:val="clear" w:color="auto" w:fill="auto"/>
            <w:vAlign w:val="center"/>
          </w:tcPr>
          <w:p w14:paraId="05E94CC7">
            <w:pPr>
              <w:autoSpaceDE/>
              <w:autoSpaceDN/>
              <w:adjustRightInd/>
              <w:ind w:firstLine="1800" w:firstLineChars="750"/>
              <w:rPr>
                <w:rFonts w:hAnsi="宋体" w:cs="宋体"/>
                <w:szCs w:val="28"/>
              </w:rPr>
            </w:pPr>
            <w:r>
              <w:rPr>
                <w:rFonts w:hint="eastAsia" w:hAnsi="宋体" w:cs="宋体"/>
                <w:szCs w:val="28"/>
              </w:rPr>
              <w:t>□ 一般纳税人</w:t>
            </w:r>
          </w:p>
          <w:p w14:paraId="3AD59F30">
            <w:pPr>
              <w:autoSpaceDE/>
              <w:autoSpaceDN/>
              <w:adjustRightInd/>
              <w:spacing w:line="360" w:lineRule="auto"/>
              <w:ind w:firstLine="1800" w:firstLineChars="750"/>
              <w:rPr>
                <w:rFonts w:hAnsi="宋体" w:cs="宋体"/>
                <w:sz w:val="21"/>
                <w:szCs w:val="21"/>
              </w:rPr>
            </w:pPr>
            <w:r>
              <w:rPr>
                <w:rFonts w:hint="eastAsia" w:hAnsi="宋体" w:cs="宋体"/>
                <w:szCs w:val="28"/>
              </w:rPr>
              <w:t>□ 小规模纳税人</w:t>
            </w:r>
          </w:p>
        </w:tc>
      </w:tr>
      <w:tr w14:paraId="7DFD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578" w:type="dxa"/>
            <w:shd w:val="clear" w:color="auto" w:fill="auto"/>
            <w:vAlign w:val="center"/>
          </w:tcPr>
          <w:p w14:paraId="16845F7D">
            <w:pPr>
              <w:autoSpaceDE/>
              <w:autoSpaceDN/>
              <w:adjustRightInd/>
              <w:jc w:val="center"/>
              <w:rPr>
                <w:rFonts w:hAnsi="宋体"/>
                <w:bCs/>
                <w:color w:val="000000"/>
                <w:szCs w:val="21"/>
              </w:rPr>
            </w:pPr>
            <w:r>
              <w:rPr>
                <w:rFonts w:hint="eastAsia" w:hAnsi="宋体"/>
                <w:bCs/>
                <w:color w:val="000000"/>
                <w:szCs w:val="21"/>
                <w:lang w:eastAsia="zh-CN"/>
              </w:rPr>
              <w:t>供应商</w:t>
            </w:r>
            <w:r>
              <w:rPr>
                <w:rFonts w:hint="eastAsia" w:hAnsi="宋体"/>
                <w:bCs/>
                <w:color w:val="000000"/>
                <w:szCs w:val="21"/>
              </w:rPr>
              <w:t>提供的增值税专用发票的税率</w:t>
            </w:r>
          </w:p>
        </w:tc>
        <w:tc>
          <w:tcPr>
            <w:tcW w:w="6631" w:type="dxa"/>
            <w:shd w:val="clear" w:color="auto" w:fill="auto"/>
            <w:vAlign w:val="center"/>
          </w:tcPr>
          <w:p w14:paraId="1C32D17F">
            <w:pPr>
              <w:autoSpaceDE/>
              <w:autoSpaceDN/>
              <w:adjustRightInd/>
              <w:spacing w:line="360" w:lineRule="auto"/>
              <w:jc w:val="center"/>
              <w:rPr>
                <w:rFonts w:hAnsi="宋体" w:cs="宋体"/>
                <w:sz w:val="21"/>
                <w:szCs w:val="21"/>
              </w:rPr>
            </w:pPr>
            <w:r>
              <w:rPr>
                <w:rFonts w:hint="eastAsia" w:hAnsi="宋体" w:cs="宋体"/>
                <w:szCs w:val="28"/>
                <w:u w:val="single"/>
              </w:rPr>
              <w:t xml:space="preserve">     </w:t>
            </w:r>
            <w:r>
              <w:rPr>
                <w:rFonts w:ascii="Times New Roman"/>
                <w:szCs w:val="28"/>
              </w:rPr>
              <w:t>%</w:t>
            </w:r>
          </w:p>
        </w:tc>
      </w:tr>
      <w:tr w14:paraId="3A0F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578" w:type="dxa"/>
            <w:shd w:val="clear" w:color="auto" w:fill="auto"/>
            <w:vAlign w:val="center"/>
          </w:tcPr>
          <w:p w14:paraId="608FF812">
            <w:pPr>
              <w:pStyle w:val="12"/>
              <w:spacing w:line="360" w:lineRule="auto"/>
              <w:jc w:val="center"/>
              <w:rPr>
                <w:rFonts w:hAnsi="宋体" w:cs="宋体"/>
                <w:color w:val="000000"/>
                <w:szCs w:val="21"/>
              </w:rPr>
            </w:pPr>
            <w:r>
              <w:rPr>
                <w:rFonts w:hint="eastAsia" w:hAnsi="宋体" w:cs="宋体"/>
                <w:color w:val="000000"/>
                <w:sz w:val="24"/>
                <w:szCs w:val="24"/>
              </w:rPr>
              <w:t>备注</w:t>
            </w:r>
          </w:p>
        </w:tc>
        <w:tc>
          <w:tcPr>
            <w:tcW w:w="6631" w:type="dxa"/>
            <w:shd w:val="clear" w:color="auto" w:fill="auto"/>
            <w:vAlign w:val="center"/>
          </w:tcPr>
          <w:p w14:paraId="3B603E1A">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both"/>
              <w:textAlignment w:val="auto"/>
              <w:rPr>
                <w:rFonts w:ascii="Times New Roman"/>
                <w:b/>
                <w:bCs/>
                <w:color w:val="auto"/>
                <w:highlight w:val="none"/>
              </w:rPr>
            </w:pPr>
            <w:r>
              <w:rPr>
                <w:rFonts w:ascii="Times New Roman"/>
                <w:b/>
                <w:bCs/>
                <w:color w:val="auto"/>
                <w:highlight w:val="none"/>
              </w:rPr>
              <w:t>本次所报价格为不含销项税额，包含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14:paraId="6965CDF4">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b/>
                <w:bCs/>
                <w:color w:val="auto"/>
                <w:highlight w:val="none"/>
              </w:rPr>
            </w:pPr>
            <w:r>
              <w:rPr>
                <w:rFonts w:ascii="Times New Roman"/>
                <w:b/>
                <w:bCs/>
                <w:color w:val="auto"/>
                <w:highlight w:val="none"/>
              </w:rPr>
              <w:t>不含税报价不</w:t>
            </w:r>
            <w:r>
              <w:rPr>
                <w:rFonts w:ascii="Times New Roman" w:hAnsi="Times New Roman" w:eastAsia="宋体" w:cs="Times New Roman"/>
                <w:b/>
                <w:bCs/>
                <w:color w:val="auto"/>
                <w:highlight w:val="none"/>
              </w:rPr>
              <w:t>得高于本项目不含税最高限价</w:t>
            </w:r>
            <w:r>
              <w:rPr>
                <w:rFonts w:hint="eastAsia" w:ascii="Times New Roman" w:hAnsi="Times New Roman" w:eastAsia="宋体" w:cs="Times New Roman"/>
                <w:b/>
                <w:bCs/>
                <w:color w:val="auto"/>
                <w:highlight w:val="none"/>
                <w:lang w:val="en-US" w:eastAsia="zh-CN"/>
              </w:rPr>
              <w:t>0.885元/（吨·公里）</w:t>
            </w:r>
            <w:r>
              <w:rPr>
                <w:rFonts w:ascii="Times New Roman" w:hAnsi="Times New Roman" w:eastAsia="宋体" w:cs="Times New Roman"/>
                <w:b/>
                <w:bCs/>
                <w:color w:val="auto"/>
                <w:highlight w:val="none"/>
              </w:rPr>
              <w:t>，否则视为无效</w:t>
            </w:r>
            <w:r>
              <w:rPr>
                <w:rFonts w:hint="eastAsia" w:ascii="Times New Roman" w:hAnsi="Times New Roman" w:eastAsia="宋体" w:cs="Times New Roman"/>
                <w:b/>
                <w:bCs/>
                <w:color w:val="auto"/>
                <w:highlight w:val="none"/>
                <w:lang w:val="en-US" w:eastAsia="zh-CN"/>
              </w:rPr>
              <w:t>响应</w:t>
            </w:r>
            <w:r>
              <w:rPr>
                <w:rFonts w:ascii="Times New Roman" w:hAnsi="Times New Roman" w:eastAsia="宋体" w:cs="Times New Roman"/>
                <w:b/>
                <w:bCs/>
                <w:color w:val="auto"/>
                <w:highlight w:val="none"/>
              </w:rPr>
              <w:t>。</w:t>
            </w:r>
          </w:p>
          <w:p w14:paraId="6FCDBA3A">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both"/>
              <w:textAlignment w:val="auto"/>
              <w:rPr>
                <w:rFonts w:ascii="Times New Roman"/>
                <w:b/>
              </w:rPr>
            </w:pPr>
            <w:r>
              <w:rPr>
                <w:rFonts w:hint="eastAsia" w:ascii="Times New Roman"/>
                <w:b/>
                <w:bCs/>
                <w:color w:val="auto"/>
                <w:highlight w:val="none"/>
              </w:rPr>
              <w:t>上述报价数值如需保留小数点后</w:t>
            </w:r>
            <w:r>
              <w:rPr>
                <w:rFonts w:hint="eastAsia" w:ascii="Times New Roman"/>
                <w:b/>
                <w:bCs/>
                <w:color w:val="auto"/>
                <w:highlight w:val="none"/>
                <w:lang w:val="en-US" w:eastAsia="zh-CN"/>
              </w:rPr>
              <w:t>3</w:t>
            </w:r>
            <w:r>
              <w:rPr>
                <w:rFonts w:hint="eastAsia" w:ascii="Times New Roman"/>
                <w:b/>
                <w:bCs/>
                <w:color w:val="auto"/>
                <w:highlight w:val="none"/>
              </w:rPr>
              <w:t>位，从小数点后第</w:t>
            </w:r>
            <w:r>
              <w:rPr>
                <w:rFonts w:hint="eastAsia" w:ascii="Times New Roman"/>
                <w:b/>
                <w:bCs/>
                <w:color w:val="auto"/>
                <w:highlight w:val="none"/>
                <w:lang w:val="en-US" w:eastAsia="zh-CN"/>
              </w:rPr>
              <w:t>4</w:t>
            </w:r>
            <w:r>
              <w:rPr>
                <w:rFonts w:hint="eastAsia" w:ascii="Times New Roman"/>
                <w:b/>
                <w:bCs/>
                <w:color w:val="auto"/>
                <w:highlight w:val="none"/>
              </w:rPr>
              <w:t>位四舍五入。</w:t>
            </w:r>
          </w:p>
        </w:tc>
      </w:tr>
    </w:tbl>
    <w:p w14:paraId="2C737991">
      <w:pPr>
        <w:pStyle w:val="12"/>
        <w:spacing w:line="360" w:lineRule="auto"/>
        <w:rPr>
          <w:rFonts w:hAnsi="宋体" w:cs="宋体"/>
          <w:color w:val="000000"/>
          <w:szCs w:val="21"/>
        </w:rPr>
      </w:pPr>
    </w:p>
    <w:p w14:paraId="4B30CBB8">
      <w:pPr>
        <w:pStyle w:val="12"/>
        <w:spacing w:line="360" w:lineRule="auto"/>
        <w:rPr>
          <w:rFonts w:hAnsi="宋体" w:cs="宋体"/>
          <w:color w:val="000000"/>
          <w:sz w:val="24"/>
          <w:szCs w:val="28"/>
        </w:rPr>
      </w:pPr>
      <w:bookmarkStart w:id="34" w:name="_Toc513226437"/>
      <w:bookmarkStart w:id="35" w:name="_Toc534701786"/>
      <w:bookmarkStart w:id="36" w:name="_Toc534278252"/>
      <w:r>
        <w:rPr>
          <w:rFonts w:hint="eastAsia" w:hAnsi="宋体" w:cs="宋体"/>
          <w:color w:val="000000"/>
          <w:sz w:val="24"/>
          <w:szCs w:val="28"/>
        </w:rPr>
        <w:t>联系人：                          联系电话：</w:t>
      </w:r>
    </w:p>
    <w:p w14:paraId="6CAD9916">
      <w:pPr>
        <w:pStyle w:val="12"/>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685DADF">
      <w:pPr>
        <w:wordWrap w:val="0"/>
        <w:spacing w:line="360" w:lineRule="auto"/>
        <w:jc w:val="right"/>
        <w:rPr>
          <w:rFonts w:hAnsi="宋体" w:cs="宋体"/>
          <w:color w:val="000000"/>
          <w:kern w:val="2"/>
          <w:szCs w:val="28"/>
          <w:lang w:val="zh-CN"/>
        </w:rPr>
      </w:pPr>
    </w:p>
    <w:p w14:paraId="039235E8">
      <w:pPr>
        <w:wordWrap w:val="0"/>
        <w:spacing w:line="360" w:lineRule="auto"/>
        <w:jc w:val="right"/>
        <w:rPr>
          <w:rFonts w:hAnsi="宋体" w:cs="宋体"/>
          <w:color w:val="000000"/>
          <w:kern w:val="2"/>
          <w:szCs w:val="28"/>
        </w:rPr>
      </w:pP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ascii="宋体" w:hAnsi="宋体" w:eastAsia="宋体" w:cs="宋体"/>
          <w:color w:val="auto"/>
          <w:szCs w:val="24"/>
          <w:highlight w:val="none"/>
          <w:lang w:val="en-US" w:eastAsia="zh-CN"/>
        </w:rPr>
        <w:t>供应商</w:t>
      </w:r>
      <w:r>
        <w:rPr>
          <w:rFonts w:hint="eastAsia" w:hAnsi="宋体" w:cs="宋体"/>
          <w:color w:val="000000"/>
          <w:kern w:val="2"/>
          <w:szCs w:val="28"/>
          <w:lang w:val="zh-CN"/>
        </w:rPr>
        <w:t>：（</w:t>
      </w:r>
      <w:r>
        <w:rPr>
          <w:rFonts w:hint="eastAsia" w:hAnsi="宋体" w:cs="宋体"/>
        </w:rPr>
        <w:t>加盖</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r>
        <w:rPr>
          <w:rFonts w:hint="eastAsia" w:hAnsi="宋体" w:cs="宋体"/>
          <w:color w:val="000000"/>
          <w:kern w:val="2"/>
          <w:szCs w:val="28"/>
          <w:lang w:val="zh-CN"/>
        </w:rPr>
        <w:t>）</w:t>
      </w:r>
    </w:p>
    <w:p w14:paraId="0F17527C">
      <w:pPr>
        <w:spacing w:line="360" w:lineRule="auto"/>
        <w:ind w:right="480"/>
        <w:jc w:val="right"/>
        <w:rPr>
          <w:rFonts w:hAnsi="宋体" w:cs="宋体"/>
          <w:color w:val="000000"/>
          <w:kern w:val="2"/>
          <w:szCs w:val="28"/>
          <w:lang w:val="zh-CN"/>
        </w:rPr>
        <w:sectPr>
          <w:footerReference r:id="rId8" w:type="default"/>
          <w:pgSz w:w="12240" w:h="15840"/>
          <w:pgMar w:top="1191" w:right="1117" w:bottom="1191" w:left="1043" w:header="720" w:footer="720" w:gutter="0"/>
          <w:cols w:space="0" w:num="1"/>
          <w:rtlGutter w:val="0"/>
          <w:docGrid w:linePitch="332" w:charSpace="0"/>
        </w:sectPr>
      </w:pPr>
      <w:r>
        <w:rPr>
          <w:rFonts w:hint="eastAsia" w:hAnsi="宋体" w:cs="宋体"/>
          <w:color w:val="000000"/>
          <w:kern w:val="2"/>
          <w:szCs w:val="28"/>
          <w:lang w:val="zh-CN"/>
        </w:rPr>
        <w:t>日期：   年    月   日</w:t>
      </w:r>
    </w:p>
    <w:p w14:paraId="5058D6FE">
      <w:pPr>
        <w:pStyle w:val="2"/>
      </w:pPr>
      <w:bookmarkStart w:id="37" w:name="_Toc21639"/>
      <w:r>
        <w:rPr>
          <w:rFonts w:hint="eastAsia"/>
        </w:rPr>
        <w:t>2.项目响应声明</w:t>
      </w:r>
      <w:bookmarkEnd w:id="37"/>
    </w:p>
    <w:p w14:paraId="4AC8A4B9">
      <w:pPr>
        <w:spacing w:line="360" w:lineRule="auto"/>
        <w:jc w:val="center"/>
        <w:rPr>
          <w:rFonts w:hAnsi="宋体" w:cs="宋体"/>
          <w:b/>
          <w:color w:val="000000"/>
          <w:sz w:val="28"/>
          <w:szCs w:val="28"/>
        </w:rPr>
      </w:pPr>
      <w:bookmarkStart w:id="38" w:name="_Hlk26973180"/>
      <w:r>
        <w:rPr>
          <w:rFonts w:hint="eastAsia" w:hAnsi="宋体" w:cs="宋体"/>
          <w:b/>
          <w:color w:val="000000"/>
          <w:sz w:val="28"/>
          <w:szCs w:val="28"/>
        </w:rPr>
        <w:t>响应声明</w:t>
      </w:r>
    </w:p>
    <w:bookmarkEnd w:id="38"/>
    <w:p w14:paraId="7F7FDBB1">
      <w:pPr>
        <w:spacing w:line="360" w:lineRule="auto"/>
        <w:ind w:firstLine="480" w:firstLineChars="200"/>
        <w:rPr>
          <w:rFonts w:hAnsi="宋体" w:cs="宋体"/>
        </w:rPr>
      </w:pPr>
      <w:r>
        <w:rPr>
          <w:rFonts w:hAnsi="宋体" w:cs="宋体"/>
        </w:rPr>
        <w:t>我方已详细查阅了询</w:t>
      </w:r>
      <w:r>
        <w:rPr>
          <w:rFonts w:hint="eastAsia" w:hAnsi="宋体" w:cs="宋体"/>
        </w:rPr>
        <w:t>比</w:t>
      </w:r>
      <w:r>
        <w:rPr>
          <w:rFonts w:hAnsi="宋体" w:cs="宋体"/>
        </w:rPr>
        <w:t>文件的所有内容，对询</w:t>
      </w:r>
      <w:r>
        <w:rPr>
          <w:rFonts w:hint="eastAsia" w:hAnsi="宋体" w:cs="宋体"/>
        </w:rPr>
        <w:t>比</w:t>
      </w:r>
      <w:r>
        <w:rPr>
          <w:rFonts w:hAnsi="宋体" w:cs="宋体"/>
        </w:rPr>
        <w:t>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比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7656B5A6">
      <w:pPr>
        <w:spacing w:line="360" w:lineRule="auto"/>
        <w:ind w:firstLine="480" w:firstLineChars="200"/>
        <w:rPr>
          <w:rFonts w:hAnsi="宋体" w:cs="宋体"/>
        </w:rPr>
      </w:pPr>
      <w:r>
        <w:rPr>
          <w:rFonts w:hint="eastAsia" w:hAnsi="宋体" w:cs="宋体"/>
        </w:rPr>
        <w:t>特此声明。</w:t>
      </w:r>
    </w:p>
    <w:p w14:paraId="2FDDF2B4">
      <w:pPr>
        <w:spacing w:line="360" w:lineRule="auto"/>
        <w:ind w:firstLine="480" w:firstLineChars="200"/>
        <w:rPr>
          <w:rFonts w:hAnsi="宋体" w:cs="宋体"/>
        </w:rPr>
      </w:pPr>
    </w:p>
    <w:p w14:paraId="4CBF0FA1">
      <w:pPr>
        <w:spacing w:line="360" w:lineRule="auto"/>
        <w:ind w:firstLine="480" w:firstLineChars="200"/>
        <w:rPr>
          <w:rFonts w:hAnsi="宋体" w:cs="宋体"/>
        </w:rPr>
      </w:pPr>
    </w:p>
    <w:p w14:paraId="20CBC7DD">
      <w:pPr>
        <w:numPr>
          <w:ilvl w:val="255"/>
          <w:numId w:val="0"/>
        </w:numPr>
        <w:adjustRightInd/>
        <w:spacing w:line="360" w:lineRule="auto"/>
        <w:ind w:firstLine="480" w:firstLineChars="200"/>
        <w:jc w:val="right"/>
        <w:rPr>
          <w:rFonts w:hAnsi="宋体" w:cs="宋体"/>
        </w:rPr>
      </w:pPr>
      <w:r>
        <w:rPr>
          <w:rFonts w:hint="eastAsia" w:hAnsi="宋体" w:cs="宋体"/>
          <w:lang w:val="en-US" w:eastAsia="zh-CN"/>
        </w:rPr>
        <w:t>供应商</w:t>
      </w:r>
      <w:r>
        <w:rPr>
          <w:rFonts w:hint="eastAsia" w:hAnsi="宋体" w:cs="宋体"/>
        </w:rPr>
        <w:t>：（加盖</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r>
        <w:rPr>
          <w:rFonts w:hint="eastAsia" w:hAnsi="宋体" w:cs="宋体"/>
        </w:rPr>
        <w:t>）</w:t>
      </w:r>
    </w:p>
    <w:p w14:paraId="1FC44C2A">
      <w:pPr>
        <w:numPr>
          <w:ilvl w:val="255"/>
          <w:numId w:val="0"/>
        </w:numPr>
        <w:adjustRightInd/>
        <w:spacing w:line="360" w:lineRule="auto"/>
        <w:ind w:firstLine="480" w:firstLineChars="200"/>
        <w:jc w:val="right"/>
        <w:rPr>
          <w:rFonts w:hAnsi="宋体" w:cs="宋体"/>
        </w:rPr>
      </w:pPr>
      <w:r>
        <w:rPr>
          <w:rFonts w:hint="eastAsia" w:hAnsi="宋体" w:cs="宋体"/>
        </w:rPr>
        <w:t>日  期：  年  月  日</w:t>
      </w:r>
    </w:p>
    <w:p w14:paraId="236C393D">
      <w:pPr>
        <w:spacing w:line="360" w:lineRule="auto"/>
        <w:rPr>
          <w:rFonts w:hAnsi="宋体" w:cs="宋体"/>
          <w:b/>
          <w:sz w:val="32"/>
          <w:szCs w:val="32"/>
        </w:rPr>
      </w:pPr>
    </w:p>
    <w:p w14:paraId="60CF50D8">
      <w:pPr>
        <w:spacing w:line="360" w:lineRule="auto"/>
        <w:rPr>
          <w:rFonts w:hAnsi="宋体" w:cs="宋体"/>
          <w:b/>
          <w:sz w:val="32"/>
          <w:szCs w:val="32"/>
        </w:rPr>
      </w:pPr>
    </w:p>
    <w:p w14:paraId="5C449A9F">
      <w:pPr>
        <w:spacing w:line="360" w:lineRule="auto"/>
        <w:rPr>
          <w:rFonts w:hAnsi="宋体" w:cs="宋体"/>
          <w:b/>
          <w:sz w:val="32"/>
          <w:szCs w:val="32"/>
        </w:rPr>
      </w:pPr>
    </w:p>
    <w:p w14:paraId="513EAF2C">
      <w:pPr>
        <w:spacing w:line="360" w:lineRule="auto"/>
        <w:rPr>
          <w:rFonts w:hAnsi="宋体" w:cs="宋体"/>
          <w:b/>
          <w:sz w:val="32"/>
          <w:szCs w:val="32"/>
        </w:rPr>
      </w:pPr>
    </w:p>
    <w:p w14:paraId="175B4AC7">
      <w:pPr>
        <w:spacing w:line="360" w:lineRule="auto"/>
        <w:rPr>
          <w:rFonts w:hAnsi="宋体" w:cs="宋体"/>
          <w:b/>
          <w:sz w:val="32"/>
          <w:szCs w:val="32"/>
        </w:rPr>
      </w:pPr>
    </w:p>
    <w:p w14:paraId="417A5E24">
      <w:pPr>
        <w:spacing w:line="360" w:lineRule="auto"/>
        <w:rPr>
          <w:rFonts w:hAnsi="宋体" w:cs="宋体"/>
          <w:b/>
          <w:sz w:val="32"/>
          <w:szCs w:val="32"/>
        </w:rPr>
      </w:pPr>
    </w:p>
    <w:p w14:paraId="539AE651">
      <w:pPr>
        <w:spacing w:line="360" w:lineRule="auto"/>
        <w:rPr>
          <w:rFonts w:hAnsi="宋体" w:cs="宋体"/>
          <w:b/>
          <w:sz w:val="32"/>
          <w:szCs w:val="32"/>
        </w:rPr>
      </w:pPr>
    </w:p>
    <w:p w14:paraId="3A6C3D16">
      <w:pPr>
        <w:rPr>
          <w:rFonts w:hint="eastAsia"/>
        </w:rPr>
      </w:pPr>
      <w:bookmarkStart w:id="39" w:name="_Toc12036"/>
      <w:r>
        <w:rPr>
          <w:rFonts w:hint="eastAsia"/>
        </w:rPr>
        <w:br w:type="page"/>
      </w:r>
    </w:p>
    <w:p w14:paraId="2B419661">
      <w:pPr>
        <w:pStyle w:val="2"/>
        <w:rPr>
          <w:rFonts w:hint="eastAsia" w:ascii="宋体" w:hAnsi="Times New Roman" w:eastAsia="宋体" w:cs="Times New Roman"/>
        </w:rPr>
      </w:pPr>
      <w:r>
        <w:rPr>
          <w:rFonts w:hint="eastAsia" w:ascii="宋体" w:hAnsi="Times New Roman" w:eastAsia="宋体" w:cs="Times New Roman"/>
        </w:rPr>
        <w:t>3.承诺函</w:t>
      </w:r>
      <w:bookmarkEnd w:id="39"/>
    </w:p>
    <w:p w14:paraId="592A7AF9">
      <w:pPr>
        <w:adjustRightInd/>
        <w:spacing w:line="360" w:lineRule="auto"/>
        <w:rPr>
          <w:rFonts w:hAnsi="宋体" w:cs="宋体"/>
          <w:sz w:val="21"/>
          <w:szCs w:val="21"/>
        </w:rPr>
      </w:pPr>
      <w:r>
        <w:rPr>
          <w:rFonts w:hint="eastAsia" w:hAnsi="宋体" w:cs="宋体"/>
          <w:sz w:val="21"/>
          <w:szCs w:val="21"/>
        </w:rPr>
        <w:t>致</w:t>
      </w:r>
      <w:r>
        <w:rPr>
          <w:rFonts w:hint="eastAsia" w:hAnsi="宋体" w:cs="宋体"/>
          <w:color w:val="000000" w:themeColor="text1"/>
          <w:sz w:val="21"/>
          <w:szCs w:val="21"/>
          <w14:textFill>
            <w14:solidFill>
              <w14:schemeClr w14:val="tx1"/>
            </w14:solidFill>
          </w14:textFill>
        </w:rPr>
        <w:t>东莞市水务环境投资控股集团净水有限公司</w:t>
      </w:r>
      <w:r>
        <w:rPr>
          <w:rFonts w:hint="eastAsia" w:hAnsi="宋体" w:cs="宋体"/>
          <w:sz w:val="21"/>
          <w:szCs w:val="21"/>
        </w:rPr>
        <w:t>：</w:t>
      </w:r>
    </w:p>
    <w:p w14:paraId="505C50CE">
      <w:pPr>
        <w:adjustRightInd/>
        <w:spacing w:line="360" w:lineRule="auto"/>
        <w:ind w:firstLine="420" w:firstLineChars="200"/>
        <w:rPr>
          <w:rFonts w:hAnsi="宋体" w:cs="宋体"/>
          <w:sz w:val="21"/>
          <w:szCs w:val="21"/>
        </w:rPr>
      </w:pPr>
      <w:r>
        <w:rPr>
          <w:rFonts w:hint="eastAsia" w:hAnsi="宋体" w:cs="宋体"/>
          <w:sz w:val="21"/>
          <w:szCs w:val="21"/>
        </w:rPr>
        <w:t>我公司</w:t>
      </w:r>
      <w:r>
        <w:rPr>
          <w:rFonts w:hint="eastAsia" w:hAnsi="宋体" w:cs="宋体"/>
          <w:sz w:val="21"/>
          <w:szCs w:val="21"/>
          <w:u w:val="single"/>
        </w:rPr>
        <w:t xml:space="preserve">              </w:t>
      </w:r>
      <w:r>
        <w:rPr>
          <w:rFonts w:hint="eastAsia" w:hAnsi="宋体" w:cs="宋体"/>
          <w:sz w:val="21"/>
          <w:szCs w:val="21"/>
        </w:rPr>
        <w:t>为贵公司比选的</w:t>
      </w:r>
      <w:r>
        <w:rPr>
          <w:rFonts w:hint="eastAsia" w:hAnsi="宋体" w:cs="宋体"/>
          <w:sz w:val="21"/>
          <w:szCs w:val="21"/>
          <w:u w:val="single"/>
          <w:lang w:eastAsia="zh-CN"/>
        </w:rPr>
        <w:t>东莞市尚源环能科技有限公司试运行初期污泥运输服务单位采购项目</w:t>
      </w:r>
      <w:r>
        <w:rPr>
          <w:rFonts w:hint="eastAsia" w:hAnsi="宋体" w:cs="宋体"/>
          <w:sz w:val="21"/>
          <w:szCs w:val="21"/>
        </w:rPr>
        <w:t>的报价单位，为确保供货及/或提供服务过程中的人身、财产安全，我公司承诺，如我公司获得成交资格，将严格按照下列要求开展工作。</w:t>
      </w:r>
    </w:p>
    <w:p w14:paraId="6B65C39C">
      <w:pPr>
        <w:adjustRightInd/>
        <w:spacing w:line="360" w:lineRule="auto"/>
        <w:ind w:firstLine="420" w:firstLineChars="200"/>
        <w:rPr>
          <w:rFonts w:hAnsi="宋体" w:cs="宋体"/>
          <w:sz w:val="21"/>
          <w:szCs w:val="21"/>
        </w:rPr>
      </w:pPr>
      <w:r>
        <w:rPr>
          <w:rFonts w:hint="eastAsia" w:hAnsi="宋体" w:cs="宋体"/>
          <w:sz w:val="21"/>
          <w:szCs w:val="21"/>
        </w:rPr>
        <w:t>1、我公司承诺将严格遵守国家、地方政府有关安全生产及劳动保护的法律法规、标准、规定，贯彻执行贵公司的各项安全管理规章制度。</w:t>
      </w:r>
    </w:p>
    <w:p w14:paraId="2A437EE7">
      <w:pPr>
        <w:adjustRightInd/>
        <w:spacing w:line="360" w:lineRule="auto"/>
        <w:ind w:firstLine="420" w:firstLineChars="200"/>
        <w:rPr>
          <w:rFonts w:hAnsi="宋体" w:cs="宋体"/>
          <w:sz w:val="21"/>
          <w:szCs w:val="21"/>
        </w:rPr>
      </w:pPr>
      <w:r>
        <w:rPr>
          <w:rFonts w:hint="eastAsia" w:hAnsi="宋体" w:cs="宋体"/>
          <w:sz w:val="21"/>
          <w:szCs w:val="21"/>
        </w:rPr>
        <w:t>2、我公司承诺将依法参加工伤保险，为安排至贵公司从事本项目的工作人员缴纳保险费，并为从事危险作业的人员办理意外伤害保险。</w:t>
      </w:r>
    </w:p>
    <w:p w14:paraId="259DEAA7">
      <w:pPr>
        <w:adjustRightInd/>
        <w:spacing w:line="360" w:lineRule="auto"/>
        <w:ind w:firstLine="420" w:firstLineChars="200"/>
        <w:rPr>
          <w:rFonts w:hAnsi="宋体" w:cs="宋体"/>
          <w:sz w:val="21"/>
          <w:szCs w:val="21"/>
        </w:rPr>
      </w:pPr>
      <w:r>
        <w:rPr>
          <w:rFonts w:hint="eastAsia" w:hAnsi="宋体" w:cs="宋体"/>
          <w:sz w:val="21"/>
          <w:szCs w:val="21"/>
        </w:rPr>
        <w:t>3、我公司承诺服从贵公司的安全管理，保证作业区域的现场文明安全管理达标，现场临时用电、机器设备、安全防护齐全、完好，并接受和配合贵公司的安全监督检查，我公司提供到贵公司现场作业的所有安全装置、防护设施必须依据经贵公司审批后的安全技术方案进行搭设、安装，同时我公司无条件保证安全防护设施使用的搭设材料的质量安全，在用于安全防护的物资进场前将有关物资的材质证明报贵公司，经贵公司确认后方可使用。</w:t>
      </w:r>
    </w:p>
    <w:p w14:paraId="31E20B71">
      <w:pPr>
        <w:adjustRightInd/>
        <w:spacing w:line="360" w:lineRule="auto"/>
        <w:ind w:firstLine="420" w:firstLineChars="200"/>
        <w:rPr>
          <w:rFonts w:hAnsi="宋体" w:cs="宋体"/>
          <w:sz w:val="21"/>
          <w:szCs w:val="21"/>
        </w:rPr>
      </w:pPr>
      <w:r>
        <w:rPr>
          <w:rFonts w:hint="eastAsia" w:hAnsi="宋体" w:cs="宋体"/>
          <w:sz w:val="21"/>
          <w:szCs w:val="21"/>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001952D">
      <w:pPr>
        <w:adjustRightInd/>
        <w:spacing w:line="360" w:lineRule="auto"/>
        <w:ind w:firstLine="420" w:firstLineChars="200"/>
        <w:rPr>
          <w:rFonts w:hAnsi="宋体" w:cs="宋体"/>
          <w:sz w:val="21"/>
          <w:szCs w:val="21"/>
        </w:rPr>
      </w:pPr>
      <w:r>
        <w:rPr>
          <w:rFonts w:hint="eastAsia" w:hAnsi="宋体" w:cs="宋体"/>
          <w:sz w:val="21"/>
          <w:szCs w:val="21"/>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3DDA55BA">
      <w:pPr>
        <w:adjustRightInd/>
        <w:spacing w:line="360" w:lineRule="auto"/>
        <w:ind w:firstLine="420" w:firstLineChars="200"/>
        <w:rPr>
          <w:rFonts w:hAnsi="宋体" w:cs="宋体"/>
          <w:sz w:val="21"/>
          <w:szCs w:val="21"/>
        </w:rPr>
      </w:pPr>
      <w:r>
        <w:rPr>
          <w:rFonts w:hint="eastAsia" w:hAnsi="宋体" w:cs="宋体"/>
          <w:sz w:val="21"/>
          <w:szCs w:val="21"/>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5BDECE6A">
      <w:pPr>
        <w:adjustRightInd/>
        <w:spacing w:line="360" w:lineRule="auto"/>
        <w:ind w:firstLine="420" w:firstLineChars="200"/>
        <w:rPr>
          <w:rFonts w:hAnsi="宋体" w:cs="宋体"/>
          <w:sz w:val="21"/>
          <w:szCs w:val="21"/>
        </w:rPr>
      </w:pPr>
      <w:r>
        <w:rPr>
          <w:rFonts w:hint="eastAsia" w:hAnsi="宋体" w:cs="宋体"/>
          <w:sz w:val="21"/>
          <w:szCs w:val="21"/>
        </w:rPr>
        <w:t>7、我公司承诺协助和指导贵公司进行货物的储存，对贵公司的储存方式、方法、储存数量、仓库的安全设施设备、安全生产规章制度等是否符合国家标准或者国家有关规定提出合理的建议，并进行技术指导。</w:t>
      </w:r>
    </w:p>
    <w:p w14:paraId="16CBD9ED">
      <w:pPr>
        <w:adjustRightInd/>
        <w:spacing w:line="360" w:lineRule="auto"/>
        <w:ind w:firstLine="420" w:firstLineChars="200"/>
        <w:rPr>
          <w:rFonts w:hAnsi="宋体" w:cs="宋体"/>
          <w:sz w:val="21"/>
          <w:szCs w:val="21"/>
        </w:rPr>
      </w:pPr>
      <w:r>
        <w:rPr>
          <w:rFonts w:hint="eastAsia" w:hAnsi="宋体" w:cs="宋体"/>
          <w:sz w:val="21"/>
          <w:szCs w:val="21"/>
        </w:rPr>
        <w:t>8、我公司车辆在贵公司场所行驶时，将严格遵守厂区道路限行，限速和限重要求，如因我公司未遵守前述要求，对厂区/贵公司（含其人员）、我公司人员、第三方造成损失的，由我公司承担赔偿责任。</w:t>
      </w:r>
    </w:p>
    <w:p w14:paraId="52B3AACC">
      <w:pPr>
        <w:adjustRightInd/>
        <w:spacing w:line="360" w:lineRule="auto"/>
        <w:ind w:firstLine="420" w:firstLineChars="200"/>
        <w:rPr>
          <w:rFonts w:hAnsi="宋体" w:cs="宋体"/>
          <w:sz w:val="21"/>
          <w:szCs w:val="21"/>
        </w:rPr>
      </w:pPr>
      <w:r>
        <w:rPr>
          <w:rFonts w:hint="eastAsia" w:hAnsi="宋体" w:cs="宋体"/>
          <w:sz w:val="21"/>
          <w:szCs w:val="21"/>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3EDA7962">
      <w:pPr>
        <w:adjustRightInd/>
        <w:spacing w:line="360" w:lineRule="auto"/>
        <w:ind w:firstLine="420" w:firstLineChars="200"/>
        <w:rPr>
          <w:rFonts w:hAnsi="宋体" w:cs="宋体"/>
          <w:sz w:val="21"/>
          <w:szCs w:val="21"/>
        </w:rPr>
      </w:pPr>
      <w:r>
        <w:rPr>
          <w:rFonts w:hint="eastAsia" w:hAnsi="宋体" w:cs="宋体"/>
          <w:sz w:val="21"/>
          <w:szCs w:val="21"/>
        </w:rPr>
        <w:t>10、因我公司原因，造成我公司损失，由我公司自负，给贵公司造成财产损失和人员伤害，我公司承担全部责任，并全额赔偿贵公司。</w:t>
      </w:r>
    </w:p>
    <w:p w14:paraId="337BAD2E">
      <w:pPr>
        <w:adjustRightInd/>
        <w:spacing w:line="360" w:lineRule="auto"/>
        <w:ind w:firstLine="420" w:firstLineChars="200"/>
        <w:rPr>
          <w:rFonts w:hAnsi="宋体" w:cs="宋体"/>
          <w:sz w:val="21"/>
          <w:szCs w:val="21"/>
        </w:rPr>
      </w:pPr>
      <w:r>
        <w:rPr>
          <w:rFonts w:hint="eastAsia" w:hAnsi="宋体" w:cs="宋体"/>
          <w:sz w:val="21"/>
          <w:szCs w:val="21"/>
        </w:rPr>
        <w:t>11、非因贵公司原因，造成我公司损失的，贵公司无需承担任何责任，由我公司自行承担全部责任。</w:t>
      </w:r>
    </w:p>
    <w:p w14:paraId="28FE680B">
      <w:pPr>
        <w:adjustRightInd/>
        <w:spacing w:line="360" w:lineRule="auto"/>
        <w:ind w:firstLine="420" w:firstLineChars="200"/>
        <w:rPr>
          <w:rFonts w:hAnsi="宋体" w:cs="宋体"/>
          <w:sz w:val="21"/>
          <w:szCs w:val="21"/>
        </w:rPr>
      </w:pPr>
      <w:r>
        <w:rPr>
          <w:rFonts w:hint="eastAsia" w:hAnsi="宋体" w:cs="宋体"/>
          <w:sz w:val="21"/>
          <w:szCs w:val="21"/>
        </w:rPr>
        <w:t>12、我公司承诺严格遵守法律法规以及贵公司的安全管理要求，并接受贵公司的安全生产工作协调和监督，积极消除安全隐患。安全管理的基本要求包括但不限于以下条款：</w:t>
      </w:r>
    </w:p>
    <w:p w14:paraId="4ECFB937">
      <w:pPr>
        <w:adjustRightInd/>
        <w:spacing w:line="360" w:lineRule="auto"/>
        <w:ind w:firstLine="420" w:firstLineChars="200"/>
        <w:rPr>
          <w:rFonts w:hAnsi="宋体" w:cs="宋体"/>
          <w:sz w:val="21"/>
          <w:szCs w:val="21"/>
        </w:rPr>
      </w:pPr>
      <w:r>
        <w:rPr>
          <w:rFonts w:hint="eastAsia" w:hAnsi="宋体" w:cs="宋体"/>
          <w:sz w:val="21"/>
          <w:szCs w:val="21"/>
        </w:rPr>
        <w:t>①禁火区内严禁吸烟、动火。有火灾危险的作业区域，我公司承诺配置足够的灭火设施。</w:t>
      </w:r>
    </w:p>
    <w:p w14:paraId="1AFBE235">
      <w:pPr>
        <w:adjustRightInd/>
        <w:spacing w:line="360" w:lineRule="auto"/>
        <w:ind w:firstLine="420" w:firstLineChars="200"/>
        <w:rPr>
          <w:rFonts w:hAnsi="宋体" w:cs="宋体"/>
          <w:sz w:val="21"/>
          <w:szCs w:val="21"/>
        </w:rPr>
      </w:pPr>
      <w:r>
        <w:rPr>
          <w:rFonts w:hint="eastAsia" w:hAnsi="宋体" w:cs="宋体"/>
          <w:sz w:val="21"/>
          <w:szCs w:val="21"/>
        </w:rPr>
        <w:t>②我公司承诺焊接、气割作业时两瓶距离必须达到5M及以上，气瓶距可能产生火花的电器、设备和其它火源的间距必须达到10M及以上。</w:t>
      </w:r>
    </w:p>
    <w:p w14:paraId="01527428">
      <w:pPr>
        <w:adjustRightInd/>
        <w:spacing w:line="360" w:lineRule="auto"/>
        <w:ind w:firstLine="420" w:firstLineChars="200"/>
        <w:rPr>
          <w:rFonts w:hAnsi="宋体" w:cs="宋体"/>
          <w:sz w:val="21"/>
          <w:szCs w:val="21"/>
        </w:rPr>
      </w:pPr>
      <w:r>
        <w:rPr>
          <w:rFonts w:hint="eastAsia" w:hAnsi="宋体" w:cs="宋体"/>
          <w:sz w:val="21"/>
          <w:szCs w:val="21"/>
        </w:rPr>
        <w:t>③我公司承诺不在厂内道路、消防通道内搭建临时建筑或堆放物资。</w:t>
      </w:r>
    </w:p>
    <w:p w14:paraId="53B4CCFE">
      <w:pPr>
        <w:adjustRightInd/>
        <w:spacing w:line="360" w:lineRule="auto"/>
        <w:ind w:firstLine="420" w:firstLineChars="200"/>
        <w:rPr>
          <w:rFonts w:hAnsi="宋体" w:cs="宋体"/>
          <w:sz w:val="21"/>
          <w:szCs w:val="21"/>
        </w:rPr>
      </w:pPr>
      <w:r>
        <w:rPr>
          <w:rFonts w:hint="eastAsia" w:hAnsi="宋体" w:cs="宋体"/>
          <w:sz w:val="21"/>
          <w:szCs w:val="21"/>
        </w:rPr>
        <w:t>④我公司承诺电动工具、电焊机等均具有漏电保护器和相应的安全防护装置。</w:t>
      </w:r>
    </w:p>
    <w:p w14:paraId="562AB60C">
      <w:pPr>
        <w:adjustRightInd/>
        <w:spacing w:line="360" w:lineRule="auto"/>
        <w:ind w:firstLine="420" w:firstLineChars="200"/>
        <w:rPr>
          <w:rFonts w:hAnsi="宋体" w:cs="宋体"/>
          <w:sz w:val="21"/>
          <w:szCs w:val="21"/>
        </w:rPr>
      </w:pPr>
      <w:r>
        <w:rPr>
          <w:rFonts w:hint="eastAsia" w:hAnsi="宋体" w:cs="宋体"/>
          <w:sz w:val="21"/>
          <w:szCs w:val="21"/>
        </w:rPr>
        <w:t>⑤我公司承诺用电设施符合要求，杜绝电线乱接、乱拉，刀闸和开关无盖，在电器设施上堆放物品等行为。</w:t>
      </w:r>
    </w:p>
    <w:p w14:paraId="01A31F54">
      <w:pPr>
        <w:adjustRightInd/>
        <w:spacing w:line="360" w:lineRule="auto"/>
        <w:ind w:firstLine="420" w:firstLineChars="200"/>
        <w:rPr>
          <w:rFonts w:hAnsi="宋体" w:cs="宋体"/>
          <w:sz w:val="21"/>
          <w:szCs w:val="21"/>
        </w:rPr>
      </w:pPr>
      <w:r>
        <w:rPr>
          <w:rFonts w:hint="eastAsia" w:hAnsi="宋体" w:cs="宋体"/>
          <w:sz w:val="21"/>
          <w:szCs w:val="21"/>
        </w:rPr>
        <w:t>⑥我公司承诺防雷、防静电设施及用电设施有良好接地。</w:t>
      </w:r>
    </w:p>
    <w:p w14:paraId="72DD844B">
      <w:pPr>
        <w:adjustRightInd/>
        <w:spacing w:line="360" w:lineRule="auto"/>
        <w:ind w:firstLine="420" w:firstLineChars="200"/>
        <w:rPr>
          <w:rFonts w:hAnsi="宋体" w:cs="宋体"/>
          <w:sz w:val="21"/>
          <w:szCs w:val="21"/>
        </w:rPr>
      </w:pPr>
      <w:r>
        <w:rPr>
          <w:rFonts w:hint="eastAsia" w:hAnsi="宋体" w:cs="宋体"/>
          <w:sz w:val="21"/>
          <w:szCs w:val="21"/>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3778ADAF">
      <w:pPr>
        <w:adjustRightInd/>
        <w:spacing w:line="360" w:lineRule="auto"/>
        <w:ind w:firstLine="420" w:firstLineChars="200"/>
        <w:rPr>
          <w:rFonts w:hAnsi="宋体" w:cs="宋体"/>
          <w:sz w:val="21"/>
          <w:szCs w:val="21"/>
        </w:rPr>
      </w:pPr>
      <w:r>
        <w:rPr>
          <w:rFonts w:hint="eastAsia" w:hAnsi="宋体" w:cs="宋体"/>
          <w:sz w:val="21"/>
          <w:szCs w:val="21"/>
        </w:rPr>
        <w:t>13、我公司承诺接受贵公司的检查与监督，并主动配合，做好安全工作，凡有违反上述条款的即视为我公司违约，贵公司有权视情况从货物/服务价款中扣除2000元/次作为违约金。</w:t>
      </w:r>
    </w:p>
    <w:p w14:paraId="1637A5FE">
      <w:pPr>
        <w:adjustRightInd/>
        <w:spacing w:line="360" w:lineRule="auto"/>
        <w:ind w:firstLine="420" w:firstLineChars="200"/>
        <w:rPr>
          <w:rFonts w:hAnsi="宋体" w:cs="宋体"/>
          <w:sz w:val="21"/>
          <w:szCs w:val="21"/>
        </w:rPr>
      </w:pPr>
      <w:r>
        <w:rPr>
          <w:rFonts w:hint="eastAsia" w:hAnsi="宋体" w:cs="宋体"/>
          <w:sz w:val="21"/>
          <w:szCs w:val="21"/>
        </w:rPr>
        <w:t>如因我公司违反上述条款造成安全生产事故的，我公司将承担由此引发的一切责任与后果，如造成贵公司损失的，我公司将予以足额赔偿，同时，贵公司有权没收我公司提交的履约担保。</w:t>
      </w:r>
    </w:p>
    <w:p w14:paraId="460E6538">
      <w:pPr>
        <w:adjustRightInd/>
        <w:spacing w:line="360" w:lineRule="auto"/>
        <w:ind w:firstLine="420" w:firstLineChars="200"/>
        <w:rPr>
          <w:rFonts w:hAnsi="宋体" w:cs="宋体"/>
          <w:sz w:val="21"/>
          <w:szCs w:val="21"/>
        </w:rPr>
      </w:pPr>
    </w:p>
    <w:p w14:paraId="60672140">
      <w:pPr>
        <w:adjustRightInd/>
        <w:spacing w:line="360" w:lineRule="auto"/>
        <w:ind w:firstLine="420" w:firstLineChars="200"/>
        <w:rPr>
          <w:rFonts w:hAnsi="宋体" w:cs="宋体"/>
          <w:sz w:val="21"/>
          <w:szCs w:val="21"/>
        </w:rPr>
      </w:pPr>
    </w:p>
    <w:p w14:paraId="74C58708">
      <w:pPr>
        <w:adjustRightInd/>
        <w:spacing w:line="360" w:lineRule="auto"/>
        <w:ind w:firstLine="420" w:firstLineChars="200"/>
        <w:rPr>
          <w:rFonts w:hAnsi="宋体" w:cs="宋体"/>
          <w:sz w:val="21"/>
          <w:szCs w:val="21"/>
        </w:rPr>
      </w:pPr>
      <w:r>
        <w:rPr>
          <w:rFonts w:hint="eastAsia" w:hAnsi="宋体" w:cs="宋体"/>
          <w:sz w:val="21"/>
          <w:szCs w:val="21"/>
        </w:rPr>
        <w:t>特此承诺。</w:t>
      </w:r>
    </w:p>
    <w:p w14:paraId="605ED83F">
      <w:pPr>
        <w:adjustRightInd/>
        <w:spacing w:line="360" w:lineRule="auto"/>
        <w:rPr>
          <w:rFonts w:hAnsi="宋体" w:cs="宋体"/>
          <w:sz w:val="21"/>
          <w:szCs w:val="21"/>
        </w:rPr>
      </w:pPr>
      <w:r>
        <w:rPr>
          <w:rFonts w:hint="eastAsia" w:hAnsi="宋体" w:cs="宋体"/>
          <w:sz w:val="21"/>
          <w:szCs w:val="21"/>
        </w:rPr>
        <w:t xml:space="preserve">                                  </w:t>
      </w:r>
    </w:p>
    <w:p w14:paraId="5157D92F">
      <w:pPr>
        <w:adjustRightInd/>
        <w:spacing w:line="360" w:lineRule="auto"/>
        <w:jc w:val="right"/>
        <w:rPr>
          <w:rFonts w:hint="eastAsia" w:ascii="宋体" w:hAnsi="宋体" w:eastAsia="宋体" w:cs="宋体"/>
          <w:sz w:val="21"/>
          <w:szCs w:val="21"/>
        </w:rPr>
      </w:pPr>
      <w:r>
        <w:rPr>
          <w:rFonts w:hint="eastAsia" w:hAnsi="宋体" w:cs="宋体"/>
          <w:lang w:val="en-US" w:eastAsia="zh-CN"/>
        </w:rPr>
        <w:t>供应商</w:t>
      </w:r>
      <w:r>
        <w:rPr>
          <w:rFonts w:hint="eastAsia" w:ascii="宋体" w:hAnsi="宋体" w:eastAsia="宋体" w:cs="宋体"/>
          <w:sz w:val="21"/>
          <w:szCs w:val="21"/>
        </w:rPr>
        <w:t>（加盖</w:t>
      </w:r>
      <w:r>
        <w:rPr>
          <w:rFonts w:hint="eastAsia" w:ascii="宋体" w:hAnsi="宋体" w:eastAsia="宋体" w:cs="宋体"/>
          <w:sz w:val="21"/>
          <w:szCs w:val="21"/>
          <w:lang w:val="en-US" w:eastAsia="zh-CN"/>
        </w:rPr>
        <w:t>供应商</w:t>
      </w:r>
      <w:r>
        <w:rPr>
          <w:rFonts w:hint="eastAsia" w:ascii="宋体" w:hAnsi="宋体" w:eastAsia="宋体" w:cs="宋体"/>
          <w:sz w:val="21"/>
          <w:szCs w:val="21"/>
        </w:rPr>
        <w:t>法人</w:t>
      </w:r>
      <w:r>
        <w:rPr>
          <w:rFonts w:hint="eastAsia" w:ascii="宋体" w:hAnsi="宋体" w:eastAsia="宋体" w:cs="宋体"/>
          <w:sz w:val="21"/>
          <w:szCs w:val="21"/>
          <w:lang w:val="zh-CN"/>
        </w:rPr>
        <w:t>公章</w:t>
      </w:r>
      <w:r>
        <w:rPr>
          <w:rFonts w:hint="eastAsia" w:ascii="宋体" w:hAnsi="宋体" w:eastAsia="宋体" w:cs="宋体"/>
          <w:sz w:val="21"/>
          <w:szCs w:val="21"/>
        </w:rPr>
        <w:t>）：</w:t>
      </w:r>
    </w:p>
    <w:p w14:paraId="0D4CAA26">
      <w:pPr>
        <w:adjustRightInd/>
        <w:spacing w:line="360" w:lineRule="auto"/>
        <w:jc w:val="center"/>
        <w:rPr>
          <w:rFonts w:hAnsi="宋体" w:cs="宋体"/>
          <w:sz w:val="21"/>
          <w:szCs w:val="21"/>
        </w:rPr>
      </w:pPr>
      <w:r>
        <w:rPr>
          <w:rFonts w:hint="eastAsia" w:hAnsi="宋体" w:cs="宋体"/>
          <w:sz w:val="21"/>
          <w:szCs w:val="21"/>
        </w:rPr>
        <w:t xml:space="preserve">     </w:t>
      </w:r>
      <w:r>
        <w:rPr>
          <w:rFonts w:hAnsi="宋体" w:cs="宋体"/>
          <w:sz w:val="21"/>
          <w:szCs w:val="21"/>
        </w:rPr>
        <w:t xml:space="preserve">                      </w:t>
      </w:r>
      <w:r>
        <w:rPr>
          <w:rFonts w:hint="eastAsia" w:hAnsi="宋体" w:cs="宋体"/>
          <w:sz w:val="21"/>
          <w:szCs w:val="21"/>
        </w:rPr>
        <w:t>日期：</w:t>
      </w:r>
    </w:p>
    <w:p w14:paraId="70962375">
      <w:pPr>
        <w:numPr>
          <w:ilvl w:val="255"/>
          <w:numId w:val="0"/>
        </w:numPr>
        <w:spacing w:line="360" w:lineRule="auto"/>
        <w:jc w:val="both"/>
        <w:rPr>
          <w:rFonts w:hAnsi="宋体" w:cs="宋体"/>
          <w:b/>
          <w:color w:val="000000" w:themeColor="text1"/>
          <w:sz w:val="28"/>
          <w:szCs w:val="28"/>
          <w14:textFill>
            <w14:solidFill>
              <w14:schemeClr w14:val="tx1"/>
            </w14:solidFill>
          </w14:textFill>
        </w:rPr>
      </w:pPr>
    </w:p>
    <w:p w14:paraId="65028B99">
      <w:pPr>
        <w:numPr>
          <w:ilvl w:val="255"/>
          <w:numId w:val="0"/>
        </w:numPr>
        <w:spacing w:line="360" w:lineRule="auto"/>
        <w:jc w:val="both"/>
        <w:rPr>
          <w:rFonts w:hAnsi="宋体" w:cs="宋体"/>
          <w:b/>
          <w:color w:val="000000" w:themeColor="text1"/>
          <w:sz w:val="28"/>
          <w:szCs w:val="28"/>
          <w14:textFill>
            <w14:solidFill>
              <w14:schemeClr w14:val="tx1"/>
            </w14:solidFill>
          </w14:textFill>
        </w:rPr>
      </w:pPr>
    </w:p>
    <w:p w14:paraId="65BCFF5F">
      <w:pPr>
        <w:numPr>
          <w:ilvl w:val="255"/>
          <w:numId w:val="0"/>
        </w:numPr>
        <w:spacing w:line="360" w:lineRule="auto"/>
        <w:jc w:val="both"/>
        <w:rPr>
          <w:rFonts w:hAnsi="宋体" w:cs="宋体"/>
          <w:b/>
          <w:color w:val="000000" w:themeColor="text1"/>
          <w:sz w:val="28"/>
          <w:szCs w:val="28"/>
          <w14:textFill>
            <w14:solidFill>
              <w14:schemeClr w14:val="tx1"/>
            </w14:solidFill>
          </w14:textFill>
        </w:rPr>
      </w:pPr>
    </w:p>
    <w:p w14:paraId="0494EC2D">
      <w:pPr>
        <w:numPr>
          <w:ilvl w:val="255"/>
          <w:numId w:val="0"/>
        </w:numPr>
        <w:spacing w:line="360" w:lineRule="auto"/>
        <w:jc w:val="both"/>
        <w:rPr>
          <w:rFonts w:hAnsi="宋体" w:cs="宋体"/>
          <w:b/>
          <w:color w:val="000000" w:themeColor="text1"/>
          <w:sz w:val="28"/>
          <w:szCs w:val="28"/>
          <w14:textFill>
            <w14:solidFill>
              <w14:schemeClr w14:val="tx1"/>
            </w14:solidFill>
          </w14:textFill>
        </w:rPr>
      </w:pPr>
    </w:p>
    <w:p w14:paraId="1FD1D389">
      <w:pPr>
        <w:rPr>
          <w:rFonts w:hint="eastAsia"/>
        </w:rPr>
      </w:pPr>
      <w:bookmarkStart w:id="40" w:name="_Toc6896"/>
      <w:r>
        <w:rPr>
          <w:rFonts w:hint="eastAsia"/>
        </w:rPr>
        <w:br w:type="page"/>
      </w:r>
    </w:p>
    <w:p w14:paraId="09E6E8D0">
      <w:pPr>
        <w:pStyle w:val="2"/>
      </w:pPr>
      <w:r>
        <w:rPr>
          <w:rFonts w:hint="eastAsia"/>
        </w:rPr>
        <w:t>4.资格要求</w:t>
      </w:r>
      <w:bookmarkEnd w:id="40"/>
    </w:p>
    <w:p w14:paraId="0858EA43">
      <w:pPr>
        <w:pStyle w:val="3"/>
        <w:rPr>
          <w:rFonts w:ascii="宋体" w:hAnsi="宋体" w:eastAsia="宋体" w:cs="宋体"/>
          <w:b w:val="0"/>
          <w:bCs w:val="0"/>
        </w:rPr>
      </w:pPr>
      <w:bookmarkStart w:id="41" w:name="_Toc5172"/>
      <w:r>
        <w:rPr>
          <w:rFonts w:hint="eastAsia" w:ascii="宋体" w:hAnsi="宋体" w:eastAsia="宋体" w:cs="宋体"/>
          <w:b w:val="0"/>
          <w:bCs w:val="0"/>
        </w:rPr>
        <w:t>4.1多证合一营业执照（或事业单位法人证书）复印件</w:t>
      </w:r>
      <w:bookmarkEnd w:id="41"/>
    </w:p>
    <w:p w14:paraId="33C93C27">
      <w:pPr>
        <w:rPr>
          <w:rFonts w:hAnsi="宋体" w:cs="宋体"/>
          <w:b/>
          <w:bCs/>
          <w:color w:val="000000"/>
          <w:sz w:val="21"/>
          <w:szCs w:val="21"/>
        </w:rPr>
      </w:pPr>
    </w:p>
    <w:p w14:paraId="065702E6">
      <w:pPr>
        <w:pStyle w:val="8"/>
        <w:rPr>
          <w:rFonts w:ascii="宋体" w:hAnsi="宋体" w:cs="宋体"/>
          <w:b/>
          <w:bCs/>
          <w:color w:val="000000"/>
          <w:sz w:val="21"/>
          <w:szCs w:val="21"/>
        </w:rPr>
      </w:pPr>
    </w:p>
    <w:p w14:paraId="47381C39">
      <w:pPr>
        <w:rPr>
          <w:rFonts w:hAnsi="宋体" w:cs="宋体"/>
          <w:b/>
          <w:bCs/>
          <w:color w:val="000000"/>
          <w:sz w:val="21"/>
          <w:szCs w:val="21"/>
        </w:rPr>
      </w:pPr>
    </w:p>
    <w:p w14:paraId="76E39C97">
      <w:pPr>
        <w:pStyle w:val="8"/>
        <w:rPr>
          <w:rFonts w:ascii="宋体" w:hAnsi="宋体" w:cs="宋体"/>
          <w:b/>
          <w:bCs/>
          <w:color w:val="000000"/>
          <w:sz w:val="21"/>
          <w:szCs w:val="21"/>
        </w:rPr>
      </w:pPr>
    </w:p>
    <w:p w14:paraId="26BC1E03">
      <w:pPr>
        <w:rPr>
          <w:rFonts w:hAnsi="宋体" w:cs="宋体"/>
          <w:b/>
          <w:bCs/>
          <w:color w:val="000000"/>
          <w:sz w:val="21"/>
          <w:szCs w:val="21"/>
        </w:rPr>
      </w:pPr>
    </w:p>
    <w:p w14:paraId="67728C9C">
      <w:pPr>
        <w:pStyle w:val="8"/>
        <w:rPr>
          <w:rFonts w:ascii="宋体" w:hAnsi="宋体" w:cs="宋体"/>
          <w:b/>
          <w:bCs/>
          <w:color w:val="000000"/>
          <w:sz w:val="21"/>
          <w:szCs w:val="21"/>
        </w:rPr>
      </w:pPr>
    </w:p>
    <w:p w14:paraId="00E278B0">
      <w:pPr>
        <w:rPr>
          <w:rFonts w:hAnsi="宋体" w:cs="宋体"/>
        </w:rPr>
      </w:pPr>
    </w:p>
    <w:p w14:paraId="1FCFCDDD">
      <w:pPr>
        <w:rPr>
          <w:rFonts w:hAnsi="宋体" w:cs="宋体"/>
        </w:rPr>
      </w:pPr>
    </w:p>
    <w:p w14:paraId="508525C3">
      <w:pPr>
        <w:rPr>
          <w:rFonts w:hAnsi="宋体" w:cs="宋体"/>
        </w:rPr>
      </w:pPr>
    </w:p>
    <w:p w14:paraId="758E7BBE">
      <w:pPr>
        <w:rPr>
          <w:rFonts w:hAnsi="宋体" w:cs="宋体"/>
        </w:rPr>
      </w:pPr>
    </w:p>
    <w:p w14:paraId="2B530A13">
      <w:pPr>
        <w:rPr>
          <w:rFonts w:hAnsi="宋体" w:cs="宋体"/>
        </w:rPr>
      </w:pPr>
    </w:p>
    <w:p w14:paraId="4CF78D72">
      <w:pPr>
        <w:rPr>
          <w:rFonts w:hAnsi="宋体" w:cs="宋体"/>
        </w:rPr>
      </w:pPr>
    </w:p>
    <w:p w14:paraId="48264255">
      <w:pPr>
        <w:rPr>
          <w:rFonts w:hAnsi="宋体" w:cs="宋体"/>
        </w:rPr>
      </w:pPr>
    </w:p>
    <w:p w14:paraId="4FCE2874">
      <w:pPr>
        <w:rPr>
          <w:rFonts w:hAnsi="宋体" w:cs="宋体"/>
        </w:rPr>
      </w:pPr>
    </w:p>
    <w:p w14:paraId="1892BE83">
      <w:pPr>
        <w:rPr>
          <w:rFonts w:hAnsi="宋体" w:cs="宋体"/>
        </w:rPr>
      </w:pPr>
    </w:p>
    <w:p w14:paraId="052ECD22">
      <w:pPr>
        <w:rPr>
          <w:rFonts w:hAnsi="宋体" w:cs="宋体"/>
        </w:rPr>
      </w:pPr>
    </w:p>
    <w:p w14:paraId="53765BE5">
      <w:pPr>
        <w:rPr>
          <w:rFonts w:hAnsi="宋体" w:cs="宋体"/>
        </w:rPr>
      </w:pPr>
    </w:p>
    <w:p w14:paraId="7B7DF430">
      <w:pPr>
        <w:rPr>
          <w:rFonts w:hAnsi="宋体" w:cs="宋体"/>
        </w:rPr>
      </w:pPr>
    </w:p>
    <w:p w14:paraId="4FAE4CCB">
      <w:pPr>
        <w:rPr>
          <w:rFonts w:hAnsi="宋体" w:cs="宋体"/>
        </w:rPr>
      </w:pPr>
    </w:p>
    <w:p w14:paraId="2670BA5A">
      <w:pPr>
        <w:rPr>
          <w:rFonts w:hAnsi="宋体" w:cs="宋体"/>
        </w:rPr>
      </w:pPr>
    </w:p>
    <w:p w14:paraId="12A1897B">
      <w:pPr>
        <w:rPr>
          <w:rFonts w:hAnsi="宋体" w:cs="宋体"/>
        </w:rPr>
      </w:pPr>
    </w:p>
    <w:p w14:paraId="324F7C3E">
      <w:pPr>
        <w:rPr>
          <w:rFonts w:hAnsi="宋体" w:cs="宋体"/>
        </w:rPr>
      </w:pPr>
    </w:p>
    <w:p w14:paraId="53FFFB40">
      <w:pPr>
        <w:rPr>
          <w:rFonts w:hAnsi="宋体" w:cs="宋体"/>
        </w:rPr>
      </w:pPr>
    </w:p>
    <w:p w14:paraId="711EC98B">
      <w:pPr>
        <w:rPr>
          <w:rFonts w:hAnsi="宋体" w:cs="宋体"/>
        </w:rPr>
      </w:pPr>
    </w:p>
    <w:p w14:paraId="0686791C">
      <w:pPr>
        <w:rPr>
          <w:rFonts w:hAnsi="宋体" w:cs="宋体"/>
        </w:rPr>
      </w:pPr>
    </w:p>
    <w:p w14:paraId="2B69B161">
      <w:pPr>
        <w:rPr>
          <w:rFonts w:hAnsi="宋体" w:cs="宋体"/>
        </w:rPr>
      </w:pPr>
    </w:p>
    <w:p w14:paraId="3320844B">
      <w:pPr>
        <w:rPr>
          <w:rFonts w:hAnsi="宋体" w:cs="宋体"/>
        </w:rPr>
      </w:pPr>
    </w:p>
    <w:p w14:paraId="5D5FE475">
      <w:pPr>
        <w:rPr>
          <w:rFonts w:hAnsi="宋体" w:cs="宋体"/>
        </w:rPr>
      </w:pPr>
    </w:p>
    <w:p w14:paraId="4E66DB19">
      <w:pPr>
        <w:rPr>
          <w:rFonts w:hAnsi="宋体" w:cs="宋体"/>
        </w:rPr>
      </w:pPr>
    </w:p>
    <w:p w14:paraId="3362D0BB">
      <w:pPr>
        <w:numPr>
          <w:ilvl w:val="255"/>
          <w:numId w:val="0"/>
        </w:numPr>
        <w:adjustRightInd/>
        <w:spacing w:line="360" w:lineRule="auto"/>
        <w:jc w:val="both"/>
        <w:rPr>
          <w:rFonts w:hAnsi="宋体" w:cs="宋体"/>
          <w:bCs/>
          <w:color w:val="000000" w:themeColor="text1"/>
          <w:sz w:val="28"/>
          <w:szCs w:val="28"/>
          <w14:textFill>
            <w14:solidFill>
              <w14:schemeClr w14:val="tx1"/>
            </w14:solidFill>
          </w14:textFill>
        </w:rPr>
      </w:pPr>
    </w:p>
    <w:p w14:paraId="7332F1D9">
      <w:pPr>
        <w:pStyle w:val="3"/>
        <w:rPr>
          <w:rFonts w:ascii="宋体" w:hAnsi="宋体" w:eastAsia="宋体" w:cs="宋体"/>
          <w:b w:val="0"/>
          <w:bCs w:val="0"/>
        </w:rPr>
      </w:pPr>
      <w:bookmarkStart w:id="42" w:name="_Toc9147"/>
      <w:r>
        <w:rPr>
          <w:rFonts w:hint="eastAsia" w:ascii="宋体" w:hAnsi="宋体" w:eastAsia="宋体" w:cs="宋体"/>
          <w:b w:val="0"/>
          <w:bCs w:val="0"/>
        </w:rPr>
        <w:t>4.2资格业绩</w:t>
      </w:r>
      <w:r>
        <w:rPr>
          <w:rFonts w:hint="eastAsia" w:hAnsi="宋体" w:cs="宋体"/>
          <w:b/>
          <w:color w:val="auto"/>
          <w:kern w:val="0"/>
          <w:sz w:val="30"/>
          <w:szCs w:val="30"/>
          <w:highlight w:val="none"/>
          <w:lang w:val="en-US" w:eastAsia="zh-CN"/>
        </w:rPr>
        <w:t>【供应商2023年1月1日以来具有一份运输服务项目业绩（合同签订日期为2023年1月1日或以后）】</w:t>
      </w:r>
      <w:bookmarkEnd w:id="42"/>
    </w:p>
    <w:p w14:paraId="4B8FDDE6">
      <w:pPr>
        <w:spacing w:line="360" w:lineRule="auto"/>
        <w:rPr>
          <w:rFonts w:hint="eastAsia" w:ascii="宋体" w:hAnsi="宋体" w:eastAsia="宋体" w:cs="宋体"/>
          <w:b/>
          <w:color w:val="auto"/>
          <w:szCs w:val="21"/>
          <w:highlight w:val="none"/>
          <w:lang w:val="zh-CN"/>
        </w:rPr>
      </w:pPr>
    </w:p>
    <w:tbl>
      <w:tblPr>
        <w:tblStyle w:val="25"/>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502D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90" w:type="dxa"/>
            <w:vAlign w:val="center"/>
          </w:tcPr>
          <w:p w14:paraId="0839E1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3" w:type="dxa"/>
            <w:vAlign w:val="center"/>
          </w:tcPr>
          <w:p w14:paraId="0369B2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53" w:type="dxa"/>
            <w:vAlign w:val="center"/>
          </w:tcPr>
          <w:p w14:paraId="4ED0DFC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855" w:type="dxa"/>
            <w:vAlign w:val="center"/>
          </w:tcPr>
          <w:p w14:paraId="2BF9D5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855" w:type="dxa"/>
            <w:vAlign w:val="center"/>
          </w:tcPr>
          <w:p w14:paraId="1688269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855" w:type="dxa"/>
            <w:vAlign w:val="center"/>
          </w:tcPr>
          <w:p w14:paraId="48D9FE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5" w:type="dxa"/>
            <w:vAlign w:val="center"/>
          </w:tcPr>
          <w:p w14:paraId="1676E4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855" w:type="dxa"/>
            <w:vAlign w:val="center"/>
          </w:tcPr>
          <w:p w14:paraId="155276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855" w:type="dxa"/>
            <w:vAlign w:val="center"/>
          </w:tcPr>
          <w:p w14:paraId="3C9A3A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855" w:type="dxa"/>
            <w:vAlign w:val="center"/>
          </w:tcPr>
          <w:p w14:paraId="0E77880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03" w:type="dxa"/>
            <w:vAlign w:val="center"/>
          </w:tcPr>
          <w:p w14:paraId="799F2F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77F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290" w:hRule="exact"/>
          <w:jc w:val="center"/>
        </w:trPr>
        <w:tc>
          <w:tcPr>
            <w:tcW w:w="590" w:type="dxa"/>
            <w:vAlign w:val="center"/>
          </w:tcPr>
          <w:p w14:paraId="74CE9D9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53" w:type="dxa"/>
            <w:vAlign w:val="center"/>
          </w:tcPr>
          <w:p w14:paraId="1F826D9E">
            <w:pPr>
              <w:jc w:val="center"/>
              <w:rPr>
                <w:rFonts w:hint="eastAsia" w:ascii="宋体" w:hAnsi="宋体" w:eastAsia="宋体" w:cs="宋体"/>
                <w:color w:val="auto"/>
                <w:sz w:val="21"/>
                <w:szCs w:val="21"/>
                <w:highlight w:val="none"/>
              </w:rPr>
            </w:pPr>
          </w:p>
        </w:tc>
        <w:tc>
          <w:tcPr>
            <w:tcW w:w="853" w:type="dxa"/>
            <w:vAlign w:val="center"/>
          </w:tcPr>
          <w:p w14:paraId="5C8F7EF7">
            <w:pPr>
              <w:jc w:val="center"/>
              <w:rPr>
                <w:rFonts w:hint="eastAsia" w:ascii="宋体" w:hAnsi="宋体" w:eastAsia="宋体" w:cs="宋体"/>
                <w:color w:val="auto"/>
                <w:sz w:val="21"/>
                <w:szCs w:val="21"/>
                <w:highlight w:val="none"/>
              </w:rPr>
            </w:pPr>
          </w:p>
        </w:tc>
        <w:tc>
          <w:tcPr>
            <w:tcW w:w="855" w:type="dxa"/>
            <w:vAlign w:val="center"/>
          </w:tcPr>
          <w:p w14:paraId="6C91C891">
            <w:pPr>
              <w:jc w:val="center"/>
              <w:rPr>
                <w:rFonts w:hint="eastAsia" w:ascii="宋体" w:hAnsi="宋体" w:eastAsia="宋体" w:cs="宋体"/>
                <w:color w:val="auto"/>
                <w:sz w:val="21"/>
                <w:szCs w:val="21"/>
                <w:highlight w:val="none"/>
              </w:rPr>
            </w:pPr>
          </w:p>
        </w:tc>
        <w:tc>
          <w:tcPr>
            <w:tcW w:w="855" w:type="dxa"/>
            <w:vAlign w:val="center"/>
          </w:tcPr>
          <w:p w14:paraId="59DCDADA">
            <w:pPr>
              <w:jc w:val="center"/>
              <w:rPr>
                <w:rFonts w:hint="eastAsia" w:ascii="宋体" w:hAnsi="宋体" w:eastAsia="宋体" w:cs="宋体"/>
                <w:color w:val="auto"/>
                <w:sz w:val="21"/>
                <w:szCs w:val="21"/>
                <w:highlight w:val="none"/>
              </w:rPr>
            </w:pPr>
          </w:p>
        </w:tc>
        <w:tc>
          <w:tcPr>
            <w:tcW w:w="855" w:type="dxa"/>
            <w:vAlign w:val="center"/>
          </w:tcPr>
          <w:p w14:paraId="5644BF8C">
            <w:pPr>
              <w:jc w:val="center"/>
              <w:rPr>
                <w:rFonts w:hint="eastAsia" w:ascii="宋体" w:hAnsi="宋体" w:eastAsia="宋体" w:cs="宋体"/>
                <w:color w:val="auto"/>
                <w:sz w:val="21"/>
                <w:szCs w:val="21"/>
                <w:highlight w:val="none"/>
              </w:rPr>
            </w:pPr>
          </w:p>
        </w:tc>
        <w:tc>
          <w:tcPr>
            <w:tcW w:w="995" w:type="dxa"/>
            <w:vAlign w:val="center"/>
          </w:tcPr>
          <w:p w14:paraId="0A978AAD">
            <w:pPr>
              <w:jc w:val="center"/>
              <w:rPr>
                <w:rFonts w:hint="eastAsia" w:ascii="宋体" w:hAnsi="宋体" w:eastAsia="宋体" w:cs="宋体"/>
                <w:color w:val="auto"/>
                <w:sz w:val="21"/>
                <w:szCs w:val="21"/>
                <w:highlight w:val="none"/>
              </w:rPr>
            </w:pPr>
          </w:p>
        </w:tc>
        <w:tc>
          <w:tcPr>
            <w:tcW w:w="855" w:type="dxa"/>
            <w:vAlign w:val="top"/>
          </w:tcPr>
          <w:p w14:paraId="07F1179D">
            <w:pPr>
              <w:jc w:val="center"/>
              <w:rPr>
                <w:rFonts w:hint="eastAsia" w:ascii="宋体" w:hAnsi="宋体" w:eastAsia="宋体" w:cs="宋体"/>
                <w:color w:val="auto"/>
                <w:sz w:val="21"/>
                <w:szCs w:val="21"/>
                <w:highlight w:val="none"/>
              </w:rPr>
            </w:pPr>
          </w:p>
        </w:tc>
        <w:tc>
          <w:tcPr>
            <w:tcW w:w="855" w:type="dxa"/>
            <w:vAlign w:val="center"/>
          </w:tcPr>
          <w:p w14:paraId="46887E78">
            <w:pPr>
              <w:jc w:val="center"/>
              <w:rPr>
                <w:rFonts w:hint="eastAsia" w:ascii="宋体" w:hAnsi="宋体" w:eastAsia="宋体" w:cs="宋体"/>
                <w:color w:val="auto"/>
                <w:sz w:val="21"/>
                <w:szCs w:val="21"/>
                <w:highlight w:val="none"/>
              </w:rPr>
            </w:pPr>
          </w:p>
        </w:tc>
        <w:tc>
          <w:tcPr>
            <w:tcW w:w="855" w:type="dxa"/>
            <w:vAlign w:val="center"/>
          </w:tcPr>
          <w:p w14:paraId="7D962262">
            <w:pPr>
              <w:jc w:val="center"/>
              <w:rPr>
                <w:rFonts w:hint="eastAsia" w:ascii="宋体" w:hAnsi="宋体" w:eastAsia="宋体" w:cs="宋体"/>
                <w:color w:val="auto"/>
                <w:sz w:val="21"/>
                <w:szCs w:val="21"/>
                <w:highlight w:val="none"/>
              </w:rPr>
            </w:pPr>
          </w:p>
        </w:tc>
        <w:tc>
          <w:tcPr>
            <w:tcW w:w="703" w:type="dxa"/>
            <w:vAlign w:val="center"/>
          </w:tcPr>
          <w:p w14:paraId="3EDC8843">
            <w:pPr>
              <w:jc w:val="center"/>
              <w:rPr>
                <w:rFonts w:hint="eastAsia" w:ascii="宋体" w:hAnsi="宋体" w:eastAsia="宋体" w:cs="宋体"/>
                <w:color w:val="auto"/>
                <w:sz w:val="21"/>
                <w:szCs w:val="21"/>
                <w:highlight w:val="none"/>
              </w:rPr>
            </w:pPr>
          </w:p>
        </w:tc>
      </w:tr>
    </w:tbl>
    <w:p w14:paraId="572F87EB">
      <w:pPr>
        <w:spacing w:line="360" w:lineRule="auto"/>
        <w:ind w:left="424" w:hanging="484" w:hangingChars="201"/>
        <w:rPr>
          <w:rFonts w:hint="eastAsia" w:ascii="宋体" w:hAnsi="宋体" w:eastAsia="宋体" w:cs="宋体"/>
          <w:b/>
          <w:color w:val="auto"/>
          <w:szCs w:val="21"/>
          <w:highlight w:val="none"/>
          <w:lang w:val="zh-CN"/>
        </w:rPr>
      </w:pPr>
    </w:p>
    <w:p w14:paraId="4267F4D2">
      <w:pPr>
        <w:spacing w:line="360" w:lineRule="auto"/>
        <w:ind w:left="424" w:hanging="48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96FFA0A">
      <w:pPr>
        <w:snapToGrid w:val="0"/>
        <w:spacing w:line="360" w:lineRule="auto"/>
        <w:ind w:left="456" w:leftChars="-58" w:hanging="595" w:hangingChars="247"/>
        <w:outlineLvl w:val="9"/>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u w:val="single"/>
        </w:rPr>
        <w:t>业绩必须附合同复印件。</w:t>
      </w:r>
      <w:r>
        <w:rPr>
          <w:rFonts w:hint="eastAsia" w:ascii="宋体" w:hAnsi="宋体" w:eastAsia="宋体" w:cs="宋体"/>
          <w:b/>
          <w:bCs w:val="0"/>
          <w:color w:val="auto"/>
          <w:szCs w:val="21"/>
          <w:highlight w:val="none"/>
          <w:u w:val="single"/>
          <w:lang w:val="zh-CN"/>
        </w:rPr>
        <w:t>若合同无法反映合同签订时间、合同</w:t>
      </w:r>
      <w:r>
        <w:rPr>
          <w:rFonts w:hint="eastAsia" w:ascii="宋体" w:hAnsi="宋体" w:eastAsia="宋体" w:cs="宋体"/>
          <w:b/>
          <w:bCs w:val="0"/>
          <w:color w:val="auto"/>
          <w:szCs w:val="21"/>
          <w:highlight w:val="none"/>
          <w:u w:val="single"/>
        </w:rPr>
        <w:t>服务内容的</w:t>
      </w:r>
      <w:r>
        <w:rPr>
          <w:rFonts w:hint="eastAsia" w:ascii="宋体" w:hAnsi="宋体" w:eastAsia="宋体" w:cs="宋体"/>
          <w:b/>
          <w:bCs w:val="0"/>
          <w:color w:val="auto"/>
          <w:szCs w:val="21"/>
          <w:highlight w:val="none"/>
          <w:u w:val="single"/>
          <w:lang w:val="zh-CN"/>
        </w:rPr>
        <w:t>，还需</w:t>
      </w:r>
      <w:r>
        <w:rPr>
          <w:rFonts w:hint="eastAsia" w:ascii="宋体" w:hAnsi="宋体" w:eastAsia="宋体" w:cs="宋体"/>
          <w:b/>
          <w:bCs w:val="0"/>
          <w:color w:val="auto"/>
          <w:szCs w:val="21"/>
          <w:highlight w:val="none"/>
          <w:u w:val="single"/>
        </w:rPr>
        <w:t>提供服务购买方出具的书面补充情况说明文件复印件</w:t>
      </w:r>
      <w:r>
        <w:rPr>
          <w:rFonts w:hint="eastAsia" w:ascii="宋体" w:hAnsi="宋体" w:eastAsia="宋体" w:cs="宋体"/>
          <w:b/>
          <w:bCs w:val="0"/>
          <w:color w:val="auto"/>
          <w:szCs w:val="21"/>
          <w:highlight w:val="none"/>
          <w:u w:val="single"/>
          <w:lang w:val="zh-CN"/>
        </w:rPr>
        <w:t>作为辅助证明</w:t>
      </w:r>
      <w:r>
        <w:rPr>
          <w:rFonts w:hint="eastAsia" w:ascii="宋体" w:hAnsi="宋体" w:eastAsia="宋体" w:cs="宋体"/>
          <w:b/>
          <w:bCs w:val="0"/>
          <w:color w:val="auto"/>
          <w:szCs w:val="21"/>
          <w:highlight w:val="none"/>
          <w:lang w:val="zh-CN"/>
        </w:rPr>
        <w:t>。</w:t>
      </w:r>
    </w:p>
    <w:p w14:paraId="3369FABF">
      <w:pPr>
        <w:snapToGrid w:val="0"/>
        <w:spacing w:line="360" w:lineRule="auto"/>
        <w:ind w:left="456" w:leftChars="-58" w:hanging="595" w:hangingChars="247"/>
        <w:outlineLvl w:val="9"/>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u w:val="single"/>
        </w:rPr>
        <w:t>合同业绩证明材料必须满足下列条件：①合同签订日期为202</w:t>
      </w:r>
      <w:r>
        <w:rPr>
          <w:rFonts w:hint="eastAsia" w:ascii="宋体" w:hAnsi="宋体" w:eastAsia="宋体" w:cs="宋体"/>
          <w:b/>
          <w:bCs w:val="0"/>
          <w:color w:val="auto"/>
          <w:szCs w:val="21"/>
          <w:highlight w:val="none"/>
          <w:u w:val="single"/>
          <w:lang w:val="en-US" w:eastAsia="zh-CN"/>
        </w:rPr>
        <w:t>3</w:t>
      </w:r>
      <w:r>
        <w:rPr>
          <w:rFonts w:hint="eastAsia" w:ascii="宋体" w:hAnsi="宋体" w:eastAsia="宋体" w:cs="宋体"/>
          <w:b/>
          <w:bCs w:val="0"/>
          <w:color w:val="auto"/>
          <w:szCs w:val="21"/>
          <w:highlight w:val="none"/>
          <w:u w:val="single"/>
        </w:rPr>
        <w:t>年1月1日或以后；②合同服务内容为运输服务</w:t>
      </w:r>
      <w:r>
        <w:rPr>
          <w:rFonts w:hint="eastAsia" w:ascii="宋体" w:hAnsi="宋体" w:eastAsia="宋体" w:cs="宋体"/>
          <w:b/>
          <w:bCs w:val="0"/>
          <w:color w:val="auto"/>
          <w:szCs w:val="21"/>
          <w:highlight w:val="none"/>
        </w:rPr>
        <w:t>。</w:t>
      </w:r>
    </w:p>
    <w:p w14:paraId="6A170E36">
      <w:pPr>
        <w:snapToGrid w:val="0"/>
        <w:spacing w:line="360" w:lineRule="auto"/>
        <w:ind w:left="456" w:leftChars="-58" w:hanging="595" w:hangingChars="247"/>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lang w:val="zh-CN"/>
        </w:rPr>
        <w:t>）未按上述要求在此格式下提供证明材料的业绩，或在此格式下所附材料无法证明符合资格要求的业绩，按无效</w:t>
      </w:r>
      <w:r>
        <w:rPr>
          <w:rFonts w:hint="eastAsia" w:ascii="宋体" w:hAnsi="宋体" w:eastAsia="宋体" w:cs="宋体"/>
          <w:b/>
          <w:bCs w:val="0"/>
          <w:color w:val="auto"/>
          <w:szCs w:val="21"/>
          <w:highlight w:val="none"/>
          <w:lang w:val="en-US" w:eastAsia="zh-CN"/>
        </w:rPr>
        <w:t>响应</w:t>
      </w:r>
      <w:r>
        <w:rPr>
          <w:rFonts w:hint="eastAsia" w:ascii="宋体" w:hAnsi="宋体" w:eastAsia="宋体" w:cs="宋体"/>
          <w:b/>
          <w:bCs w:val="0"/>
          <w:color w:val="auto"/>
          <w:szCs w:val="21"/>
          <w:highlight w:val="none"/>
          <w:lang w:val="zh-CN"/>
        </w:rPr>
        <w:t>文件处理。</w:t>
      </w:r>
    </w:p>
    <w:p w14:paraId="7DBEB7C8">
      <w:pPr>
        <w:pStyle w:val="2"/>
        <w:rPr>
          <w:rFonts w:hint="eastAsia" w:ascii="宋体" w:hAnsi="Times New Roman" w:eastAsia="宋体" w:cs="Times New Roman"/>
        </w:rPr>
      </w:pPr>
      <w:r>
        <w:rPr>
          <w:rFonts w:hint="eastAsia" w:hAnsi="宋体" w:cs="宋体"/>
          <w:color w:val="000000"/>
          <w:szCs w:val="32"/>
        </w:rPr>
        <w:br w:type="page"/>
      </w:r>
      <w:bookmarkStart w:id="43" w:name="_Toc11232"/>
      <w:r>
        <w:rPr>
          <w:rFonts w:hint="eastAsia" w:ascii="宋体" w:hAnsi="Times New Roman" w:eastAsia="宋体" w:cs="Times New Roman"/>
        </w:rPr>
        <w:t>5.</w:t>
      </w:r>
      <w:bookmarkEnd w:id="34"/>
      <w:bookmarkEnd w:id="35"/>
      <w:bookmarkEnd w:id="36"/>
      <w:r>
        <w:rPr>
          <w:rFonts w:hint="eastAsia" w:ascii="宋体" w:hAnsi="Times New Roman" w:eastAsia="宋体" w:cs="Times New Roman"/>
          <w:lang w:val="en-US" w:eastAsia="zh-CN"/>
        </w:rPr>
        <w:t>供应商</w:t>
      </w:r>
      <w:r>
        <w:rPr>
          <w:rFonts w:hint="eastAsia" w:ascii="宋体" w:hAnsi="Times New Roman" w:eastAsia="宋体" w:cs="Times New Roman"/>
          <w:lang w:val="zh-CN"/>
        </w:rPr>
        <w:t>财务状况表格式</w:t>
      </w:r>
      <w:bookmarkEnd w:id="43"/>
    </w:p>
    <w:p w14:paraId="2211BD2A">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 xml:space="preserve">财务状况表 </w:t>
      </w:r>
    </w:p>
    <w:p w14:paraId="232226B9">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25"/>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E945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08E1C5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04E6D1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C3BF76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C9BC0F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87D32E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E03A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56A1F0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112FE5DB">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3B4FF1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DCE291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28E5291">
            <w:pPr>
              <w:autoSpaceDE w:val="0"/>
              <w:autoSpaceDN w:val="0"/>
              <w:adjustRightInd w:val="0"/>
              <w:spacing w:line="360" w:lineRule="auto"/>
              <w:jc w:val="center"/>
              <w:rPr>
                <w:rFonts w:ascii="宋体" w:hAnsi="宋体" w:eastAsia="宋体" w:cs="宋体"/>
                <w:color w:val="auto"/>
                <w:kern w:val="0"/>
                <w:szCs w:val="21"/>
                <w:highlight w:val="none"/>
              </w:rPr>
            </w:pPr>
          </w:p>
        </w:tc>
      </w:tr>
      <w:tr w14:paraId="7E9F2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CCD121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07D5220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FC2835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14:paraId="6D41800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BB8AD72">
            <w:pPr>
              <w:autoSpaceDE w:val="0"/>
              <w:autoSpaceDN w:val="0"/>
              <w:adjustRightInd w:val="0"/>
              <w:spacing w:line="360" w:lineRule="auto"/>
              <w:jc w:val="center"/>
              <w:rPr>
                <w:rFonts w:ascii="宋体" w:hAnsi="宋体" w:eastAsia="宋体" w:cs="宋体"/>
                <w:color w:val="auto"/>
                <w:kern w:val="0"/>
                <w:szCs w:val="21"/>
                <w:highlight w:val="none"/>
              </w:rPr>
            </w:pPr>
          </w:p>
        </w:tc>
      </w:tr>
      <w:tr w14:paraId="02D50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703141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7A6F54CA">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04E818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14:paraId="0D96C52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05FC98D">
            <w:pPr>
              <w:autoSpaceDE w:val="0"/>
              <w:autoSpaceDN w:val="0"/>
              <w:adjustRightInd w:val="0"/>
              <w:spacing w:line="360" w:lineRule="auto"/>
              <w:jc w:val="center"/>
              <w:rPr>
                <w:rFonts w:ascii="宋体" w:hAnsi="宋体" w:eastAsia="宋体" w:cs="宋体"/>
                <w:color w:val="auto"/>
                <w:kern w:val="0"/>
                <w:szCs w:val="21"/>
                <w:highlight w:val="none"/>
              </w:rPr>
            </w:pPr>
          </w:p>
        </w:tc>
      </w:tr>
      <w:tr w14:paraId="7A6DC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3C9146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vAlign w:val="top"/>
          </w:tcPr>
          <w:p w14:paraId="21313C4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7906117">
            <w:pPr>
              <w:autoSpaceDE w:val="0"/>
              <w:autoSpaceDN w:val="0"/>
              <w:adjustRightInd w:val="0"/>
              <w:spacing w:line="360" w:lineRule="auto"/>
              <w:jc w:val="center"/>
              <w:rPr>
                <w:rFonts w:ascii="宋体" w:hAnsi="宋体" w:eastAsia="宋体" w:cs="宋体"/>
                <w:color w:val="auto"/>
                <w:kern w:val="0"/>
                <w:szCs w:val="21"/>
                <w:highlight w:val="none"/>
              </w:rPr>
            </w:pPr>
          </w:p>
        </w:tc>
      </w:tr>
    </w:tbl>
    <w:p w14:paraId="7EFBCFA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财务状况表；若</w:t>
      </w:r>
      <w:r>
        <w:rPr>
          <w:rFonts w:hint="eastAsia" w:ascii="宋体" w:hAnsi="宋体" w:eastAsia="宋体" w:cs="宋体"/>
          <w:color w:val="auto"/>
          <w:kern w:val="0"/>
          <w:szCs w:val="21"/>
          <w:highlight w:val="none"/>
          <w:lang w:val="en-US" w:eastAsia="zh-CN"/>
        </w:rPr>
        <w:t>响应供应商</w:t>
      </w:r>
      <w:r>
        <w:rPr>
          <w:rFonts w:hint="eastAsia" w:ascii="宋体" w:hAnsi="宋体" w:eastAsia="宋体" w:cs="宋体"/>
          <w:color w:val="auto"/>
          <w:kern w:val="0"/>
          <w:szCs w:val="21"/>
          <w:highlight w:val="none"/>
        </w:rPr>
        <w:t>为新成立或未进行独立会计师事务所审计的，本表中对应年度的财务信息应填写“/”，</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文件不作无效</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处理，但存在因不符合评标办法中的评分标准而导致对应项不得分。</w:t>
      </w:r>
    </w:p>
    <w:p w14:paraId="06FA82FA">
      <w:pPr>
        <w:autoSpaceDE w:val="0"/>
        <w:autoSpaceDN w:val="0"/>
        <w:adjustRightInd w:val="0"/>
        <w:spacing w:line="360" w:lineRule="auto"/>
        <w:ind w:firstLine="6182" w:firstLineChars="2576"/>
        <w:rPr>
          <w:rFonts w:ascii="宋体" w:hAnsi="宋体" w:eastAsia="宋体" w:cs="宋体"/>
          <w:color w:val="auto"/>
          <w:szCs w:val="24"/>
          <w:highlight w:val="none"/>
          <w:lang w:val="zh-CN"/>
        </w:rPr>
      </w:pPr>
    </w:p>
    <w:p w14:paraId="017603C5">
      <w:pPr>
        <w:autoSpaceDE w:val="0"/>
        <w:autoSpaceDN w:val="0"/>
        <w:adjustRightInd w:val="0"/>
        <w:spacing w:line="360" w:lineRule="auto"/>
        <w:ind w:firstLine="6182" w:firstLineChars="2576"/>
        <w:rPr>
          <w:rFonts w:ascii="宋体" w:hAnsi="宋体" w:eastAsia="宋体" w:cs="宋体"/>
          <w:color w:val="auto"/>
          <w:szCs w:val="24"/>
          <w:highlight w:val="none"/>
          <w:lang w:val="zh-CN"/>
        </w:rPr>
      </w:pPr>
    </w:p>
    <w:p w14:paraId="6C99DBE7">
      <w:pPr>
        <w:autoSpaceDE w:val="0"/>
        <w:autoSpaceDN w:val="0"/>
        <w:adjustRightInd w:val="0"/>
        <w:spacing w:line="360" w:lineRule="auto"/>
        <w:jc w:val="right"/>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lang w:val="zh-CN"/>
        </w:rPr>
        <w:t>：（加盖</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39B3456">
      <w:pPr>
        <w:numPr>
          <w:ilvl w:val="255"/>
          <w:numId w:val="0"/>
        </w:numPr>
        <w:adjustRightInd/>
        <w:spacing w:line="360" w:lineRule="auto"/>
        <w:ind w:firstLine="480" w:firstLineChars="200"/>
        <w:jc w:val="right"/>
        <w:rPr>
          <w:rFonts w:hint="eastAsia" w:ascii="宋体" w:hAnsi="宋体" w:eastAsia="宋体" w:cs="宋体"/>
        </w:rPr>
      </w:pPr>
      <w:r>
        <w:rPr>
          <w:rFonts w:hint="eastAsia" w:ascii="宋体" w:hAnsi="宋体" w:eastAsia="宋体" w:cs="宋体"/>
          <w:lang w:val="zh-CN"/>
        </w:rPr>
        <w:t xml:space="preserve">日期：   年   月  </w:t>
      </w:r>
      <w:r>
        <w:rPr>
          <w:rFonts w:hint="eastAsia" w:ascii="宋体" w:hAnsi="宋体" w:eastAsia="宋体" w:cs="宋体"/>
        </w:rPr>
        <w:t>日</w:t>
      </w:r>
    </w:p>
    <w:p w14:paraId="5CCE7F89">
      <w:pPr>
        <w:numPr>
          <w:ilvl w:val="255"/>
          <w:numId w:val="0"/>
        </w:numPr>
        <w:adjustRightInd/>
        <w:spacing w:line="360" w:lineRule="auto"/>
        <w:ind w:firstLine="480" w:firstLineChars="200"/>
        <w:jc w:val="right"/>
        <w:rPr>
          <w:rFonts w:hAnsi="宋体" w:cs="宋体"/>
        </w:rPr>
      </w:pPr>
    </w:p>
    <w:p w14:paraId="727BFF0C">
      <w:pPr>
        <w:rPr>
          <w:rFonts w:hint="eastAsia" w:ascii="宋体" w:hAnsi="Times New Roman" w:eastAsia="宋体" w:cs="Times New Roman"/>
        </w:rPr>
      </w:pPr>
      <w:r>
        <w:rPr>
          <w:rFonts w:hint="eastAsia" w:ascii="宋体" w:hAnsi="Times New Roman" w:eastAsia="宋体" w:cs="Times New Roman"/>
        </w:rPr>
        <w:br w:type="page"/>
      </w:r>
    </w:p>
    <w:p w14:paraId="7D70D68F">
      <w:pPr>
        <w:pStyle w:val="2"/>
        <w:rPr>
          <w:rFonts w:hint="eastAsia" w:ascii="宋体" w:hAnsi="Times New Roman" w:eastAsia="宋体" w:cs="Times New Roman"/>
          <w:lang w:val="en-US" w:eastAsia="zh-CN"/>
        </w:rPr>
      </w:pPr>
      <w:bookmarkStart w:id="44" w:name="_Toc13622"/>
      <w:r>
        <w:rPr>
          <w:rFonts w:hint="eastAsia" w:ascii="宋体" w:hAnsi="Times New Roman" w:eastAsia="宋体" w:cs="Times New Roman"/>
          <w:lang w:val="zh-CN"/>
        </w:rPr>
        <w:t>6.</w:t>
      </w:r>
      <w:r>
        <w:rPr>
          <w:rFonts w:hint="eastAsia" w:ascii="宋体" w:hAnsi="Times New Roman" w:eastAsia="宋体" w:cs="Times New Roman"/>
          <w:lang w:val="en-US" w:eastAsia="zh-CN"/>
        </w:rPr>
        <w:t>标准化体系认证</w:t>
      </w:r>
      <w:bookmarkEnd w:id="44"/>
    </w:p>
    <w:p w14:paraId="2B16051F">
      <w:pPr>
        <w:rPr>
          <w:rFonts w:hAnsi="宋体" w:cs="宋体"/>
          <w:b/>
          <w:sz w:val="32"/>
          <w:szCs w:val="32"/>
        </w:rPr>
      </w:pPr>
      <w:r>
        <w:rPr>
          <w:rFonts w:hAnsi="宋体" w:cs="宋体"/>
          <w:b/>
          <w:sz w:val="32"/>
          <w:szCs w:val="32"/>
        </w:rPr>
        <w:br w:type="page"/>
      </w:r>
    </w:p>
    <w:p w14:paraId="60C3C320">
      <w:pPr>
        <w:pStyle w:val="2"/>
        <w:rPr>
          <w:rFonts w:hint="eastAsia" w:ascii="宋体" w:hAnsi="Times New Roman" w:eastAsia="宋体" w:cs="Times New Roman"/>
          <w:lang w:val="zh-CN"/>
        </w:rPr>
      </w:pPr>
      <w:bookmarkStart w:id="45" w:name="_Toc8723"/>
      <w:r>
        <w:rPr>
          <w:rFonts w:hint="eastAsia" w:ascii="宋体" w:hAnsi="Times New Roman" w:eastAsia="宋体" w:cs="Times New Roman"/>
          <w:lang w:val="en-US" w:eastAsia="zh-CN"/>
        </w:rPr>
        <w:t>7.响应供应商</w:t>
      </w:r>
      <w:r>
        <w:rPr>
          <w:rFonts w:hint="eastAsia" w:ascii="宋体" w:hAnsi="Times New Roman" w:eastAsia="宋体" w:cs="Times New Roman"/>
          <w:lang w:val="zh-CN"/>
        </w:rPr>
        <w:t>20</w:t>
      </w:r>
      <w:r>
        <w:rPr>
          <w:rFonts w:hint="eastAsia" w:ascii="宋体" w:hAnsi="Times New Roman" w:eastAsia="宋体" w:cs="Times New Roman"/>
          <w:lang w:val="en-US" w:eastAsia="zh-CN"/>
        </w:rPr>
        <w:t>23</w:t>
      </w:r>
      <w:r>
        <w:rPr>
          <w:rFonts w:hint="eastAsia" w:ascii="宋体" w:hAnsi="Times New Roman" w:eastAsia="宋体" w:cs="Times New Roman"/>
          <w:lang w:val="zh-CN"/>
        </w:rPr>
        <w:t>年1月1日以来（签订合同的时间为20</w:t>
      </w:r>
      <w:r>
        <w:rPr>
          <w:rFonts w:hint="eastAsia" w:ascii="宋体" w:hAnsi="Times New Roman" w:eastAsia="宋体" w:cs="Times New Roman"/>
          <w:lang w:val="en-US" w:eastAsia="zh-CN"/>
        </w:rPr>
        <w:t>23</w:t>
      </w:r>
      <w:r>
        <w:rPr>
          <w:rFonts w:hint="eastAsia" w:ascii="宋体" w:hAnsi="Times New Roman" w:eastAsia="宋体" w:cs="Times New Roman"/>
          <w:lang w:val="zh-CN"/>
        </w:rPr>
        <w:t>年1月1日或以后）承接的运输服务项目业绩表</w:t>
      </w:r>
      <w:bookmarkEnd w:id="45"/>
    </w:p>
    <w:tbl>
      <w:tblPr>
        <w:tblStyle w:val="25"/>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39A8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08A8AC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14:paraId="4EA574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14:paraId="4BFE64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14:paraId="2BB9A2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14:paraId="4B8894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14:paraId="4AF449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14:paraId="576A32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14:paraId="6F5461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14:paraId="1B94BC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14:paraId="442D34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14:paraId="103F00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FF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0CD43F32">
            <w:pPr>
              <w:jc w:val="center"/>
              <w:rPr>
                <w:rFonts w:hint="eastAsia" w:ascii="宋体" w:hAnsi="宋体" w:eastAsia="宋体" w:cs="宋体"/>
                <w:color w:val="auto"/>
                <w:sz w:val="21"/>
                <w:szCs w:val="21"/>
                <w:highlight w:val="none"/>
              </w:rPr>
            </w:pPr>
          </w:p>
        </w:tc>
        <w:tc>
          <w:tcPr>
            <w:tcW w:w="954" w:type="dxa"/>
            <w:vAlign w:val="center"/>
          </w:tcPr>
          <w:p w14:paraId="2151F2EE">
            <w:pPr>
              <w:jc w:val="center"/>
              <w:rPr>
                <w:rFonts w:hint="eastAsia" w:ascii="宋体" w:hAnsi="宋体" w:eastAsia="宋体" w:cs="宋体"/>
                <w:color w:val="auto"/>
                <w:sz w:val="21"/>
                <w:szCs w:val="21"/>
                <w:highlight w:val="none"/>
              </w:rPr>
            </w:pPr>
          </w:p>
        </w:tc>
        <w:tc>
          <w:tcPr>
            <w:tcW w:w="954" w:type="dxa"/>
            <w:vAlign w:val="center"/>
          </w:tcPr>
          <w:p w14:paraId="5907CD81">
            <w:pPr>
              <w:jc w:val="center"/>
              <w:rPr>
                <w:rFonts w:hint="eastAsia" w:ascii="宋体" w:hAnsi="宋体" w:eastAsia="宋体" w:cs="宋体"/>
                <w:color w:val="auto"/>
                <w:sz w:val="21"/>
                <w:szCs w:val="21"/>
                <w:highlight w:val="none"/>
              </w:rPr>
            </w:pPr>
          </w:p>
        </w:tc>
        <w:tc>
          <w:tcPr>
            <w:tcW w:w="956" w:type="dxa"/>
            <w:vAlign w:val="center"/>
          </w:tcPr>
          <w:p w14:paraId="470CE68F">
            <w:pPr>
              <w:jc w:val="center"/>
              <w:rPr>
                <w:rFonts w:hint="eastAsia" w:ascii="宋体" w:hAnsi="宋体" w:eastAsia="宋体" w:cs="宋体"/>
                <w:color w:val="auto"/>
                <w:sz w:val="21"/>
                <w:szCs w:val="21"/>
                <w:highlight w:val="none"/>
              </w:rPr>
            </w:pPr>
          </w:p>
        </w:tc>
        <w:tc>
          <w:tcPr>
            <w:tcW w:w="956" w:type="dxa"/>
            <w:vAlign w:val="center"/>
          </w:tcPr>
          <w:p w14:paraId="1C3DA4F7">
            <w:pPr>
              <w:jc w:val="center"/>
              <w:rPr>
                <w:rFonts w:hint="eastAsia" w:ascii="宋体" w:hAnsi="宋体" w:eastAsia="宋体" w:cs="宋体"/>
                <w:color w:val="auto"/>
                <w:sz w:val="21"/>
                <w:szCs w:val="21"/>
                <w:highlight w:val="none"/>
              </w:rPr>
            </w:pPr>
          </w:p>
        </w:tc>
        <w:tc>
          <w:tcPr>
            <w:tcW w:w="956" w:type="dxa"/>
            <w:vAlign w:val="center"/>
          </w:tcPr>
          <w:p w14:paraId="4159BBEB">
            <w:pPr>
              <w:jc w:val="center"/>
              <w:rPr>
                <w:rFonts w:hint="eastAsia" w:ascii="宋体" w:hAnsi="宋体" w:eastAsia="宋体" w:cs="宋体"/>
                <w:color w:val="auto"/>
                <w:sz w:val="21"/>
                <w:szCs w:val="21"/>
                <w:highlight w:val="none"/>
              </w:rPr>
            </w:pPr>
          </w:p>
        </w:tc>
        <w:tc>
          <w:tcPr>
            <w:tcW w:w="1114" w:type="dxa"/>
            <w:vAlign w:val="center"/>
          </w:tcPr>
          <w:p w14:paraId="106D3ECB">
            <w:pPr>
              <w:jc w:val="center"/>
              <w:rPr>
                <w:rFonts w:hint="eastAsia" w:ascii="宋体" w:hAnsi="宋体" w:eastAsia="宋体" w:cs="宋体"/>
                <w:color w:val="auto"/>
                <w:sz w:val="21"/>
                <w:szCs w:val="21"/>
                <w:highlight w:val="none"/>
              </w:rPr>
            </w:pPr>
          </w:p>
        </w:tc>
        <w:tc>
          <w:tcPr>
            <w:tcW w:w="956" w:type="dxa"/>
            <w:vAlign w:val="top"/>
          </w:tcPr>
          <w:p w14:paraId="0B33F5BE">
            <w:pPr>
              <w:jc w:val="center"/>
              <w:rPr>
                <w:rFonts w:hint="eastAsia" w:ascii="宋体" w:hAnsi="宋体" w:eastAsia="宋体" w:cs="宋体"/>
                <w:color w:val="auto"/>
                <w:sz w:val="21"/>
                <w:szCs w:val="21"/>
                <w:highlight w:val="none"/>
              </w:rPr>
            </w:pPr>
          </w:p>
        </w:tc>
        <w:tc>
          <w:tcPr>
            <w:tcW w:w="956" w:type="dxa"/>
            <w:vAlign w:val="center"/>
          </w:tcPr>
          <w:p w14:paraId="53C607EB">
            <w:pPr>
              <w:jc w:val="center"/>
              <w:rPr>
                <w:rFonts w:hint="eastAsia" w:ascii="宋体" w:hAnsi="宋体" w:eastAsia="宋体" w:cs="宋体"/>
                <w:color w:val="auto"/>
                <w:sz w:val="21"/>
                <w:szCs w:val="21"/>
                <w:highlight w:val="none"/>
              </w:rPr>
            </w:pPr>
          </w:p>
        </w:tc>
        <w:tc>
          <w:tcPr>
            <w:tcW w:w="956" w:type="dxa"/>
            <w:vAlign w:val="center"/>
          </w:tcPr>
          <w:p w14:paraId="65B0B629">
            <w:pPr>
              <w:jc w:val="center"/>
              <w:rPr>
                <w:rFonts w:hint="eastAsia" w:ascii="宋体" w:hAnsi="宋体" w:eastAsia="宋体" w:cs="宋体"/>
                <w:color w:val="auto"/>
                <w:sz w:val="21"/>
                <w:szCs w:val="21"/>
                <w:highlight w:val="none"/>
              </w:rPr>
            </w:pPr>
          </w:p>
        </w:tc>
        <w:tc>
          <w:tcPr>
            <w:tcW w:w="788" w:type="dxa"/>
            <w:vAlign w:val="center"/>
          </w:tcPr>
          <w:p w14:paraId="0D3B8D13">
            <w:pPr>
              <w:jc w:val="center"/>
              <w:rPr>
                <w:rFonts w:hint="eastAsia" w:ascii="宋体" w:hAnsi="宋体" w:eastAsia="宋体" w:cs="宋体"/>
                <w:color w:val="auto"/>
                <w:sz w:val="21"/>
                <w:szCs w:val="21"/>
                <w:highlight w:val="none"/>
              </w:rPr>
            </w:pPr>
          </w:p>
        </w:tc>
      </w:tr>
      <w:tr w14:paraId="1815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70709039">
            <w:pPr>
              <w:jc w:val="center"/>
              <w:rPr>
                <w:rFonts w:hint="eastAsia" w:ascii="宋体" w:hAnsi="宋体" w:eastAsia="宋体" w:cs="宋体"/>
                <w:color w:val="auto"/>
                <w:sz w:val="21"/>
                <w:szCs w:val="21"/>
                <w:highlight w:val="none"/>
              </w:rPr>
            </w:pPr>
          </w:p>
        </w:tc>
        <w:tc>
          <w:tcPr>
            <w:tcW w:w="954" w:type="dxa"/>
            <w:vAlign w:val="center"/>
          </w:tcPr>
          <w:p w14:paraId="7A8F2FD7">
            <w:pPr>
              <w:jc w:val="center"/>
              <w:rPr>
                <w:rFonts w:hint="eastAsia" w:ascii="宋体" w:hAnsi="宋体" w:eastAsia="宋体" w:cs="宋体"/>
                <w:color w:val="auto"/>
                <w:sz w:val="21"/>
                <w:szCs w:val="21"/>
                <w:highlight w:val="none"/>
              </w:rPr>
            </w:pPr>
          </w:p>
        </w:tc>
        <w:tc>
          <w:tcPr>
            <w:tcW w:w="954" w:type="dxa"/>
            <w:vAlign w:val="center"/>
          </w:tcPr>
          <w:p w14:paraId="6A3B8F4A">
            <w:pPr>
              <w:jc w:val="center"/>
              <w:rPr>
                <w:rFonts w:hint="eastAsia" w:ascii="宋体" w:hAnsi="宋体" w:eastAsia="宋体" w:cs="宋体"/>
                <w:color w:val="auto"/>
                <w:sz w:val="21"/>
                <w:szCs w:val="21"/>
                <w:highlight w:val="none"/>
              </w:rPr>
            </w:pPr>
          </w:p>
        </w:tc>
        <w:tc>
          <w:tcPr>
            <w:tcW w:w="956" w:type="dxa"/>
            <w:vAlign w:val="center"/>
          </w:tcPr>
          <w:p w14:paraId="42A8B996">
            <w:pPr>
              <w:jc w:val="center"/>
              <w:rPr>
                <w:rFonts w:hint="eastAsia" w:ascii="宋体" w:hAnsi="宋体" w:eastAsia="宋体" w:cs="宋体"/>
                <w:color w:val="auto"/>
                <w:sz w:val="21"/>
                <w:szCs w:val="21"/>
                <w:highlight w:val="none"/>
              </w:rPr>
            </w:pPr>
          </w:p>
        </w:tc>
        <w:tc>
          <w:tcPr>
            <w:tcW w:w="956" w:type="dxa"/>
            <w:vAlign w:val="center"/>
          </w:tcPr>
          <w:p w14:paraId="5A1695E9">
            <w:pPr>
              <w:jc w:val="center"/>
              <w:rPr>
                <w:rFonts w:hint="eastAsia" w:ascii="宋体" w:hAnsi="宋体" w:eastAsia="宋体" w:cs="宋体"/>
                <w:color w:val="auto"/>
                <w:sz w:val="21"/>
                <w:szCs w:val="21"/>
                <w:highlight w:val="none"/>
              </w:rPr>
            </w:pPr>
          </w:p>
        </w:tc>
        <w:tc>
          <w:tcPr>
            <w:tcW w:w="956" w:type="dxa"/>
            <w:vAlign w:val="center"/>
          </w:tcPr>
          <w:p w14:paraId="06B84E0C">
            <w:pPr>
              <w:jc w:val="center"/>
              <w:rPr>
                <w:rFonts w:hint="eastAsia" w:ascii="宋体" w:hAnsi="宋体" w:eastAsia="宋体" w:cs="宋体"/>
                <w:color w:val="auto"/>
                <w:sz w:val="21"/>
                <w:szCs w:val="21"/>
                <w:highlight w:val="none"/>
              </w:rPr>
            </w:pPr>
          </w:p>
        </w:tc>
        <w:tc>
          <w:tcPr>
            <w:tcW w:w="1114" w:type="dxa"/>
            <w:vAlign w:val="center"/>
          </w:tcPr>
          <w:p w14:paraId="24A40AA5">
            <w:pPr>
              <w:jc w:val="center"/>
              <w:rPr>
                <w:rFonts w:hint="eastAsia" w:ascii="宋体" w:hAnsi="宋体" w:eastAsia="宋体" w:cs="宋体"/>
                <w:color w:val="auto"/>
                <w:sz w:val="21"/>
                <w:szCs w:val="21"/>
                <w:highlight w:val="none"/>
              </w:rPr>
            </w:pPr>
          </w:p>
        </w:tc>
        <w:tc>
          <w:tcPr>
            <w:tcW w:w="956" w:type="dxa"/>
            <w:vAlign w:val="top"/>
          </w:tcPr>
          <w:p w14:paraId="11FB6971">
            <w:pPr>
              <w:jc w:val="center"/>
              <w:rPr>
                <w:rFonts w:hint="eastAsia" w:ascii="宋体" w:hAnsi="宋体" w:eastAsia="宋体" w:cs="宋体"/>
                <w:color w:val="auto"/>
                <w:sz w:val="21"/>
                <w:szCs w:val="21"/>
                <w:highlight w:val="none"/>
              </w:rPr>
            </w:pPr>
          </w:p>
        </w:tc>
        <w:tc>
          <w:tcPr>
            <w:tcW w:w="956" w:type="dxa"/>
            <w:vAlign w:val="center"/>
          </w:tcPr>
          <w:p w14:paraId="37BBCABD">
            <w:pPr>
              <w:jc w:val="center"/>
              <w:rPr>
                <w:rFonts w:hint="eastAsia" w:ascii="宋体" w:hAnsi="宋体" w:eastAsia="宋体" w:cs="宋体"/>
                <w:color w:val="auto"/>
                <w:sz w:val="21"/>
                <w:szCs w:val="21"/>
                <w:highlight w:val="none"/>
              </w:rPr>
            </w:pPr>
          </w:p>
        </w:tc>
        <w:tc>
          <w:tcPr>
            <w:tcW w:w="956" w:type="dxa"/>
            <w:vAlign w:val="center"/>
          </w:tcPr>
          <w:p w14:paraId="7C434EDE">
            <w:pPr>
              <w:jc w:val="center"/>
              <w:rPr>
                <w:rFonts w:hint="eastAsia" w:ascii="宋体" w:hAnsi="宋体" w:eastAsia="宋体" w:cs="宋体"/>
                <w:color w:val="auto"/>
                <w:sz w:val="21"/>
                <w:szCs w:val="21"/>
                <w:highlight w:val="none"/>
              </w:rPr>
            </w:pPr>
          </w:p>
        </w:tc>
        <w:tc>
          <w:tcPr>
            <w:tcW w:w="788" w:type="dxa"/>
            <w:vAlign w:val="center"/>
          </w:tcPr>
          <w:p w14:paraId="0C8DF110">
            <w:pPr>
              <w:jc w:val="center"/>
              <w:rPr>
                <w:rFonts w:hint="eastAsia" w:ascii="宋体" w:hAnsi="宋体" w:eastAsia="宋体" w:cs="宋体"/>
                <w:color w:val="auto"/>
                <w:sz w:val="21"/>
                <w:szCs w:val="21"/>
                <w:highlight w:val="none"/>
              </w:rPr>
            </w:pPr>
          </w:p>
        </w:tc>
      </w:tr>
      <w:tr w14:paraId="14B6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2D9F646E">
            <w:pPr>
              <w:jc w:val="center"/>
              <w:rPr>
                <w:rFonts w:hint="eastAsia" w:ascii="宋体" w:hAnsi="宋体" w:eastAsia="宋体" w:cs="宋体"/>
                <w:color w:val="auto"/>
                <w:sz w:val="21"/>
                <w:szCs w:val="21"/>
                <w:highlight w:val="none"/>
              </w:rPr>
            </w:pPr>
          </w:p>
        </w:tc>
        <w:tc>
          <w:tcPr>
            <w:tcW w:w="954" w:type="dxa"/>
            <w:vAlign w:val="center"/>
          </w:tcPr>
          <w:p w14:paraId="5AAB1F20">
            <w:pPr>
              <w:jc w:val="center"/>
              <w:rPr>
                <w:rFonts w:hint="eastAsia" w:ascii="宋体" w:hAnsi="宋体" w:eastAsia="宋体" w:cs="宋体"/>
                <w:color w:val="auto"/>
                <w:sz w:val="21"/>
                <w:szCs w:val="21"/>
                <w:highlight w:val="none"/>
              </w:rPr>
            </w:pPr>
          </w:p>
        </w:tc>
        <w:tc>
          <w:tcPr>
            <w:tcW w:w="954" w:type="dxa"/>
            <w:vAlign w:val="center"/>
          </w:tcPr>
          <w:p w14:paraId="7683A93B">
            <w:pPr>
              <w:jc w:val="center"/>
              <w:rPr>
                <w:rFonts w:hint="eastAsia" w:ascii="宋体" w:hAnsi="宋体" w:eastAsia="宋体" w:cs="宋体"/>
                <w:color w:val="auto"/>
                <w:sz w:val="21"/>
                <w:szCs w:val="21"/>
                <w:highlight w:val="none"/>
              </w:rPr>
            </w:pPr>
          </w:p>
        </w:tc>
        <w:tc>
          <w:tcPr>
            <w:tcW w:w="956" w:type="dxa"/>
            <w:vAlign w:val="center"/>
          </w:tcPr>
          <w:p w14:paraId="7849DD15">
            <w:pPr>
              <w:jc w:val="center"/>
              <w:rPr>
                <w:rFonts w:hint="eastAsia" w:ascii="宋体" w:hAnsi="宋体" w:eastAsia="宋体" w:cs="宋体"/>
                <w:color w:val="auto"/>
                <w:sz w:val="21"/>
                <w:szCs w:val="21"/>
                <w:highlight w:val="none"/>
              </w:rPr>
            </w:pPr>
          </w:p>
        </w:tc>
        <w:tc>
          <w:tcPr>
            <w:tcW w:w="956" w:type="dxa"/>
            <w:vAlign w:val="center"/>
          </w:tcPr>
          <w:p w14:paraId="1CFA94D6">
            <w:pPr>
              <w:jc w:val="center"/>
              <w:rPr>
                <w:rFonts w:hint="eastAsia" w:ascii="宋体" w:hAnsi="宋体" w:eastAsia="宋体" w:cs="宋体"/>
                <w:color w:val="auto"/>
                <w:sz w:val="21"/>
                <w:szCs w:val="21"/>
                <w:highlight w:val="none"/>
              </w:rPr>
            </w:pPr>
          </w:p>
        </w:tc>
        <w:tc>
          <w:tcPr>
            <w:tcW w:w="956" w:type="dxa"/>
            <w:vAlign w:val="center"/>
          </w:tcPr>
          <w:p w14:paraId="19904926">
            <w:pPr>
              <w:jc w:val="center"/>
              <w:rPr>
                <w:rFonts w:hint="eastAsia" w:ascii="宋体" w:hAnsi="宋体" w:eastAsia="宋体" w:cs="宋体"/>
                <w:color w:val="auto"/>
                <w:sz w:val="21"/>
                <w:szCs w:val="21"/>
                <w:highlight w:val="none"/>
              </w:rPr>
            </w:pPr>
          </w:p>
        </w:tc>
        <w:tc>
          <w:tcPr>
            <w:tcW w:w="1114" w:type="dxa"/>
            <w:vAlign w:val="center"/>
          </w:tcPr>
          <w:p w14:paraId="24430885">
            <w:pPr>
              <w:jc w:val="center"/>
              <w:rPr>
                <w:rFonts w:hint="eastAsia" w:ascii="宋体" w:hAnsi="宋体" w:eastAsia="宋体" w:cs="宋体"/>
                <w:color w:val="auto"/>
                <w:sz w:val="21"/>
                <w:szCs w:val="21"/>
                <w:highlight w:val="none"/>
              </w:rPr>
            </w:pPr>
          </w:p>
        </w:tc>
        <w:tc>
          <w:tcPr>
            <w:tcW w:w="956" w:type="dxa"/>
            <w:vAlign w:val="top"/>
          </w:tcPr>
          <w:p w14:paraId="30B66465">
            <w:pPr>
              <w:jc w:val="center"/>
              <w:rPr>
                <w:rFonts w:hint="eastAsia" w:ascii="宋体" w:hAnsi="宋体" w:eastAsia="宋体" w:cs="宋体"/>
                <w:color w:val="auto"/>
                <w:sz w:val="21"/>
                <w:szCs w:val="21"/>
                <w:highlight w:val="none"/>
              </w:rPr>
            </w:pPr>
          </w:p>
        </w:tc>
        <w:tc>
          <w:tcPr>
            <w:tcW w:w="956" w:type="dxa"/>
            <w:vAlign w:val="center"/>
          </w:tcPr>
          <w:p w14:paraId="70E1B858">
            <w:pPr>
              <w:jc w:val="center"/>
              <w:rPr>
                <w:rFonts w:hint="eastAsia" w:ascii="宋体" w:hAnsi="宋体" w:eastAsia="宋体" w:cs="宋体"/>
                <w:color w:val="auto"/>
                <w:sz w:val="21"/>
                <w:szCs w:val="21"/>
                <w:highlight w:val="none"/>
              </w:rPr>
            </w:pPr>
          </w:p>
        </w:tc>
        <w:tc>
          <w:tcPr>
            <w:tcW w:w="956" w:type="dxa"/>
            <w:vAlign w:val="center"/>
          </w:tcPr>
          <w:p w14:paraId="11368BF0">
            <w:pPr>
              <w:jc w:val="center"/>
              <w:rPr>
                <w:rFonts w:hint="eastAsia" w:ascii="宋体" w:hAnsi="宋体" w:eastAsia="宋体" w:cs="宋体"/>
                <w:color w:val="auto"/>
                <w:sz w:val="21"/>
                <w:szCs w:val="21"/>
                <w:highlight w:val="none"/>
              </w:rPr>
            </w:pPr>
          </w:p>
        </w:tc>
        <w:tc>
          <w:tcPr>
            <w:tcW w:w="788" w:type="dxa"/>
            <w:vAlign w:val="center"/>
          </w:tcPr>
          <w:p w14:paraId="1742316B">
            <w:pPr>
              <w:jc w:val="center"/>
              <w:rPr>
                <w:rFonts w:hint="eastAsia" w:ascii="宋体" w:hAnsi="宋体" w:eastAsia="宋体" w:cs="宋体"/>
                <w:color w:val="auto"/>
                <w:sz w:val="21"/>
                <w:szCs w:val="21"/>
                <w:highlight w:val="none"/>
              </w:rPr>
            </w:pPr>
          </w:p>
        </w:tc>
      </w:tr>
      <w:tr w14:paraId="5977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560157D0">
            <w:pPr>
              <w:jc w:val="center"/>
              <w:rPr>
                <w:rFonts w:hint="eastAsia" w:ascii="宋体" w:hAnsi="宋体" w:eastAsia="宋体" w:cs="宋体"/>
                <w:color w:val="auto"/>
                <w:sz w:val="21"/>
                <w:szCs w:val="21"/>
                <w:highlight w:val="none"/>
              </w:rPr>
            </w:pPr>
          </w:p>
        </w:tc>
        <w:tc>
          <w:tcPr>
            <w:tcW w:w="954" w:type="dxa"/>
            <w:vAlign w:val="center"/>
          </w:tcPr>
          <w:p w14:paraId="1F9C8512">
            <w:pPr>
              <w:jc w:val="center"/>
              <w:rPr>
                <w:rFonts w:hint="eastAsia" w:ascii="宋体" w:hAnsi="宋体" w:eastAsia="宋体" w:cs="宋体"/>
                <w:color w:val="auto"/>
                <w:sz w:val="21"/>
                <w:szCs w:val="21"/>
                <w:highlight w:val="none"/>
              </w:rPr>
            </w:pPr>
          </w:p>
        </w:tc>
        <w:tc>
          <w:tcPr>
            <w:tcW w:w="954" w:type="dxa"/>
            <w:vAlign w:val="center"/>
          </w:tcPr>
          <w:p w14:paraId="50B2074B">
            <w:pPr>
              <w:jc w:val="center"/>
              <w:rPr>
                <w:rFonts w:hint="eastAsia" w:ascii="宋体" w:hAnsi="宋体" w:eastAsia="宋体" w:cs="宋体"/>
                <w:color w:val="auto"/>
                <w:sz w:val="21"/>
                <w:szCs w:val="21"/>
                <w:highlight w:val="none"/>
              </w:rPr>
            </w:pPr>
          </w:p>
        </w:tc>
        <w:tc>
          <w:tcPr>
            <w:tcW w:w="956" w:type="dxa"/>
            <w:vAlign w:val="center"/>
          </w:tcPr>
          <w:p w14:paraId="10CE4790">
            <w:pPr>
              <w:jc w:val="center"/>
              <w:rPr>
                <w:rFonts w:hint="eastAsia" w:ascii="宋体" w:hAnsi="宋体" w:eastAsia="宋体" w:cs="宋体"/>
                <w:color w:val="auto"/>
                <w:sz w:val="21"/>
                <w:szCs w:val="21"/>
                <w:highlight w:val="none"/>
              </w:rPr>
            </w:pPr>
          </w:p>
        </w:tc>
        <w:tc>
          <w:tcPr>
            <w:tcW w:w="956" w:type="dxa"/>
            <w:vAlign w:val="center"/>
          </w:tcPr>
          <w:p w14:paraId="738AD678">
            <w:pPr>
              <w:jc w:val="center"/>
              <w:rPr>
                <w:rFonts w:hint="eastAsia" w:ascii="宋体" w:hAnsi="宋体" w:eastAsia="宋体" w:cs="宋体"/>
                <w:color w:val="auto"/>
                <w:sz w:val="21"/>
                <w:szCs w:val="21"/>
                <w:highlight w:val="none"/>
              </w:rPr>
            </w:pPr>
          </w:p>
        </w:tc>
        <w:tc>
          <w:tcPr>
            <w:tcW w:w="956" w:type="dxa"/>
            <w:vAlign w:val="center"/>
          </w:tcPr>
          <w:p w14:paraId="2C7B1E7B">
            <w:pPr>
              <w:jc w:val="center"/>
              <w:rPr>
                <w:rFonts w:hint="eastAsia" w:ascii="宋体" w:hAnsi="宋体" w:eastAsia="宋体" w:cs="宋体"/>
                <w:color w:val="auto"/>
                <w:sz w:val="21"/>
                <w:szCs w:val="21"/>
                <w:highlight w:val="none"/>
              </w:rPr>
            </w:pPr>
          </w:p>
        </w:tc>
        <w:tc>
          <w:tcPr>
            <w:tcW w:w="1114" w:type="dxa"/>
            <w:vAlign w:val="center"/>
          </w:tcPr>
          <w:p w14:paraId="5FDB6E1C">
            <w:pPr>
              <w:jc w:val="center"/>
              <w:rPr>
                <w:rFonts w:hint="eastAsia" w:ascii="宋体" w:hAnsi="宋体" w:eastAsia="宋体" w:cs="宋体"/>
                <w:color w:val="auto"/>
                <w:sz w:val="21"/>
                <w:szCs w:val="21"/>
                <w:highlight w:val="none"/>
              </w:rPr>
            </w:pPr>
          </w:p>
        </w:tc>
        <w:tc>
          <w:tcPr>
            <w:tcW w:w="956" w:type="dxa"/>
            <w:vAlign w:val="top"/>
          </w:tcPr>
          <w:p w14:paraId="15CE0F41">
            <w:pPr>
              <w:jc w:val="center"/>
              <w:rPr>
                <w:rFonts w:hint="eastAsia" w:ascii="宋体" w:hAnsi="宋体" w:eastAsia="宋体" w:cs="宋体"/>
                <w:color w:val="auto"/>
                <w:sz w:val="21"/>
                <w:szCs w:val="21"/>
                <w:highlight w:val="none"/>
              </w:rPr>
            </w:pPr>
          </w:p>
        </w:tc>
        <w:tc>
          <w:tcPr>
            <w:tcW w:w="956" w:type="dxa"/>
            <w:vAlign w:val="center"/>
          </w:tcPr>
          <w:p w14:paraId="2BD5F2F2">
            <w:pPr>
              <w:jc w:val="center"/>
              <w:rPr>
                <w:rFonts w:hint="eastAsia" w:ascii="宋体" w:hAnsi="宋体" w:eastAsia="宋体" w:cs="宋体"/>
                <w:color w:val="auto"/>
                <w:sz w:val="21"/>
                <w:szCs w:val="21"/>
                <w:highlight w:val="none"/>
              </w:rPr>
            </w:pPr>
          </w:p>
        </w:tc>
        <w:tc>
          <w:tcPr>
            <w:tcW w:w="956" w:type="dxa"/>
            <w:vAlign w:val="center"/>
          </w:tcPr>
          <w:p w14:paraId="52F962B6">
            <w:pPr>
              <w:jc w:val="center"/>
              <w:rPr>
                <w:rFonts w:hint="eastAsia" w:ascii="宋体" w:hAnsi="宋体" w:eastAsia="宋体" w:cs="宋体"/>
                <w:color w:val="auto"/>
                <w:sz w:val="21"/>
                <w:szCs w:val="21"/>
                <w:highlight w:val="none"/>
              </w:rPr>
            </w:pPr>
          </w:p>
        </w:tc>
        <w:tc>
          <w:tcPr>
            <w:tcW w:w="788" w:type="dxa"/>
            <w:vAlign w:val="center"/>
          </w:tcPr>
          <w:p w14:paraId="6CC1E73D">
            <w:pPr>
              <w:jc w:val="center"/>
              <w:rPr>
                <w:rFonts w:hint="eastAsia" w:ascii="宋体" w:hAnsi="宋体" w:eastAsia="宋体" w:cs="宋体"/>
                <w:color w:val="auto"/>
                <w:sz w:val="21"/>
                <w:szCs w:val="21"/>
                <w:highlight w:val="none"/>
              </w:rPr>
            </w:pPr>
          </w:p>
        </w:tc>
      </w:tr>
    </w:tbl>
    <w:p w14:paraId="0C655335">
      <w:pPr>
        <w:autoSpaceDE w:val="0"/>
        <w:autoSpaceDN w:val="0"/>
        <w:adjustRightInd w:val="0"/>
        <w:snapToGrid w:val="0"/>
        <w:spacing w:line="360" w:lineRule="auto"/>
        <w:ind w:left="213" w:leftChars="-158" w:hanging="592" w:hangingChars="247"/>
        <w:jc w:val="left"/>
        <w:rPr>
          <w:rFonts w:ascii="宋体" w:hAnsi="宋体" w:eastAsia="宋体" w:cs="Times New Roman"/>
          <w:color w:val="auto"/>
          <w:szCs w:val="24"/>
          <w:highlight w:val="none"/>
          <w:lang w:val="zh-CN"/>
        </w:rPr>
      </w:pPr>
    </w:p>
    <w:p w14:paraId="010F9FFB">
      <w:pPr>
        <w:autoSpaceDE w:val="0"/>
        <w:autoSpaceDN w:val="0"/>
        <w:adjustRightInd w:val="0"/>
        <w:snapToGrid w:val="0"/>
        <w:spacing w:line="360" w:lineRule="auto"/>
        <w:ind w:left="550" w:leftChars="-41" w:hanging="648" w:hangingChars="270"/>
        <w:jc w:val="left"/>
        <w:rPr>
          <w:rFonts w:hint="default"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val="en-US" w:eastAsia="zh-CN"/>
        </w:rPr>
        <w:t>备注：</w:t>
      </w:r>
    </w:p>
    <w:p w14:paraId="66210A2B">
      <w:pPr>
        <w:autoSpaceDE w:val="0"/>
        <w:autoSpaceDN w:val="0"/>
        <w:adjustRightInd w:val="0"/>
        <w:snapToGrid w:val="0"/>
        <w:spacing w:line="360" w:lineRule="auto"/>
        <w:ind w:left="550" w:leftChars="-41" w:hanging="648"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p>
    <w:p w14:paraId="59DD6E5B">
      <w:pPr>
        <w:autoSpaceDE w:val="0"/>
        <w:autoSpaceDN w:val="0"/>
        <w:adjustRightInd w:val="0"/>
        <w:snapToGrid w:val="0"/>
        <w:spacing w:line="360" w:lineRule="auto"/>
        <w:ind w:left="550" w:leftChars="-41" w:hanging="648"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）业绩必须附合同复印件；</w:t>
      </w:r>
    </w:p>
    <w:p w14:paraId="67591A0E">
      <w:pPr>
        <w:autoSpaceDE w:val="0"/>
        <w:autoSpaceDN w:val="0"/>
        <w:adjustRightInd w:val="0"/>
        <w:snapToGrid w:val="0"/>
        <w:spacing w:line="360" w:lineRule="auto"/>
        <w:ind w:left="550" w:leftChars="-41" w:hanging="648"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）若业绩为框架式协议或资格入围无明确金额的合同，必须同时提供合同期限内已完成运输服务的发票金额统计表和服务发票复印件；</w:t>
      </w:r>
    </w:p>
    <w:p w14:paraId="06E42075">
      <w:pPr>
        <w:autoSpaceDE w:val="0"/>
        <w:autoSpaceDN w:val="0"/>
        <w:adjustRightInd w:val="0"/>
        <w:snapToGrid w:val="0"/>
        <w:spacing w:line="360" w:lineRule="auto"/>
        <w:ind w:left="550" w:leftChars="-41" w:hanging="648"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）若合同无法反映评分条件的，还需提供发包人出具的书面补充说明文件复印件作为辅助证明。</w:t>
      </w:r>
    </w:p>
    <w:p w14:paraId="0C7F9A3F">
      <w:pPr>
        <w:autoSpaceDE w:val="0"/>
        <w:autoSpaceDN w:val="0"/>
        <w:adjustRightInd w:val="0"/>
        <w:snapToGrid w:val="0"/>
        <w:spacing w:line="360" w:lineRule="auto"/>
        <w:ind w:left="550" w:leftChars="-41" w:hanging="648"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2E77DF34">
      <w:pPr>
        <w:autoSpaceDE w:val="0"/>
        <w:autoSpaceDN w:val="0"/>
        <w:adjustRightInd w:val="0"/>
        <w:spacing w:line="360" w:lineRule="auto"/>
        <w:ind w:firstLine="5760" w:firstLineChars="2400"/>
        <w:jc w:val="left"/>
        <w:rPr>
          <w:rFonts w:ascii="宋体" w:hAnsi="宋体" w:eastAsia="宋体" w:cs="Times New Roman"/>
          <w:color w:val="auto"/>
          <w:szCs w:val="24"/>
          <w:highlight w:val="none"/>
          <w:lang w:val="zh-CN"/>
        </w:rPr>
      </w:pPr>
    </w:p>
    <w:p w14:paraId="4385A41E">
      <w:pPr>
        <w:autoSpaceDE w:val="0"/>
        <w:autoSpaceDN w:val="0"/>
        <w:adjustRightInd w:val="0"/>
        <w:spacing w:line="360" w:lineRule="auto"/>
        <w:ind w:left="0" w:leftChars="0" w:firstLine="5040" w:firstLineChars="21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：（加盖</w:t>
      </w:r>
      <w:r>
        <w:rPr>
          <w:rFonts w:hint="eastAsia" w:ascii="宋体" w:hAnsi="宋体" w:eastAsia="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57D851F4">
      <w:pPr>
        <w:autoSpaceDE w:val="0"/>
        <w:autoSpaceDN w:val="0"/>
        <w:adjustRightInd w:val="0"/>
        <w:spacing w:line="360" w:lineRule="auto"/>
        <w:ind w:firstLine="576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04CC9FE">
      <w:pPr>
        <w:pageBreakBefore/>
        <w:snapToGrid w:val="0"/>
        <w:spacing w:line="360" w:lineRule="auto"/>
        <w:ind w:left="654"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附表：已完成运输服务发票金额统计表</w:t>
      </w:r>
    </w:p>
    <w:tbl>
      <w:tblPr>
        <w:tblStyle w:val="25"/>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226"/>
        <w:gridCol w:w="1144"/>
        <w:gridCol w:w="1284"/>
        <w:gridCol w:w="1570"/>
        <w:gridCol w:w="1252"/>
      </w:tblGrid>
      <w:tr w14:paraId="4B8B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109" w:type="dxa"/>
            <w:gridSpan w:val="2"/>
            <w:tcBorders>
              <w:top w:val="single" w:color="auto" w:sz="4" w:space="0"/>
              <w:left w:val="single" w:color="auto" w:sz="4" w:space="0"/>
              <w:bottom w:val="single" w:color="auto" w:sz="4" w:space="0"/>
              <w:right w:val="single" w:color="auto" w:sz="4" w:space="0"/>
            </w:tcBorders>
            <w:vAlign w:val="center"/>
          </w:tcPr>
          <w:p w14:paraId="3A3DE919">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50" w:type="dxa"/>
            <w:gridSpan w:val="4"/>
            <w:tcBorders>
              <w:top w:val="single" w:color="auto" w:sz="4" w:space="0"/>
              <w:left w:val="single" w:color="auto" w:sz="4" w:space="0"/>
              <w:bottom w:val="single" w:color="auto" w:sz="4" w:space="0"/>
              <w:right w:val="single" w:color="auto" w:sz="4" w:space="0"/>
            </w:tcBorders>
            <w:vAlign w:val="center"/>
          </w:tcPr>
          <w:p w14:paraId="53E63835">
            <w:pPr>
              <w:pStyle w:val="10"/>
              <w:snapToGrid w:val="0"/>
              <w:spacing w:line="360" w:lineRule="auto"/>
              <w:ind w:left="0" w:leftChars="0" w:firstLine="315"/>
              <w:jc w:val="center"/>
              <w:rPr>
                <w:rFonts w:hint="eastAsia" w:ascii="宋体" w:hAnsi="宋体" w:eastAsia="宋体" w:cs="宋体"/>
                <w:color w:val="auto"/>
                <w:sz w:val="21"/>
                <w:szCs w:val="21"/>
                <w:highlight w:val="none"/>
              </w:rPr>
            </w:pPr>
          </w:p>
        </w:tc>
      </w:tr>
      <w:tr w14:paraId="3FC9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109" w:type="dxa"/>
            <w:gridSpan w:val="2"/>
            <w:tcBorders>
              <w:top w:val="single" w:color="auto" w:sz="4" w:space="0"/>
              <w:left w:val="single" w:color="auto" w:sz="4" w:space="0"/>
              <w:bottom w:val="single" w:color="auto" w:sz="4" w:space="0"/>
              <w:right w:val="single" w:color="auto" w:sz="4" w:space="0"/>
            </w:tcBorders>
            <w:vAlign w:val="center"/>
          </w:tcPr>
          <w:p w14:paraId="30360CEA">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50" w:type="dxa"/>
            <w:gridSpan w:val="4"/>
            <w:tcBorders>
              <w:top w:val="single" w:color="auto" w:sz="4" w:space="0"/>
              <w:left w:val="single" w:color="auto" w:sz="4" w:space="0"/>
              <w:bottom w:val="single" w:color="auto" w:sz="4" w:space="0"/>
              <w:right w:val="single" w:color="auto" w:sz="4" w:space="0"/>
            </w:tcBorders>
            <w:vAlign w:val="center"/>
          </w:tcPr>
          <w:p w14:paraId="15493B44">
            <w:pPr>
              <w:pStyle w:val="10"/>
              <w:snapToGrid w:val="0"/>
              <w:spacing w:line="360" w:lineRule="auto"/>
              <w:ind w:left="0" w:leftChars="0" w:firstLine="315"/>
              <w:jc w:val="center"/>
              <w:rPr>
                <w:rFonts w:hint="eastAsia" w:ascii="宋体" w:hAnsi="宋体" w:eastAsia="宋体" w:cs="宋体"/>
                <w:color w:val="auto"/>
                <w:sz w:val="21"/>
                <w:szCs w:val="21"/>
                <w:highlight w:val="none"/>
              </w:rPr>
            </w:pPr>
          </w:p>
        </w:tc>
      </w:tr>
      <w:tr w14:paraId="644C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109" w:type="dxa"/>
            <w:gridSpan w:val="2"/>
            <w:tcBorders>
              <w:top w:val="single" w:color="auto" w:sz="4" w:space="0"/>
              <w:left w:val="single" w:color="auto" w:sz="4" w:space="0"/>
              <w:bottom w:val="single" w:color="auto" w:sz="4" w:space="0"/>
              <w:right w:val="single" w:color="auto" w:sz="4" w:space="0"/>
            </w:tcBorders>
            <w:vAlign w:val="center"/>
          </w:tcPr>
          <w:p w14:paraId="4F894ABF">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合同买方）</w:t>
            </w:r>
          </w:p>
        </w:tc>
        <w:tc>
          <w:tcPr>
            <w:tcW w:w="5250" w:type="dxa"/>
            <w:gridSpan w:val="4"/>
            <w:tcBorders>
              <w:top w:val="single" w:color="auto" w:sz="4" w:space="0"/>
              <w:left w:val="single" w:color="auto" w:sz="4" w:space="0"/>
              <w:bottom w:val="single" w:color="auto" w:sz="4" w:space="0"/>
              <w:right w:val="single" w:color="auto" w:sz="4" w:space="0"/>
            </w:tcBorders>
            <w:vAlign w:val="center"/>
          </w:tcPr>
          <w:p w14:paraId="15AED378">
            <w:pPr>
              <w:pStyle w:val="10"/>
              <w:snapToGrid w:val="0"/>
              <w:spacing w:line="360" w:lineRule="auto"/>
              <w:ind w:left="0" w:leftChars="0" w:firstLine="315"/>
              <w:jc w:val="center"/>
              <w:rPr>
                <w:rFonts w:hint="eastAsia" w:ascii="宋体" w:hAnsi="宋体" w:eastAsia="宋体" w:cs="宋体"/>
                <w:color w:val="auto"/>
                <w:sz w:val="21"/>
                <w:szCs w:val="21"/>
                <w:highlight w:val="none"/>
              </w:rPr>
            </w:pPr>
          </w:p>
        </w:tc>
      </w:tr>
      <w:tr w14:paraId="61BF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61A30EE3">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26" w:type="dxa"/>
            <w:tcBorders>
              <w:top w:val="single" w:color="auto" w:sz="4" w:space="0"/>
              <w:left w:val="single" w:color="auto" w:sz="4" w:space="0"/>
              <w:bottom w:val="single" w:color="auto" w:sz="4" w:space="0"/>
              <w:right w:val="single" w:color="auto" w:sz="4" w:space="0"/>
            </w:tcBorders>
            <w:vAlign w:val="center"/>
          </w:tcPr>
          <w:p w14:paraId="22917DC9">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44" w:type="dxa"/>
            <w:tcBorders>
              <w:top w:val="single" w:color="auto" w:sz="4" w:space="0"/>
              <w:left w:val="single" w:color="auto" w:sz="4" w:space="0"/>
              <w:bottom w:val="single" w:color="auto" w:sz="4" w:space="0"/>
              <w:right w:val="single" w:color="auto" w:sz="4" w:space="0"/>
            </w:tcBorders>
            <w:vAlign w:val="center"/>
          </w:tcPr>
          <w:p w14:paraId="6B0663ED">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84" w:type="dxa"/>
            <w:tcBorders>
              <w:top w:val="single" w:color="auto" w:sz="4" w:space="0"/>
              <w:left w:val="single" w:color="auto" w:sz="4" w:space="0"/>
              <w:bottom w:val="single" w:color="auto" w:sz="4" w:space="0"/>
              <w:right w:val="single" w:color="auto" w:sz="4" w:space="0"/>
            </w:tcBorders>
            <w:vAlign w:val="center"/>
          </w:tcPr>
          <w:p w14:paraId="75B955B6">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70" w:type="dxa"/>
            <w:tcBorders>
              <w:top w:val="single" w:color="auto" w:sz="4" w:space="0"/>
              <w:left w:val="single" w:color="auto" w:sz="4" w:space="0"/>
              <w:bottom w:val="single" w:color="auto" w:sz="4" w:space="0"/>
              <w:right w:val="single" w:color="auto" w:sz="4" w:space="0"/>
            </w:tcBorders>
            <w:vAlign w:val="center"/>
          </w:tcPr>
          <w:p w14:paraId="0C8F6D3D">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52" w:type="dxa"/>
            <w:tcBorders>
              <w:top w:val="single" w:color="auto" w:sz="4" w:space="0"/>
              <w:left w:val="single" w:color="auto" w:sz="4" w:space="0"/>
              <w:bottom w:val="single" w:color="auto" w:sz="4" w:space="0"/>
              <w:right w:val="single" w:color="auto" w:sz="4" w:space="0"/>
            </w:tcBorders>
            <w:vAlign w:val="center"/>
          </w:tcPr>
          <w:p w14:paraId="67241501">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21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239ED8BB">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26" w:type="dxa"/>
            <w:tcBorders>
              <w:top w:val="single" w:color="auto" w:sz="4" w:space="0"/>
              <w:left w:val="single" w:color="auto" w:sz="4" w:space="0"/>
              <w:bottom w:val="single" w:color="auto" w:sz="4" w:space="0"/>
              <w:right w:val="single" w:color="auto" w:sz="4" w:space="0"/>
            </w:tcBorders>
            <w:vAlign w:val="center"/>
          </w:tcPr>
          <w:p w14:paraId="7225243C">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2610C55">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041464D">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AA7738F">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7D9671A4">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r w14:paraId="2FA3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536569DC">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26" w:type="dxa"/>
            <w:tcBorders>
              <w:top w:val="single" w:color="auto" w:sz="4" w:space="0"/>
              <w:left w:val="single" w:color="auto" w:sz="4" w:space="0"/>
              <w:bottom w:val="single" w:color="auto" w:sz="4" w:space="0"/>
              <w:right w:val="single" w:color="auto" w:sz="4" w:space="0"/>
            </w:tcBorders>
            <w:vAlign w:val="center"/>
          </w:tcPr>
          <w:p w14:paraId="392AADAE">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11A5DBA1">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11BD7BA">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05EFDD78">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67CA2C02">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r w14:paraId="632B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16E67747">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26" w:type="dxa"/>
            <w:tcBorders>
              <w:top w:val="single" w:color="auto" w:sz="4" w:space="0"/>
              <w:left w:val="single" w:color="auto" w:sz="4" w:space="0"/>
              <w:bottom w:val="single" w:color="auto" w:sz="4" w:space="0"/>
              <w:right w:val="single" w:color="auto" w:sz="4" w:space="0"/>
            </w:tcBorders>
            <w:vAlign w:val="center"/>
          </w:tcPr>
          <w:p w14:paraId="7C4AB45E">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10D9199">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41726E9">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6265E1A2">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35359CBC">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r w14:paraId="5087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6F8533C8">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26" w:type="dxa"/>
            <w:tcBorders>
              <w:top w:val="single" w:color="auto" w:sz="4" w:space="0"/>
              <w:left w:val="single" w:color="auto" w:sz="4" w:space="0"/>
              <w:bottom w:val="single" w:color="auto" w:sz="4" w:space="0"/>
              <w:right w:val="single" w:color="auto" w:sz="4" w:space="0"/>
            </w:tcBorders>
            <w:vAlign w:val="center"/>
          </w:tcPr>
          <w:p w14:paraId="4A3A9A3A">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08E174B2">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692A58A">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1D290951">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4759A073">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r w14:paraId="1EDA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109" w:type="dxa"/>
            <w:gridSpan w:val="2"/>
            <w:tcBorders>
              <w:top w:val="single" w:color="auto" w:sz="4" w:space="0"/>
              <w:left w:val="single" w:color="auto" w:sz="4" w:space="0"/>
              <w:bottom w:val="single" w:color="auto" w:sz="4" w:space="0"/>
              <w:right w:val="single" w:color="auto" w:sz="4" w:space="0"/>
            </w:tcBorders>
            <w:vAlign w:val="center"/>
          </w:tcPr>
          <w:p w14:paraId="06BAC1AC">
            <w:pPr>
              <w:pStyle w:val="1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44" w:type="dxa"/>
            <w:tcBorders>
              <w:top w:val="single" w:color="auto" w:sz="4" w:space="0"/>
              <w:left w:val="single" w:color="auto" w:sz="4" w:space="0"/>
              <w:bottom w:val="single" w:color="auto" w:sz="4" w:space="0"/>
              <w:right w:val="single" w:color="auto" w:sz="4" w:space="0"/>
            </w:tcBorders>
            <w:vAlign w:val="center"/>
          </w:tcPr>
          <w:p w14:paraId="6726505D">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101E776">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04D34E5">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45A87DE0">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bl>
    <w:p w14:paraId="1E7146B5">
      <w:pPr>
        <w:snapToGrid w:val="0"/>
        <w:spacing w:line="360" w:lineRule="auto"/>
        <w:ind w:left="474" w:leftChars="-57" w:hanging="611" w:hangingChars="291"/>
        <w:rPr>
          <w:rFonts w:hint="eastAsia" w:ascii="宋体" w:hAnsi="宋体" w:eastAsia="宋体" w:cs="宋体"/>
          <w:color w:val="auto"/>
          <w:kern w:val="2"/>
          <w:sz w:val="21"/>
          <w:highlight w:val="none"/>
        </w:rPr>
      </w:pPr>
    </w:p>
    <w:p w14:paraId="69C46DC6">
      <w:pPr>
        <w:snapToGrid w:val="0"/>
        <w:spacing w:line="360" w:lineRule="auto"/>
        <w:ind w:left="474"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23826BA7">
      <w:pPr>
        <w:snapToGrid w:val="0"/>
        <w:spacing w:line="360" w:lineRule="auto"/>
        <w:ind w:left="709" w:leftChars="59" w:hanging="567" w:hangingChars="27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w:t>
      </w:r>
      <w:r>
        <w:rPr>
          <w:rFonts w:hint="eastAsia" w:ascii="宋体" w:hAnsi="宋体" w:eastAsia="宋体" w:cs="宋体"/>
          <w:color w:val="auto"/>
          <w:kern w:val="2"/>
          <w:sz w:val="21"/>
          <w:highlight w:val="none"/>
          <w:lang w:val="en-US" w:eastAsia="zh-CN"/>
        </w:rPr>
        <w:t>供应商</w:t>
      </w:r>
      <w:r>
        <w:rPr>
          <w:rFonts w:hint="eastAsia" w:ascii="宋体" w:hAnsi="宋体" w:eastAsia="宋体" w:cs="宋体"/>
          <w:color w:val="auto"/>
          <w:kern w:val="2"/>
          <w:sz w:val="21"/>
          <w:highlight w:val="none"/>
        </w:rPr>
        <w:t>提供框架式协议或资格入围无明确金额的合同时，须同时提供本统计表及服务发票复印件，本统计表及服务发票复印件应后附于合同复印件。</w:t>
      </w:r>
    </w:p>
    <w:p w14:paraId="780AFAF0">
      <w:pPr>
        <w:snapToGrid w:val="0"/>
        <w:spacing w:line="360" w:lineRule="auto"/>
        <w:ind w:left="709" w:leftChars="59" w:hanging="567" w:hangingChars="27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（2）发票抬头应为合同买方，收款人应为</w:t>
      </w:r>
      <w:r>
        <w:rPr>
          <w:rFonts w:hint="eastAsia" w:ascii="宋体" w:hAnsi="宋体" w:eastAsia="宋体" w:cs="宋体"/>
          <w:color w:val="auto"/>
          <w:kern w:val="2"/>
          <w:sz w:val="21"/>
          <w:highlight w:val="none"/>
          <w:lang w:val="en-US" w:eastAsia="zh-CN"/>
        </w:rPr>
        <w:t>响应供应商</w:t>
      </w:r>
      <w:r>
        <w:rPr>
          <w:rFonts w:hint="eastAsia" w:ascii="宋体" w:hAnsi="宋体" w:eastAsia="宋体" w:cs="宋体"/>
          <w:color w:val="auto"/>
          <w:kern w:val="2"/>
          <w:sz w:val="21"/>
          <w:highlight w:val="none"/>
        </w:rPr>
        <w:t>，且发票名目、所属时期应与合同约定内容一致，否则不计分。</w:t>
      </w:r>
    </w:p>
    <w:p w14:paraId="62081F05">
      <w:pPr>
        <w:snapToGrid w:val="0"/>
        <w:spacing w:line="360" w:lineRule="auto"/>
        <w:ind w:left="709" w:leftChars="59" w:hanging="567" w:hangingChars="270"/>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21"/>
          <w:highlight w:val="none"/>
        </w:rPr>
        <w:t>（3）发票合计金额视为</w:t>
      </w:r>
      <w:r>
        <w:rPr>
          <w:rFonts w:hint="eastAsia" w:ascii="宋体" w:hAnsi="宋体" w:eastAsia="宋体" w:cs="宋体"/>
          <w:color w:val="auto"/>
          <w:kern w:val="2"/>
          <w:sz w:val="21"/>
          <w:highlight w:val="none"/>
          <w:lang w:val="en-US" w:eastAsia="zh-CN"/>
        </w:rPr>
        <w:t>供应商</w:t>
      </w:r>
      <w:r>
        <w:rPr>
          <w:rFonts w:hint="eastAsia" w:ascii="宋体" w:hAnsi="宋体" w:eastAsia="宋体" w:cs="宋体"/>
          <w:color w:val="auto"/>
          <w:kern w:val="2"/>
          <w:sz w:val="21"/>
          <w:highlight w:val="none"/>
        </w:rPr>
        <w:t>所提供该项运输服务业绩的合同金额，并按此金额进行评审。</w:t>
      </w:r>
    </w:p>
    <w:p w14:paraId="49D89D0C">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32B12F74">
      <w:pPr>
        <w:autoSpaceDE w:val="0"/>
        <w:autoSpaceDN w:val="0"/>
        <w:adjustRightInd w:val="0"/>
        <w:spacing w:line="360" w:lineRule="auto"/>
        <w:ind w:left="0" w:leftChars="0" w:firstLine="0" w:firstLineChars="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br w:type="page"/>
      </w:r>
    </w:p>
    <w:p w14:paraId="15C99488">
      <w:pPr>
        <w:autoSpaceDE w:val="0"/>
        <w:autoSpaceDN w:val="0"/>
        <w:adjustRightInd w:val="0"/>
        <w:spacing w:line="360" w:lineRule="auto"/>
        <w:ind w:left="0" w:leftChars="0" w:firstLine="0" w:firstLineChars="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供应商</w:t>
      </w:r>
      <w:r>
        <w:rPr>
          <w:rFonts w:hint="eastAsia" w:ascii="宋体" w:hAnsi="宋体" w:eastAsia="宋体" w:cs="Times New Roman"/>
          <w:b/>
          <w:bCs/>
          <w:color w:val="auto"/>
          <w:sz w:val="30"/>
          <w:szCs w:val="30"/>
          <w:highlight w:val="none"/>
          <w:lang w:val="zh-CN"/>
        </w:rPr>
        <w:t>20</w:t>
      </w:r>
      <w:r>
        <w:rPr>
          <w:rFonts w:hint="eastAsia" w:ascii="宋体" w:hAnsi="宋体" w:eastAsia="宋体" w:cs="Times New Roman"/>
          <w:b/>
          <w:bCs/>
          <w:color w:val="auto"/>
          <w:sz w:val="30"/>
          <w:szCs w:val="30"/>
          <w:highlight w:val="none"/>
          <w:lang w:val="en-US" w:eastAsia="zh-CN"/>
        </w:rPr>
        <w:t>23</w:t>
      </w:r>
      <w:r>
        <w:rPr>
          <w:rFonts w:hint="eastAsia" w:ascii="宋体" w:hAnsi="宋体" w:eastAsia="宋体" w:cs="Times New Roman"/>
          <w:b/>
          <w:bCs/>
          <w:color w:val="auto"/>
          <w:sz w:val="30"/>
          <w:szCs w:val="30"/>
          <w:highlight w:val="none"/>
          <w:lang w:val="zh-CN"/>
        </w:rPr>
        <w:t>年1月1日以来（签订合同的时间为20</w:t>
      </w:r>
      <w:r>
        <w:rPr>
          <w:rFonts w:hint="eastAsia" w:ascii="宋体" w:hAnsi="宋体" w:eastAsia="宋体" w:cs="Times New Roman"/>
          <w:b/>
          <w:bCs/>
          <w:color w:val="auto"/>
          <w:sz w:val="30"/>
          <w:szCs w:val="30"/>
          <w:highlight w:val="none"/>
          <w:lang w:val="en-US" w:eastAsia="zh-CN"/>
        </w:rPr>
        <w:t>23</w:t>
      </w:r>
      <w:r>
        <w:rPr>
          <w:rFonts w:hint="eastAsia" w:ascii="宋体" w:hAnsi="宋体" w:eastAsia="宋体" w:cs="Times New Roman"/>
          <w:b/>
          <w:bCs/>
          <w:color w:val="auto"/>
          <w:sz w:val="30"/>
          <w:szCs w:val="30"/>
          <w:highlight w:val="none"/>
          <w:lang w:val="zh-CN"/>
        </w:rPr>
        <w:t>年1月1日或以后）承接的运输服务（</w:t>
      </w:r>
      <w:r>
        <w:rPr>
          <w:rFonts w:hint="eastAsia" w:ascii="宋体" w:hAnsi="宋体" w:eastAsia="宋体" w:cs="Times New Roman"/>
          <w:b/>
          <w:bCs/>
          <w:color w:val="auto"/>
          <w:sz w:val="30"/>
          <w:szCs w:val="30"/>
          <w:highlight w:val="none"/>
          <w:u w:val="single"/>
          <w:lang w:val="zh-CN"/>
        </w:rPr>
        <w:t>运输货物为污泥</w:t>
      </w:r>
      <w:r>
        <w:rPr>
          <w:rFonts w:hint="eastAsia" w:ascii="宋体" w:hAnsi="宋体" w:eastAsia="宋体" w:cs="Times New Roman"/>
          <w:b/>
          <w:bCs/>
          <w:color w:val="auto"/>
          <w:sz w:val="30"/>
          <w:szCs w:val="30"/>
          <w:highlight w:val="none"/>
          <w:lang w:val="zh-CN"/>
        </w:rPr>
        <w:t>）项目业绩表</w:t>
      </w:r>
    </w:p>
    <w:tbl>
      <w:tblPr>
        <w:tblStyle w:val="25"/>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570F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198174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14:paraId="0A660E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14:paraId="73BF89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14:paraId="7EF9EF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14:paraId="3C109F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14:paraId="2C37FF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14:paraId="17CAD8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14:paraId="25AB45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14:paraId="0D0479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14:paraId="672252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14:paraId="350231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F2B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72AFC055">
            <w:pPr>
              <w:jc w:val="center"/>
              <w:rPr>
                <w:rFonts w:hint="eastAsia" w:ascii="宋体" w:hAnsi="宋体" w:eastAsia="宋体" w:cs="宋体"/>
                <w:color w:val="auto"/>
                <w:sz w:val="21"/>
                <w:szCs w:val="21"/>
                <w:highlight w:val="none"/>
              </w:rPr>
            </w:pPr>
          </w:p>
        </w:tc>
        <w:tc>
          <w:tcPr>
            <w:tcW w:w="954" w:type="dxa"/>
            <w:vAlign w:val="center"/>
          </w:tcPr>
          <w:p w14:paraId="0A9ED3A2">
            <w:pPr>
              <w:jc w:val="center"/>
              <w:rPr>
                <w:rFonts w:hint="eastAsia" w:ascii="宋体" w:hAnsi="宋体" w:eastAsia="宋体" w:cs="宋体"/>
                <w:color w:val="auto"/>
                <w:sz w:val="21"/>
                <w:szCs w:val="21"/>
                <w:highlight w:val="none"/>
              </w:rPr>
            </w:pPr>
          </w:p>
        </w:tc>
        <w:tc>
          <w:tcPr>
            <w:tcW w:w="954" w:type="dxa"/>
            <w:vAlign w:val="center"/>
          </w:tcPr>
          <w:p w14:paraId="59A6113A">
            <w:pPr>
              <w:jc w:val="center"/>
              <w:rPr>
                <w:rFonts w:hint="eastAsia" w:ascii="宋体" w:hAnsi="宋体" w:eastAsia="宋体" w:cs="宋体"/>
                <w:color w:val="auto"/>
                <w:sz w:val="21"/>
                <w:szCs w:val="21"/>
                <w:highlight w:val="none"/>
              </w:rPr>
            </w:pPr>
          </w:p>
        </w:tc>
        <w:tc>
          <w:tcPr>
            <w:tcW w:w="956" w:type="dxa"/>
            <w:vAlign w:val="center"/>
          </w:tcPr>
          <w:p w14:paraId="13CF08DE">
            <w:pPr>
              <w:jc w:val="center"/>
              <w:rPr>
                <w:rFonts w:hint="eastAsia" w:ascii="宋体" w:hAnsi="宋体" w:eastAsia="宋体" w:cs="宋体"/>
                <w:color w:val="auto"/>
                <w:sz w:val="21"/>
                <w:szCs w:val="21"/>
                <w:highlight w:val="none"/>
              </w:rPr>
            </w:pPr>
          </w:p>
        </w:tc>
        <w:tc>
          <w:tcPr>
            <w:tcW w:w="956" w:type="dxa"/>
            <w:vAlign w:val="center"/>
          </w:tcPr>
          <w:p w14:paraId="545180BE">
            <w:pPr>
              <w:jc w:val="center"/>
              <w:rPr>
                <w:rFonts w:hint="eastAsia" w:ascii="宋体" w:hAnsi="宋体" w:eastAsia="宋体" w:cs="宋体"/>
                <w:color w:val="auto"/>
                <w:sz w:val="21"/>
                <w:szCs w:val="21"/>
                <w:highlight w:val="none"/>
              </w:rPr>
            </w:pPr>
          </w:p>
        </w:tc>
        <w:tc>
          <w:tcPr>
            <w:tcW w:w="956" w:type="dxa"/>
            <w:vAlign w:val="center"/>
          </w:tcPr>
          <w:p w14:paraId="5D1315EA">
            <w:pPr>
              <w:jc w:val="center"/>
              <w:rPr>
                <w:rFonts w:hint="eastAsia" w:ascii="宋体" w:hAnsi="宋体" w:eastAsia="宋体" w:cs="宋体"/>
                <w:color w:val="auto"/>
                <w:sz w:val="21"/>
                <w:szCs w:val="21"/>
                <w:highlight w:val="none"/>
              </w:rPr>
            </w:pPr>
          </w:p>
        </w:tc>
        <w:tc>
          <w:tcPr>
            <w:tcW w:w="1114" w:type="dxa"/>
            <w:vAlign w:val="center"/>
          </w:tcPr>
          <w:p w14:paraId="371FADC1">
            <w:pPr>
              <w:jc w:val="center"/>
              <w:rPr>
                <w:rFonts w:hint="eastAsia" w:ascii="宋体" w:hAnsi="宋体" w:eastAsia="宋体" w:cs="宋体"/>
                <w:color w:val="auto"/>
                <w:sz w:val="21"/>
                <w:szCs w:val="21"/>
                <w:highlight w:val="none"/>
              </w:rPr>
            </w:pPr>
          </w:p>
        </w:tc>
        <w:tc>
          <w:tcPr>
            <w:tcW w:w="956" w:type="dxa"/>
            <w:vAlign w:val="top"/>
          </w:tcPr>
          <w:p w14:paraId="2326A623">
            <w:pPr>
              <w:jc w:val="center"/>
              <w:rPr>
                <w:rFonts w:hint="eastAsia" w:ascii="宋体" w:hAnsi="宋体" w:eastAsia="宋体" w:cs="宋体"/>
                <w:color w:val="auto"/>
                <w:sz w:val="21"/>
                <w:szCs w:val="21"/>
                <w:highlight w:val="none"/>
              </w:rPr>
            </w:pPr>
          </w:p>
        </w:tc>
        <w:tc>
          <w:tcPr>
            <w:tcW w:w="956" w:type="dxa"/>
            <w:vAlign w:val="center"/>
          </w:tcPr>
          <w:p w14:paraId="5CC3A129">
            <w:pPr>
              <w:jc w:val="center"/>
              <w:rPr>
                <w:rFonts w:hint="eastAsia" w:ascii="宋体" w:hAnsi="宋体" w:eastAsia="宋体" w:cs="宋体"/>
                <w:color w:val="auto"/>
                <w:sz w:val="21"/>
                <w:szCs w:val="21"/>
                <w:highlight w:val="none"/>
              </w:rPr>
            </w:pPr>
          </w:p>
        </w:tc>
        <w:tc>
          <w:tcPr>
            <w:tcW w:w="956" w:type="dxa"/>
            <w:vAlign w:val="center"/>
          </w:tcPr>
          <w:p w14:paraId="4447DF51">
            <w:pPr>
              <w:jc w:val="center"/>
              <w:rPr>
                <w:rFonts w:hint="eastAsia" w:ascii="宋体" w:hAnsi="宋体" w:eastAsia="宋体" w:cs="宋体"/>
                <w:color w:val="auto"/>
                <w:sz w:val="21"/>
                <w:szCs w:val="21"/>
                <w:highlight w:val="none"/>
              </w:rPr>
            </w:pPr>
          </w:p>
        </w:tc>
        <w:tc>
          <w:tcPr>
            <w:tcW w:w="788" w:type="dxa"/>
            <w:vAlign w:val="center"/>
          </w:tcPr>
          <w:p w14:paraId="65C69F44">
            <w:pPr>
              <w:jc w:val="center"/>
              <w:rPr>
                <w:rFonts w:hint="eastAsia" w:ascii="宋体" w:hAnsi="宋体" w:eastAsia="宋体" w:cs="宋体"/>
                <w:color w:val="auto"/>
                <w:sz w:val="21"/>
                <w:szCs w:val="21"/>
                <w:highlight w:val="none"/>
              </w:rPr>
            </w:pPr>
          </w:p>
        </w:tc>
      </w:tr>
      <w:tr w14:paraId="5AEA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124EA1F5">
            <w:pPr>
              <w:jc w:val="center"/>
              <w:rPr>
                <w:rFonts w:hint="eastAsia" w:ascii="宋体" w:hAnsi="宋体" w:eastAsia="宋体" w:cs="宋体"/>
                <w:color w:val="auto"/>
                <w:sz w:val="21"/>
                <w:szCs w:val="21"/>
                <w:highlight w:val="none"/>
              </w:rPr>
            </w:pPr>
          </w:p>
        </w:tc>
        <w:tc>
          <w:tcPr>
            <w:tcW w:w="954" w:type="dxa"/>
            <w:vAlign w:val="center"/>
          </w:tcPr>
          <w:p w14:paraId="3B285F85">
            <w:pPr>
              <w:jc w:val="center"/>
              <w:rPr>
                <w:rFonts w:hint="eastAsia" w:ascii="宋体" w:hAnsi="宋体" w:eastAsia="宋体" w:cs="宋体"/>
                <w:color w:val="auto"/>
                <w:sz w:val="21"/>
                <w:szCs w:val="21"/>
                <w:highlight w:val="none"/>
              </w:rPr>
            </w:pPr>
          </w:p>
        </w:tc>
        <w:tc>
          <w:tcPr>
            <w:tcW w:w="954" w:type="dxa"/>
            <w:vAlign w:val="center"/>
          </w:tcPr>
          <w:p w14:paraId="6975EE1C">
            <w:pPr>
              <w:jc w:val="center"/>
              <w:rPr>
                <w:rFonts w:hint="eastAsia" w:ascii="宋体" w:hAnsi="宋体" w:eastAsia="宋体" w:cs="宋体"/>
                <w:color w:val="auto"/>
                <w:sz w:val="21"/>
                <w:szCs w:val="21"/>
                <w:highlight w:val="none"/>
              </w:rPr>
            </w:pPr>
          </w:p>
        </w:tc>
        <w:tc>
          <w:tcPr>
            <w:tcW w:w="956" w:type="dxa"/>
            <w:vAlign w:val="center"/>
          </w:tcPr>
          <w:p w14:paraId="31194AD4">
            <w:pPr>
              <w:jc w:val="center"/>
              <w:rPr>
                <w:rFonts w:hint="eastAsia" w:ascii="宋体" w:hAnsi="宋体" w:eastAsia="宋体" w:cs="宋体"/>
                <w:color w:val="auto"/>
                <w:sz w:val="21"/>
                <w:szCs w:val="21"/>
                <w:highlight w:val="none"/>
              </w:rPr>
            </w:pPr>
          </w:p>
        </w:tc>
        <w:tc>
          <w:tcPr>
            <w:tcW w:w="956" w:type="dxa"/>
            <w:vAlign w:val="center"/>
          </w:tcPr>
          <w:p w14:paraId="021E8267">
            <w:pPr>
              <w:jc w:val="center"/>
              <w:rPr>
                <w:rFonts w:hint="eastAsia" w:ascii="宋体" w:hAnsi="宋体" w:eastAsia="宋体" w:cs="宋体"/>
                <w:color w:val="auto"/>
                <w:sz w:val="21"/>
                <w:szCs w:val="21"/>
                <w:highlight w:val="none"/>
              </w:rPr>
            </w:pPr>
          </w:p>
        </w:tc>
        <w:tc>
          <w:tcPr>
            <w:tcW w:w="956" w:type="dxa"/>
            <w:vAlign w:val="center"/>
          </w:tcPr>
          <w:p w14:paraId="45B8E1D3">
            <w:pPr>
              <w:jc w:val="center"/>
              <w:rPr>
                <w:rFonts w:hint="eastAsia" w:ascii="宋体" w:hAnsi="宋体" w:eastAsia="宋体" w:cs="宋体"/>
                <w:color w:val="auto"/>
                <w:sz w:val="21"/>
                <w:szCs w:val="21"/>
                <w:highlight w:val="none"/>
              </w:rPr>
            </w:pPr>
          </w:p>
        </w:tc>
        <w:tc>
          <w:tcPr>
            <w:tcW w:w="1114" w:type="dxa"/>
            <w:vAlign w:val="center"/>
          </w:tcPr>
          <w:p w14:paraId="79D588F5">
            <w:pPr>
              <w:jc w:val="center"/>
              <w:rPr>
                <w:rFonts w:hint="eastAsia" w:ascii="宋体" w:hAnsi="宋体" w:eastAsia="宋体" w:cs="宋体"/>
                <w:color w:val="auto"/>
                <w:sz w:val="21"/>
                <w:szCs w:val="21"/>
                <w:highlight w:val="none"/>
              </w:rPr>
            </w:pPr>
          </w:p>
        </w:tc>
        <w:tc>
          <w:tcPr>
            <w:tcW w:w="956" w:type="dxa"/>
            <w:vAlign w:val="top"/>
          </w:tcPr>
          <w:p w14:paraId="0D6FFD34">
            <w:pPr>
              <w:jc w:val="center"/>
              <w:rPr>
                <w:rFonts w:hint="eastAsia" w:ascii="宋体" w:hAnsi="宋体" w:eastAsia="宋体" w:cs="宋体"/>
                <w:color w:val="auto"/>
                <w:sz w:val="21"/>
                <w:szCs w:val="21"/>
                <w:highlight w:val="none"/>
              </w:rPr>
            </w:pPr>
          </w:p>
        </w:tc>
        <w:tc>
          <w:tcPr>
            <w:tcW w:w="956" w:type="dxa"/>
            <w:vAlign w:val="center"/>
          </w:tcPr>
          <w:p w14:paraId="6105638F">
            <w:pPr>
              <w:jc w:val="center"/>
              <w:rPr>
                <w:rFonts w:hint="eastAsia" w:ascii="宋体" w:hAnsi="宋体" w:eastAsia="宋体" w:cs="宋体"/>
                <w:color w:val="auto"/>
                <w:sz w:val="21"/>
                <w:szCs w:val="21"/>
                <w:highlight w:val="none"/>
              </w:rPr>
            </w:pPr>
          </w:p>
        </w:tc>
        <w:tc>
          <w:tcPr>
            <w:tcW w:w="956" w:type="dxa"/>
            <w:vAlign w:val="center"/>
          </w:tcPr>
          <w:p w14:paraId="1EB7F109">
            <w:pPr>
              <w:jc w:val="center"/>
              <w:rPr>
                <w:rFonts w:hint="eastAsia" w:ascii="宋体" w:hAnsi="宋体" w:eastAsia="宋体" w:cs="宋体"/>
                <w:color w:val="auto"/>
                <w:sz w:val="21"/>
                <w:szCs w:val="21"/>
                <w:highlight w:val="none"/>
              </w:rPr>
            </w:pPr>
          </w:p>
        </w:tc>
        <w:tc>
          <w:tcPr>
            <w:tcW w:w="788" w:type="dxa"/>
            <w:vAlign w:val="center"/>
          </w:tcPr>
          <w:p w14:paraId="2E8D9AF9">
            <w:pPr>
              <w:jc w:val="center"/>
              <w:rPr>
                <w:rFonts w:hint="eastAsia" w:ascii="宋体" w:hAnsi="宋体" w:eastAsia="宋体" w:cs="宋体"/>
                <w:color w:val="auto"/>
                <w:sz w:val="21"/>
                <w:szCs w:val="21"/>
                <w:highlight w:val="none"/>
              </w:rPr>
            </w:pPr>
          </w:p>
        </w:tc>
      </w:tr>
      <w:tr w14:paraId="0599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1580A050">
            <w:pPr>
              <w:jc w:val="center"/>
              <w:rPr>
                <w:rFonts w:hint="eastAsia" w:ascii="宋体" w:hAnsi="宋体" w:eastAsia="宋体" w:cs="宋体"/>
                <w:color w:val="auto"/>
                <w:sz w:val="21"/>
                <w:szCs w:val="21"/>
                <w:highlight w:val="none"/>
              </w:rPr>
            </w:pPr>
          </w:p>
        </w:tc>
        <w:tc>
          <w:tcPr>
            <w:tcW w:w="954" w:type="dxa"/>
            <w:vAlign w:val="center"/>
          </w:tcPr>
          <w:p w14:paraId="3BC9D02E">
            <w:pPr>
              <w:jc w:val="center"/>
              <w:rPr>
                <w:rFonts w:hint="eastAsia" w:ascii="宋体" w:hAnsi="宋体" w:eastAsia="宋体" w:cs="宋体"/>
                <w:color w:val="auto"/>
                <w:sz w:val="21"/>
                <w:szCs w:val="21"/>
                <w:highlight w:val="none"/>
              </w:rPr>
            </w:pPr>
          </w:p>
        </w:tc>
        <w:tc>
          <w:tcPr>
            <w:tcW w:w="954" w:type="dxa"/>
            <w:vAlign w:val="center"/>
          </w:tcPr>
          <w:p w14:paraId="0B6E578E">
            <w:pPr>
              <w:jc w:val="center"/>
              <w:rPr>
                <w:rFonts w:hint="eastAsia" w:ascii="宋体" w:hAnsi="宋体" w:eastAsia="宋体" w:cs="宋体"/>
                <w:color w:val="auto"/>
                <w:sz w:val="21"/>
                <w:szCs w:val="21"/>
                <w:highlight w:val="none"/>
              </w:rPr>
            </w:pPr>
          </w:p>
        </w:tc>
        <w:tc>
          <w:tcPr>
            <w:tcW w:w="956" w:type="dxa"/>
            <w:vAlign w:val="center"/>
          </w:tcPr>
          <w:p w14:paraId="36E5BA8C">
            <w:pPr>
              <w:jc w:val="center"/>
              <w:rPr>
                <w:rFonts w:hint="eastAsia" w:ascii="宋体" w:hAnsi="宋体" w:eastAsia="宋体" w:cs="宋体"/>
                <w:color w:val="auto"/>
                <w:sz w:val="21"/>
                <w:szCs w:val="21"/>
                <w:highlight w:val="none"/>
              </w:rPr>
            </w:pPr>
          </w:p>
        </w:tc>
        <w:tc>
          <w:tcPr>
            <w:tcW w:w="956" w:type="dxa"/>
            <w:vAlign w:val="center"/>
          </w:tcPr>
          <w:p w14:paraId="00669B29">
            <w:pPr>
              <w:jc w:val="center"/>
              <w:rPr>
                <w:rFonts w:hint="eastAsia" w:ascii="宋体" w:hAnsi="宋体" w:eastAsia="宋体" w:cs="宋体"/>
                <w:color w:val="auto"/>
                <w:sz w:val="21"/>
                <w:szCs w:val="21"/>
                <w:highlight w:val="none"/>
              </w:rPr>
            </w:pPr>
          </w:p>
        </w:tc>
        <w:tc>
          <w:tcPr>
            <w:tcW w:w="956" w:type="dxa"/>
            <w:vAlign w:val="center"/>
          </w:tcPr>
          <w:p w14:paraId="32A1BBC6">
            <w:pPr>
              <w:jc w:val="center"/>
              <w:rPr>
                <w:rFonts w:hint="eastAsia" w:ascii="宋体" w:hAnsi="宋体" w:eastAsia="宋体" w:cs="宋体"/>
                <w:color w:val="auto"/>
                <w:sz w:val="21"/>
                <w:szCs w:val="21"/>
                <w:highlight w:val="none"/>
              </w:rPr>
            </w:pPr>
          </w:p>
        </w:tc>
        <w:tc>
          <w:tcPr>
            <w:tcW w:w="1114" w:type="dxa"/>
            <w:vAlign w:val="center"/>
          </w:tcPr>
          <w:p w14:paraId="2763FEB7">
            <w:pPr>
              <w:jc w:val="center"/>
              <w:rPr>
                <w:rFonts w:hint="eastAsia" w:ascii="宋体" w:hAnsi="宋体" w:eastAsia="宋体" w:cs="宋体"/>
                <w:color w:val="auto"/>
                <w:sz w:val="21"/>
                <w:szCs w:val="21"/>
                <w:highlight w:val="none"/>
              </w:rPr>
            </w:pPr>
          </w:p>
        </w:tc>
        <w:tc>
          <w:tcPr>
            <w:tcW w:w="956" w:type="dxa"/>
            <w:vAlign w:val="top"/>
          </w:tcPr>
          <w:p w14:paraId="3F29DDD5">
            <w:pPr>
              <w:jc w:val="center"/>
              <w:rPr>
                <w:rFonts w:hint="eastAsia" w:ascii="宋体" w:hAnsi="宋体" w:eastAsia="宋体" w:cs="宋体"/>
                <w:color w:val="auto"/>
                <w:sz w:val="21"/>
                <w:szCs w:val="21"/>
                <w:highlight w:val="none"/>
              </w:rPr>
            </w:pPr>
          </w:p>
        </w:tc>
        <w:tc>
          <w:tcPr>
            <w:tcW w:w="956" w:type="dxa"/>
            <w:vAlign w:val="center"/>
          </w:tcPr>
          <w:p w14:paraId="4D16EB7D">
            <w:pPr>
              <w:jc w:val="center"/>
              <w:rPr>
                <w:rFonts w:hint="eastAsia" w:ascii="宋体" w:hAnsi="宋体" w:eastAsia="宋体" w:cs="宋体"/>
                <w:color w:val="auto"/>
                <w:sz w:val="21"/>
                <w:szCs w:val="21"/>
                <w:highlight w:val="none"/>
              </w:rPr>
            </w:pPr>
          </w:p>
        </w:tc>
        <w:tc>
          <w:tcPr>
            <w:tcW w:w="956" w:type="dxa"/>
            <w:vAlign w:val="center"/>
          </w:tcPr>
          <w:p w14:paraId="1BD211B5">
            <w:pPr>
              <w:jc w:val="center"/>
              <w:rPr>
                <w:rFonts w:hint="eastAsia" w:ascii="宋体" w:hAnsi="宋体" w:eastAsia="宋体" w:cs="宋体"/>
                <w:color w:val="auto"/>
                <w:sz w:val="21"/>
                <w:szCs w:val="21"/>
                <w:highlight w:val="none"/>
              </w:rPr>
            </w:pPr>
          </w:p>
        </w:tc>
        <w:tc>
          <w:tcPr>
            <w:tcW w:w="788" w:type="dxa"/>
            <w:vAlign w:val="center"/>
          </w:tcPr>
          <w:p w14:paraId="538BDC92">
            <w:pPr>
              <w:jc w:val="center"/>
              <w:rPr>
                <w:rFonts w:hint="eastAsia" w:ascii="宋体" w:hAnsi="宋体" w:eastAsia="宋体" w:cs="宋体"/>
                <w:color w:val="auto"/>
                <w:sz w:val="21"/>
                <w:szCs w:val="21"/>
                <w:highlight w:val="none"/>
              </w:rPr>
            </w:pPr>
          </w:p>
        </w:tc>
      </w:tr>
      <w:tr w14:paraId="103B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35315AEB">
            <w:pPr>
              <w:jc w:val="center"/>
              <w:rPr>
                <w:rFonts w:hint="eastAsia" w:ascii="宋体" w:hAnsi="宋体" w:eastAsia="宋体" w:cs="宋体"/>
                <w:color w:val="auto"/>
                <w:sz w:val="21"/>
                <w:szCs w:val="21"/>
                <w:highlight w:val="none"/>
              </w:rPr>
            </w:pPr>
          </w:p>
        </w:tc>
        <w:tc>
          <w:tcPr>
            <w:tcW w:w="954" w:type="dxa"/>
            <w:vAlign w:val="center"/>
          </w:tcPr>
          <w:p w14:paraId="642D847F">
            <w:pPr>
              <w:jc w:val="center"/>
              <w:rPr>
                <w:rFonts w:hint="eastAsia" w:ascii="宋体" w:hAnsi="宋体" w:eastAsia="宋体" w:cs="宋体"/>
                <w:color w:val="auto"/>
                <w:sz w:val="21"/>
                <w:szCs w:val="21"/>
                <w:highlight w:val="none"/>
              </w:rPr>
            </w:pPr>
          </w:p>
        </w:tc>
        <w:tc>
          <w:tcPr>
            <w:tcW w:w="954" w:type="dxa"/>
            <w:vAlign w:val="center"/>
          </w:tcPr>
          <w:p w14:paraId="2DDAA984">
            <w:pPr>
              <w:jc w:val="center"/>
              <w:rPr>
                <w:rFonts w:hint="eastAsia" w:ascii="宋体" w:hAnsi="宋体" w:eastAsia="宋体" w:cs="宋体"/>
                <w:color w:val="auto"/>
                <w:sz w:val="21"/>
                <w:szCs w:val="21"/>
                <w:highlight w:val="none"/>
              </w:rPr>
            </w:pPr>
          </w:p>
        </w:tc>
        <w:tc>
          <w:tcPr>
            <w:tcW w:w="956" w:type="dxa"/>
            <w:vAlign w:val="center"/>
          </w:tcPr>
          <w:p w14:paraId="6DB3F105">
            <w:pPr>
              <w:jc w:val="center"/>
              <w:rPr>
                <w:rFonts w:hint="eastAsia" w:ascii="宋体" w:hAnsi="宋体" w:eastAsia="宋体" w:cs="宋体"/>
                <w:color w:val="auto"/>
                <w:sz w:val="21"/>
                <w:szCs w:val="21"/>
                <w:highlight w:val="none"/>
              </w:rPr>
            </w:pPr>
          </w:p>
        </w:tc>
        <w:tc>
          <w:tcPr>
            <w:tcW w:w="956" w:type="dxa"/>
            <w:vAlign w:val="center"/>
          </w:tcPr>
          <w:p w14:paraId="69155382">
            <w:pPr>
              <w:jc w:val="center"/>
              <w:rPr>
                <w:rFonts w:hint="eastAsia" w:ascii="宋体" w:hAnsi="宋体" w:eastAsia="宋体" w:cs="宋体"/>
                <w:color w:val="auto"/>
                <w:sz w:val="21"/>
                <w:szCs w:val="21"/>
                <w:highlight w:val="none"/>
              </w:rPr>
            </w:pPr>
          </w:p>
        </w:tc>
        <w:tc>
          <w:tcPr>
            <w:tcW w:w="956" w:type="dxa"/>
            <w:vAlign w:val="center"/>
          </w:tcPr>
          <w:p w14:paraId="12B87441">
            <w:pPr>
              <w:jc w:val="center"/>
              <w:rPr>
                <w:rFonts w:hint="eastAsia" w:ascii="宋体" w:hAnsi="宋体" w:eastAsia="宋体" w:cs="宋体"/>
                <w:color w:val="auto"/>
                <w:sz w:val="21"/>
                <w:szCs w:val="21"/>
                <w:highlight w:val="none"/>
              </w:rPr>
            </w:pPr>
          </w:p>
        </w:tc>
        <w:tc>
          <w:tcPr>
            <w:tcW w:w="1114" w:type="dxa"/>
            <w:vAlign w:val="center"/>
          </w:tcPr>
          <w:p w14:paraId="524683FA">
            <w:pPr>
              <w:jc w:val="center"/>
              <w:rPr>
                <w:rFonts w:hint="eastAsia" w:ascii="宋体" w:hAnsi="宋体" w:eastAsia="宋体" w:cs="宋体"/>
                <w:color w:val="auto"/>
                <w:sz w:val="21"/>
                <w:szCs w:val="21"/>
                <w:highlight w:val="none"/>
              </w:rPr>
            </w:pPr>
          </w:p>
        </w:tc>
        <w:tc>
          <w:tcPr>
            <w:tcW w:w="956" w:type="dxa"/>
            <w:vAlign w:val="top"/>
          </w:tcPr>
          <w:p w14:paraId="2A20B8A2">
            <w:pPr>
              <w:jc w:val="center"/>
              <w:rPr>
                <w:rFonts w:hint="eastAsia" w:ascii="宋体" w:hAnsi="宋体" w:eastAsia="宋体" w:cs="宋体"/>
                <w:color w:val="auto"/>
                <w:sz w:val="21"/>
                <w:szCs w:val="21"/>
                <w:highlight w:val="none"/>
              </w:rPr>
            </w:pPr>
          </w:p>
        </w:tc>
        <w:tc>
          <w:tcPr>
            <w:tcW w:w="956" w:type="dxa"/>
            <w:vAlign w:val="center"/>
          </w:tcPr>
          <w:p w14:paraId="1645FE29">
            <w:pPr>
              <w:jc w:val="center"/>
              <w:rPr>
                <w:rFonts w:hint="eastAsia" w:ascii="宋体" w:hAnsi="宋体" w:eastAsia="宋体" w:cs="宋体"/>
                <w:color w:val="auto"/>
                <w:sz w:val="21"/>
                <w:szCs w:val="21"/>
                <w:highlight w:val="none"/>
              </w:rPr>
            </w:pPr>
          </w:p>
        </w:tc>
        <w:tc>
          <w:tcPr>
            <w:tcW w:w="956" w:type="dxa"/>
            <w:vAlign w:val="center"/>
          </w:tcPr>
          <w:p w14:paraId="613D2685">
            <w:pPr>
              <w:jc w:val="center"/>
              <w:rPr>
                <w:rFonts w:hint="eastAsia" w:ascii="宋体" w:hAnsi="宋体" w:eastAsia="宋体" w:cs="宋体"/>
                <w:color w:val="auto"/>
                <w:sz w:val="21"/>
                <w:szCs w:val="21"/>
                <w:highlight w:val="none"/>
              </w:rPr>
            </w:pPr>
          </w:p>
        </w:tc>
        <w:tc>
          <w:tcPr>
            <w:tcW w:w="788" w:type="dxa"/>
            <w:vAlign w:val="center"/>
          </w:tcPr>
          <w:p w14:paraId="2CCECAD5">
            <w:pPr>
              <w:jc w:val="center"/>
              <w:rPr>
                <w:rFonts w:hint="eastAsia" w:ascii="宋体" w:hAnsi="宋体" w:eastAsia="宋体" w:cs="宋体"/>
                <w:color w:val="auto"/>
                <w:sz w:val="21"/>
                <w:szCs w:val="21"/>
                <w:highlight w:val="none"/>
              </w:rPr>
            </w:pPr>
          </w:p>
        </w:tc>
      </w:tr>
    </w:tbl>
    <w:p w14:paraId="1BA6DC18">
      <w:pPr>
        <w:autoSpaceDE w:val="0"/>
        <w:autoSpaceDN w:val="0"/>
        <w:adjustRightInd w:val="0"/>
        <w:snapToGrid w:val="0"/>
        <w:spacing w:line="360" w:lineRule="auto"/>
        <w:ind w:left="213" w:leftChars="-158" w:hanging="592" w:hangingChars="247"/>
        <w:jc w:val="left"/>
        <w:rPr>
          <w:rFonts w:ascii="宋体" w:hAnsi="宋体" w:eastAsia="宋体" w:cs="Times New Roman"/>
          <w:color w:val="auto"/>
          <w:szCs w:val="24"/>
          <w:highlight w:val="none"/>
          <w:lang w:val="zh-CN"/>
        </w:rPr>
      </w:pPr>
    </w:p>
    <w:p w14:paraId="4DF7CA55">
      <w:pPr>
        <w:autoSpaceDE w:val="0"/>
        <w:autoSpaceDN w:val="0"/>
        <w:adjustRightInd w:val="0"/>
        <w:snapToGrid w:val="0"/>
        <w:spacing w:line="360" w:lineRule="auto"/>
        <w:ind w:left="550" w:leftChars="-41" w:hanging="648" w:hangingChars="270"/>
        <w:jc w:val="left"/>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val="en-US" w:eastAsia="zh-CN"/>
        </w:rPr>
        <w:t>备注：</w:t>
      </w:r>
    </w:p>
    <w:p w14:paraId="251D481B">
      <w:pPr>
        <w:autoSpaceDE w:val="0"/>
        <w:autoSpaceDN w:val="0"/>
        <w:adjustRightInd w:val="0"/>
        <w:snapToGrid w:val="0"/>
        <w:spacing w:line="360" w:lineRule="auto"/>
        <w:ind w:left="550" w:leftChars="-41" w:hanging="648"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p>
    <w:p w14:paraId="5C9CC152">
      <w:pPr>
        <w:autoSpaceDE w:val="0"/>
        <w:autoSpaceDN w:val="0"/>
        <w:adjustRightInd w:val="0"/>
        <w:snapToGrid w:val="0"/>
        <w:spacing w:line="360" w:lineRule="auto"/>
        <w:ind w:left="550" w:leftChars="-41" w:hanging="648"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）业绩必须附合同复印件；</w:t>
      </w:r>
    </w:p>
    <w:p w14:paraId="242AC0EA">
      <w:pPr>
        <w:autoSpaceDE w:val="0"/>
        <w:autoSpaceDN w:val="0"/>
        <w:adjustRightInd w:val="0"/>
        <w:snapToGrid w:val="0"/>
        <w:spacing w:line="360" w:lineRule="auto"/>
        <w:ind w:left="550" w:leftChars="-41" w:hanging="648"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）若业绩为框架式协议或资格入围无明确金额的合同，必须同时提供合同期限内已完成运输服务的发票金额统计表和服务发票复印件；</w:t>
      </w:r>
    </w:p>
    <w:p w14:paraId="250B1474">
      <w:pPr>
        <w:autoSpaceDE w:val="0"/>
        <w:autoSpaceDN w:val="0"/>
        <w:adjustRightInd w:val="0"/>
        <w:snapToGrid w:val="0"/>
        <w:spacing w:line="360" w:lineRule="auto"/>
        <w:ind w:left="550" w:leftChars="-41" w:hanging="648"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）若合同无法反映评分条件的，还需提供发包人出具的书面补充说明文件复印件作为辅助证明。</w:t>
      </w:r>
    </w:p>
    <w:p w14:paraId="49074463">
      <w:pPr>
        <w:autoSpaceDE w:val="0"/>
        <w:autoSpaceDN w:val="0"/>
        <w:adjustRightInd w:val="0"/>
        <w:snapToGrid w:val="0"/>
        <w:spacing w:line="360" w:lineRule="auto"/>
        <w:ind w:left="550" w:leftChars="-41" w:hanging="648"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7D435FD2">
      <w:pPr>
        <w:autoSpaceDE w:val="0"/>
        <w:autoSpaceDN w:val="0"/>
        <w:adjustRightInd w:val="0"/>
        <w:spacing w:line="360" w:lineRule="auto"/>
        <w:ind w:firstLine="5760" w:firstLineChars="2400"/>
        <w:jc w:val="left"/>
        <w:rPr>
          <w:rFonts w:ascii="宋体" w:hAnsi="宋体" w:eastAsia="宋体" w:cs="Times New Roman"/>
          <w:color w:val="auto"/>
          <w:szCs w:val="24"/>
          <w:highlight w:val="none"/>
          <w:lang w:val="zh-CN"/>
        </w:rPr>
      </w:pPr>
    </w:p>
    <w:p w14:paraId="60F333E7">
      <w:pPr>
        <w:autoSpaceDE w:val="0"/>
        <w:autoSpaceDN w:val="0"/>
        <w:adjustRightInd w:val="0"/>
        <w:spacing w:line="360" w:lineRule="auto"/>
        <w:ind w:left="0" w:leftChars="0" w:firstLine="5040" w:firstLineChars="21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：（加盖</w:t>
      </w:r>
      <w:r>
        <w:rPr>
          <w:rFonts w:hint="eastAsia" w:ascii="宋体" w:hAnsi="宋体" w:eastAsia="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4D303F22">
      <w:pPr>
        <w:autoSpaceDE w:val="0"/>
        <w:autoSpaceDN w:val="0"/>
        <w:adjustRightInd w:val="0"/>
        <w:spacing w:line="360" w:lineRule="auto"/>
        <w:ind w:firstLine="576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2E34C20">
      <w:pPr>
        <w:pageBreakBefore/>
        <w:snapToGrid w:val="0"/>
        <w:spacing w:line="360" w:lineRule="auto"/>
        <w:ind w:left="654"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附表：已完成</w:t>
      </w:r>
      <w:r>
        <w:rPr>
          <w:rFonts w:hint="eastAsia" w:ascii="宋体" w:hAnsi="宋体" w:eastAsia="宋体" w:cs="宋体"/>
          <w:b/>
          <w:color w:val="auto"/>
          <w:kern w:val="2"/>
          <w:sz w:val="32"/>
          <w:szCs w:val="32"/>
          <w:highlight w:val="none"/>
          <w:u w:val="single"/>
          <w:lang w:val="en-US" w:eastAsia="zh-CN"/>
        </w:rPr>
        <w:t>污泥</w:t>
      </w:r>
      <w:r>
        <w:rPr>
          <w:rFonts w:hint="eastAsia" w:ascii="宋体" w:hAnsi="宋体" w:eastAsia="宋体" w:cs="宋体"/>
          <w:b/>
          <w:color w:val="auto"/>
          <w:kern w:val="2"/>
          <w:sz w:val="32"/>
          <w:szCs w:val="32"/>
          <w:highlight w:val="none"/>
          <w:u w:val="single"/>
          <w:lang w:val="zh-CN"/>
        </w:rPr>
        <w:t>运输服务</w:t>
      </w:r>
      <w:r>
        <w:rPr>
          <w:rFonts w:hint="eastAsia" w:ascii="宋体" w:hAnsi="宋体" w:eastAsia="宋体" w:cs="宋体"/>
          <w:b/>
          <w:color w:val="auto"/>
          <w:kern w:val="2"/>
          <w:sz w:val="32"/>
          <w:szCs w:val="32"/>
          <w:highlight w:val="none"/>
          <w:lang w:val="zh-CN"/>
        </w:rPr>
        <w:t>发票金额统计表</w:t>
      </w:r>
    </w:p>
    <w:tbl>
      <w:tblPr>
        <w:tblStyle w:val="25"/>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226"/>
        <w:gridCol w:w="1144"/>
        <w:gridCol w:w="1284"/>
        <w:gridCol w:w="1570"/>
        <w:gridCol w:w="1252"/>
      </w:tblGrid>
      <w:tr w14:paraId="3250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109" w:type="dxa"/>
            <w:gridSpan w:val="2"/>
            <w:tcBorders>
              <w:top w:val="single" w:color="auto" w:sz="4" w:space="0"/>
              <w:left w:val="single" w:color="auto" w:sz="4" w:space="0"/>
              <w:bottom w:val="single" w:color="auto" w:sz="4" w:space="0"/>
              <w:right w:val="single" w:color="auto" w:sz="4" w:space="0"/>
            </w:tcBorders>
            <w:vAlign w:val="center"/>
          </w:tcPr>
          <w:p w14:paraId="7645A8BC">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50" w:type="dxa"/>
            <w:gridSpan w:val="4"/>
            <w:tcBorders>
              <w:top w:val="single" w:color="auto" w:sz="4" w:space="0"/>
              <w:left w:val="single" w:color="auto" w:sz="4" w:space="0"/>
              <w:bottom w:val="single" w:color="auto" w:sz="4" w:space="0"/>
              <w:right w:val="single" w:color="auto" w:sz="4" w:space="0"/>
            </w:tcBorders>
            <w:vAlign w:val="center"/>
          </w:tcPr>
          <w:p w14:paraId="485AA90F">
            <w:pPr>
              <w:pStyle w:val="10"/>
              <w:snapToGrid w:val="0"/>
              <w:spacing w:line="360" w:lineRule="auto"/>
              <w:ind w:left="0" w:leftChars="0" w:firstLine="315"/>
              <w:jc w:val="center"/>
              <w:rPr>
                <w:rFonts w:hint="eastAsia" w:ascii="宋体" w:hAnsi="宋体" w:eastAsia="宋体" w:cs="宋体"/>
                <w:color w:val="auto"/>
                <w:sz w:val="21"/>
                <w:szCs w:val="21"/>
                <w:highlight w:val="none"/>
              </w:rPr>
            </w:pPr>
          </w:p>
        </w:tc>
      </w:tr>
      <w:tr w14:paraId="2317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109" w:type="dxa"/>
            <w:gridSpan w:val="2"/>
            <w:tcBorders>
              <w:top w:val="single" w:color="auto" w:sz="4" w:space="0"/>
              <w:left w:val="single" w:color="auto" w:sz="4" w:space="0"/>
              <w:bottom w:val="single" w:color="auto" w:sz="4" w:space="0"/>
              <w:right w:val="single" w:color="auto" w:sz="4" w:space="0"/>
            </w:tcBorders>
            <w:vAlign w:val="center"/>
          </w:tcPr>
          <w:p w14:paraId="02EE398E">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50" w:type="dxa"/>
            <w:gridSpan w:val="4"/>
            <w:tcBorders>
              <w:top w:val="single" w:color="auto" w:sz="4" w:space="0"/>
              <w:left w:val="single" w:color="auto" w:sz="4" w:space="0"/>
              <w:bottom w:val="single" w:color="auto" w:sz="4" w:space="0"/>
              <w:right w:val="single" w:color="auto" w:sz="4" w:space="0"/>
            </w:tcBorders>
            <w:vAlign w:val="center"/>
          </w:tcPr>
          <w:p w14:paraId="2F98C2BD">
            <w:pPr>
              <w:pStyle w:val="10"/>
              <w:snapToGrid w:val="0"/>
              <w:spacing w:line="360" w:lineRule="auto"/>
              <w:ind w:left="0" w:leftChars="0" w:firstLine="315"/>
              <w:jc w:val="center"/>
              <w:rPr>
                <w:rFonts w:hint="eastAsia" w:ascii="宋体" w:hAnsi="宋体" w:eastAsia="宋体" w:cs="宋体"/>
                <w:color w:val="auto"/>
                <w:sz w:val="21"/>
                <w:szCs w:val="21"/>
                <w:highlight w:val="none"/>
              </w:rPr>
            </w:pPr>
          </w:p>
        </w:tc>
      </w:tr>
      <w:tr w14:paraId="4112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109" w:type="dxa"/>
            <w:gridSpan w:val="2"/>
            <w:tcBorders>
              <w:top w:val="single" w:color="auto" w:sz="4" w:space="0"/>
              <w:left w:val="single" w:color="auto" w:sz="4" w:space="0"/>
              <w:bottom w:val="single" w:color="auto" w:sz="4" w:space="0"/>
              <w:right w:val="single" w:color="auto" w:sz="4" w:space="0"/>
            </w:tcBorders>
            <w:vAlign w:val="center"/>
          </w:tcPr>
          <w:p w14:paraId="3B2ABBEC">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合同买方）</w:t>
            </w:r>
          </w:p>
        </w:tc>
        <w:tc>
          <w:tcPr>
            <w:tcW w:w="5250" w:type="dxa"/>
            <w:gridSpan w:val="4"/>
            <w:tcBorders>
              <w:top w:val="single" w:color="auto" w:sz="4" w:space="0"/>
              <w:left w:val="single" w:color="auto" w:sz="4" w:space="0"/>
              <w:bottom w:val="single" w:color="auto" w:sz="4" w:space="0"/>
              <w:right w:val="single" w:color="auto" w:sz="4" w:space="0"/>
            </w:tcBorders>
            <w:vAlign w:val="center"/>
          </w:tcPr>
          <w:p w14:paraId="2DFBBB55">
            <w:pPr>
              <w:pStyle w:val="10"/>
              <w:snapToGrid w:val="0"/>
              <w:spacing w:line="360" w:lineRule="auto"/>
              <w:ind w:left="0" w:leftChars="0" w:firstLine="315"/>
              <w:jc w:val="center"/>
              <w:rPr>
                <w:rFonts w:hint="eastAsia" w:ascii="宋体" w:hAnsi="宋体" w:eastAsia="宋体" w:cs="宋体"/>
                <w:color w:val="auto"/>
                <w:sz w:val="21"/>
                <w:szCs w:val="21"/>
                <w:highlight w:val="none"/>
              </w:rPr>
            </w:pPr>
          </w:p>
        </w:tc>
      </w:tr>
      <w:tr w14:paraId="1183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2BA9457A">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26" w:type="dxa"/>
            <w:tcBorders>
              <w:top w:val="single" w:color="auto" w:sz="4" w:space="0"/>
              <w:left w:val="single" w:color="auto" w:sz="4" w:space="0"/>
              <w:bottom w:val="single" w:color="auto" w:sz="4" w:space="0"/>
              <w:right w:val="single" w:color="auto" w:sz="4" w:space="0"/>
            </w:tcBorders>
            <w:vAlign w:val="center"/>
          </w:tcPr>
          <w:p w14:paraId="440DB25F">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44" w:type="dxa"/>
            <w:tcBorders>
              <w:top w:val="single" w:color="auto" w:sz="4" w:space="0"/>
              <w:left w:val="single" w:color="auto" w:sz="4" w:space="0"/>
              <w:bottom w:val="single" w:color="auto" w:sz="4" w:space="0"/>
              <w:right w:val="single" w:color="auto" w:sz="4" w:space="0"/>
            </w:tcBorders>
            <w:vAlign w:val="center"/>
          </w:tcPr>
          <w:p w14:paraId="481625C1">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84" w:type="dxa"/>
            <w:tcBorders>
              <w:top w:val="single" w:color="auto" w:sz="4" w:space="0"/>
              <w:left w:val="single" w:color="auto" w:sz="4" w:space="0"/>
              <w:bottom w:val="single" w:color="auto" w:sz="4" w:space="0"/>
              <w:right w:val="single" w:color="auto" w:sz="4" w:space="0"/>
            </w:tcBorders>
            <w:vAlign w:val="center"/>
          </w:tcPr>
          <w:p w14:paraId="6E043F7F">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70" w:type="dxa"/>
            <w:tcBorders>
              <w:top w:val="single" w:color="auto" w:sz="4" w:space="0"/>
              <w:left w:val="single" w:color="auto" w:sz="4" w:space="0"/>
              <w:bottom w:val="single" w:color="auto" w:sz="4" w:space="0"/>
              <w:right w:val="single" w:color="auto" w:sz="4" w:space="0"/>
            </w:tcBorders>
            <w:vAlign w:val="center"/>
          </w:tcPr>
          <w:p w14:paraId="0642E82E">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52" w:type="dxa"/>
            <w:tcBorders>
              <w:top w:val="single" w:color="auto" w:sz="4" w:space="0"/>
              <w:left w:val="single" w:color="auto" w:sz="4" w:space="0"/>
              <w:bottom w:val="single" w:color="auto" w:sz="4" w:space="0"/>
              <w:right w:val="single" w:color="auto" w:sz="4" w:space="0"/>
            </w:tcBorders>
            <w:vAlign w:val="center"/>
          </w:tcPr>
          <w:p w14:paraId="068A9854">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BE9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7284BFD8">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26" w:type="dxa"/>
            <w:tcBorders>
              <w:top w:val="single" w:color="auto" w:sz="4" w:space="0"/>
              <w:left w:val="single" w:color="auto" w:sz="4" w:space="0"/>
              <w:bottom w:val="single" w:color="auto" w:sz="4" w:space="0"/>
              <w:right w:val="single" w:color="auto" w:sz="4" w:space="0"/>
            </w:tcBorders>
            <w:vAlign w:val="center"/>
          </w:tcPr>
          <w:p w14:paraId="6EF6DAAC">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CF06D2C">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12B73CB">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6AD8FA9D">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14A3E86F">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r w14:paraId="6740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5864EE30">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26" w:type="dxa"/>
            <w:tcBorders>
              <w:top w:val="single" w:color="auto" w:sz="4" w:space="0"/>
              <w:left w:val="single" w:color="auto" w:sz="4" w:space="0"/>
              <w:bottom w:val="single" w:color="auto" w:sz="4" w:space="0"/>
              <w:right w:val="single" w:color="auto" w:sz="4" w:space="0"/>
            </w:tcBorders>
            <w:vAlign w:val="center"/>
          </w:tcPr>
          <w:p w14:paraId="7F837FD9">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505713FC">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07D71FD">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0018861">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7AEC9D4C">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r w14:paraId="1A6D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20EBAF76">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26" w:type="dxa"/>
            <w:tcBorders>
              <w:top w:val="single" w:color="auto" w:sz="4" w:space="0"/>
              <w:left w:val="single" w:color="auto" w:sz="4" w:space="0"/>
              <w:bottom w:val="single" w:color="auto" w:sz="4" w:space="0"/>
              <w:right w:val="single" w:color="auto" w:sz="4" w:space="0"/>
            </w:tcBorders>
            <w:vAlign w:val="center"/>
          </w:tcPr>
          <w:p w14:paraId="50DE4E39">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5B0B4266">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B014908">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CAFDA53">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7A62F8F2">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r w14:paraId="24FB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883" w:type="dxa"/>
            <w:tcBorders>
              <w:top w:val="single" w:color="auto" w:sz="4" w:space="0"/>
              <w:left w:val="single" w:color="auto" w:sz="4" w:space="0"/>
              <w:bottom w:val="single" w:color="auto" w:sz="4" w:space="0"/>
              <w:right w:val="single" w:color="auto" w:sz="4" w:space="0"/>
            </w:tcBorders>
            <w:vAlign w:val="center"/>
          </w:tcPr>
          <w:p w14:paraId="677BCB2E">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26" w:type="dxa"/>
            <w:tcBorders>
              <w:top w:val="single" w:color="auto" w:sz="4" w:space="0"/>
              <w:left w:val="single" w:color="auto" w:sz="4" w:space="0"/>
              <w:bottom w:val="single" w:color="auto" w:sz="4" w:space="0"/>
              <w:right w:val="single" w:color="auto" w:sz="4" w:space="0"/>
            </w:tcBorders>
            <w:vAlign w:val="center"/>
          </w:tcPr>
          <w:p w14:paraId="5A89BF95">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9B9C391">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8B87D7F">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DC35D89">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7486367F">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r w14:paraId="6393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109" w:type="dxa"/>
            <w:gridSpan w:val="2"/>
            <w:tcBorders>
              <w:top w:val="single" w:color="auto" w:sz="4" w:space="0"/>
              <w:left w:val="single" w:color="auto" w:sz="4" w:space="0"/>
              <w:bottom w:val="single" w:color="auto" w:sz="4" w:space="0"/>
              <w:right w:val="single" w:color="auto" w:sz="4" w:space="0"/>
            </w:tcBorders>
            <w:vAlign w:val="center"/>
          </w:tcPr>
          <w:p w14:paraId="739F3C1F">
            <w:pPr>
              <w:pStyle w:val="1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44" w:type="dxa"/>
            <w:tcBorders>
              <w:top w:val="single" w:color="auto" w:sz="4" w:space="0"/>
              <w:left w:val="single" w:color="auto" w:sz="4" w:space="0"/>
              <w:bottom w:val="single" w:color="auto" w:sz="4" w:space="0"/>
              <w:right w:val="single" w:color="auto" w:sz="4" w:space="0"/>
            </w:tcBorders>
            <w:vAlign w:val="center"/>
          </w:tcPr>
          <w:p w14:paraId="33115844">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4A120327">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2F06B10">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3FA65D57">
            <w:pPr>
              <w:pStyle w:val="10"/>
              <w:snapToGrid w:val="0"/>
              <w:spacing w:line="240" w:lineRule="auto"/>
              <w:ind w:left="0" w:leftChars="0" w:firstLine="0" w:firstLineChars="0"/>
              <w:jc w:val="center"/>
              <w:rPr>
                <w:rFonts w:hint="eastAsia" w:ascii="宋体" w:hAnsi="宋体" w:eastAsia="宋体" w:cs="宋体"/>
                <w:color w:val="auto"/>
                <w:sz w:val="21"/>
                <w:szCs w:val="21"/>
                <w:highlight w:val="none"/>
              </w:rPr>
            </w:pPr>
          </w:p>
        </w:tc>
      </w:tr>
    </w:tbl>
    <w:p w14:paraId="01EC2CA7">
      <w:pPr>
        <w:snapToGrid w:val="0"/>
        <w:spacing w:line="360" w:lineRule="auto"/>
        <w:ind w:left="474" w:leftChars="-57" w:hanging="611" w:hangingChars="291"/>
        <w:rPr>
          <w:rFonts w:hint="eastAsia" w:ascii="宋体" w:hAnsi="宋体" w:eastAsia="宋体" w:cs="宋体"/>
          <w:color w:val="auto"/>
          <w:kern w:val="2"/>
          <w:sz w:val="21"/>
          <w:szCs w:val="21"/>
          <w:highlight w:val="none"/>
        </w:rPr>
      </w:pPr>
    </w:p>
    <w:p w14:paraId="36D78993">
      <w:pPr>
        <w:snapToGrid w:val="0"/>
        <w:spacing w:line="360" w:lineRule="auto"/>
        <w:ind w:left="474" w:leftChars="-57" w:hanging="611" w:hangingChars="29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02AF0546">
      <w:pPr>
        <w:snapToGrid w:val="0"/>
        <w:spacing w:line="360" w:lineRule="auto"/>
        <w:ind w:left="709" w:leftChars="59" w:hanging="567" w:hangingChars="27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提供框架式协议或资格入围无明确金额的合同时，须同时提供本统计表及服务发票复印件，本统计表及服务发票复印件应后附于合同复印件。</w:t>
      </w:r>
    </w:p>
    <w:p w14:paraId="1524F5DA">
      <w:pPr>
        <w:snapToGrid w:val="0"/>
        <w:spacing w:line="360" w:lineRule="auto"/>
        <w:ind w:left="709" w:leftChars="59" w:hanging="567" w:hangingChars="27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（2）发票抬头应为合同买方，收款人应为</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，且发票名目、所属时期应与合同约定内容一致，否则不计分。</w:t>
      </w:r>
    </w:p>
    <w:p w14:paraId="247C032F">
      <w:pPr>
        <w:snapToGrid w:val="0"/>
        <w:spacing w:line="360" w:lineRule="auto"/>
        <w:ind w:left="709" w:leftChars="59" w:hanging="567" w:hangingChars="27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（3）发票合计金额视为</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所提供该项运输服务业绩的合同金额，并按此金额进行评审。</w:t>
      </w:r>
    </w:p>
    <w:p w14:paraId="7CF2F9C9">
      <w:pPr>
        <w:rPr>
          <w:rFonts w:hint="eastAsia"/>
        </w:rPr>
      </w:pPr>
      <w:r>
        <w:rPr>
          <w:rFonts w:hint="eastAsia"/>
        </w:rPr>
        <w:br w:type="page"/>
      </w:r>
    </w:p>
    <w:p w14:paraId="0EDE688D">
      <w:pPr>
        <w:pStyle w:val="2"/>
        <w:rPr>
          <w:rFonts w:hint="default" w:eastAsia="宋体"/>
          <w:lang w:val="en-US" w:eastAsia="zh-CN"/>
        </w:rPr>
      </w:pPr>
      <w:bookmarkStart w:id="46" w:name="_Toc13905"/>
      <w:r>
        <w:rPr>
          <w:rFonts w:hint="eastAsia"/>
          <w:lang w:val="en-US" w:eastAsia="zh-CN"/>
        </w:rPr>
        <w:t>8</w:t>
      </w:r>
      <w:r>
        <w:rPr>
          <w:rFonts w:hint="eastAsia"/>
        </w:rPr>
        <w:t>.</w:t>
      </w:r>
      <w:r>
        <w:rPr>
          <w:rFonts w:hint="eastAsia"/>
          <w:lang w:val="en-US" w:eastAsia="zh-CN"/>
        </w:rPr>
        <w:t>企业运输能力</w:t>
      </w:r>
      <w:bookmarkEnd w:id="46"/>
    </w:p>
    <w:p w14:paraId="45B1FCB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7" w:name="_Toc18632"/>
      <w:r>
        <w:rPr>
          <w:rFonts w:hint="eastAsia" w:ascii="宋体" w:hAnsi="宋体" w:eastAsia="宋体" w:cs="宋体"/>
          <w:b/>
          <w:color w:val="auto"/>
          <w:kern w:val="0"/>
          <w:sz w:val="30"/>
          <w:szCs w:val="30"/>
          <w:highlight w:val="none"/>
          <w:lang w:val="en-US" w:eastAsia="zh-CN"/>
        </w:rPr>
        <w:t>（1）拟投入的</w:t>
      </w:r>
      <w:r>
        <w:rPr>
          <w:rFonts w:hint="eastAsia" w:ascii="宋体" w:hAnsi="宋体" w:eastAsia="宋体" w:cs="宋体"/>
          <w:b/>
          <w:color w:val="auto"/>
          <w:kern w:val="0"/>
          <w:sz w:val="30"/>
          <w:szCs w:val="30"/>
          <w:highlight w:val="none"/>
          <w:u w:val="single"/>
          <w:lang w:val="en-US" w:eastAsia="zh-CN"/>
        </w:rPr>
        <w:t>自有</w:t>
      </w:r>
      <w:r>
        <w:rPr>
          <w:rFonts w:hint="eastAsia" w:ascii="宋体" w:hAnsi="宋体" w:eastAsia="宋体" w:cs="宋体"/>
          <w:b/>
          <w:color w:val="auto"/>
          <w:kern w:val="0"/>
          <w:sz w:val="30"/>
          <w:szCs w:val="30"/>
          <w:highlight w:val="none"/>
          <w:lang w:val="en-US" w:eastAsia="zh-CN"/>
        </w:rPr>
        <w:t>驾驶员</w:t>
      </w:r>
      <w:bookmarkEnd w:id="47"/>
    </w:p>
    <w:p w14:paraId="4057B627">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说明：</w:t>
      </w:r>
      <w:r>
        <w:rPr>
          <w:rFonts w:hint="eastAsia" w:ascii="宋体" w:hAnsi="宋体" w:eastAsia="宋体" w:cs="宋体"/>
          <w:color w:val="auto"/>
          <w:sz w:val="21"/>
          <w:szCs w:val="21"/>
          <w:highlight w:val="none"/>
          <w:lang w:val="en-US" w:eastAsia="zh-CN"/>
        </w:rPr>
        <w:t>自行编写。</w:t>
      </w:r>
      <w:r>
        <w:rPr>
          <w:rFonts w:hint="eastAsia" w:ascii="宋体" w:hAnsi="宋体" w:eastAsia="宋体" w:cs="宋体"/>
          <w:color w:val="auto"/>
          <w:sz w:val="21"/>
          <w:szCs w:val="21"/>
          <w:highlight w:val="none"/>
        </w:rPr>
        <w:t>必须提供拟投入本项目人员清单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人力资源和社会保障部门（或税务部门）出具的</w:t>
      </w:r>
      <w:r>
        <w:rPr>
          <w:rFonts w:hint="eastAsia" w:ascii="宋体" w:hAnsi="宋体" w:eastAsia="宋体" w:cs="宋体"/>
          <w:b/>
          <w:bCs/>
          <w:color w:val="auto"/>
          <w:sz w:val="21"/>
          <w:szCs w:val="21"/>
          <w:highlight w:val="none"/>
        </w:rPr>
        <w:t>最近</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个月（202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月至</w:t>
      </w:r>
      <w:r>
        <w:rPr>
          <w:rFonts w:hint="eastAsia" w:ascii="宋体" w:hAnsi="宋体" w:eastAsia="宋体" w:cs="宋体"/>
          <w:b/>
          <w:bCs/>
          <w:color w:val="auto"/>
          <w:sz w:val="21"/>
          <w:szCs w:val="21"/>
          <w:highlight w:val="none"/>
          <w:lang w:val="en-US" w:eastAsia="zh-CN"/>
        </w:rPr>
        <w:t>2026年2</w:t>
      </w:r>
      <w:r>
        <w:rPr>
          <w:rFonts w:hint="eastAsia" w:ascii="宋体" w:hAnsi="宋体" w:eastAsia="宋体" w:cs="宋体"/>
          <w:b/>
          <w:bCs/>
          <w:color w:val="auto"/>
          <w:sz w:val="21"/>
          <w:szCs w:val="21"/>
          <w:highlight w:val="none"/>
        </w:rPr>
        <w:t>月）</w:t>
      </w:r>
      <w:r>
        <w:rPr>
          <w:rFonts w:hint="eastAsia" w:ascii="宋体" w:hAnsi="宋体" w:eastAsia="宋体" w:cs="宋体"/>
          <w:color w:val="auto"/>
          <w:sz w:val="21"/>
          <w:szCs w:val="21"/>
          <w:highlight w:val="none"/>
        </w:rPr>
        <w:t>的社保缴纳证明复印件、驾驶证复印件，提供的运输人员清单、驾驶证和社保缴纳证明复印件中人员名称必须一致。</w:t>
      </w:r>
    </w:p>
    <w:p w14:paraId="3F2ADC26">
      <w:pPr>
        <w:pStyle w:val="64"/>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拟投入的项目管理人员及运输人员清单表</w:t>
      </w:r>
    </w:p>
    <w:tbl>
      <w:tblPr>
        <w:tblStyle w:val="25"/>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568"/>
        <w:gridCol w:w="1184"/>
        <w:gridCol w:w="877"/>
        <w:gridCol w:w="1336"/>
        <w:gridCol w:w="1470"/>
        <w:gridCol w:w="1607"/>
        <w:gridCol w:w="1486"/>
      </w:tblGrid>
      <w:tr w14:paraId="2513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370" w:type="dxa"/>
            <w:gridSpan w:val="8"/>
            <w:tcBorders>
              <w:top w:val="single" w:color="auto" w:sz="4" w:space="0"/>
              <w:left w:val="single" w:color="auto" w:sz="4" w:space="0"/>
              <w:bottom w:val="single" w:color="auto" w:sz="4" w:space="0"/>
              <w:right w:val="single" w:color="auto" w:sz="4" w:space="0"/>
            </w:tcBorders>
            <w:vAlign w:val="center"/>
          </w:tcPr>
          <w:p w14:paraId="7A749D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运输人员：</w:t>
            </w:r>
          </w:p>
        </w:tc>
      </w:tr>
      <w:tr w14:paraId="6953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55723E2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8" w:type="dxa"/>
            <w:tcBorders>
              <w:top w:val="single" w:color="auto" w:sz="4" w:space="0"/>
              <w:left w:val="single" w:color="auto" w:sz="4" w:space="0"/>
              <w:bottom w:val="single" w:color="auto" w:sz="4" w:space="0"/>
              <w:right w:val="single" w:color="auto" w:sz="4" w:space="0"/>
            </w:tcBorders>
            <w:vAlign w:val="center"/>
          </w:tcPr>
          <w:p w14:paraId="78461AE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84" w:type="dxa"/>
            <w:tcBorders>
              <w:top w:val="single" w:color="auto" w:sz="4" w:space="0"/>
              <w:left w:val="single" w:color="auto" w:sz="4" w:space="0"/>
              <w:bottom w:val="single" w:color="auto" w:sz="4" w:space="0"/>
              <w:right w:val="single" w:color="auto" w:sz="4" w:space="0"/>
            </w:tcBorders>
            <w:vAlign w:val="center"/>
          </w:tcPr>
          <w:p w14:paraId="11303B8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77" w:type="dxa"/>
            <w:tcBorders>
              <w:top w:val="single" w:color="auto" w:sz="4" w:space="0"/>
              <w:left w:val="single" w:color="auto" w:sz="4" w:space="0"/>
              <w:bottom w:val="single" w:color="auto" w:sz="4" w:space="0"/>
              <w:right w:val="single" w:color="auto" w:sz="4" w:space="0"/>
            </w:tcBorders>
            <w:vAlign w:val="center"/>
          </w:tcPr>
          <w:p w14:paraId="5FEF49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336" w:type="dxa"/>
            <w:tcBorders>
              <w:top w:val="single" w:color="auto" w:sz="4" w:space="0"/>
              <w:left w:val="single" w:color="auto" w:sz="4" w:space="0"/>
              <w:bottom w:val="single" w:color="auto" w:sz="4" w:space="0"/>
              <w:right w:val="single" w:color="auto" w:sz="4" w:space="0"/>
            </w:tcBorders>
            <w:vAlign w:val="center"/>
          </w:tcPr>
          <w:p w14:paraId="452CE6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驾驶证类型</w:t>
            </w:r>
          </w:p>
        </w:tc>
        <w:tc>
          <w:tcPr>
            <w:tcW w:w="1470" w:type="dxa"/>
            <w:tcBorders>
              <w:top w:val="single" w:color="auto" w:sz="4" w:space="0"/>
              <w:left w:val="single" w:color="auto" w:sz="4" w:space="0"/>
              <w:bottom w:val="single" w:color="auto" w:sz="4" w:space="0"/>
              <w:right w:val="single" w:color="auto" w:sz="4" w:space="0"/>
            </w:tcBorders>
            <w:vAlign w:val="center"/>
          </w:tcPr>
          <w:p w14:paraId="2AABAEE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取得驾驶证日期</w:t>
            </w:r>
          </w:p>
        </w:tc>
        <w:tc>
          <w:tcPr>
            <w:tcW w:w="1607" w:type="dxa"/>
            <w:tcBorders>
              <w:top w:val="single" w:color="auto" w:sz="4" w:space="0"/>
              <w:left w:val="single" w:color="auto" w:sz="4" w:space="0"/>
              <w:bottom w:val="single" w:color="auto" w:sz="4" w:space="0"/>
              <w:right w:val="single" w:color="auto" w:sz="4" w:space="0"/>
            </w:tcBorders>
            <w:vAlign w:val="center"/>
          </w:tcPr>
          <w:p w14:paraId="5ED4C7C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驾龄（年）</w:t>
            </w:r>
          </w:p>
        </w:tc>
        <w:tc>
          <w:tcPr>
            <w:tcW w:w="1486" w:type="dxa"/>
            <w:tcBorders>
              <w:top w:val="single" w:color="auto" w:sz="4" w:space="0"/>
              <w:left w:val="single" w:color="auto" w:sz="4" w:space="0"/>
              <w:bottom w:val="single" w:color="auto" w:sz="4" w:space="0"/>
              <w:right w:val="single" w:color="auto" w:sz="4" w:space="0"/>
            </w:tcBorders>
            <w:vAlign w:val="center"/>
          </w:tcPr>
          <w:p w14:paraId="40F88A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36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top"/>
          </w:tcPr>
          <w:p w14:paraId="6D6C541E">
            <w:pPr>
              <w:rPr>
                <w:rFonts w:hint="eastAsia" w:ascii="宋体" w:hAnsi="宋体" w:eastAsia="宋体" w:cs="宋体"/>
                <w:color w:val="auto"/>
                <w:highlight w:val="none"/>
              </w:rPr>
            </w:pPr>
          </w:p>
        </w:tc>
        <w:tc>
          <w:tcPr>
            <w:tcW w:w="1568" w:type="dxa"/>
            <w:tcBorders>
              <w:top w:val="single" w:color="auto" w:sz="4" w:space="0"/>
              <w:left w:val="single" w:color="auto" w:sz="4" w:space="0"/>
              <w:bottom w:val="single" w:color="auto" w:sz="4" w:space="0"/>
              <w:right w:val="single" w:color="auto" w:sz="4" w:space="0"/>
            </w:tcBorders>
            <w:vAlign w:val="top"/>
          </w:tcPr>
          <w:p w14:paraId="197D82DE">
            <w:pPr>
              <w:rPr>
                <w:rFonts w:hint="eastAsia" w:ascii="宋体" w:hAnsi="宋体" w:eastAsia="宋体" w:cs="宋体"/>
                <w:color w:val="auto"/>
                <w:highlight w:val="none"/>
              </w:rPr>
            </w:pPr>
          </w:p>
        </w:tc>
        <w:tc>
          <w:tcPr>
            <w:tcW w:w="1184" w:type="dxa"/>
            <w:tcBorders>
              <w:top w:val="single" w:color="auto" w:sz="4" w:space="0"/>
              <w:left w:val="single" w:color="auto" w:sz="4" w:space="0"/>
              <w:bottom w:val="single" w:color="auto" w:sz="4" w:space="0"/>
              <w:right w:val="single" w:color="auto" w:sz="4" w:space="0"/>
            </w:tcBorders>
            <w:vAlign w:val="top"/>
          </w:tcPr>
          <w:p w14:paraId="09ED74EF">
            <w:pPr>
              <w:rPr>
                <w:rFonts w:hint="eastAsia" w:ascii="宋体" w:hAnsi="宋体" w:eastAsia="宋体" w:cs="宋体"/>
                <w:color w:val="auto"/>
                <w:highlight w:val="none"/>
              </w:rPr>
            </w:pPr>
          </w:p>
        </w:tc>
        <w:tc>
          <w:tcPr>
            <w:tcW w:w="877" w:type="dxa"/>
            <w:tcBorders>
              <w:top w:val="single" w:color="auto" w:sz="4" w:space="0"/>
              <w:left w:val="single" w:color="auto" w:sz="4" w:space="0"/>
              <w:bottom w:val="single" w:color="auto" w:sz="4" w:space="0"/>
              <w:right w:val="single" w:color="auto" w:sz="4" w:space="0"/>
            </w:tcBorders>
            <w:vAlign w:val="top"/>
          </w:tcPr>
          <w:p w14:paraId="38CA424C">
            <w:pPr>
              <w:rPr>
                <w:rFonts w:hint="eastAsia" w:ascii="宋体" w:hAnsi="宋体" w:eastAsia="宋体" w:cs="宋体"/>
                <w:color w:val="auto"/>
                <w:highlight w:val="none"/>
              </w:rPr>
            </w:pPr>
          </w:p>
        </w:tc>
        <w:tc>
          <w:tcPr>
            <w:tcW w:w="1336" w:type="dxa"/>
            <w:tcBorders>
              <w:top w:val="single" w:color="auto" w:sz="4" w:space="0"/>
              <w:left w:val="single" w:color="auto" w:sz="4" w:space="0"/>
              <w:bottom w:val="single" w:color="auto" w:sz="4" w:space="0"/>
              <w:right w:val="single" w:color="auto" w:sz="4" w:space="0"/>
            </w:tcBorders>
            <w:vAlign w:val="top"/>
          </w:tcPr>
          <w:p w14:paraId="41ACB56D">
            <w:pPr>
              <w:rPr>
                <w:rFonts w:hint="eastAsia" w:ascii="宋体" w:hAnsi="宋体" w:eastAsia="宋体" w:cs="宋体"/>
                <w:color w:val="auto"/>
                <w:highlight w:val="none"/>
              </w:rPr>
            </w:pPr>
          </w:p>
        </w:tc>
        <w:tc>
          <w:tcPr>
            <w:tcW w:w="1470" w:type="dxa"/>
            <w:tcBorders>
              <w:top w:val="single" w:color="auto" w:sz="4" w:space="0"/>
              <w:left w:val="single" w:color="auto" w:sz="4" w:space="0"/>
              <w:bottom w:val="single" w:color="auto" w:sz="4" w:space="0"/>
              <w:right w:val="single" w:color="auto" w:sz="4" w:space="0"/>
            </w:tcBorders>
            <w:vAlign w:val="top"/>
          </w:tcPr>
          <w:p w14:paraId="7E7E4C4D">
            <w:pPr>
              <w:rPr>
                <w:rFonts w:hint="eastAsia" w:ascii="宋体" w:hAnsi="宋体" w:eastAsia="宋体" w:cs="宋体"/>
                <w:color w:val="auto"/>
                <w:highlight w:val="none"/>
              </w:rPr>
            </w:pPr>
          </w:p>
        </w:tc>
        <w:tc>
          <w:tcPr>
            <w:tcW w:w="1607" w:type="dxa"/>
            <w:tcBorders>
              <w:top w:val="single" w:color="auto" w:sz="4" w:space="0"/>
              <w:left w:val="single" w:color="auto" w:sz="4" w:space="0"/>
              <w:bottom w:val="single" w:color="auto" w:sz="4" w:space="0"/>
              <w:right w:val="single" w:color="auto" w:sz="4" w:space="0"/>
            </w:tcBorders>
            <w:vAlign w:val="top"/>
          </w:tcPr>
          <w:p w14:paraId="57B8710D">
            <w:pPr>
              <w:rPr>
                <w:rFonts w:hint="eastAsia" w:ascii="宋体" w:hAnsi="宋体" w:eastAsia="宋体" w:cs="宋体"/>
                <w:color w:val="auto"/>
                <w:highlight w:val="none"/>
              </w:rPr>
            </w:pPr>
          </w:p>
        </w:tc>
        <w:tc>
          <w:tcPr>
            <w:tcW w:w="1486" w:type="dxa"/>
            <w:tcBorders>
              <w:top w:val="single" w:color="auto" w:sz="4" w:space="0"/>
              <w:left w:val="single" w:color="auto" w:sz="4" w:space="0"/>
              <w:bottom w:val="single" w:color="auto" w:sz="4" w:space="0"/>
              <w:right w:val="single" w:color="auto" w:sz="4" w:space="0"/>
            </w:tcBorders>
            <w:vAlign w:val="top"/>
          </w:tcPr>
          <w:p w14:paraId="15B13797">
            <w:pPr>
              <w:rPr>
                <w:rFonts w:hint="eastAsia" w:ascii="宋体" w:hAnsi="宋体" w:eastAsia="宋体" w:cs="宋体"/>
                <w:color w:val="auto"/>
                <w:highlight w:val="none"/>
              </w:rPr>
            </w:pPr>
          </w:p>
        </w:tc>
      </w:tr>
      <w:tr w14:paraId="04E4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466A5D9E">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3AAB916F">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CDDA4CF">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4FEFC44D">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46FFFE6E">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7EEBDE69">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592D69D4">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17BA26A8">
            <w:pPr>
              <w:spacing w:line="360" w:lineRule="auto"/>
              <w:jc w:val="center"/>
              <w:rPr>
                <w:rFonts w:hint="eastAsia" w:ascii="宋体" w:hAnsi="宋体" w:eastAsia="宋体" w:cs="宋体"/>
                <w:color w:val="auto"/>
                <w:sz w:val="21"/>
                <w:szCs w:val="21"/>
                <w:highlight w:val="none"/>
              </w:rPr>
            </w:pPr>
          </w:p>
        </w:tc>
      </w:tr>
      <w:tr w14:paraId="71F5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705FBE76">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379511F2">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84A40DF">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14D71F69">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5A2A7904">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4E1D3147">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5E9D581E">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32297DCF">
            <w:pPr>
              <w:spacing w:line="360" w:lineRule="auto"/>
              <w:jc w:val="center"/>
              <w:rPr>
                <w:rFonts w:hint="eastAsia" w:ascii="宋体" w:hAnsi="宋体" w:eastAsia="宋体" w:cs="宋体"/>
                <w:color w:val="auto"/>
                <w:sz w:val="21"/>
                <w:szCs w:val="21"/>
                <w:highlight w:val="none"/>
              </w:rPr>
            </w:pPr>
          </w:p>
        </w:tc>
      </w:tr>
      <w:tr w14:paraId="2E13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0257B85C">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54E0098F">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6E7B7A4">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79F06190">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7F5873BD">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31374F8B">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4E352405">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6A9AD28A">
            <w:pPr>
              <w:spacing w:line="360" w:lineRule="auto"/>
              <w:jc w:val="center"/>
              <w:rPr>
                <w:rFonts w:hint="eastAsia" w:ascii="宋体" w:hAnsi="宋体" w:eastAsia="宋体" w:cs="宋体"/>
                <w:color w:val="auto"/>
                <w:sz w:val="21"/>
                <w:szCs w:val="21"/>
                <w:highlight w:val="none"/>
              </w:rPr>
            </w:pPr>
          </w:p>
        </w:tc>
      </w:tr>
      <w:tr w14:paraId="79E8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310AA0D5">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7BCD4D08">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8EFFE28">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2DD619AE">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0C2298E7">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28854F54">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62675A9B">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6A0694CE">
            <w:pPr>
              <w:spacing w:line="360" w:lineRule="auto"/>
              <w:jc w:val="center"/>
              <w:rPr>
                <w:rFonts w:hint="eastAsia" w:ascii="宋体" w:hAnsi="宋体" w:eastAsia="宋体" w:cs="宋体"/>
                <w:color w:val="auto"/>
                <w:sz w:val="21"/>
                <w:szCs w:val="21"/>
                <w:highlight w:val="none"/>
              </w:rPr>
            </w:pPr>
          </w:p>
        </w:tc>
      </w:tr>
      <w:tr w14:paraId="69DF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70DB677B">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00AC41E1">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A778E8A">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14:paraId="2919B33D">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0599C6A0">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31ECFFBB">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29038EC2">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416AAE04">
            <w:pPr>
              <w:spacing w:line="360" w:lineRule="auto"/>
              <w:jc w:val="center"/>
              <w:rPr>
                <w:rFonts w:hint="eastAsia" w:ascii="宋体" w:hAnsi="宋体" w:eastAsia="宋体" w:cs="宋体"/>
                <w:color w:val="auto"/>
                <w:sz w:val="21"/>
                <w:szCs w:val="21"/>
                <w:highlight w:val="none"/>
              </w:rPr>
            </w:pPr>
          </w:p>
        </w:tc>
      </w:tr>
    </w:tbl>
    <w:p w14:paraId="3DA8E5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E07199E">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（1）此表格式供参照，</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可以根据本表格式内容自行划表填写。</w:t>
      </w:r>
    </w:p>
    <w:p w14:paraId="052D8CDE">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（2）驾龄按取得A2驾驶证的年份计算。</w:t>
      </w:r>
    </w:p>
    <w:p w14:paraId="1D6EC444">
      <w:pPr>
        <w:spacing w:line="360" w:lineRule="auto"/>
        <w:ind w:firstLine="283" w:firstLineChars="135"/>
        <w:rPr>
          <w:rFonts w:hint="eastAsia" w:ascii="宋体" w:hAnsi="宋体" w:eastAsia="宋体" w:cs="宋体"/>
          <w:color w:val="auto"/>
          <w:sz w:val="21"/>
          <w:szCs w:val="21"/>
          <w:highlight w:val="none"/>
        </w:rPr>
      </w:pPr>
    </w:p>
    <w:p w14:paraId="6890A638">
      <w:pPr>
        <w:rPr>
          <w:rFonts w:hint="eastAsia" w:ascii="宋体" w:hAnsi="宋体" w:eastAsia="宋体" w:cs="宋体"/>
          <w:b/>
          <w:color w:val="auto"/>
          <w:kern w:val="0"/>
          <w:sz w:val="30"/>
          <w:szCs w:val="30"/>
          <w:highlight w:val="none"/>
          <w:lang w:val="en-US" w:eastAsia="zh-CN"/>
        </w:rPr>
      </w:pPr>
      <w:bookmarkStart w:id="48" w:name="_Toc20593"/>
      <w:bookmarkStart w:id="49" w:name="_Toc8165"/>
      <w:bookmarkStart w:id="50" w:name="_Toc11292"/>
      <w:r>
        <w:rPr>
          <w:rFonts w:hint="eastAsia" w:ascii="宋体" w:hAnsi="宋体" w:eastAsia="宋体" w:cs="宋体"/>
          <w:b/>
          <w:color w:val="auto"/>
          <w:kern w:val="0"/>
          <w:sz w:val="30"/>
          <w:szCs w:val="30"/>
          <w:highlight w:val="none"/>
          <w:lang w:val="en-US" w:eastAsia="zh-CN"/>
        </w:rPr>
        <w:br w:type="page"/>
      </w:r>
    </w:p>
    <w:p w14:paraId="5475A102">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rPr>
      </w:pPr>
      <w:bookmarkStart w:id="51" w:name="_Toc17593"/>
      <w:r>
        <w:rPr>
          <w:rFonts w:hint="eastAsia" w:ascii="宋体" w:hAnsi="宋体" w:eastAsia="宋体" w:cs="宋体"/>
          <w:b/>
          <w:color w:val="auto"/>
          <w:kern w:val="0"/>
          <w:sz w:val="30"/>
          <w:szCs w:val="30"/>
          <w:highlight w:val="none"/>
          <w:lang w:val="en-US" w:eastAsia="zh-CN"/>
        </w:rPr>
        <w:t>（2）拟投入的</w:t>
      </w:r>
      <w:r>
        <w:rPr>
          <w:rFonts w:hint="eastAsia" w:ascii="宋体" w:hAnsi="宋体" w:eastAsia="宋体" w:cs="宋体"/>
          <w:b/>
          <w:color w:val="auto"/>
          <w:kern w:val="0"/>
          <w:sz w:val="30"/>
          <w:szCs w:val="30"/>
          <w:highlight w:val="none"/>
          <w:u w:val="single"/>
          <w:lang w:val="en-US" w:eastAsia="zh-CN"/>
        </w:rPr>
        <w:t>运输车辆</w:t>
      </w:r>
      <w:bookmarkEnd w:id="51"/>
    </w:p>
    <w:p w14:paraId="0E5FEF16">
      <w:pPr>
        <w:pStyle w:val="8"/>
        <w:jc w:val="left"/>
        <w:rPr>
          <w:rFonts w:hint="eastAsia" w:hAnsi="宋体" w:eastAsia="宋体" w:cs="Times New Roman"/>
          <w:color w:val="auto"/>
          <w:sz w:val="21"/>
          <w:szCs w:val="21"/>
          <w:highlight w:val="none"/>
          <w:lang w:val="en-US"/>
        </w:rPr>
      </w:pPr>
      <w:r>
        <w:rPr>
          <w:rFonts w:hint="eastAsia" w:hAnsi="宋体" w:eastAsia="宋体" w:cs="Times New Roman"/>
          <w:b w:val="0"/>
          <w:bCs w:val="0"/>
          <w:color w:val="auto"/>
          <w:sz w:val="21"/>
          <w:szCs w:val="21"/>
          <w:highlight w:val="none"/>
          <w:lang w:val="en-US"/>
        </w:rPr>
        <w:t>说明：应根据本项目采购内容和评标工作大纲技术评审细则的要求，自行编制。</w:t>
      </w:r>
    </w:p>
    <w:p w14:paraId="6939FA1B">
      <w:pPr>
        <w:pStyle w:val="9"/>
        <w:rPr>
          <w:rFonts w:hint="eastAsia"/>
          <w:color w:val="auto"/>
          <w:highlight w:val="none"/>
        </w:rPr>
      </w:pPr>
    </w:p>
    <w:tbl>
      <w:tblPr>
        <w:tblStyle w:val="25"/>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507"/>
        <w:gridCol w:w="957"/>
        <w:gridCol w:w="1245"/>
        <w:gridCol w:w="1425"/>
        <w:gridCol w:w="819"/>
        <w:gridCol w:w="1511"/>
        <w:gridCol w:w="1044"/>
      </w:tblGrid>
      <w:tr w14:paraId="3BCC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908" w:type="dxa"/>
            <w:vAlign w:val="center"/>
          </w:tcPr>
          <w:p w14:paraId="6C3151BE">
            <w:pPr>
              <w:pStyle w:val="6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07" w:type="dxa"/>
            <w:vAlign w:val="center"/>
          </w:tcPr>
          <w:p w14:paraId="652AAF35">
            <w:pPr>
              <w:pStyle w:val="6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车牌号（半挂牵引车+半挂车组合车型的，需同时提供牵引车和半挂车车牌号）</w:t>
            </w:r>
          </w:p>
        </w:tc>
        <w:tc>
          <w:tcPr>
            <w:tcW w:w="957" w:type="dxa"/>
            <w:vAlign w:val="center"/>
          </w:tcPr>
          <w:p w14:paraId="484A667B">
            <w:pPr>
              <w:pStyle w:val="6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所有人</w:t>
            </w:r>
          </w:p>
        </w:tc>
        <w:tc>
          <w:tcPr>
            <w:tcW w:w="1245" w:type="dxa"/>
            <w:vAlign w:val="center"/>
          </w:tcPr>
          <w:p w14:paraId="72790C8E">
            <w:pPr>
              <w:pStyle w:val="6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货车类型</w:t>
            </w:r>
          </w:p>
        </w:tc>
        <w:tc>
          <w:tcPr>
            <w:tcW w:w="1425" w:type="dxa"/>
            <w:vAlign w:val="center"/>
          </w:tcPr>
          <w:p w14:paraId="4D362C12">
            <w:pPr>
              <w:pStyle w:val="6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核定载质量（吨）</w:t>
            </w:r>
          </w:p>
        </w:tc>
        <w:tc>
          <w:tcPr>
            <w:tcW w:w="819" w:type="dxa"/>
            <w:vAlign w:val="center"/>
          </w:tcPr>
          <w:p w14:paraId="24EE462B">
            <w:pPr>
              <w:pStyle w:val="6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强制报废期止</w:t>
            </w:r>
            <w:r>
              <w:rPr>
                <w:rFonts w:hint="eastAsia" w:ascii="宋体" w:hAnsi="宋体" w:eastAsia="宋体" w:cs="宋体"/>
                <w:color w:val="auto"/>
                <w:sz w:val="21"/>
                <w:szCs w:val="21"/>
                <w:highlight w:val="none"/>
                <w:lang w:val="en-US" w:eastAsia="zh-CN"/>
              </w:rPr>
              <w:t>时间</w:t>
            </w:r>
          </w:p>
        </w:tc>
        <w:tc>
          <w:tcPr>
            <w:tcW w:w="1511" w:type="dxa"/>
            <w:vAlign w:val="center"/>
          </w:tcPr>
          <w:p w14:paraId="774C7A81">
            <w:pPr>
              <w:pStyle w:val="6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是否可直接用于污泥（含水率约80%）运输</w:t>
            </w:r>
          </w:p>
        </w:tc>
        <w:tc>
          <w:tcPr>
            <w:tcW w:w="1044" w:type="dxa"/>
            <w:vAlign w:val="center"/>
          </w:tcPr>
          <w:p w14:paraId="69800805">
            <w:pPr>
              <w:pStyle w:val="6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9EE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8" w:type="dxa"/>
            <w:vAlign w:val="top"/>
          </w:tcPr>
          <w:p w14:paraId="0C40EDDC">
            <w:pPr>
              <w:pStyle w:val="68"/>
              <w:rPr>
                <w:rFonts w:hint="eastAsia" w:ascii="宋体" w:hAnsi="宋体" w:eastAsia="宋体" w:cs="宋体"/>
                <w:color w:val="auto"/>
                <w:highlight w:val="none"/>
              </w:rPr>
            </w:pPr>
          </w:p>
        </w:tc>
        <w:tc>
          <w:tcPr>
            <w:tcW w:w="2507" w:type="dxa"/>
            <w:vAlign w:val="top"/>
          </w:tcPr>
          <w:p w14:paraId="5BEFF569">
            <w:pPr>
              <w:pStyle w:val="68"/>
              <w:rPr>
                <w:rFonts w:hint="eastAsia" w:ascii="宋体" w:hAnsi="宋体" w:eastAsia="宋体" w:cs="宋体"/>
                <w:color w:val="auto"/>
                <w:highlight w:val="none"/>
              </w:rPr>
            </w:pPr>
          </w:p>
        </w:tc>
        <w:tc>
          <w:tcPr>
            <w:tcW w:w="957" w:type="dxa"/>
            <w:vAlign w:val="top"/>
          </w:tcPr>
          <w:p w14:paraId="18D9D19E">
            <w:pPr>
              <w:pStyle w:val="68"/>
              <w:rPr>
                <w:rFonts w:hint="eastAsia" w:ascii="宋体" w:hAnsi="宋体" w:eastAsia="宋体" w:cs="宋体"/>
                <w:color w:val="auto"/>
                <w:highlight w:val="none"/>
              </w:rPr>
            </w:pPr>
          </w:p>
        </w:tc>
        <w:tc>
          <w:tcPr>
            <w:tcW w:w="1245" w:type="dxa"/>
            <w:vAlign w:val="top"/>
          </w:tcPr>
          <w:p w14:paraId="78980630">
            <w:pPr>
              <w:pStyle w:val="68"/>
              <w:rPr>
                <w:rFonts w:hint="eastAsia" w:ascii="宋体" w:hAnsi="宋体" w:eastAsia="宋体" w:cs="宋体"/>
                <w:color w:val="auto"/>
                <w:highlight w:val="none"/>
              </w:rPr>
            </w:pPr>
          </w:p>
        </w:tc>
        <w:tc>
          <w:tcPr>
            <w:tcW w:w="1425" w:type="dxa"/>
            <w:vAlign w:val="top"/>
          </w:tcPr>
          <w:p w14:paraId="4337824E">
            <w:pPr>
              <w:pStyle w:val="68"/>
              <w:rPr>
                <w:rFonts w:hint="eastAsia" w:ascii="宋体" w:hAnsi="宋体" w:eastAsia="宋体" w:cs="宋体"/>
                <w:color w:val="auto"/>
                <w:highlight w:val="none"/>
              </w:rPr>
            </w:pPr>
          </w:p>
        </w:tc>
        <w:tc>
          <w:tcPr>
            <w:tcW w:w="819" w:type="dxa"/>
            <w:vAlign w:val="top"/>
          </w:tcPr>
          <w:p w14:paraId="01C24B78">
            <w:pPr>
              <w:pStyle w:val="68"/>
              <w:rPr>
                <w:rFonts w:hint="eastAsia" w:ascii="宋体" w:hAnsi="宋体" w:eastAsia="宋体" w:cs="宋体"/>
                <w:color w:val="auto"/>
                <w:highlight w:val="none"/>
              </w:rPr>
            </w:pPr>
          </w:p>
        </w:tc>
        <w:tc>
          <w:tcPr>
            <w:tcW w:w="1511" w:type="dxa"/>
            <w:vAlign w:val="top"/>
          </w:tcPr>
          <w:p w14:paraId="7E11D4BE">
            <w:pPr>
              <w:pStyle w:val="68"/>
              <w:rPr>
                <w:rFonts w:hint="eastAsia" w:ascii="宋体" w:hAnsi="宋体" w:eastAsia="宋体" w:cs="宋体"/>
                <w:color w:val="auto"/>
                <w:highlight w:val="none"/>
              </w:rPr>
            </w:pPr>
          </w:p>
        </w:tc>
        <w:tc>
          <w:tcPr>
            <w:tcW w:w="1044" w:type="dxa"/>
            <w:vAlign w:val="top"/>
          </w:tcPr>
          <w:p w14:paraId="4D0604F9">
            <w:pPr>
              <w:pStyle w:val="68"/>
              <w:rPr>
                <w:rFonts w:hint="eastAsia" w:ascii="宋体" w:hAnsi="宋体" w:eastAsia="宋体" w:cs="宋体"/>
                <w:color w:val="auto"/>
                <w:highlight w:val="none"/>
              </w:rPr>
            </w:pPr>
          </w:p>
        </w:tc>
      </w:tr>
      <w:tr w14:paraId="7396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8" w:type="dxa"/>
            <w:vAlign w:val="top"/>
          </w:tcPr>
          <w:p w14:paraId="79D41549">
            <w:pPr>
              <w:pStyle w:val="68"/>
              <w:rPr>
                <w:rFonts w:hint="eastAsia" w:ascii="宋体" w:hAnsi="宋体" w:eastAsia="宋体" w:cs="宋体"/>
                <w:color w:val="auto"/>
                <w:highlight w:val="none"/>
              </w:rPr>
            </w:pPr>
          </w:p>
        </w:tc>
        <w:tc>
          <w:tcPr>
            <w:tcW w:w="2507" w:type="dxa"/>
            <w:vAlign w:val="top"/>
          </w:tcPr>
          <w:p w14:paraId="0159224D">
            <w:pPr>
              <w:pStyle w:val="68"/>
              <w:rPr>
                <w:rFonts w:hint="eastAsia" w:ascii="宋体" w:hAnsi="宋体" w:eastAsia="宋体" w:cs="宋体"/>
                <w:color w:val="auto"/>
                <w:highlight w:val="none"/>
              </w:rPr>
            </w:pPr>
          </w:p>
        </w:tc>
        <w:tc>
          <w:tcPr>
            <w:tcW w:w="957" w:type="dxa"/>
            <w:vAlign w:val="top"/>
          </w:tcPr>
          <w:p w14:paraId="7A8D7414">
            <w:pPr>
              <w:pStyle w:val="68"/>
              <w:rPr>
                <w:rFonts w:hint="eastAsia" w:ascii="宋体" w:hAnsi="宋体" w:eastAsia="宋体" w:cs="宋体"/>
                <w:color w:val="auto"/>
                <w:highlight w:val="none"/>
              </w:rPr>
            </w:pPr>
          </w:p>
        </w:tc>
        <w:tc>
          <w:tcPr>
            <w:tcW w:w="1245" w:type="dxa"/>
            <w:vAlign w:val="top"/>
          </w:tcPr>
          <w:p w14:paraId="4560744C">
            <w:pPr>
              <w:pStyle w:val="68"/>
              <w:rPr>
                <w:rFonts w:hint="eastAsia" w:ascii="宋体" w:hAnsi="宋体" w:eastAsia="宋体" w:cs="宋体"/>
                <w:color w:val="auto"/>
                <w:highlight w:val="none"/>
              </w:rPr>
            </w:pPr>
          </w:p>
        </w:tc>
        <w:tc>
          <w:tcPr>
            <w:tcW w:w="1425" w:type="dxa"/>
            <w:vAlign w:val="top"/>
          </w:tcPr>
          <w:p w14:paraId="4B30183A">
            <w:pPr>
              <w:pStyle w:val="68"/>
              <w:rPr>
                <w:rFonts w:hint="eastAsia" w:ascii="宋体" w:hAnsi="宋体" w:eastAsia="宋体" w:cs="宋体"/>
                <w:color w:val="auto"/>
                <w:highlight w:val="none"/>
              </w:rPr>
            </w:pPr>
          </w:p>
        </w:tc>
        <w:tc>
          <w:tcPr>
            <w:tcW w:w="819" w:type="dxa"/>
            <w:vAlign w:val="top"/>
          </w:tcPr>
          <w:p w14:paraId="613F858D">
            <w:pPr>
              <w:pStyle w:val="68"/>
              <w:rPr>
                <w:rFonts w:hint="eastAsia" w:ascii="宋体" w:hAnsi="宋体" w:eastAsia="宋体" w:cs="宋体"/>
                <w:color w:val="auto"/>
                <w:highlight w:val="none"/>
              </w:rPr>
            </w:pPr>
          </w:p>
        </w:tc>
        <w:tc>
          <w:tcPr>
            <w:tcW w:w="1511" w:type="dxa"/>
            <w:vAlign w:val="top"/>
          </w:tcPr>
          <w:p w14:paraId="1EAE048B">
            <w:pPr>
              <w:pStyle w:val="68"/>
              <w:rPr>
                <w:rFonts w:hint="eastAsia" w:ascii="宋体" w:hAnsi="宋体" w:eastAsia="宋体" w:cs="宋体"/>
                <w:color w:val="auto"/>
                <w:highlight w:val="none"/>
              </w:rPr>
            </w:pPr>
          </w:p>
        </w:tc>
        <w:tc>
          <w:tcPr>
            <w:tcW w:w="1044" w:type="dxa"/>
            <w:vAlign w:val="top"/>
          </w:tcPr>
          <w:p w14:paraId="37C81BB8">
            <w:pPr>
              <w:pStyle w:val="68"/>
              <w:rPr>
                <w:rFonts w:hint="eastAsia" w:ascii="宋体" w:hAnsi="宋体" w:eastAsia="宋体" w:cs="宋体"/>
                <w:color w:val="auto"/>
                <w:highlight w:val="none"/>
              </w:rPr>
            </w:pPr>
          </w:p>
        </w:tc>
      </w:tr>
      <w:tr w14:paraId="283E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8" w:type="dxa"/>
            <w:vAlign w:val="top"/>
          </w:tcPr>
          <w:p w14:paraId="755E5E50">
            <w:pPr>
              <w:pStyle w:val="68"/>
              <w:rPr>
                <w:rFonts w:hint="eastAsia" w:ascii="宋体" w:hAnsi="宋体" w:eastAsia="宋体" w:cs="宋体"/>
                <w:color w:val="auto"/>
                <w:highlight w:val="none"/>
              </w:rPr>
            </w:pPr>
          </w:p>
        </w:tc>
        <w:tc>
          <w:tcPr>
            <w:tcW w:w="2507" w:type="dxa"/>
            <w:vAlign w:val="top"/>
          </w:tcPr>
          <w:p w14:paraId="56863141">
            <w:pPr>
              <w:pStyle w:val="68"/>
              <w:rPr>
                <w:rFonts w:hint="eastAsia" w:ascii="宋体" w:hAnsi="宋体" w:eastAsia="宋体" w:cs="宋体"/>
                <w:color w:val="auto"/>
                <w:highlight w:val="none"/>
              </w:rPr>
            </w:pPr>
          </w:p>
        </w:tc>
        <w:tc>
          <w:tcPr>
            <w:tcW w:w="957" w:type="dxa"/>
            <w:vAlign w:val="top"/>
          </w:tcPr>
          <w:p w14:paraId="0480E2A1">
            <w:pPr>
              <w:pStyle w:val="68"/>
              <w:rPr>
                <w:rFonts w:hint="eastAsia" w:ascii="宋体" w:hAnsi="宋体" w:eastAsia="宋体" w:cs="宋体"/>
                <w:color w:val="auto"/>
                <w:highlight w:val="none"/>
              </w:rPr>
            </w:pPr>
          </w:p>
        </w:tc>
        <w:tc>
          <w:tcPr>
            <w:tcW w:w="1245" w:type="dxa"/>
            <w:vAlign w:val="top"/>
          </w:tcPr>
          <w:p w14:paraId="2350D17E">
            <w:pPr>
              <w:pStyle w:val="68"/>
              <w:rPr>
                <w:rFonts w:hint="eastAsia" w:ascii="宋体" w:hAnsi="宋体" w:eastAsia="宋体" w:cs="宋体"/>
                <w:color w:val="auto"/>
                <w:highlight w:val="none"/>
              </w:rPr>
            </w:pPr>
          </w:p>
        </w:tc>
        <w:tc>
          <w:tcPr>
            <w:tcW w:w="1425" w:type="dxa"/>
            <w:vAlign w:val="top"/>
          </w:tcPr>
          <w:p w14:paraId="44C7868C">
            <w:pPr>
              <w:pStyle w:val="68"/>
              <w:rPr>
                <w:rFonts w:hint="eastAsia" w:ascii="宋体" w:hAnsi="宋体" w:eastAsia="宋体" w:cs="宋体"/>
                <w:color w:val="auto"/>
                <w:highlight w:val="none"/>
              </w:rPr>
            </w:pPr>
          </w:p>
        </w:tc>
        <w:tc>
          <w:tcPr>
            <w:tcW w:w="819" w:type="dxa"/>
            <w:vAlign w:val="top"/>
          </w:tcPr>
          <w:p w14:paraId="3BFC0DCB">
            <w:pPr>
              <w:pStyle w:val="68"/>
              <w:rPr>
                <w:rFonts w:hint="eastAsia" w:ascii="宋体" w:hAnsi="宋体" w:eastAsia="宋体" w:cs="宋体"/>
                <w:color w:val="auto"/>
                <w:highlight w:val="none"/>
              </w:rPr>
            </w:pPr>
          </w:p>
        </w:tc>
        <w:tc>
          <w:tcPr>
            <w:tcW w:w="1511" w:type="dxa"/>
            <w:vAlign w:val="top"/>
          </w:tcPr>
          <w:p w14:paraId="32A195A0">
            <w:pPr>
              <w:pStyle w:val="68"/>
              <w:rPr>
                <w:rFonts w:hint="eastAsia" w:ascii="宋体" w:hAnsi="宋体" w:eastAsia="宋体" w:cs="宋体"/>
                <w:color w:val="auto"/>
                <w:highlight w:val="none"/>
              </w:rPr>
            </w:pPr>
          </w:p>
        </w:tc>
        <w:tc>
          <w:tcPr>
            <w:tcW w:w="1044" w:type="dxa"/>
            <w:vAlign w:val="top"/>
          </w:tcPr>
          <w:p w14:paraId="604D2004">
            <w:pPr>
              <w:pStyle w:val="68"/>
              <w:rPr>
                <w:rFonts w:hint="eastAsia" w:ascii="宋体" w:hAnsi="宋体" w:eastAsia="宋体" w:cs="宋体"/>
                <w:color w:val="auto"/>
                <w:highlight w:val="none"/>
              </w:rPr>
            </w:pPr>
          </w:p>
        </w:tc>
      </w:tr>
      <w:tr w14:paraId="02C8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8" w:type="dxa"/>
            <w:vAlign w:val="top"/>
          </w:tcPr>
          <w:p w14:paraId="1216BE51">
            <w:pPr>
              <w:pStyle w:val="68"/>
              <w:rPr>
                <w:rFonts w:hint="eastAsia" w:ascii="宋体" w:hAnsi="宋体" w:eastAsia="宋体" w:cs="宋体"/>
                <w:color w:val="auto"/>
                <w:highlight w:val="none"/>
              </w:rPr>
            </w:pPr>
          </w:p>
        </w:tc>
        <w:tc>
          <w:tcPr>
            <w:tcW w:w="2507" w:type="dxa"/>
            <w:vAlign w:val="top"/>
          </w:tcPr>
          <w:p w14:paraId="01730FC3">
            <w:pPr>
              <w:pStyle w:val="68"/>
              <w:rPr>
                <w:rFonts w:hint="eastAsia" w:ascii="宋体" w:hAnsi="宋体" w:eastAsia="宋体" w:cs="宋体"/>
                <w:color w:val="auto"/>
                <w:highlight w:val="none"/>
              </w:rPr>
            </w:pPr>
          </w:p>
        </w:tc>
        <w:tc>
          <w:tcPr>
            <w:tcW w:w="957" w:type="dxa"/>
            <w:vAlign w:val="top"/>
          </w:tcPr>
          <w:p w14:paraId="206CEA64">
            <w:pPr>
              <w:pStyle w:val="68"/>
              <w:rPr>
                <w:rFonts w:hint="eastAsia" w:ascii="宋体" w:hAnsi="宋体" w:eastAsia="宋体" w:cs="宋体"/>
                <w:color w:val="auto"/>
                <w:highlight w:val="none"/>
              </w:rPr>
            </w:pPr>
          </w:p>
        </w:tc>
        <w:tc>
          <w:tcPr>
            <w:tcW w:w="1245" w:type="dxa"/>
            <w:vAlign w:val="top"/>
          </w:tcPr>
          <w:p w14:paraId="7CC14775">
            <w:pPr>
              <w:pStyle w:val="68"/>
              <w:rPr>
                <w:rFonts w:hint="eastAsia" w:ascii="宋体" w:hAnsi="宋体" w:eastAsia="宋体" w:cs="宋体"/>
                <w:color w:val="auto"/>
                <w:highlight w:val="none"/>
              </w:rPr>
            </w:pPr>
          </w:p>
        </w:tc>
        <w:tc>
          <w:tcPr>
            <w:tcW w:w="1425" w:type="dxa"/>
            <w:vAlign w:val="top"/>
          </w:tcPr>
          <w:p w14:paraId="5EA71247">
            <w:pPr>
              <w:pStyle w:val="68"/>
              <w:rPr>
                <w:rFonts w:hint="eastAsia" w:ascii="宋体" w:hAnsi="宋体" w:eastAsia="宋体" w:cs="宋体"/>
                <w:color w:val="auto"/>
                <w:highlight w:val="none"/>
              </w:rPr>
            </w:pPr>
          </w:p>
        </w:tc>
        <w:tc>
          <w:tcPr>
            <w:tcW w:w="819" w:type="dxa"/>
            <w:vAlign w:val="top"/>
          </w:tcPr>
          <w:p w14:paraId="2BBF81B6">
            <w:pPr>
              <w:pStyle w:val="68"/>
              <w:rPr>
                <w:rFonts w:hint="eastAsia" w:ascii="宋体" w:hAnsi="宋体" w:eastAsia="宋体" w:cs="宋体"/>
                <w:color w:val="auto"/>
                <w:highlight w:val="none"/>
              </w:rPr>
            </w:pPr>
          </w:p>
        </w:tc>
        <w:tc>
          <w:tcPr>
            <w:tcW w:w="1511" w:type="dxa"/>
            <w:vAlign w:val="top"/>
          </w:tcPr>
          <w:p w14:paraId="266E3CBC">
            <w:pPr>
              <w:pStyle w:val="68"/>
              <w:rPr>
                <w:rFonts w:hint="eastAsia" w:ascii="宋体" w:hAnsi="宋体" w:eastAsia="宋体" w:cs="宋体"/>
                <w:color w:val="auto"/>
                <w:highlight w:val="none"/>
              </w:rPr>
            </w:pPr>
          </w:p>
        </w:tc>
        <w:tc>
          <w:tcPr>
            <w:tcW w:w="1044" w:type="dxa"/>
            <w:vAlign w:val="top"/>
          </w:tcPr>
          <w:p w14:paraId="54A443CB">
            <w:pPr>
              <w:pStyle w:val="68"/>
              <w:rPr>
                <w:rFonts w:hint="eastAsia" w:ascii="宋体" w:hAnsi="宋体" w:eastAsia="宋体" w:cs="宋体"/>
                <w:color w:val="auto"/>
                <w:highlight w:val="none"/>
              </w:rPr>
            </w:pPr>
          </w:p>
        </w:tc>
      </w:tr>
      <w:tr w14:paraId="764E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8" w:type="dxa"/>
            <w:vAlign w:val="top"/>
          </w:tcPr>
          <w:p w14:paraId="7C9EDFAD">
            <w:pPr>
              <w:pStyle w:val="68"/>
              <w:rPr>
                <w:rFonts w:hint="eastAsia" w:ascii="宋体" w:hAnsi="宋体" w:eastAsia="宋体" w:cs="宋体"/>
                <w:color w:val="auto"/>
                <w:highlight w:val="none"/>
              </w:rPr>
            </w:pPr>
          </w:p>
        </w:tc>
        <w:tc>
          <w:tcPr>
            <w:tcW w:w="2507" w:type="dxa"/>
            <w:vAlign w:val="top"/>
          </w:tcPr>
          <w:p w14:paraId="35448573">
            <w:pPr>
              <w:pStyle w:val="68"/>
              <w:rPr>
                <w:rFonts w:hint="eastAsia" w:ascii="宋体" w:hAnsi="宋体" w:eastAsia="宋体" w:cs="宋体"/>
                <w:color w:val="auto"/>
                <w:highlight w:val="none"/>
              </w:rPr>
            </w:pPr>
          </w:p>
        </w:tc>
        <w:tc>
          <w:tcPr>
            <w:tcW w:w="957" w:type="dxa"/>
            <w:vAlign w:val="top"/>
          </w:tcPr>
          <w:p w14:paraId="21E57081">
            <w:pPr>
              <w:pStyle w:val="68"/>
              <w:rPr>
                <w:rFonts w:hint="eastAsia" w:ascii="宋体" w:hAnsi="宋体" w:eastAsia="宋体" w:cs="宋体"/>
                <w:color w:val="auto"/>
                <w:highlight w:val="none"/>
              </w:rPr>
            </w:pPr>
          </w:p>
        </w:tc>
        <w:tc>
          <w:tcPr>
            <w:tcW w:w="1245" w:type="dxa"/>
            <w:vAlign w:val="top"/>
          </w:tcPr>
          <w:p w14:paraId="0B2BBE70">
            <w:pPr>
              <w:pStyle w:val="68"/>
              <w:rPr>
                <w:rFonts w:hint="eastAsia" w:ascii="宋体" w:hAnsi="宋体" w:eastAsia="宋体" w:cs="宋体"/>
                <w:color w:val="auto"/>
                <w:highlight w:val="none"/>
              </w:rPr>
            </w:pPr>
          </w:p>
        </w:tc>
        <w:tc>
          <w:tcPr>
            <w:tcW w:w="1425" w:type="dxa"/>
            <w:vAlign w:val="top"/>
          </w:tcPr>
          <w:p w14:paraId="4EB43A3F">
            <w:pPr>
              <w:pStyle w:val="68"/>
              <w:rPr>
                <w:rFonts w:hint="eastAsia" w:ascii="宋体" w:hAnsi="宋体" w:eastAsia="宋体" w:cs="宋体"/>
                <w:color w:val="auto"/>
                <w:highlight w:val="none"/>
              </w:rPr>
            </w:pPr>
          </w:p>
        </w:tc>
        <w:tc>
          <w:tcPr>
            <w:tcW w:w="819" w:type="dxa"/>
            <w:vAlign w:val="top"/>
          </w:tcPr>
          <w:p w14:paraId="5DC4E97A">
            <w:pPr>
              <w:pStyle w:val="68"/>
              <w:rPr>
                <w:rFonts w:hint="eastAsia" w:ascii="宋体" w:hAnsi="宋体" w:eastAsia="宋体" w:cs="宋体"/>
                <w:color w:val="auto"/>
                <w:highlight w:val="none"/>
              </w:rPr>
            </w:pPr>
          </w:p>
        </w:tc>
        <w:tc>
          <w:tcPr>
            <w:tcW w:w="1511" w:type="dxa"/>
            <w:vAlign w:val="top"/>
          </w:tcPr>
          <w:p w14:paraId="576A9A0F">
            <w:pPr>
              <w:pStyle w:val="68"/>
              <w:rPr>
                <w:rFonts w:hint="eastAsia" w:ascii="宋体" w:hAnsi="宋体" w:eastAsia="宋体" w:cs="宋体"/>
                <w:color w:val="auto"/>
                <w:highlight w:val="none"/>
              </w:rPr>
            </w:pPr>
          </w:p>
        </w:tc>
        <w:tc>
          <w:tcPr>
            <w:tcW w:w="1044" w:type="dxa"/>
            <w:vAlign w:val="top"/>
          </w:tcPr>
          <w:p w14:paraId="200ABB43">
            <w:pPr>
              <w:pStyle w:val="68"/>
              <w:rPr>
                <w:rFonts w:hint="eastAsia" w:ascii="宋体" w:hAnsi="宋体" w:eastAsia="宋体" w:cs="宋体"/>
                <w:color w:val="auto"/>
                <w:highlight w:val="none"/>
              </w:rPr>
            </w:pPr>
          </w:p>
        </w:tc>
      </w:tr>
      <w:tr w14:paraId="2666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8" w:type="dxa"/>
            <w:vAlign w:val="top"/>
          </w:tcPr>
          <w:p w14:paraId="201DABD0">
            <w:pPr>
              <w:pStyle w:val="68"/>
              <w:rPr>
                <w:rFonts w:hint="eastAsia" w:ascii="宋体" w:hAnsi="宋体" w:eastAsia="宋体" w:cs="宋体"/>
                <w:color w:val="auto"/>
                <w:highlight w:val="none"/>
              </w:rPr>
            </w:pPr>
          </w:p>
        </w:tc>
        <w:tc>
          <w:tcPr>
            <w:tcW w:w="2507" w:type="dxa"/>
            <w:vAlign w:val="top"/>
          </w:tcPr>
          <w:p w14:paraId="3FF0797D">
            <w:pPr>
              <w:pStyle w:val="68"/>
              <w:rPr>
                <w:rFonts w:hint="eastAsia" w:ascii="宋体" w:hAnsi="宋体" w:eastAsia="宋体" w:cs="宋体"/>
                <w:color w:val="auto"/>
                <w:highlight w:val="none"/>
              </w:rPr>
            </w:pPr>
          </w:p>
        </w:tc>
        <w:tc>
          <w:tcPr>
            <w:tcW w:w="957" w:type="dxa"/>
            <w:vAlign w:val="top"/>
          </w:tcPr>
          <w:p w14:paraId="24E2730D">
            <w:pPr>
              <w:pStyle w:val="68"/>
              <w:rPr>
                <w:rFonts w:hint="eastAsia" w:ascii="宋体" w:hAnsi="宋体" w:eastAsia="宋体" w:cs="宋体"/>
                <w:color w:val="auto"/>
                <w:highlight w:val="none"/>
              </w:rPr>
            </w:pPr>
          </w:p>
        </w:tc>
        <w:tc>
          <w:tcPr>
            <w:tcW w:w="1245" w:type="dxa"/>
            <w:vAlign w:val="top"/>
          </w:tcPr>
          <w:p w14:paraId="3D1E7B34">
            <w:pPr>
              <w:pStyle w:val="68"/>
              <w:rPr>
                <w:rFonts w:hint="eastAsia" w:ascii="宋体" w:hAnsi="宋体" w:eastAsia="宋体" w:cs="宋体"/>
                <w:color w:val="auto"/>
                <w:highlight w:val="none"/>
              </w:rPr>
            </w:pPr>
          </w:p>
        </w:tc>
        <w:tc>
          <w:tcPr>
            <w:tcW w:w="1425" w:type="dxa"/>
            <w:vAlign w:val="top"/>
          </w:tcPr>
          <w:p w14:paraId="21E1E550">
            <w:pPr>
              <w:pStyle w:val="68"/>
              <w:rPr>
                <w:rFonts w:hint="eastAsia" w:ascii="宋体" w:hAnsi="宋体" w:eastAsia="宋体" w:cs="宋体"/>
                <w:color w:val="auto"/>
                <w:highlight w:val="none"/>
              </w:rPr>
            </w:pPr>
          </w:p>
        </w:tc>
        <w:tc>
          <w:tcPr>
            <w:tcW w:w="819" w:type="dxa"/>
            <w:vAlign w:val="top"/>
          </w:tcPr>
          <w:p w14:paraId="5C500155">
            <w:pPr>
              <w:pStyle w:val="68"/>
              <w:rPr>
                <w:rFonts w:hint="eastAsia" w:ascii="宋体" w:hAnsi="宋体" w:eastAsia="宋体" w:cs="宋体"/>
                <w:color w:val="auto"/>
                <w:highlight w:val="none"/>
              </w:rPr>
            </w:pPr>
          </w:p>
        </w:tc>
        <w:tc>
          <w:tcPr>
            <w:tcW w:w="1511" w:type="dxa"/>
            <w:vAlign w:val="top"/>
          </w:tcPr>
          <w:p w14:paraId="25A508F5">
            <w:pPr>
              <w:pStyle w:val="68"/>
              <w:rPr>
                <w:rFonts w:hint="eastAsia" w:ascii="宋体" w:hAnsi="宋体" w:eastAsia="宋体" w:cs="宋体"/>
                <w:color w:val="auto"/>
                <w:highlight w:val="none"/>
              </w:rPr>
            </w:pPr>
          </w:p>
        </w:tc>
        <w:tc>
          <w:tcPr>
            <w:tcW w:w="1044" w:type="dxa"/>
            <w:vAlign w:val="top"/>
          </w:tcPr>
          <w:p w14:paraId="2FA3FFBA">
            <w:pPr>
              <w:pStyle w:val="68"/>
              <w:rPr>
                <w:rFonts w:hint="eastAsia" w:ascii="宋体" w:hAnsi="宋体" w:eastAsia="宋体" w:cs="宋体"/>
                <w:color w:val="auto"/>
                <w:highlight w:val="none"/>
              </w:rPr>
            </w:pPr>
          </w:p>
        </w:tc>
      </w:tr>
      <w:tr w14:paraId="3EC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Align w:val="top"/>
          </w:tcPr>
          <w:p w14:paraId="4AB924F4">
            <w:pPr>
              <w:pStyle w:val="68"/>
              <w:rPr>
                <w:rFonts w:hint="eastAsia" w:ascii="宋体" w:hAnsi="宋体" w:eastAsia="宋体" w:cs="宋体"/>
                <w:color w:val="auto"/>
                <w:highlight w:val="none"/>
              </w:rPr>
            </w:pPr>
          </w:p>
        </w:tc>
        <w:tc>
          <w:tcPr>
            <w:tcW w:w="2507" w:type="dxa"/>
            <w:vAlign w:val="top"/>
          </w:tcPr>
          <w:p w14:paraId="2127D92A">
            <w:pPr>
              <w:pStyle w:val="68"/>
              <w:rPr>
                <w:rFonts w:hint="eastAsia" w:ascii="宋体" w:hAnsi="宋体" w:eastAsia="宋体" w:cs="宋体"/>
                <w:color w:val="auto"/>
                <w:highlight w:val="none"/>
              </w:rPr>
            </w:pPr>
          </w:p>
        </w:tc>
        <w:tc>
          <w:tcPr>
            <w:tcW w:w="957" w:type="dxa"/>
            <w:vAlign w:val="top"/>
          </w:tcPr>
          <w:p w14:paraId="69FBA80B">
            <w:pPr>
              <w:pStyle w:val="68"/>
              <w:rPr>
                <w:rFonts w:hint="eastAsia" w:ascii="宋体" w:hAnsi="宋体" w:eastAsia="宋体" w:cs="宋体"/>
                <w:color w:val="auto"/>
                <w:highlight w:val="none"/>
              </w:rPr>
            </w:pPr>
          </w:p>
        </w:tc>
        <w:tc>
          <w:tcPr>
            <w:tcW w:w="1245" w:type="dxa"/>
            <w:vAlign w:val="top"/>
          </w:tcPr>
          <w:p w14:paraId="142E1BB7">
            <w:pPr>
              <w:pStyle w:val="68"/>
              <w:rPr>
                <w:rFonts w:hint="eastAsia" w:ascii="宋体" w:hAnsi="宋体" w:eastAsia="宋体" w:cs="宋体"/>
                <w:color w:val="auto"/>
                <w:highlight w:val="none"/>
              </w:rPr>
            </w:pPr>
          </w:p>
        </w:tc>
        <w:tc>
          <w:tcPr>
            <w:tcW w:w="1425" w:type="dxa"/>
            <w:vAlign w:val="top"/>
          </w:tcPr>
          <w:p w14:paraId="1B64F1FD">
            <w:pPr>
              <w:pStyle w:val="68"/>
              <w:rPr>
                <w:rFonts w:hint="eastAsia" w:ascii="宋体" w:hAnsi="宋体" w:eastAsia="宋体" w:cs="宋体"/>
                <w:color w:val="auto"/>
                <w:highlight w:val="none"/>
              </w:rPr>
            </w:pPr>
          </w:p>
        </w:tc>
        <w:tc>
          <w:tcPr>
            <w:tcW w:w="819" w:type="dxa"/>
            <w:vAlign w:val="top"/>
          </w:tcPr>
          <w:p w14:paraId="5B525A28">
            <w:pPr>
              <w:pStyle w:val="68"/>
              <w:rPr>
                <w:rFonts w:hint="eastAsia" w:ascii="宋体" w:hAnsi="宋体" w:eastAsia="宋体" w:cs="宋体"/>
                <w:color w:val="auto"/>
                <w:highlight w:val="none"/>
              </w:rPr>
            </w:pPr>
          </w:p>
        </w:tc>
        <w:tc>
          <w:tcPr>
            <w:tcW w:w="1511" w:type="dxa"/>
            <w:vAlign w:val="top"/>
          </w:tcPr>
          <w:p w14:paraId="7A1796A3">
            <w:pPr>
              <w:pStyle w:val="68"/>
              <w:rPr>
                <w:rFonts w:hint="eastAsia" w:ascii="宋体" w:hAnsi="宋体" w:eastAsia="宋体" w:cs="宋体"/>
                <w:color w:val="auto"/>
                <w:highlight w:val="none"/>
              </w:rPr>
            </w:pPr>
          </w:p>
        </w:tc>
        <w:tc>
          <w:tcPr>
            <w:tcW w:w="1044" w:type="dxa"/>
            <w:vAlign w:val="top"/>
          </w:tcPr>
          <w:p w14:paraId="00397C24">
            <w:pPr>
              <w:pStyle w:val="68"/>
              <w:rPr>
                <w:rFonts w:hint="eastAsia" w:ascii="宋体" w:hAnsi="宋体" w:eastAsia="宋体" w:cs="宋体"/>
                <w:color w:val="auto"/>
                <w:highlight w:val="none"/>
              </w:rPr>
            </w:pPr>
          </w:p>
        </w:tc>
      </w:tr>
    </w:tbl>
    <w:p w14:paraId="60223B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DF0848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1、按运输车辆的使用年限从少到多的顺序排列，本表的附件严格按照本表的顺序放置。</w:t>
      </w:r>
    </w:p>
    <w:p w14:paraId="0987AC4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提供车辆营运证（或道路运输证）、行驶证的复印件（采用半挂牵引车+半挂车组合车型的，必须同时提供半挂牵引车行驶证和半挂车行驶证复印件）和清晰显示车头和车尾车牌号的车辆照片打印件/复印件作为证明材料，证件业主（户）名称（所有人）必须是</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w:t>
      </w:r>
    </w:p>
    <w:p w14:paraId="670E5FFA">
      <w:pPr>
        <w:rPr>
          <w:rFonts w:hint="eastAsia"/>
        </w:rPr>
      </w:pPr>
      <w:r>
        <w:rPr>
          <w:rFonts w:hint="eastAsia"/>
        </w:rPr>
        <w:br w:type="page"/>
      </w:r>
    </w:p>
    <w:p w14:paraId="556C6A9C">
      <w:pPr>
        <w:pStyle w:val="2"/>
        <w:rPr>
          <w:rFonts w:hint="default" w:eastAsia="宋体"/>
          <w:lang w:val="en-US" w:eastAsia="zh-CN"/>
        </w:rPr>
      </w:pPr>
      <w:bookmarkStart w:id="52" w:name="_Toc5142"/>
      <w:r>
        <w:rPr>
          <w:rFonts w:hint="eastAsia"/>
          <w:lang w:val="en-US" w:eastAsia="zh-CN"/>
        </w:rPr>
        <w:t>9</w:t>
      </w:r>
      <w:r>
        <w:rPr>
          <w:rFonts w:hint="eastAsia"/>
        </w:rPr>
        <w:t>.</w:t>
      </w:r>
      <w:r>
        <w:rPr>
          <w:rFonts w:hint="eastAsia"/>
          <w:lang w:val="en-US" w:eastAsia="zh-CN"/>
        </w:rPr>
        <w:t>用户响应偏离</w:t>
      </w:r>
      <w:bookmarkEnd w:id="52"/>
    </w:p>
    <w:p w14:paraId="5ED47C21">
      <w:pPr>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25"/>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1"/>
        <w:gridCol w:w="6407"/>
        <w:gridCol w:w="721"/>
        <w:gridCol w:w="869"/>
        <w:gridCol w:w="812"/>
      </w:tblGrid>
      <w:tr w14:paraId="76A2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600" w:type="dxa"/>
            <w:vMerge w:val="restart"/>
            <w:vAlign w:val="center"/>
          </w:tcPr>
          <w:p w14:paraId="171AFD0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58" w:type="dxa"/>
            <w:gridSpan w:val="2"/>
            <w:vAlign w:val="center"/>
          </w:tcPr>
          <w:p w14:paraId="6C0D66E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询比</w:t>
            </w:r>
            <w:r>
              <w:rPr>
                <w:rFonts w:hint="eastAsia" w:ascii="宋体" w:hAnsi="宋体" w:eastAsia="宋体" w:cs="宋体"/>
                <w:color w:val="auto"/>
                <w:kern w:val="0"/>
                <w:sz w:val="18"/>
                <w:szCs w:val="18"/>
                <w:highlight w:val="none"/>
              </w:rPr>
              <w:t>文件要求</w:t>
            </w:r>
          </w:p>
        </w:tc>
        <w:tc>
          <w:tcPr>
            <w:tcW w:w="2402" w:type="dxa"/>
            <w:gridSpan w:val="3"/>
            <w:vAlign w:val="center"/>
          </w:tcPr>
          <w:p w14:paraId="77EC41A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响应</w:t>
            </w:r>
            <w:r>
              <w:rPr>
                <w:rFonts w:hint="eastAsia" w:ascii="宋体" w:hAnsi="宋体" w:eastAsia="宋体" w:cs="宋体"/>
                <w:color w:val="auto"/>
                <w:kern w:val="0"/>
                <w:sz w:val="18"/>
                <w:szCs w:val="18"/>
                <w:highlight w:val="none"/>
              </w:rPr>
              <w:t>文件内容</w:t>
            </w:r>
          </w:p>
        </w:tc>
      </w:tr>
      <w:tr w14:paraId="1A2E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600" w:type="dxa"/>
            <w:vMerge w:val="continue"/>
            <w:vAlign w:val="center"/>
          </w:tcPr>
          <w:p w14:paraId="7ACC4676">
            <w:pPr>
              <w:keepNext/>
              <w:keepLines/>
              <w:spacing w:line="400" w:lineRule="exact"/>
              <w:jc w:val="center"/>
              <w:outlineLvl w:val="9"/>
              <w:rPr>
                <w:rFonts w:ascii="宋体" w:hAnsi="宋体" w:eastAsia="宋体" w:cs="宋体"/>
                <w:color w:val="auto"/>
                <w:kern w:val="0"/>
                <w:sz w:val="18"/>
                <w:szCs w:val="18"/>
                <w:highlight w:val="none"/>
              </w:rPr>
            </w:pPr>
          </w:p>
        </w:tc>
        <w:tc>
          <w:tcPr>
            <w:tcW w:w="951" w:type="dxa"/>
            <w:vAlign w:val="center"/>
          </w:tcPr>
          <w:p w14:paraId="58A61A3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07" w:type="dxa"/>
            <w:vAlign w:val="center"/>
          </w:tcPr>
          <w:p w14:paraId="0150B8CD">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1" w:type="dxa"/>
            <w:vAlign w:val="center"/>
          </w:tcPr>
          <w:p w14:paraId="13AF52B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69" w:type="dxa"/>
            <w:vAlign w:val="center"/>
          </w:tcPr>
          <w:p w14:paraId="25D373E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2" w:type="dxa"/>
            <w:vAlign w:val="center"/>
          </w:tcPr>
          <w:p w14:paraId="5294D47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99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0" w:type="dxa"/>
            <w:vAlign w:val="center"/>
          </w:tcPr>
          <w:p w14:paraId="001264D6">
            <w:pPr>
              <w:spacing w:line="400" w:lineRule="exac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951" w:type="dxa"/>
            <w:vAlign w:val="center"/>
          </w:tcPr>
          <w:p w14:paraId="22D02254">
            <w:pPr>
              <w:spacing w:line="40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sz w:val="21"/>
                <w:szCs w:val="21"/>
              </w:rPr>
              <w:t>二</w:t>
            </w:r>
          </w:p>
        </w:tc>
        <w:tc>
          <w:tcPr>
            <w:tcW w:w="6407" w:type="dxa"/>
            <w:vAlign w:val="center"/>
          </w:tcPr>
          <w:p w14:paraId="1A083E23">
            <w:pPr>
              <w:autoSpaceDE w:val="0"/>
              <w:autoSpaceDN w:val="0"/>
              <w:adjustRightInd w:val="0"/>
              <w:spacing w:line="400" w:lineRule="exact"/>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运输服务费</w:t>
            </w:r>
          </w:p>
        </w:tc>
        <w:tc>
          <w:tcPr>
            <w:tcW w:w="721" w:type="dxa"/>
            <w:vAlign w:val="center"/>
          </w:tcPr>
          <w:p w14:paraId="666DD6D8">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360D201A">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522DFF47">
            <w:pPr>
              <w:keepNext/>
              <w:keepLines/>
              <w:spacing w:line="400" w:lineRule="exact"/>
              <w:jc w:val="center"/>
              <w:outlineLvl w:val="9"/>
              <w:rPr>
                <w:rFonts w:ascii="宋体" w:hAnsi="宋体" w:eastAsia="宋体" w:cs="宋体"/>
                <w:color w:val="auto"/>
                <w:kern w:val="0"/>
                <w:sz w:val="18"/>
                <w:szCs w:val="18"/>
                <w:highlight w:val="none"/>
              </w:rPr>
            </w:pPr>
          </w:p>
        </w:tc>
      </w:tr>
      <w:tr w14:paraId="4B4F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6A64069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1" w:type="dxa"/>
            <w:vAlign w:val="center"/>
          </w:tcPr>
          <w:p w14:paraId="50F53CF7">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w:t>
            </w:r>
          </w:p>
        </w:tc>
        <w:tc>
          <w:tcPr>
            <w:tcW w:w="6407" w:type="dxa"/>
            <w:vAlign w:val="center"/>
          </w:tcPr>
          <w:p w14:paraId="19E74C85">
            <w:pPr>
              <w:autoSpaceDE w:val="0"/>
              <w:autoSpaceDN w:val="0"/>
              <w:adjustRightInd w:val="0"/>
              <w:spacing w:line="400" w:lineRule="exact"/>
              <w:jc w:val="left"/>
              <w:rPr>
                <w:rFonts w:hint="eastAsia" w:ascii="宋体" w:hAnsi="宋体" w:eastAsia="宋体" w:cs="宋体"/>
                <w:b w:val="0"/>
                <w:bCs/>
                <w:sz w:val="21"/>
                <w:szCs w:val="21"/>
              </w:rPr>
            </w:pPr>
            <w:r>
              <w:rPr>
                <w:rFonts w:hint="eastAsia" w:ascii="宋体" w:hAnsi="宋体" w:eastAsia="宋体" w:cs="宋体"/>
                <w:b w:val="0"/>
                <w:bCs/>
                <w:sz w:val="21"/>
                <w:szCs w:val="21"/>
              </w:rPr>
              <w:t>污泥运输量确认及资料要求</w:t>
            </w:r>
          </w:p>
        </w:tc>
        <w:tc>
          <w:tcPr>
            <w:tcW w:w="721" w:type="dxa"/>
            <w:vAlign w:val="center"/>
          </w:tcPr>
          <w:p w14:paraId="00EE5158">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5B7DABE1">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6B95BE9A">
            <w:pPr>
              <w:keepNext/>
              <w:keepLines/>
              <w:spacing w:line="400" w:lineRule="exact"/>
              <w:jc w:val="center"/>
              <w:outlineLvl w:val="9"/>
              <w:rPr>
                <w:rFonts w:ascii="宋体" w:hAnsi="宋体" w:eastAsia="宋体" w:cs="宋体"/>
                <w:color w:val="auto"/>
                <w:kern w:val="0"/>
                <w:sz w:val="18"/>
                <w:szCs w:val="18"/>
                <w:highlight w:val="none"/>
              </w:rPr>
            </w:pPr>
          </w:p>
        </w:tc>
      </w:tr>
      <w:tr w14:paraId="648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5E1FD5DD">
            <w:pPr>
              <w:spacing w:line="400" w:lineRule="exact"/>
              <w:jc w:val="center"/>
              <w:rPr>
                <w:rFonts w:hint="eastAsia" w:ascii="宋体" w:hAnsi="宋体" w:eastAsia="宋体" w:cs="宋体"/>
                <w:color w:val="auto"/>
                <w:kern w:val="0"/>
                <w:sz w:val="18"/>
                <w:szCs w:val="18"/>
                <w:highlight w:val="none"/>
                <w:lang w:val="en-US" w:eastAsia="zh-CN"/>
              </w:rPr>
            </w:pPr>
            <w:r>
              <w:rPr>
                <w:rFonts w:hint="eastAsia" w:hAnsi="宋体" w:cs="宋体"/>
                <w:color w:val="auto"/>
                <w:kern w:val="0"/>
                <w:sz w:val="18"/>
                <w:szCs w:val="18"/>
                <w:highlight w:val="none"/>
                <w:lang w:val="en-US" w:eastAsia="zh-CN"/>
              </w:rPr>
              <w:t>3</w:t>
            </w:r>
          </w:p>
        </w:tc>
        <w:tc>
          <w:tcPr>
            <w:tcW w:w="951" w:type="dxa"/>
            <w:shd w:val="clear" w:color="auto" w:fill="auto"/>
            <w:vAlign w:val="center"/>
          </w:tcPr>
          <w:p w14:paraId="5691FE08">
            <w:pPr>
              <w:spacing w:line="40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四</w:t>
            </w:r>
          </w:p>
        </w:tc>
        <w:tc>
          <w:tcPr>
            <w:tcW w:w="6407" w:type="dxa"/>
            <w:vAlign w:val="center"/>
          </w:tcPr>
          <w:p w14:paraId="500FEB42">
            <w:pPr>
              <w:autoSpaceDE w:val="0"/>
              <w:autoSpaceDN w:val="0"/>
              <w:adjustRightInd w:val="0"/>
              <w:spacing w:line="400" w:lineRule="exact"/>
              <w:jc w:val="left"/>
              <w:rPr>
                <w:rFonts w:hint="eastAsia" w:ascii="宋体" w:hAnsi="宋体" w:eastAsia="宋体" w:cs="宋体"/>
                <w:b w:val="0"/>
                <w:bCs/>
                <w:sz w:val="21"/>
                <w:szCs w:val="21"/>
              </w:rPr>
            </w:pPr>
            <w:r>
              <w:rPr>
                <w:rFonts w:hint="eastAsia" w:ascii="宋体" w:hAnsi="宋体" w:eastAsia="宋体" w:cs="宋体"/>
                <w:b w:val="0"/>
                <w:bCs/>
                <w:sz w:val="21"/>
                <w:szCs w:val="21"/>
              </w:rPr>
              <w:t>双方权利义务</w:t>
            </w:r>
          </w:p>
        </w:tc>
        <w:tc>
          <w:tcPr>
            <w:tcW w:w="721" w:type="dxa"/>
            <w:vAlign w:val="center"/>
          </w:tcPr>
          <w:p w14:paraId="3BC7FCF6">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3C590FC8">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0B8DA436">
            <w:pPr>
              <w:keepNext/>
              <w:keepLines/>
              <w:spacing w:line="400" w:lineRule="exact"/>
              <w:jc w:val="center"/>
              <w:outlineLvl w:val="9"/>
              <w:rPr>
                <w:rFonts w:ascii="宋体" w:hAnsi="宋体" w:eastAsia="宋体" w:cs="宋体"/>
                <w:color w:val="auto"/>
                <w:kern w:val="0"/>
                <w:sz w:val="18"/>
                <w:szCs w:val="18"/>
                <w:highlight w:val="none"/>
              </w:rPr>
            </w:pPr>
          </w:p>
        </w:tc>
      </w:tr>
      <w:tr w14:paraId="7CE1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132B7307">
            <w:pPr>
              <w:spacing w:line="400" w:lineRule="exact"/>
              <w:jc w:val="center"/>
              <w:rPr>
                <w:rFonts w:hint="eastAsia" w:ascii="宋体" w:hAnsi="宋体" w:eastAsia="宋体" w:cs="宋体"/>
                <w:color w:val="auto"/>
                <w:kern w:val="0"/>
                <w:sz w:val="18"/>
                <w:szCs w:val="18"/>
                <w:highlight w:val="none"/>
                <w:lang w:eastAsia="zh-CN"/>
              </w:rPr>
            </w:pPr>
            <w:r>
              <w:rPr>
                <w:rFonts w:hint="eastAsia" w:hAnsi="宋体" w:cs="宋体"/>
                <w:color w:val="auto"/>
                <w:kern w:val="0"/>
                <w:sz w:val="18"/>
                <w:szCs w:val="18"/>
                <w:highlight w:val="none"/>
                <w:lang w:val="en-US" w:eastAsia="zh-CN"/>
              </w:rPr>
              <w:t>4</w:t>
            </w:r>
          </w:p>
        </w:tc>
        <w:tc>
          <w:tcPr>
            <w:tcW w:w="951" w:type="dxa"/>
            <w:shd w:val="clear" w:color="auto" w:fill="auto"/>
            <w:vAlign w:val="center"/>
          </w:tcPr>
          <w:p w14:paraId="5A714BE5">
            <w:pPr>
              <w:spacing w:line="40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五</w:t>
            </w:r>
          </w:p>
        </w:tc>
        <w:tc>
          <w:tcPr>
            <w:tcW w:w="6407" w:type="dxa"/>
            <w:vAlign w:val="center"/>
          </w:tcPr>
          <w:p w14:paraId="486A3132">
            <w:pPr>
              <w:autoSpaceDE w:val="0"/>
              <w:autoSpaceDN w:val="0"/>
              <w:adjustRightInd w:val="0"/>
              <w:spacing w:line="400" w:lineRule="exact"/>
              <w:jc w:val="left"/>
              <w:rPr>
                <w:rFonts w:hint="eastAsia" w:ascii="宋体" w:hAnsi="宋体" w:eastAsia="宋体" w:cs="宋体"/>
                <w:b w:val="0"/>
                <w:bCs/>
                <w:sz w:val="21"/>
                <w:szCs w:val="21"/>
              </w:rPr>
            </w:pPr>
            <w:r>
              <w:rPr>
                <w:rFonts w:hint="eastAsia" w:ascii="宋体" w:hAnsi="宋体" w:eastAsia="宋体" w:cs="宋体"/>
                <w:b w:val="0"/>
                <w:bCs/>
                <w:sz w:val="21"/>
                <w:szCs w:val="21"/>
              </w:rPr>
              <w:t>服务要求</w:t>
            </w:r>
          </w:p>
        </w:tc>
        <w:tc>
          <w:tcPr>
            <w:tcW w:w="721" w:type="dxa"/>
            <w:vAlign w:val="center"/>
          </w:tcPr>
          <w:p w14:paraId="7D7685DE">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150EF355">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38E8C966">
            <w:pPr>
              <w:keepNext/>
              <w:keepLines/>
              <w:spacing w:line="400" w:lineRule="exact"/>
              <w:jc w:val="center"/>
              <w:outlineLvl w:val="9"/>
              <w:rPr>
                <w:rFonts w:ascii="宋体" w:hAnsi="宋体" w:eastAsia="宋体" w:cs="宋体"/>
                <w:color w:val="auto"/>
                <w:kern w:val="0"/>
                <w:sz w:val="18"/>
                <w:szCs w:val="18"/>
                <w:highlight w:val="none"/>
              </w:rPr>
            </w:pPr>
          </w:p>
        </w:tc>
      </w:tr>
      <w:tr w14:paraId="5C2D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1CF01200">
            <w:pPr>
              <w:spacing w:line="400" w:lineRule="exact"/>
              <w:jc w:val="center"/>
              <w:rPr>
                <w:rFonts w:hint="eastAsia" w:ascii="宋体" w:hAnsi="宋体" w:eastAsia="宋体" w:cs="宋体"/>
                <w:color w:val="auto"/>
                <w:kern w:val="0"/>
                <w:sz w:val="18"/>
                <w:szCs w:val="18"/>
                <w:highlight w:val="none"/>
                <w:lang w:eastAsia="zh-CN"/>
              </w:rPr>
            </w:pPr>
            <w:r>
              <w:rPr>
                <w:rFonts w:hint="eastAsia" w:hAnsi="宋体" w:cs="宋体"/>
                <w:color w:val="auto"/>
                <w:kern w:val="0"/>
                <w:sz w:val="18"/>
                <w:szCs w:val="18"/>
                <w:highlight w:val="none"/>
                <w:lang w:val="en-US" w:eastAsia="zh-CN"/>
              </w:rPr>
              <w:t>5</w:t>
            </w:r>
          </w:p>
        </w:tc>
        <w:tc>
          <w:tcPr>
            <w:tcW w:w="951" w:type="dxa"/>
            <w:shd w:val="clear" w:color="auto" w:fill="auto"/>
            <w:vAlign w:val="center"/>
          </w:tcPr>
          <w:p w14:paraId="57F0AC25">
            <w:pPr>
              <w:spacing w:line="400" w:lineRule="exact"/>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六</w:t>
            </w:r>
          </w:p>
        </w:tc>
        <w:tc>
          <w:tcPr>
            <w:tcW w:w="6407" w:type="dxa"/>
            <w:vAlign w:val="center"/>
          </w:tcPr>
          <w:p w14:paraId="61F70375">
            <w:pPr>
              <w:autoSpaceDE w:val="0"/>
              <w:autoSpaceDN w:val="0"/>
              <w:adjustRightInd w:val="0"/>
              <w:spacing w:line="400" w:lineRule="exact"/>
              <w:jc w:val="left"/>
              <w:rPr>
                <w:rFonts w:hint="eastAsia" w:ascii="宋体" w:hAnsi="宋体" w:eastAsia="宋体" w:cs="宋体"/>
                <w:b w:val="0"/>
                <w:bCs/>
                <w:sz w:val="21"/>
                <w:szCs w:val="21"/>
              </w:rPr>
            </w:pPr>
            <w:r>
              <w:rPr>
                <w:rFonts w:hint="eastAsia" w:ascii="宋体" w:hAnsi="宋体" w:eastAsia="宋体" w:cs="宋体"/>
                <w:b w:val="0"/>
                <w:bCs/>
                <w:sz w:val="21"/>
                <w:szCs w:val="21"/>
              </w:rPr>
              <w:t>其他说明</w:t>
            </w:r>
          </w:p>
        </w:tc>
        <w:tc>
          <w:tcPr>
            <w:tcW w:w="721" w:type="dxa"/>
            <w:vAlign w:val="center"/>
          </w:tcPr>
          <w:p w14:paraId="0AC793E2">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531A2FD1">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7937B8E4">
            <w:pPr>
              <w:keepNext/>
              <w:keepLines/>
              <w:spacing w:line="400" w:lineRule="exact"/>
              <w:jc w:val="center"/>
              <w:outlineLvl w:val="9"/>
              <w:rPr>
                <w:rFonts w:ascii="宋体" w:hAnsi="宋体" w:eastAsia="宋体" w:cs="宋体"/>
                <w:color w:val="auto"/>
                <w:kern w:val="0"/>
                <w:sz w:val="18"/>
                <w:szCs w:val="18"/>
                <w:highlight w:val="none"/>
              </w:rPr>
            </w:pPr>
          </w:p>
        </w:tc>
      </w:tr>
      <w:tr w14:paraId="031B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36F9D211">
            <w:pPr>
              <w:spacing w:line="400" w:lineRule="exact"/>
              <w:jc w:val="center"/>
              <w:rPr>
                <w:rFonts w:hint="eastAsia" w:ascii="宋体" w:hAnsi="宋体" w:eastAsia="宋体" w:cs="宋体"/>
                <w:color w:val="auto"/>
                <w:kern w:val="0"/>
                <w:sz w:val="18"/>
                <w:szCs w:val="18"/>
                <w:highlight w:val="none"/>
                <w:lang w:val="en-US" w:eastAsia="zh-CN"/>
              </w:rPr>
            </w:pPr>
            <w:r>
              <w:rPr>
                <w:rFonts w:hint="eastAsia" w:hAnsi="宋体" w:cs="宋体"/>
                <w:color w:val="auto"/>
                <w:kern w:val="0"/>
                <w:sz w:val="18"/>
                <w:szCs w:val="18"/>
                <w:highlight w:val="none"/>
                <w:lang w:val="en-US" w:eastAsia="zh-CN"/>
              </w:rPr>
              <w:t>6</w:t>
            </w:r>
          </w:p>
        </w:tc>
        <w:tc>
          <w:tcPr>
            <w:tcW w:w="951" w:type="dxa"/>
            <w:vAlign w:val="center"/>
          </w:tcPr>
          <w:p w14:paraId="6C7D279F">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hAnsi="宋体" w:cs="宋体"/>
                <w:b w:val="0"/>
                <w:bCs/>
                <w:color w:val="auto"/>
                <w:kern w:val="0"/>
                <w:sz w:val="21"/>
                <w:szCs w:val="21"/>
                <w:highlight w:val="none"/>
                <w:lang w:val="en-US" w:eastAsia="zh-CN"/>
              </w:rPr>
              <w:t>七</w:t>
            </w:r>
          </w:p>
        </w:tc>
        <w:tc>
          <w:tcPr>
            <w:tcW w:w="6407" w:type="dxa"/>
            <w:vAlign w:val="center"/>
          </w:tcPr>
          <w:p w14:paraId="217F8731">
            <w:pPr>
              <w:autoSpaceDE w:val="0"/>
              <w:autoSpaceDN w:val="0"/>
              <w:adjustRightInd w:val="0"/>
              <w:spacing w:line="400" w:lineRule="exact"/>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考核办法</w:t>
            </w:r>
          </w:p>
        </w:tc>
        <w:tc>
          <w:tcPr>
            <w:tcW w:w="721" w:type="dxa"/>
            <w:vAlign w:val="center"/>
          </w:tcPr>
          <w:p w14:paraId="6E477858">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64EEBB11">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6EEB55B2">
            <w:pPr>
              <w:keepNext/>
              <w:keepLines/>
              <w:spacing w:line="400" w:lineRule="exact"/>
              <w:jc w:val="center"/>
              <w:outlineLvl w:val="9"/>
              <w:rPr>
                <w:rFonts w:ascii="宋体" w:hAnsi="宋体" w:eastAsia="宋体" w:cs="宋体"/>
                <w:color w:val="auto"/>
                <w:kern w:val="0"/>
                <w:sz w:val="18"/>
                <w:szCs w:val="18"/>
                <w:highlight w:val="none"/>
              </w:rPr>
            </w:pPr>
          </w:p>
        </w:tc>
      </w:tr>
      <w:tr w14:paraId="7EB1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67383DE6">
            <w:pPr>
              <w:spacing w:line="400" w:lineRule="exact"/>
              <w:jc w:val="center"/>
              <w:rPr>
                <w:rFonts w:hint="default" w:ascii="宋体" w:hAnsi="宋体" w:eastAsia="宋体" w:cs="宋体"/>
                <w:color w:val="auto"/>
                <w:kern w:val="0"/>
                <w:sz w:val="18"/>
                <w:szCs w:val="18"/>
                <w:highlight w:val="none"/>
                <w:lang w:val="en-US" w:eastAsia="zh-CN"/>
              </w:rPr>
            </w:pPr>
            <w:r>
              <w:rPr>
                <w:rFonts w:hint="eastAsia" w:hAnsi="宋体" w:cs="宋体"/>
                <w:color w:val="auto"/>
                <w:kern w:val="0"/>
                <w:sz w:val="18"/>
                <w:szCs w:val="18"/>
                <w:highlight w:val="none"/>
                <w:lang w:val="en-US" w:eastAsia="zh-CN"/>
              </w:rPr>
              <w:t>7</w:t>
            </w:r>
          </w:p>
        </w:tc>
        <w:tc>
          <w:tcPr>
            <w:tcW w:w="951" w:type="dxa"/>
            <w:vAlign w:val="center"/>
          </w:tcPr>
          <w:p w14:paraId="124872CB">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hAnsi="宋体" w:cs="宋体"/>
                <w:b w:val="0"/>
                <w:bCs/>
                <w:color w:val="auto"/>
                <w:kern w:val="0"/>
                <w:sz w:val="21"/>
                <w:szCs w:val="21"/>
                <w:highlight w:val="none"/>
                <w:lang w:val="en-US" w:eastAsia="zh-CN"/>
              </w:rPr>
              <w:t>八</w:t>
            </w:r>
          </w:p>
        </w:tc>
        <w:tc>
          <w:tcPr>
            <w:tcW w:w="6407" w:type="dxa"/>
            <w:vAlign w:val="center"/>
          </w:tcPr>
          <w:p w14:paraId="7C279211">
            <w:pPr>
              <w:autoSpaceDE w:val="0"/>
              <w:autoSpaceDN w:val="0"/>
              <w:adjustRightInd w:val="0"/>
              <w:spacing w:line="400" w:lineRule="exact"/>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付款方式</w:t>
            </w:r>
          </w:p>
        </w:tc>
        <w:tc>
          <w:tcPr>
            <w:tcW w:w="721" w:type="dxa"/>
            <w:vAlign w:val="center"/>
          </w:tcPr>
          <w:p w14:paraId="6FB23097">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05301427">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3C29F974">
            <w:pPr>
              <w:keepNext/>
              <w:keepLines/>
              <w:spacing w:line="400" w:lineRule="exact"/>
              <w:jc w:val="center"/>
              <w:outlineLvl w:val="9"/>
              <w:rPr>
                <w:rFonts w:ascii="宋体" w:hAnsi="宋体" w:eastAsia="宋体" w:cs="宋体"/>
                <w:color w:val="auto"/>
                <w:kern w:val="0"/>
                <w:sz w:val="18"/>
                <w:szCs w:val="18"/>
                <w:highlight w:val="none"/>
              </w:rPr>
            </w:pPr>
          </w:p>
        </w:tc>
      </w:tr>
      <w:tr w14:paraId="17FE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360" w:type="dxa"/>
            <w:gridSpan w:val="6"/>
            <w:vAlign w:val="center"/>
          </w:tcPr>
          <w:p w14:paraId="018319B4">
            <w:pPr>
              <w:keepNext/>
              <w:keepLines/>
              <w:spacing w:line="400" w:lineRule="exact"/>
              <w:jc w:val="left"/>
              <w:outlineLvl w:val="9"/>
              <w:rPr>
                <w:rFonts w:hint="default" w:ascii="宋体" w:hAnsi="宋体" w:eastAsia="宋体" w:cs="宋体"/>
                <w:color w:val="auto"/>
                <w:kern w:val="0"/>
                <w:sz w:val="18"/>
                <w:szCs w:val="18"/>
                <w:highlight w:val="none"/>
                <w:lang w:val="en-US"/>
              </w:rPr>
            </w:pPr>
            <w:r>
              <w:rPr>
                <w:rFonts w:hint="eastAsia" w:ascii="宋体" w:hAnsi="宋体" w:eastAsia="宋体" w:cs="宋体"/>
                <w:b/>
                <w:color w:val="auto"/>
                <w:sz w:val="18"/>
                <w:szCs w:val="18"/>
                <w:highlight w:val="none"/>
                <w:u w:val="single"/>
                <w:lang w:val="en-US" w:eastAsia="zh-CN"/>
              </w:rPr>
              <w:t>用户需求书“</w:t>
            </w:r>
            <w:r>
              <w:rPr>
                <w:rFonts w:hint="eastAsia" w:ascii="宋体" w:hAnsi="宋体" w:eastAsia="宋体" w:cs="宋体"/>
                <w:b/>
                <w:color w:val="auto"/>
                <w:sz w:val="18"/>
                <w:szCs w:val="18"/>
                <w:highlight w:val="none"/>
                <w:u w:val="single"/>
              </w:rPr>
              <w:t>★</w:t>
            </w:r>
            <w:r>
              <w:rPr>
                <w:rFonts w:hint="eastAsia" w:ascii="宋体" w:hAnsi="宋体" w:eastAsia="宋体" w:cs="宋体"/>
                <w:b/>
                <w:color w:val="auto"/>
                <w:sz w:val="18"/>
                <w:szCs w:val="18"/>
                <w:highlight w:val="none"/>
                <w:u w:val="single"/>
                <w:lang w:val="en-US" w:eastAsia="zh-CN"/>
              </w:rPr>
              <w:t>”条款汇总：</w:t>
            </w:r>
          </w:p>
        </w:tc>
      </w:tr>
      <w:tr w14:paraId="56C4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14:paraId="4C858CDC">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951" w:type="dxa"/>
            <w:vAlign w:val="center"/>
          </w:tcPr>
          <w:p w14:paraId="26940E79">
            <w:pPr>
              <w:spacing w:line="400" w:lineRule="exact"/>
              <w:jc w:val="center"/>
              <w:rPr>
                <w:rFonts w:ascii="宋体" w:hAnsi="宋体" w:eastAsia="宋体" w:cs="Times New Roman"/>
                <w:color w:val="auto"/>
                <w:kern w:val="0"/>
                <w:sz w:val="18"/>
                <w:szCs w:val="18"/>
                <w:highlight w:val="none"/>
              </w:rPr>
            </w:pPr>
            <w:r>
              <w:rPr>
                <w:rFonts w:hint="eastAsia" w:hAnsi="宋体" w:cs="Times New Roman"/>
                <w:color w:val="auto"/>
                <w:kern w:val="0"/>
                <w:sz w:val="18"/>
                <w:szCs w:val="18"/>
                <w:highlight w:val="none"/>
                <w:lang w:val="en-US" w:eastAsia="zh-CN"/>
              </w:rPr>
              <w:t>五</w:t>
            </w:r>
            <w:r>
              <w:rPr>
                <w:rFonts w:hint="eastAsia" w:ascii="宋体" w:hAnsi="宋体" w:eastAsia="宋体" w:cs="Times New Roman"/>
                <w:color w:val="auto"/>
                <w:kern w:val="0"/>
                <w:sz w:val="18"/>
                <w:szCs w:val="18"/>
                <w:highlight w:val="none"/>
              </w:rPr>
              <w:t>、服务要求</w:t>
            </w:r>
          </w:p>
        </w:tc>
        <w:tc>
          <w:tcPr>
            <w:tcW w:w="6407" w:type="dxa"/>
            <w:vAlign w:val="center"/>
          </w:tcPr>
          <w:p w14:paraId="0447D61C">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bidi="ar-SA"/>
              </w:rPr>
              <w:t>2、服务单位</w:t>
            </w:r>
            <w:r>
              <w:rPr>
                <w:rFonts w:hint="eastAsia" w:ascii="宋体" w:hAnsi="宋体" w:eastAsia="宋体" w:cs="宋体"/>
                <w:color w:val="auto"/>
                <w:sz w:val="21"/>
                <w:szCs w:val="21"/>
                <w:highlight w:val="none"/>
                <w:lang w:val="en-US" w:eastAsia="zh" w:bidi="ar-SA"/>
              </w:rPr>
              <w:t>需单独出具加盖公章的承诺函，承诺内容包括但不限于：</w:t>
            </w:r>
            <w:r>
              <w:rPr>
                <w:rFonts w:hint="eastAsia" w:ascii="宋体" w:hAnsi="宋体" w:eastAsia="宋体" w:cs="宋体"/>
                <w:color w:val="auto"/>
                <w:sz w:val="21"/>
                <w:szCs w:val="21"/>
                <w:highlight w:val="none"/>
                <w:lang w:val="en-US" w:eastAsia="zh-CN" w:bidi="ar-SA"/>
              </w:rPr>
              <w:t>（1）运输能力不低于400吨/日</w:t>
            </w:r>
            <w:r>
              <w:rPr>
                <w:rFonts w:hint="eastAsia" w:ascii="宋体" w:hAnsi="宋体" w:eastAsia="宋体" w:cs="宋体"/>
                <w:color w:val="auto"/>
                <w:sz w:val="21"/>
                <w:szCs w:val="21"/>
                <w:highlight w:val="none"/>
                <w:lang w:val="en-US" w:eastAsia="zh" w:bidi="ar-SA"/>
              </w:rPr>
              <w:t>，且具备大于</w:t>
            </w:r>
            <w:r>
              <w:rPr>
                <w:rFonts w:hint="eastAsia" w:ascii="宋体" w:hAnsi="宋体" w:eastAsia="宋体" w:cs="宋体"/>
                <w:color w:val="auto"/>
                <w:sz w:val="21"/>
                <w:szCs w:val="21"/>
                <w:highlight w:val="none"/>
                <w:lang w:val="en-US" w:eastAsia="zh-CN" w:bidi="ar-SA"/>
              </w:rPr>
              <w:t>400</w:t>
            </w:r>
            <w:r>
              <w:rPr>
                <w:rFonts w:hint="eastAsia" w:ascii="宋体" w:hAnsi="宋体" w:eastAsia="宋体" w:cs="宋体"/>
                <w:color w:val="auto"/>
                <w:sz w:val="21"/>
                <w:szCs w:val="21"/>
                <w:highlight w:val="none"/>
                <w:lang w:val="en-US" w:eastAsia="zh" w:bidi="ar-SA"/>
              </w:rPr>
              <w:t>吨/日，达到</w:t>
            </w:r>
            <w:r>
              <w:rPr>
                <w:rFonts w:hint="eastAsia" w:ascii="宋体" w:hAnsi="宋体" w:eastAsia="宋体" w:cs="宋体"/>
                <w:color w:val="auto"/>
                <w:sz w:val="21"/>
                <w:szCs w:val="21"/>
                <w:highlight w:val="none"/>
                <w:lang w:val="en-US" w:eastAsia="zh-CN" w:bidi="ar-SA"/>
              </w:rPr>
              <w:t>调试期</w:t>
            </w:r>
            <w:r>
              <w:rPr>
                <w:rFonts w:hint="eastAsia" w:ascii="宋体" w:hAnsi="宋体" w:eastAsia="宋体" w:cs="宋体"/>
                <w:color w:val="auto"/>
                <w:sz w:val="21"/>
                <w:szCs w:val="21"/>
                <w:highlight w:val="none"/>
                <w:lang w:val="en-US" w:eastAsia="zh" w:bidi="ar-SA"/>
              </w:rPr>
              <w:t>高峰值</w:t>
            </w:r>
            <w:r>
              <w:rPr>
                <w:rFonts w:hint="eastAsia" w:ascii="宋体" w:hAnsi="宋体" w:eastAsia="宋体" w:cs="宋体"/>
                <w:color w:val="auto"/>
                <w:sz w:val="21"/>
                <w:szCs w:val="21"/>
                <w:highlight w:val="none"/>
                <w:lang w:val="en-US" w:eastAsia="zh-CN" w:bidi="ar-SA"/>
              </w:rPr>
              <w:t>1200</w:t>
            </w:r>
            <w:r>
              <w:rPr>
                <w:rFonts w:hint="eastAsia" w:ascii="宋体" w:hAnsi="宋体" w:eastAsia="宋体" w:cs="宋体"/>
                <w:color w:val="auto"/>
                <w:sz w:val="21"/>
                <w:szCs w:val="21"/>
                <w:highlight w:val="none"/>
                <w:lang w:val="en-US" w:eastAsia="zh" w:bidi="ar-SA"/>
              </w:rPr>
              <w:t>吨/日的应急运输能力；</w:t>
            </w:r>
            <w:r>
              <w:rPr>
                <w:rFonts w:hint="eastAsia" w:ascii="宋体" w:hAnsi="宋体" w:eastAsia="宋体" w:cs="宋体"/>
                <w:color w:val="auto"/>
                <w:sz w:val="21"/>
                <w:szCs w:val="21"/>
                <w:highlight w:val="none"/>
                <w:lang w:val="en-US" w:eastAsia="zh-CN" w:bidi="ar-SA"/>
              </w:rPr>
              <w:t>（2）因服务单位</w:t>
            </w:r>
            <w:r>
              <w:rPr>
                <w:rFonts w:hint="eastAsia" w:ascii="宋体" w:hAnsi="宋体" w:eastAsia="宋体" w:cs="宋体"/>
                <w:color w:val="auto"/>
                <w:sz w:val="21"/>
                <w:szCs w:val="21"/>
                <w:highlight w:val="none"/>
                <w:lang w:val="en-US" w:eastAsia="zh" w:bidi="ar-SA"/>
              </w:rPr>
              <w:t>的</w:t>
            </w:r>
            <w:r>
              <w:rPr>
                <w:rFonts w:hint="eastAsia" w:ascii="宋体" w:hAnsi="宋体" w:eastAsia="宋体" w:cs="宋体"/>
                <w:color w:val="auto"/>
                <w:sz w:val="21"/>
                <w:szCs w:val="21"/>
                <w:highlight w:val="none"/>
                <w:lang w:val="en-US" w:eastAsia="zh-CN" w:bidi="ar-SA"/>
              </w:rPr>
              <w:t>运输能力不足</w:t>
            </w:r>
            <w:r>
              <w:rPr>
                <w:rFonts w:hint="eastAsia" w:ascii="宋体" w:hAnsi="宋体" w:eastAsia="宋体" w:cs="宋体"/>
                <w:color w:val="auto"/>
                <w:sz w:val="21"/>
                <w:szCs w:val="21"/>
                <w:highlight w:val="none"/>
                <w:lang w:val="en-US" w:eastAsia="zh" w:bidi="ar-SA"/>
              </w:rPr>
              <w:t>而</w:t>
            </w:r>
            <w:r>
              <w:rPr>
                <w:rFonts w:hint="eastAsia" w:ascii="宋体" w:hAnsi="宋体" w:eastAsia="宋体" w:cs="宋体"/>
                <w:color w:val="auto"/>
                <w:sz w:val="21"/>
                <w:szCs w:val="21"/>
                <w:highlight w:val="none"/>
                <w:lang w:val="en-US" w:eastAsia="zh-CN" w:bidi="ar-SA"/>
              </w:rPr>
              <w:t>影响采购人</w:t>
            </w:r>
            <w:r>
              <w:rPr>
                <w:rFonts w:hint="eastAsia" w:ascii="宋体" w:hAnsi="宋体" w:eastAsia="宋体" w:cs="宋体"/>
                <w:color w:val="auto"/>
                <w:sz w:val="21"/>
                <w:szCs w:val="21"/>
                <w:highlight w:val="none"/>
                <w:lang w:val="en-US" w:eastAsia="zh" w:bidi="ar-SA"/>
              </w:rPr>
              <w:t>、相关</w:t>
            </w:r>
            <w:r>
              <w:rPr>
                <w:rFonts w:hint="eastAsia" w:ascii="宋体" w:hAnsi="宋体" w:eastAsia="宋体" w:cs="宋体"/>
                <w:color w:val="auto"/>
                <w:sz w:val="21"/>
                <w:szCs w:val="21"/>
                <w:highlight w:val="none"/>
                <w:lang w:val="en-US" w:eastAsia="zh-CN" w:bidi="ar-SA"/>
              </w:rPr>
              <w:t>污水处理厂</w:t>
            </w:r>
            <w:r>
              <w:rPr>
                <w:rFonts w:hint="eastAsia" w:ascii="宋体" w:hAnsi="宋体" w:eastAsia="宋体" w:cs="宋体"/>
                <w:color w:val="auto"/>
                <w:sz w:val="21"/>
                <w:szCs w:val="21"/>
                <w:highlight w:val="none"/>
                <w:lang w:val="en-US" w:eastAsia="zh" w:bidi="ar-SA"/>
              </w:rPr>
              <w:t>以及污泥脱水减量化措施</w:t>
            </w:r>
            <w:r>
              <w:rPr>
                <w:rFonts w:hint="eastAsia" w:ascii="宋体" w:hAnsi="宋体" w:eastAsia="宋体" w:cs="宋体"/>
                <w:color w:val="auto"/>
                <w:sz w:val="21"/>
                <w:szCs w:val="21"/>
                <w:highlight w:val="none"/>
                <w:lang w:val="en-US" w:eastAsia="zh-CN" w:bidi="ar-SA"/>
              </w:rPr>
              <w:t>的正常生产运营，采购人</w:t>
            </w:r>
            <w:r>
              <w:rPr>
                <w:rFonts w:hint="eastAsia" w:ascii="宋体" w:hAnsi="宋体" w:eastAsia="宋体" w:cs="宋体"/>
                <w:color w:val="auto"/>
                <w:sz w:val="21"/>
                <w:szCs w:val="21"/>
                <w:highlight w:val="none"/>
                <w:lang w:val="en-US" w:eastAsia="zh" w:bidi="ar-SA"/>
              </w:rPr>
              <w:t>有权要求</w:t>
            </w:r>
            <w:r>
              <w:rPr>
                <w:rFonts w:hint="eastAsia" w:ascii="宋体" w:hAnsi="宋体" w:eastAsia="宋体" w:cs="宋体"/>
                <w:color w:val="auto"/>
                <w:sz w:val="21"/>
                <w:szCs w:val="21"/>
                <w:highlight w:val="none"/>
                <w:lang w:val="en-US" w:eastAsia="zh-CN" w:bidi="ar-SA"/>
              </w:rPr>
              <w:t>服务单位赔偿采购人所遭受的全部损失并有权终止合同</w:t>
            </w:r>
            <w:r>
              <w:rPr>
                <w:rFonts w:hint="eastAsia" w:ascii="宋体" w:hAnsi="宋体" w:eastAsia="宋体" w:cs="宋体"/>
                <w:color w:val="auto"/>
                <w:sz w:val="21"/>
                <w:szCs w:val="21"/>
                <w:highlight w:val="none"/>
              </w:rPr>
              <w:t>。</w:t>
            </w:r>
          </w:p>
          <w:p w14:paraId="6E62A8B7">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eastAsia="zh-CN"/>
              </w:rPr>
              <w:t>服务单位</w:t>
            </w:r>
            <w:r>
              <w:rPr>
                <w:rFonts w:hint="eastAsia" w:ascii="宋体" w:hAnsi="宋体" w:eastAsia="宋体" w:cs="宋体"/>
                <w:sz w:val="21"/>
                <w:szCs w:val="21"/>
              </w:rPr>
              <w:t>承诺使用的车辆必须安装GPS，符合《道路运输车辆卫星定位系统平台技术要求》《道路运输车辆卫星定位系统车载终端技术要求》的要求，以防止偷排偷倒，或违约使用车辆。运输车辆的GPS定位系统，应能直接与</w:t>
            </w:r>
            <w:r>
              <w:rPr>
                <w:rFonts w:hint="eastAsia" w:ascii="宋体" w:hAnsi="宋体" w:eastAsia="宋体" w:cs="宋体"/>
                <w:sz w:val="21"/>
                <w:szCs w:val="21"/>
                <w:lang w:eastAsia="zh-CN"/>
              </w:rPr>
              <w:t>采购人</w:t>
            </w:r>
            <w:r>
              <w:rPr>
                <w:rFonts w:hint="eastAsia" w:ascii="宋体" w:hAnsi="宋体" w:eastAsia="宋体" w:cs="宋体"/>
                <w:sz w:val="21"/>
                <w:szCs w:val="21"/>
              </w:rPr>
              <w:t>在线监管平台对接，实时显示</w:t>
            </w:r>
            <w:r>
              <w:rPr>
                <w:rFonts w:hint="eastAsia" w:ascii="宋体" w:hAnsi="宋体" w:eastAsia="宋体" w:cs="宋体"/>
                <w:sz w:val="21"/>
                <w:szCs w:val="21"/>
                <w:lang w:val="en-US" w:eastAsia="zh-CN"/>
              </w:rPr>
              <w:t>污泥</w:t>
            </w:r>
            <w:r>
              <w:rPr>
                <w:rFonts w:hint="eastAsia" w:ascii="宋体" w:hAnsi="宋体" w:eastAsia="宋体" w:cs="宋体"/>
                <w:sz w:val="21"/>
                <w:szCs w:val="21"/>
              </w:rPr>
              <w:t>运输轨迹等信息</w:t>
            </w:r>
            <w:r>
              <w:rPr>
                <w:rFonts w:hint="eastAsia" w:ascii="宋体" w:hAnsi="宋体" w:eastAsia="宋体" w:cs="宋体"/>
                <w:sz w:val="21"/>
                <w:szCs w:val="21"/>
                <w:lang w:eastAsia="zh-CN"/>
              </w:rPr>
              <w:t>。</w:t>
            </w:r>
            <w:r>
              <w:rPr>
                <w:rFonts w:hint="eastAsia" w:ascii="宋体" w:hAnsi="宋体" w:eastAsia="宋体" w:cs="宋体"/>
                <w:sz w:val="21"/>
                <w:szCs w:val="21"/>
              </w:rPr>
              <w:t>在运输过程中，</w:t>
            </w:r>
            <w:r>
              <w:rPr>
                <w:rFonts w:hint="eastAsia" w:ascii="宋体" w:hAnsi="宋体" w:eastAsia="宋体" w:cs="宋体"/>
                <w:sz w:val="21"/>
                <w:szCs w:val="21"/>
                <w:lang w:eastAsia="zh-CN"/>
              </w:rPr>
              <w:t>服务单位</w:t>
            </w:r>
            <w:r>
              <w:rPr>
                <w:rFonts w:hint="eastAsia" w:ascii="宋体" w:hAnsi="宋体" w:eastAsia="宋体" w:cs="宋体"/>
                <w:sz w:val="21"/>
                <w:szCs w:val="21"/>
              </w:rPr>
              <w:t>应保证GPS 定位系统能正常接收信号，运输全程纳入定位管理，若运输过程中出现信号无法正常连接或中断的，期间发生交通运输事故或运输过程中导致环境污染的，</w:t>
            </w:r>
            <w:r>
              <w:rPr>
                <w:rFonts w:hint="eastAsia" w:ascii="宋体" w:hAnsi="宋体" w:eastAsia="宋体" w:cs="宋体"/>
                <w:sz w:val="21"/>
                <w:szCs w:val="21"/>
                <w:lang w:eastAsia="zh-CN"/>
              </w:rPr>
              <w:t>服务单位</w:t>
            </w:r>
            <w:r>
              <w:rPr>
                <w:rFonts w:hint="eastAsia" w:ascii="宋体" w:hAnsi="宋体" w:eastAsia="宋体" w:cs="宋体"/>
                <w:sz w:val="21"/>
                <w:szCs w:val="21"/>
              </w:rPr>
              <w:t>须负主要责任，并承担由此产生的一切行政和经济法律责任</w:t>
            </w:r>
            <w:r>
              <w:rPr>
                <w:rFonts w:hint="eastAsia" w:ascii="宋体" w:hAnsi="宋体" w:eastAsia="宋体" w:cs="宋体"/>
                <w:color w:val="auto"/>
                <w:sz w:val="21"/>
                <w:szCs w:val="21"/>
                <w:highlight w:val="none"/>
              </w:rPr>
              <w:t>。</w:t>
            </w:r>
          </w:p>
        </w:tc>
        <w:tc>
          <w:tcPr>
            <w:tcW w:w="721" w:type="dxa"/>
            <w:vAlign w:val="center"/>
          </w:tcPr>
          <w:p w14:paraId="10437E09">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14:paraId="299F6BA0">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14:paraId="4F835CFB">
            <w:pPr>
              <w:keepNext/>
              <w:keepLines/>
              <w:spacing w:line="400" w:lineRule="exact"/>
              <w:jc w:val="center"/>
              <w:outlineLvl w:val="9"/>
              <w:rPr>
                <w:rFonts w:ascii="宋体" w:hAnsi="宋体" w:eastAsia="宋体" w:cs="宋体"/>
                <w:color w:val="auto"/>
                <w:kern w:val="0"/>
                <w:sz w:val="18"/>
                <w:szCs w:val="18"/>
                <w:highlight w:val="none"/>
              </w:rPr>
            </w:pPr>
          </w:p>
        </w:tc>
      </w:tr>
    </w:tbl>
    <w:p w14:paraId="771A2087">
      <w:pPr>
        <w:rPr>
          <w:rFonts w:hint="eastAsia"/>
          <w:color w:val="auto"/>
          <w:highlight w:val="none"/>
        </w:rPr>
      </w:pPr>
    </w:p>
    <w:p w14:paraId="63AB7BD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A25543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应对照</w:t>
      </w:r>
      <w:r>
        <w:rPr>
          <w:rFonts w:hint="eastAsia" w:ascii="宋体" w:hAnsi="宋体" w:eastAsia="宋体" w:cs="宋体"/>
          <w:color w:val="auto"/>
          <w:sz w:val="21"/>
          <w:szCs w:val="21"/>
          <w:highlight w:val="none"/>
          <w:lang w:val="en-US" w:eastAsia="zh-CN"/>
        </w:rPr>
        <w:t>询比</w:t>
      </w:r>
      <w:r>
        <w:rPr>
          <w:rFonts w:hint="eastAsia" w:ascii="宋体" w:hAnsi="宋体" w:eastAsia="宋体" w:cs="宋体"/>
          <w:color w:val="auto"/>
          <w:sz w:val="21"/>
          <w:szCs w:val="21"/>
          <w:highlight w:val="none"/>
        </w:rPr>
        <w:t>文件用户需求书的响应</w:t>
      </w:r>
      <w:r>
        <w:rPr>
          <w:rFonts w:hint="eastAsia" w:ascii="宋体" w:hAnsi="宋体" w:eastAsia="宋体" w:cs="宋体"/>
          <w:color w:val="auto"/>
          <w:sz w:val="21"/>
          <w:szCs w:val="21"/>
          <w:highlight w:val="none"/>
          <w:lang w:eastAsia="zh-CN"/>
        </w:rPr>
        <w:t>（其中“一、项目概况”除外）</w:t>
      </w:r>
      <w:r>
        <w:rPr>
          <w:rFonts w:hint="eastAsia" w:ascii="宋体" w:hAnsi="宋体" w:eastAsia="宋体" w:cs="宋体"/>
          <w:color w:val="auto"/>
          <w:sz w:val="21"/>
          <w:szCs w:val="21"/>
          <w:highlight w:val="none"/>
        </w:rPr>
        <w:t>，逐条逐项、如实地填写“偏离情况”，若发现未填写本表，或虚假填写本表，或伪造、变造证明材料的，按无效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文件处理。若</w:t>
      </w:r>
      <w:r>
        <w:rPr>
          <w:rFonts w:hint="eastAsia" w:ascii="宋体" w:hAnsi="宋体" w:eastAsia="宋体" w:cs="宋体"/>
          <w:color w:val="auto"/>
          <w:sz w:val="21"/>
          <w:szCs w:val="21"/>
          <w:highlight w:val="none"/>
          <w:lang w:val="en-US" w:eastAsia="zh-CN"/>
        </w:rPr>
        <w:t>询比文件</w:t>
      </w:r>
      <w:r>
        <w:rPr>
          <w:rFonts w:hint="eastAsia" w:ascii="宋体" w:hAnsi="宋体" w:eastAsia="宋体" w:cs="宋体"/>
          <w:color w:val="auto"/>
          <w:sz w:val="21"/>
          <w:szCs w:val="21"/>
          <w:highlight w:val="none"/>
        </w:rPr>
        <w:t>用户需求书中有“★”条款须逐条逐项、如实地填写“偏离情况”，未填写“★”条款以外的条款的，视为完全满足</w:t>
      </w:r>
      <w:r>
        <w:rPr>
          <w:rFonts w:hint="eastAsia" w:ascii="宋体" w:hAnsi="宋体" w:eastAsia="宋体" w:cs="宋体"/>
          <w:color w:val="auto"/>
          <w:sz w:val="21"/>
          <w:szCs w:val="21"/>
          <w:highlight w:val="none"/>
          <w:lang w:val="en-US" w:eastAsia="zh-CN"/>
        </w:rPr>
        <w:t>询比</w:t>
      </w:r>
      <w:r>
        <w:rPr>
          <w:rFonts w:hint="eastAsia" w:ascii="宋体" w:hAnsi="宋体" w:eastAsia="宋体" w:cs="宋体"/>
          <w:color w:val="auto"/>
          <w:sz w:val="21"/>
          <w:szCs w:val="21"/>
          <w:highlight w:val="none"/>
        </w:rPr>
        <w:t>文件要求。</w:t>
      </w:r>
    </w:p>
    <w:p w14:paraId="2475153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（2）偏离情况（</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用户需求的响应程度）分为：正偏离、负偏离、无偏离。正偏离是指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对用户需求响应优于</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的要求；负偏离是指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对用户需求响应不满足或不完全满足</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的要求；无偏离是指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对用户需求响应完全满足</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 xml:space="preserve">的要求。 </w:t>
      </w:r>
    </w:p>
    <w:p w14:paraId="349B470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（3）应逐条逐项、如实地填写“偏离情况”。“偏离情况”项为正偏离（或负偏离）的，必须在“实质性响应的具体内容”项内详细说明与</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的偏离内容，“偏离情况”项为无偏离的，在“实质性响应的具体内容”项内填“完全响应</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要求”即可，也可进一步说明投标响应的具体内容。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可将反映</w:t>
      </w:r>
      <w:r>
        <w:rPr>
          <w:rFonts w:hint="eastAsia" w:ascii="宋体" w:hAnsi="宋体" w:eastAsia="宋体" w:cs="宋体"/>
          <w:color w:val="auto"/>
          <w:sz w:val="21"/>
          <w:szCs w:val="21"/>
          <w:highlight w:val="none"/>
          <w:lang w:val="en-US" w:eastAsia="zh-CN"/>
        </w:rPr>
        <w:t>服务能力</w:t>
      </w:r>
      <w:r>
        <w:rPr>
          <w:rFonts w:hint="eastAsia" w:ascii="宋体" w:hAnsi="宋体" w:eastAsia="宋体" w:cs="宋体"/>
          <w:color w:val="auto"/>
          <w:sz w:val="21"/>
          <w:szCs w:val="21"/>
          <w:highlight w:val="none"/>
        </w:rPr>
        <w:t>的技术支持资料作为本表的附件，并在本偏离表“对应证明材料页码”项内注明其在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中的具体页码。</w:t>
      </w:r>
    </w:p>
    <w:p w14:paraId="52A4F9F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（4）凡标有“★”的地方均被视为重要的技术指标要求或性能要求。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要特别加以注意，必须对此回答并完全满足这些要求，否则若有一项带“★”的指标未响应或不满足，将按无效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val="zh-CN"/>
        </w:rPr>
        <w:t>。</w:t>
      </w:r>
    </w:p>
    <w:p w14:paraId="233482DE">
      <w:pPr>
        <w:spacing w:line="360" w:lineRule="auto"/>
        <w:rPr>
          <w:rFonts w:ascii="宋体" w:hAnsi="宋体" w:eastAsia="宋体" w:cs="宋体"/>
          <w:color w:val="auto"/>
          <w:szCs w:val="21"/>
          <w:highlight w:val="none"/>
        </w:rPr>
      </w:pPr>
    </w:p>
    <w:p w14:paraId="4916D72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法人公章</w:t>
      </w:r>
      <w:r>
        <w:rPr>
          <w:rFonts w:hint="eastAsia" w:ascii="宋体" w:hAnsi="宋体" w:eastAsia="宋体" w:cs="宋体"/>
          <w:color w:val="auto"/>
          <w:kern w:val="0"/>
          <w:szCs w:val="21"/>
          <w:highlight w:val="none"/>
        </w:rPr>
        <w:t>）</w:t>
      </w:r>
    </w:p>
    <w:p w14:paraId="25735547">
      <w:pPr>
        <w:autoSpaceDE w:val="0"/>
        <w:autoSpaceDN w:val="0"/>
        <w:adjustRightInd w:val="0"/>
        <w:ind w:left="0"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543C8E94">
      <w:pPr>
        <w:pStyle w:val="8"/>
      </w:pPr>
    </w:p>
    <w:p w14:paraId="58E34FBB">
      <w:pPr>
        <w:rPr>
          <w:rFonts w:hAnsi="宋体" w:cs="宋体"/>
          <w:b/>
          <w:sz w:val="32"/>
          <w:szCs w:val="32"/>
        </w:rPr>
      </w:pPr>
      <w:r>
        <w:rPr>
          <w:rFonts w:hAnsi="宋体" w:cs="宋体"/>
          <w:b/>
          <w:sz w:val="32"/>
          <w:szCs w:val="32"/>
        </w:rPr>
        <w:br w:type="page"/>
      </w:r>
    </w:p>
    <w:p w14:paraId="1BBD5693">
      <w:pPr>
        <w:pStyle w:val="2"/>
      </w:pPr>
      <w:bookmarkStart w:id="53" w:name="_Toc1250"/>
      <w:r>
        <w:rPr>
          <w:rFonts w:hint="eastAsia"/>
          <w:lang w:val="en-US" w:eastAsia="zh-CN"/>
        </w:rPr>
        <w:t>10</w:t>
      </w:r>
      <w:r>
        <w:rPr>
          <w:rFonts w:hint="eastAsia"/>
        </w:rPr>
        <w:t>.</w:t>
      </w:r>
      <w:r>
        <w:rPr>
          <w:rFonts w:hint="eastAsia" w:ascii="宋体" w:hAnsi="宋体" w:eastAsia="宋体" w:cs="宋体"/>
          <w:color w:val="auto"/>
          <w:szCs w:val="21"/>
          <w:highlight w:val="none"/>
        </w:rPr>
        <w:t>应急预案</w:t>
      </w:r>
      <w:r>
        <w:rPr>
          <w:rFonts w:hint="eastAsia" w:ascii="宋体" w:hAnsi="宋体" w:cs="宋体"/>
          <w:color w:val="auto"/>
          <w:szCs w:val="21"/>
          <w:highlight w:val="none"/>
          <w:lang w:eastAsia="zh-CN"/>
        </w:rPr>
        <w:t>和保障措施</w:t>
      </w:r>
      <w:bookmarkEnd w:id="53"/>
    </w:p>
    <w:p w14:paraId="7B81CF73"/>
    <w:p w14:paraId="2C898594">
      <w:pPr>
        <w:rPr>
          <w:rFonts w:hAnsi="宋体" w:cs="宋体"/>
          <w:b/>
          <w:sz w:val="32"/>
          <w:szCs w:val="32"/>
        </w:rPr>
      </w:pPr>
      <w:r>
        <w:rPr>
          <w:rFonts w:hint="eastAsia" w:hAnsi="宋体" w:cs="宋体"/>
          <w:b/>
          <w:sz w:val="32"/>
          <w:szCs w:val="32"/>
        </w:rPr>
        <w:br w:type="page"/>
      </w:r>
    </w:p>
    <w:p w14:paraId="398F7720">
      <w:pPr>
        <w:pStyle w:val="2"/>
      </w:pPr>
      <w:bookmarkStart w:id="54" w:name="_Toc23688"/>
      <w:r>
        <w:rPr>
          <w:rFonts w:hint="eastAsia"/>
        </w:rPr>
        <w:t>11.供应商认为有必要提供的其它材料（不做强制要求）</w:t>
      </w:r>
      <w:bookmarkEnd w:id="48"/>
      <w:bookmarkEnd w:id="49"/>
      <w:bookmarkEnd w:id="50"/>
      <w:bookmarkEnd w:id="54"/>
    </w:p>
    <w:p w14:paraId="1C379424">
      <w:pPr>
        <w:pStyle w:val="8"/>
        <w:rPr>
          <w:rFonts w:ascii="宋体" w:hAnsi="宋体" w:cs="宋体"/>
        </w:rPr>
      </w:pPr>
    </w:p>
    <w:sectPr>
      <w:headerReference r:id="rId9" w:type="default"/>
      <w:footerReference r:id="rId10" w:type="default"/>
      <w:pgSz w:w="12240" w:h="15840"/>
      <w:pgMar w:top="1191" w:right="1117" w:bottom="1191" w:left="1043" w:header="720" w:footer="720" w:gutter="0"/>
      <w:cols w:space="0" w:num="1"/>
      <w:rtlGutter w:val="0"/>
      <w:docGrid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7DE7F">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75E05">
                          <w:pPr>
                            <w:pStyle w:val="15"/>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C75E05">
                    <w:pPr>
                      <w:pStyle w:val="15"/>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97A9">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864B">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E0B9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FE0B9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6184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C86E4">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7C86E4">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93</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EAEE">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02A5B">
                          <w:pPr>
                            <w:pStyle w:val="1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402A5B">
                    <w:pPr>
                      <w:pStyle w:val="1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FFAF9">
    <w:pPr>
      <w:pStyle w:val="15"/>
      <w:jc w:val="center"/>
    </w:pPr>
    <w:r>
      <mc:AlternateContent>
        <mc:Choice Requires="wps">
          <w:drawing>
            <wp:inline distT="0" distB="0" distL="0" distR="0">
              <wp:extent cx="1828800" cy="1828800"/>
              <wp:effectExtent l="0" t="0" r="12065" b="10795"/>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71865">
                          <w:pPr>
                            <w:pStyle w:val="15"/>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PAGE  \* MERGEFORMAT </w:instrText>
                          </w:r>
                          <w:r>
                            <w:rPr>
                              <w:rFonts w:hint="eastAsia" w:ascii="Times New Roman" w:hAnsi="Times New Roman" w:cs="Times New Roman"/>
                            </w:rPr>
                            <w:fldChar w:fldCharType="separate"/>
                          </w:r>
                          <w:r>
                            <w:rPr>
                              <w:rFonts w:ascii="Times New Roman" w:hAnsi="Times New Roman" w:cs="Times New Roman"/>
                            </w:rPr>
                            <w:t>- 44 -</w:t>
                          </w:r>
                          <w:r>
                            <w:rPr>
                              <w:rFonts w:hint="eastAsia"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F71865">
                    <w:pPr>
                      <w:pStyle w:val="15"/>
                      <w:rPr>
                        <w:rFonts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PAGE  \* MERGEFORMAT </w:instrText>
                    </w:r>
                    <w:r>
                      <w:rPr>
                        <w:rFonts w:hint="eastAsia" w:ascii="Times New Roman" w:hAnsi="Times New Roman" w:cs="Times New Roman"/>
                      </w:rPr>
                      <w:fldChar w:fldCharType="separate"/>
                    </w:r>
                    <w:r>
                      <w:rPr>
                        <w:rFonts w:ascii="Times New Roman" w:hAnsi="Times New Roman" w:cs="Times New Roman"/>
                      </w:rPr>
                      <w:t>- 44 -</w:t>
                    </w:r>
                    <w:r>
                      <w:rPr>
                        <w:rFonts w:hint="eastAsia" w:ascii="Times New Roman" w:hAnsi="Times New Roman" w:cs="Times New Roman"/>
                      </w:rPr>
                      <w:fldChar w:fldCharType="end"/>
                    </w:r>
                  </w:p>
                </w:txbxContent>
              </v:textbox>
              <w10:wrap type="none"/>
              <w10:anchorlock/>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350C">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F8E0">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F82D0EBA"/>
    <w:multiLevelType w:val="singleLevel"/>
    <w:tmpl w:val="F82D0EBA"/>
    <w:lvl w:ilvl="0" w:tentative="0">
      <w:start w:val="1"/>
      <w:numFmt w:val="decimal"/>
      <w:suff w:val="nothing"/>
      <w:lvlText w:val="%1"/>
      <w:lvlJc w:val="left"/>
      <w:pPr>
        <w:ind w:left="0" w:firstLine="60"/>
      </w:pPr>
      <w:rPr>
        <w:rFonts w:hint="default" w:ascii="宋体" w:hAnsi="宋体"/>
        <w:sz w:val="21"/>
      </w:rPr>
    </w:lvl>
  </w:abstractNum>
  <w:abstractNum w:abstractNumId="2">
    <w:nsid w:val="FE1D2219"/>
    <w:multiLevelType w:val="singleLevel"/>
    <w:tmpl w:val="FE1D2219"/>
    <w:lvl w:ilvl="0" w:tentative="0">
      <w:start w:val="1"/>
      <w:numFmt w:val="decimal"/>
      <w:suff w:val="space"/>
      <w:lvlText w:val="%1."/>
      <w:lvlJc w:val="left"/>
    </w:lvl>
  </w:abstractNum>
  <w:abstractNum w:abstractNumId="3">
    <w:nsid w:val="067D3DBC"/>
    <w:multiLevelType w:val="singleLevel"/>
    <w:tmpl w:val="067D3DBC"/>
    <w:lvl w:ilvl="0" w:tentative="0">
      <w:start w:val="1"/>
      <w:numFmt w:val="decimal"/>
      <w:suff w:val="nothing"/>
      <w:lvlText w:val="%1"/>
      <w:lvlJc w:val="left"/>
      <w:pPr>
        <w:ind w:left="0" w:firstLine="60"/>
      </w:pPr>
      <w:rPr>
        <w:rFonts w:hint="default" w:ascii="宋体" w:hAnsi="宋体"/>
        <w:sz w:val="21"/>
      </w:rPr>
    </w:lvl>
  </w:abstractNum>
  <w:abstractNum w:abstractNumId="4">
    <w:nsid w:val="42D5E865"/>
    <w:multiLevelType w:val="singleLevel"/>
    <w:tmpl w:val="42D5E865"/>
    <w:lvl w:ilvl="0" w:tentative="0">
      <w:start w:val="2"/>
      <w:numFmt w:val="decimal"/>
      <w:suff w:val="nothing"/>
      <w:lvlText w:val="%1、"/>
      <w:lvlJc w:val="left"/>
    </w:lvl>
  </w:abstractNum>
  <w:abstractNum w:abstractNumId="5">
    <w:nsid w:val="669288AD"/>
    <w:multiLevelType w:val="singleLevel"/>
    <w:tmpl w:val="669288AD"/>
    <w:lvl w:ilvl="0" w:tentative="0">
      <w:start w:val="2"/>
      <w:numFmt w:val="decimal"/>
      <w:suff w:val="nothing"/>
      <w:lvlText w:val="（%1）"/>
      <w:lvlJc w:val="left"/>
    </w:lvl>
  </w:abstractNum>
  <w:abstractNum w:abstractNumId="6">
    <w:nsid w:val="7D606AC4"/>
    <w:multiLevelType w:val="singleLevel"/>
    <w:tmpl w:val="7D606AC4"/>
    <w:lvl w:ilvl="0" w:tentative="0">
      <w:start w:val="1"/>
      <w:numFmt w:val="decimal"/>
      <w:suff w:val="nothing"/>
      <w:lvlText w:val="（%1）"/>
      <w:lvlJc w:val="left"/>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03AB5"/>
    <w:rsid w:val="00014071"/>
    <w:rsid w:val="000143E1"/>
    <w:rsid w:val="00015B2B"/>
    <w:rsid w:val="0002215E"/>
    <w:rsid w:val="00033DAB"/>
    <w:rsid w:val="0004072F"/>
    <w:rsid w:val="00056D3A"/>
    <w:rsid w:val="00060A39"/>
    <w:rsid w:val="0006243A"/>
    <w:rsid w:val="000758E8"/>
    <w:rsid w:val="00087579"/>
    <w:rsid w:val="000877EE"/>
    <w:rsid w:val="000936C4"/>
    <w:rsid w:val="000A73FD"/>
    <w:rsid w:val="000B6339"/>
    <w:rsid w:val="000C3573"/>
    <w:rsid w:val="000C3DC4"/>
    <w:rsid w:val="000D793B"/>
    <w:rsid w:val="000D7F46"/>
    <w:rsid w:val="000E1ECA"/>
    <w:rsid w:val="000E4ADB"/>
    <w:rsid w:val="000F4AB9"/>
    <w:rsid w:val="000F7EA3"/>
    <w:rsid w:val="00100831"/>
    <w:rsid w:val="00120C91"/>
    <w:rsid w:val="00126F7D"/>
    <w:rsid w:val="001277AD"/>
    <w:rsid w:val="00130C34"/>
    <w:rsid w:val="001352D7"/>
    <w:rsid w:val="0014286F"/>
    <w:rsid w:val="00144D70"/>
    <w:rsid w:val="0018093D"/>
    <w:rsid w:val="00182153"/>
    <w:rsid w:val="00184267"/>
    <w:rsid w:val="001875DF"/>
    <w:rsid w:val="001A1C91"/>
    <w:rsid w:val="001C4E88"/>
    <w:rsid w:val="001C66F6"/>
    <w:rsid w:val="001D52F6"/>
    <w:rsid w:val="001E3F91"/>
    <w:rsid w:val="001F6C3C"/>
    <w:rsid w:val="001F7380"/>
    <w:rsid w:val="0021086E"/>
    <w:rsid w:val="00213880"/>
    <w:rsid w:val="0021700F"/>
    <w:rsid w:val="00220FA1"/>
    <w:rsid w:val="00224B44"/>
    <w:rsid w:val="0023139B"/>
    <w:rsid w:val="0023708C"/>
    <w:rsid w:val="00241CA3"/>
    <w:rsid w:val="00251F05"/>
    <w:rsid w:val="002533B7"/>
    <w:rsid w:val="00254641"/>
    <w:rsid w:val="002571E6"/>
    <w:rsid w:val="002714CE"/>
    <w:rsid w:val="00272864"/>
    <w:rsid w:val="00272C5F"/>
    <w:rsid w:val="00276876"/>
    <w:rsid w:val="002861E1"/>
    <w:rsid w:val="002C060C"/>
    <w:rsid w:val="002C29FB"/>
    <w:rsid w:val="002D11BA"/>
    <w:rsid w:val="002D64F7"/>
    <w:rsid w:val="002E36DD"/>
    <w:rsid w:val="002E3BD3"/>
    <w:rsid w:val="002F6F45"/>
    <w:rsid w:val="00320A03"/>
    <w:rsid w:val="00335ADA"/>
    <w:rsid w:val="003451AD"/>
    <w:rsid w:val="003516C5"/>
    <w:rsid w:val="003543DC"/>
    <w:rsid w:val="00355764"/>
    <w:rsid w:val="003604A3"/>
    <w:rsid w:val="003622BD"/>
    <w:rsid w:val="003707A6"/>
    <w:rsid w:val="003A4927"/>
    <w:rsid w:val="003B7BA2"/>
    <w:rsid w:val="003C4080"/>
    <w:rsid w:val="003C52D7"/>
    <w:rsid w:val="003D34D0"/>
    <w:rsid w:val="003E34BC"/>
    <w:rsid w:val="003E37B3"/>
    <w:rsid w:val="003F09A2"/>
    <w:rsid w:val="003F295A"/>
    <w:rsid w:val="003F5D9B"/>
    <w:rsid w:val="00417A22"/>
    <w:rsid w:val="004368B3"/>
    <w:rsid w:val="00440D93"/>
    <w:rsid w:val="004471D9"/>
    <w:rsid w:val="00450793"/>
    <w:rsid w:val="00450C68"/>
    <w:rsid w:val="004536B9"/>
    <w:rsid w:val="00460DA6"/>
    <w:rsid w:val="004668C5"/>
    <w:rsid w:val="0047208D"/>
    <w:rsid w:val="0048608D"/>
    <w:rsid w:val="00494253"/>
    <w:rsid w:val="00497CC9"/>
    <w:rsid w:val="004A036E"/>
    <w:rsid w:val="004A0792"/>
    <w:rsid w:val="004C1B24"/>
    <w:rsid w:val="004C2591"/>
    <w:rsid w:val="004E008B"/>
    <w:rsid w:val="004E0863"/>
    <w:rsid w:val="004E1AB3"/>
    <w:rsid w:val="00506965"/>
    <w:rsid w:val="00513333"/>
    <w:rsid w:val="00516DDD"/>
    <w:rsid w:val="00520060"/>
    <w:rsid w:val="00527A7F"/>
    <w:rsid w:val="0053112C"/>
    <w:rsid w:val="00531797"/>
    <w:rsid w:val="00532F34"/>
    <w:rsid w:val="005331A7"/>
    <w:rsid w:val="00543D58"/>
    <w:rsid w:val="00550342"/>
    <w:rsid w:val="0055253C"/>
    <w:rsid w:val="0055323F"/>
    <w:rsid w:val="005703C1"/>
    <w:rsid w:val="00575CE7"/>
    <w:rsid w:val="00576FC0"/>
    <w:rsid w:val="00580EBB"/>
    <w:rsid w:val="00581C68"/>
    <w:rsid w:val="00592AF5"/>
    <w:rsid w:val="005939E4"/>
    <w:rsid w:val="00597F72"/>
    <w:rsid w:val="005A22A8"/>
    <w:rsid w:val="005A7108"/>
    <w:rsid w:val="005B0B0B"/>
    <w:rsid w:val="005B5AFF"/>
    <w:rsid w:val="005B7598"/>
    <w:rsid w:val="005E0558"/>
    <w:rsid w:val="005E06C1"/>
    <w:rsid w:val="005E1087"/>
    <w:rsid w:val="005E4914"/>
    <w:rsid w:val="005E532B"/>
    <w:rsid w:val="006008D3"/>
    <w:rsid w:val="00604148"/>
    <w:rsid w:val="00604AE0"/>
    <w:rsid w:val="006064A0"/>
    <w:rsid w:val="00612300"/>
    <w:rsid w:val="00620FDD"/>
    <w:rsid w:val="00622EDA"/>
    <w:rsid w:val="00625283"/>
    <w:rsid w:val="00633476"/>
    <w:rsid w:val="00635EA9"/>
    <w:rsid w:val="00651AA9"/>
    <w:rsid w:val="00655743"/>
    <w:rsid w:val="00656404"/>
    <w:rsid w:val="0065740A"/>
    <w:rsid w:val="0066529F"/>
    <w:rsid w:val="00674BB6"/>
    <w:rsid w:val="006A0C51"/>
    <w:rsid w:val="006A3590"/>
    <w:rsid w:val="006B5AF2"/>
    <w:rsid w:val="006B6AE3"/>
    <w:rsid w:val="006C687D"/>
    <w:rsid w:val="006D3240"/>
    <w:rsid w:val="006E350A"/>
    <w:rsid w:val="006E6C27"/>
    <w:rsid w:val="006F0D2B"/>
    <w:rsid w:val="006F1E3C"/>
    <w:rsid w:val="006F45D6"/>
    <w:rsid w:val="007018A8"/>
    <w:rsid w:val="007114E2"/>
    <w:rsid w:val="007143FF"/>
    <w:rsid w:val="007177A8"/>
    <w:rsid w:val="00724B4C"/>
    <w:rsid w:val="00727FD1"/>
    <w:rsid w:val="00730EA0"/>
    <w:rsid w:val="00731590"/>
    <w:rsid w:val="00731B42"/>
    <w:rsid w:val="00743F4C"/>
    <w:rsid w:val="007549F9"/>
    <w:rsid w:val="00761855"/>
    <w:rsid w:val="0076415B"/>
    <w:rsid w:val="00770D53"/>
    <w:rsid w:val="00770F5B"/>
    <w:rsid w:val="007755B4"/>
    <w:rsid w:val="007808CA"/>
    <w:rsid w:val="00786AEA"/>
    <w:rsid w:val="00786F90"/>
    <w:rsid w:val="007913E8"/>
    <w:rsid w:val="007A261D"/>
    <w:rsid w:val="007A57A7"/>
    <w:rsid w:val="007B3C75"/>
    <w:rsid w:val="007B49B8"/>
    <w:rsid w:val="007B613E"/>
    <w:rsid w:val="007B7750"/>
    <w:rsid w:val="007C10FB"/>
    <w:rsid w:val="007D1B4D"/>
    <w:rsid w:val="007D6C97"/>
    <w:rsid w:val="007E6CDC"/>
    <w:rsid w:val="007F4A53"/>
    <w:rsid w:val="007F781E"/>
    <w:rsid w:val="00800EE9"/>
    <w:rsid w:val="008015B3"/>
    <w:rsid w:val="00802725"/>
    <w:rsid w:val="00806A29"/>
    <w:rsid w:val="00834896"/>
    <w:rsid w:val="008479A5"/>
    <w:rsid w:val="00852936"/>
    <w:rsid w:val="00853636"/>
    <w:rsid w:val="008603E5"/>
    <w:rsid w:val="00867E40"/>
    <w:rsid w:val="008705AE"/>
    <w:rsid w:val="0087336F"/>
    <w:rsid w:val="0087502A"/>
    <w:rsid w:val="00875649"/>
    <w:rsid w:val="00877F49"/>
    <w:rsid w:val="0089250A"/>
    <w:rsid w:val="00892DEC"/>
    <w:rsid w:val="008A57B2"/>
    <w:rsid w:val="008B1A03"/>
    <w:rsid w:val="008B1ED7"/>
    <w:rsid w:val="008C1E99"/>
    <w:rsid w:val="008C5FD3"/>
    <w:rsid w:val="008C7DDD"/>
    <w:rsid w:val="008D7411"/>
    <w:rsid w:val="008E3643"/>
    <w:rsid w:val="008F0ABF"/>
    <w:rsid w:val="00901B97"/>
    <w:rsid w:val="00905314"/>
    <w:rsid w:val="00916959"/>
    <w:rsid w:val="00936DB6"/>
    <w:rsid w:val="0094384C"/>
    <w:rsid w:val="00950E99"/>
    <w:rsid w:val="00964520"/>
    <w:rsid w:val="009675C0"/>
    <w:rsid w:val="00967A9A"/>
    <w:rsid w:val="00973655"/>
    <w:rsid w:val="00976104"/>
    <w:rsid w:val="00977B3B"/>
    <w:rsid w:val="00981B8E"/>
    <w:rsid w:val="00997CD7"/>
    <w:rsid w:val="009B3C45"/>
    <w:rsid w:val="009B5937"/>
    <w:rsid w:val="009B7B4E"/>
    <w:rsid w:val="009D033A"/>
    <w:rsid w:val="009D0E49"/>
    <w:rsid w:val="009D6EEC"/>
    <w:rsid w:val="009E5061"/>
    <w:rsid w:val="009E74AF"/>
    <w:rsid w:val="009F2836"/>
    <w:rsid w:val="00A04337"/>
    <w:rsid w:val="00A04DE0"/>
    <w:rsid w:val="00A04E05"/>
    <w:rsid w:val="00A14EF1"/>
    <w:rsid w:val="00A15517"/>
    <w:rsid w:val="00A222E8"/>
    <w:rsid w:val="00A24C5D"/>
    <w:rsid w:val="00A25EA6"/>
    <w:rsid w:val="00A30B04"/>
    <w:rsid w:val="00A32BDC"/>
    <w:rsid w:val="00A41339"/>
    <w:rsid w:val="00A738C3"/>
    <w:rsid w:val="00A75B6C"/>
    <w:rsid w:val="00A76DBB"/>
    <w:rsid w:val="00A91D5D"/>
    <w:rsid w:val="00AA01B4"/>
    <w:rsid w:val="00AC09D9"/>
    <w:rsid w:val="00AC72E8"/>
    <w:rsid w:val="00AD6764"/>
    <w:rsid w:val="00B00F70"/>
    <w:rsid w:val="00B05B10"/>
    <w:rsid w:val="00B07EA1"/>
    <w:rsid w:val="00B1349D"/>
    <w:rsid w:val="00B2564D"/>
    <w:rsid w:val="00B25928"/>
    <w:rsid w:val="00B3048B"/>
    <w:rsid w:val="00B44D9E"/>
    <w:rsid w:val="00B46C90"/>
    <w:rsid w:val="00B577DA"/>
    <w:rsid w:val="00B63B6C"/>
    <w:rsid w:val="00B72CF5"/>
    <w:rsid w:val="00B73C22"/>
    <w:rsid w:val="00B74AE4"/>
    <w:rsid w:val="00B74EAC"/>
    <w:rsid w:val="00B765C0"/>
    <w:rsid w:val="00B8239C"/>
    <w:rsid w:val="00B96D24"/>
    <w:rsid w:val="00BA2FDD"/>
    <w:rsid w:val="00BA4D7B"/>
    <w:rsid w:val="00BB6875"/>
    <w:rsid w:val="00BC7FDA"/>
    <w:rsid w:val="00BD0A68"/>
    <w:rsid w:val="00BD116D"/>
    <w:rsid w:val="00BD2C9F"/>
    <w:rsid w:val="00BD5774"/>
    <w:rsid w:val="00BE30CA"/>
    <w:rsid w:val="00BF0326"/>
    <w:rsid w:val="00BF23B3"/>
    <w:rsid w:val="00BF2A8E"/>
    <w:rsid w:val="00C0670D"/>
    <w:rsid w:val="00C072AB"/>
    <w:rsid w:val="00C15CAE"/>
    <w:rsid w:val="00C21FDD"/>
    <w:rsid w:val="00C2218E"/>
    <w:rsid w:val="00C421E0"/>
    <w:rsid w:val="00C54EDF"/>
    <w:rsid w:val="00C65334"/>
    <w:rsid w:val="00C7031F"/>
    <w:rsid w:val="00C716DF"/>
    <w:rsid w:val="00C77A3A"/>
    <w:rsid w:val="00C8067F"/>
    <w:rsid w:val="00C81F39"/>
    <w:rsid w:val="00CA0E8D"/>
    <w:rsid w:val="00CB0949"/>
    <w:rsid w:val="00CB31B3"/>
    <w:rsid w:val="00CD1E28"/>
    <w:rsid w:val="00CD7B0D"/>
    <w:rsid w:val="00CE0466"/>
    <w:rsid w:val="00CE6D6B"/>
    <w:rsid w:val="00CE73B7"/>
    <w:rsid w:val="00CF015C"/>
    <w:rsid w:val="00D008DA"/>
    <w:rsid w:val="00D11740"/>
    <w:rsid w:val="00D12814"/>
    <w:rsid w:val="00D167C9"/>
    <w:rsid w:val="00D23AE6"/>
    <w:rsid w:val="00D50AC9"/>
    <w:rsid w:val="00D66911"/>
    <w:rsid w:val="00D72128"/>
    <w:rsid w:val="00D849AC"/>
    <w:rsid w:val="00D84B4B"/>
    <w:rsid w:val="00D8721B"/>
    <w:rsid w:val="00DB1934"/>
    <w:rsid w:val="00DB3106"/>
    <w:rsid w:val="00DC081F"/>
    <w:rsid w:val="00DC3D50"/>
    <w:rsid w:val="00E031E7"/>
    <w:rsid w:val="00E078F8"/>
    <w:rsid w:val="00E12E8C"/>
    <w:rsid w:val="00E17996"/>
    <w:rsid w:val="00E24003"/>
    <w:rsid w:val="00E2498C"/>
    <w:rsid w:val="00E31A58"/>
    <w:rsid w:val="00E354D8"/>
    <w:rsid w:val="00E50F9B"/>
    <w:rsid w:val="00E5407E"/>
    <w:rsid w:val="00E77CB1"/>
    <w:rsid w:val="00E81726"/>
    <w:rsid w:val="00E83D10"/>
    <w:rsid w:val="00E87554"/>
    <w:rsid w:val="00E964F4"/>
    <w:rsid w:val="00EA060E"/>
    <w:rsid w:val="00EC1A75"/>
    <w:rsid w:val="00EC36CA"/>
    <w:rsid w:val="00ED0E9B"/>
    <w:rsid w:val="00EE5222"/>
    <w:rsid w:val="00EF0257"/>
    <w:rsid w:val="00F07ECE"/>
    <w:rsid w:val="00F104E8"/>
    <w:rsid w:val="00F12CC9"/>
    <w:rsid w:val="00F318B0"/>
    <w:rsid w:val="00F36964"/>
    <w:rsid w:val="00F36E08"/>
    <w:rsid w:val="00F53F51"/>
    <w:rsid w:val="00F56153"/>
    <w:rsid w:val="00F653B5"/>
    <w:rsid w:val="00F73D43"/>
    <w:rsid w:val="00F8456C"/>
    <w:rsid w:val="00F923D8"/>
    <w:rsid w:val="00F9364E"/>
    <w:rsid w:val="00FA4520"/>
    <w:rsid w:val="00FA7FD4"/>
    <w:rsid w:val="00FB4F9D"/>
    <w:rsid w:val="00FB6385"/>
    <w:rsid w:val="00FC1827"/>
    <w:rsid w:val="00FC5D57"/>
    <w:rsid w:val="00FD1C85"/>
    <w:rsid w:val="00FF58C5"/>
    <w:rsid w:val="00FF628A"/>
    <w:rsid w:val="00FF67EA"/>
    <w:rsid w:val="014D28C9"/>
    <w:rsid w:val="021B4775"/>
    <w:rsid w:val="02972D9A"/>
    <w:rsid w:val="03B64756"/>
    <w:rsid w:val="041341B1"/>
    <w:rsid w:val="04B05649"/>
    <w:rsid w:val="0616335D"/>
    <w:rsid w:val="06D373CC"/>
    <w:rsid w:val="06E27ADA"/>
    <w:rsid w:val="07796682"/>
    <w:rsid w:val="07B70A9C"/>
    <w:rsid w:val="07BE7D13"/>
    <w:rsid w:val="07D17DB0"/>
    <w:rsid w:val="08947C85"/>
    <w:rsid w:val="08B2315A"/>
    <w:rsid w:val="08C72F61"/>
    <w:rsid w:val="08CE0793"/>
    <w:rsid w:val="09B07E99"/>
    <w:rsid w:val="09D21BBD"/>
    <w:rsid w:val="0A305F35"/>
    <w:rsid w:val="0A3E7253"/>
    <w:rsid w:val="0A4F1460"/>
    <w:rsid w:val="0A984BB5"/>
    <w:rsid w:val="0AB87005"/>
    <w:rsid w:val="0AE32F83"/>
    <w:rsid w:val="0B7C6285"/>
    <w:rsid w:val="0BFE6C9A"/>
    <w:rsid w:val="0C105C49"/>
    <w:rsid w:val="0C752CF5"/>
    <w:rsid w:val="0C9B3A6C"/>
    <w:rsid w:val="0D43133F"/>
    <w:rsid w:val="0D5C45C0"/>
    <w:rsid w:val="0D763760"/>
    <w:rsid w:val="0DC035FE"/>
    <w:rsid w:val="0DF20A80"/>
    <w:rsid w:val="0E72396F"/>
    <w:rsid w:val="0EA25C48"/>
    <w:rsid w:val="0ED45889"/>
    <w:rsid w:val="0FA7589A"/>
    <w:rsid w:val="100D4C34"/>
    <w:rsid w:val="100E1475"/>
    <w:rsid w:val="102D3FF1"/>
    <w:rsid w:val="104430E9"/>
    <w:rsid w:val="104B17E4"/>
    <w:rsid w:val="10B93AD7"/>
    <w:rsid w:val="111725AC"/>
    <w:rsid w:val="116003F7"/>
    <w:rsid w:val="119D51A7"/>
    <w:rsid w:val="11C12C43"/>
    <w:rsid w:val="11C646FD"/>
    <w:rsid w:val="12064AFA"/>
    <w:rsid w:val="12C05507"/>
    <w:rsid w:val="12C624DB"/>
    <w:rsid w:val="12E0359D"/>
    <w:rsid w:val="13846866"/>
    <w:rsid w:val="13FB7F63"/>
    <w:rsid w:val="140137CB"/>
    <w:rsid w:val="14076907"/>
    <w:rsid w:val="14706BA3"/>
    <w:rsid w:val="148F7029"/>
    <w:rsid w:val="149C1746"/>
    <w:rsid w:val="14AD5701"/>
    <w:rsid w:val="14B00D4D"/>
    <w:rsid w:val="153100E0"/>
    <w:rsid w:val="15430492"/>
    <w:rsid w:val="15A84FF5"/>
    <w:rsid w:val="15EE4223"/>
    <w:rsid w:val="15FA65DA"/>
    <w:rsid w:val="166C3E5C"/>
    <w:rsid w:val="17377504"/>
    <w:rsid w:val="17EE22B8"/>
    <w:rsid w:val="17F633D8"/>
    <w:rsid w:val="17FB2C27"/>
    <w:rsid w:val="181141F9"/>
    <w:rsid w:val="18A60196"/>
    <w:rsid w:val="1908080B"/>
    <w:rsid w:val="19092FDD"/>
    <w:rsid w:val="1935582C"/>
    <w:rsid w:val="193E726F"/>
    <w:rsid w:val="1A864A2A"/>
    <w:rsid w:val="1B091FFE"/>
    <w:rsid w:val="1BBE6445"/>
    <w:rsid w:val="1BCD0437"/>
    <w:rsid w:val="1BEA0FE8"/>
    <w:rsid w:val="1D2030BF"/>
    <w:rsid w:val="1D7274E7"/>
    <w:rsid w:val="1E6A6411"/>
    <w:rsid w:val="1E7D37A6"/>
    <w:rsid w:val="1EB12D29"/>
    <w:rsid w:val="1EC75611"/>
    <w:rsid w:val="1EDB03EF"/>
    <w:rsid w:val="1F0E1492"/>
    <w:rsid w:val="1F1E473E"/>
    <w:rsid w:val="1F2D5E39"/>
    <w:rsid w:val="2043516B"/>
    <w:rsid w:val="209F4FC1"/>
    <w:rsid w:val="20A777C8"/>
    <w:rsid w:val="20BD316F"/>
    <w:rsid w:val="21217D8A"/>
    <w:rsid w:val="21643F34"/>
    <w:rsid w:val="22720D9E"/>
    <w:rsid w:val="23160915"/>
    <w:rsid w:val="2386555D"/>
    <w:rsid w:val="238E180C"/>
    <w:rsid w:val="24CC3981"/>
    <w:rsid w:val="25057580"/>
    <w:rsid w:val="253B27E5"/>
    <w:rsid w:val="25457290"/>
    <w:rsid w:val="255045B2"/>
    <w:rsid w:val="25897AC4"/>
    <w:rsid w:val="25C1100C"/>
    <w:rsid w:val="25E215AF"/>
    <w:rsid w:val="260F40AD"/>
    <w:rsid w:val="261A4BC0"/>
    <w:rsid w:val="263A5E5B"/>
    <w:rsid w:val="26A36964"/>
    <w:rsid w:val="26AF70B6"/>
    <w:rsid w:val="26F31699"/>
    <w:rsid w:val="272D447F"/>
    <w:rsid w:val="27711B91"/>
    <w:rsid w:val="27E162AD"/>
    <w:rsid w:val="28927BEE"/>
    <w:rsid w:val="28FE2577"/>
    <w:rsid w:val="295B1778"/>
    <w:rsid w:val="29CA4B8D"/>
    <w:rsid w:val="29E140BF"/>
    <w:rsid w:val="2A631000"/>
    <w:rsid w:val="2B202426"/>
    <w:rsid w:val="2B373B1E"/>
    <w:rsid w:val="2C3818FC"/>
    <w:rsid w:val="2C7D1A05"/>
    <w:rsid w:val="2CCB2770"/>
    <w:rsid w:val="2D40315E"/>
    <w:rsid w:val="2D4564CE"/>
    <w:rsid w:val="2D616C31"/>
    <w:rsid w:val="2DA60AE7"/>
    <w:rsid w:val="2DD613CD"/>
    <w:rsid w:val="2DEA4E78"/>
    <w:rsid w:val="2DF53F49"/>
    <w:rsid w:val="2DF9330D"/>
    <w:rsid w:val="2E124DA6"/>
    <w:rsid w:val="2E434920"/>
    <w:rsid w:val="2E496043"/>
    <w:rsid w:val="2E5C3FC8"/>
    <w:rsid w:val="2E8B665B"/>
    <w:rsid w:val="2ECB2EFB"/>
    <w:rsid w:val="2EE27BD7"/>
    <w:rsid w:val="2EF90849"/>
    <w:rsid w:val="2F8A6913"/>
    <w:rsid w:val="2FDE6C5E"/>
    <w:rsid w:val="300C557A"/>
    <w:rsid w:val="303B19BB"/>
    <w:rsid w:val="3069477A"/>
    <w:rsid w:val="30764BE7"/>
    <w:rsid w:val="308679FC"/>
    <w:rsid w:val="30D140CD"/>
    <w:rsid w:val="30F90DF5"/>
    <w:rsid w:val="31267093"/>
    <w:rsid w:val="31A2331A"/>
    <w:rsid w:val="31B9703B"/>
    <w:rsid w:val="31E64C63"/>
    <w:rsid w:val="31FE5396"/>
    <w:rsid w:val="32167536"/>
    <w:rsid w:val="326A72D8"/>
    <w:rsid w:val="327411B4"/>
    <w:rsid w:val="3281224F"/>
    <w:rsid w:val="32E91BA2"/>
    <w:rsid w:val="3330157F"/>
    <w:rsid w:val="33437504"/>
    <w:rsid w:val="33680D19"/>
    <w:rsid w:val="33784CD4"/>
    <w:rsid w:val="33A456B7"/>
    <w:rsid w:val="35841F9E"/>
    <w:rsid w:val="35E23668"/>
    <w:rsid w:val="36121410"/>
    <w:rsid w:val="364234BF"/>
    <w:rsid w:val="36590DED"/>
    <w:rsid w:val="37DF63B2"/>
    <w:rsid w:val="37EE7CB3"/>
    <w:rsid w:val="37EF40B3"/>
    <w:rsid w:val="392576AC"/>
    <w:rsid w:val="399860D0"/>
    <w:rsid w:val="3AE35129"/>
    <w:rsid w:val="3B44206B"/>
    <w:rsid w:val="3B576FDB"/>
    <w:rsid w:val="3BDC6748"/>
    <w:rsid w:val="3C1F4887"/>
    <w:rsid w:val="3E09759C"/>
    <w:rsid w:val="3EDC080D"/>
    <w:rsid w:val="3EE7225B"/>
    <w:rsid w:val="3EF3570B"/>
    <w:rsid w:val="3F163D1F"/>
    <w:rsid w:val="3F397A0D"/>
    <w:rsid w:val="3FF41CB3"/>
    <w:rsid w:val="403C5A07"/>
    <w:rsid w:val="40B414F2"/>
    <w:rsid w:val="412A3AB2"/>
    <w:rsid w:val="414803DC"/>
    <w:rsid w:val="41C9151C"/>
    <w:rsid w:val="41D748E9"/>
    <w:rsid w:val="41E2438C"/>
    <w:rsid w:val="424E7C7B"/>
    <w:rsid w:val="42ED4D97"/>
    <w:rsid w:val="432A7D99"/>
    <w:rsid w:val="437173A4"/>
    <w:rsid w:val="43BB6C43"/>
    <w:rsid w:val="43CC0421"/>
    <w:rsid w:val="43CC70A2"/>
    <w:rsid w:val="43FA3C0F"/>
    <w:rsid w:val="444D1C5E"/>
    <w:rsid w:val="44562E10"/>
    <w:rsid w:val="446E0159"/>
    <w:rsid w:val="44A973E3"/>
    <w:rsid w:val="45827912"/>
    <w:rsid w:val="45BB5620"/>
    <w:rsid w:val="46546BB9"/>
    <w:rsid w:val="46853538"/>
    <w:rsid w:val="46F02871"/>
    <w:rsid w:val="46FA2178"/>
    <w:rsid w:val="47134FE8"/>
    <w:rsid w:val="475573AE"/>
    <w:rsid w:val="47CC6C62"/>
    <w:rsid w:val="48657AC5"/>
    <w:rsid w:val="486E1D08"/>
    <w:rsid w:val="489A04EC"/>
    <w:rsid w:val="48CE11C6"/>
    <w:rsid w:val="49481196"/>
    <w:rsid w:val="49870F95"/>
    <w:rsid w:val="49AB59AC"/>
    <w:rsid w:val="49CA4084"/>
    <w:rsid w:val="4A0368E5"/>
    <w:rsid w:val="4A4F27DB"/>
    <w:rsid w:val="4A7C1F87"/>
    <w:rsid w:val="4AB958D0"/>
    <w:rsid w:val="4B306168"/>
    <w:rsid w:val="4B7C375B"/>
    <w:rsid w:val="4B906C07"/>
    <w:rsid w:val="4BD27220"/>
    <w:rsid w:val="4C5F726F"/>
    <w:rsid w:val="4CC254E6"/>
    <w:rsid w:val="4CD15729"/>
    <w:rsid w:val="4CE0596C"/>
    <w:rsid w:val="4D41465D"/>
    <w:rsid w:val="4D5A571F"/>
    <w:rsid w:val="4D5C3245"/>
    <w:rsid w:val="4D812CAB"/>
    <w:rsid w:val="4DC24624"/>
    <w:rsid w:val="4DC810D8"/>
    <w:rsid w:val="4DC81F78"/>
    <w:rsid w:val="4E353A96"/>
    <w:rsid w:val="4F1418FD"/>
    <w:rsid w:val="4F22401A"/>
    <w:rsid w:val="4F4756E4"/>
    <w:rsid w:val="4F7244C4"/>
    <w:rsid w:val="4FAD422B"/>
    <w:rsid w:val="4FF8148F"/>
    <w:rsid w:val="5019366F"/>
    <w:rsid w:val="502E571C"/>
    <w:rsid w:val="508571FB"/>
    <w:rsid w:val="50F814D6"/>
    <w:rsid w:val="51492FE2"/>
    <w:rsid w:val="51B1103D"/>
    <w:rsid w:val="52081BED"/>
    <w:rsid w:val="53222C74"/>
    <w:rsid w:val="532760A3"/>
    <w:rsid w:val="53417A3C"/>
    <w:rsid w:val="53446C55"/>
    <w:rsid w:val="53852DC9"/>
    <w:rsid w:val="546E5A28"/>
    <w:rsid w:val="54773FDF"/>
    <w:rsid w:val="54A159E1"/>
    <w:rsid w:val="54B516F5"/>
    <w:rsid w:val="55BB1BC8"/>
    <w:rsid w:val="55FF6E63"/>
    <w:rsid w:val="56050830"/>
    <w:rsid w:val="56102E1E"/>
    <w:rsid w:val="56813D1C"/>
    <w:rsid w:val="56D7455D"/>
    <w:rsid w:val="578A4E52"/>
    <w:rsid w:val="5794265E"/>
    <w:rsid w:val="57B10631"/>
    <w:rsid w:val="57BA2943"/>
    <w:rsid w:val="591E3AA4"/>
    <w:rsid w:val="594159E5"/>
    <w:rsid w:val="59417793"/>
    <w:rsid w:val="59590F80"/>
    <w:rsid w:val="59A815C0"/>
    <w:rsid w:val="59B368E2"/>
    <w:rsid w:val="59F40CA9"/>
    <w:rsid w:val="5A252C10"/>
    <w:rsid w:val="5A307F33"/>
    <w:rsid w:val="5AA1673B"/>
    <w:rsid w:val="5AA71877"/>
    <w:rsid w:val="5B4B2B4A"/>
    <w:rsid w:val="5B7014A3"/>
    <w:rsid w:val="5BBC1402"/>
    <w:rsid w:val="5C9F6BCD"/>
    <w:rsid w:val="5CF438D6"/>
    <w:rsid w:val="5E386929"/>
    <w:rsid w:val="5E5D506F"/>
    <w:rsid w:val="5EF3322C"/>
    <w:rsid w:val="5EF52233"/>
    <w:rsid w:val="5EF57055"/>
    <w:rsid w:val="5F1C0A86"/>
    <w:rsid w:val="5F3538F6"/>
    <w:rsid w:val="5F41673E"/>
    <w:rsid w:val="5F9D2B92"/>
    <w:rsid w:val="5FA4298B"/>
    <w:rsid w:val="5FBB029F"/>
    <w:rsid w:val="600662D9"/>
    <w:rsid w:val="600874FD"/>
    <w:rsid w:val="605A6A74"/>
    <w:rsid w:val="605D1356"/>
    <w:rsid w:val="609E371C"/>
    <w:rsid w:val="60A60CCB"/>
    <w:rsid w:val="60E92BEA"/>
    <w:rsid w:val="616E7593"/>
    <w:rsid w:val="61EA4E6B"/>
    <w:rsid w:val="62935F75"/>
    <w:rsid w:val="62B60044"/>
    <w:rsid w:val="63143EF4"/>
    <w:rsid w:val="64D37E39"/>
    <w:rsid w:val="65316E3C"/>
    <w:rsid w:val="65366619"/>
    <w:rsid w:val="6569254B"/>
    <w:rsid w:val="658B4DA8"/>
    <w:rsid w:val="66A852F5"/>
    <w:rsid w:val="66AC1952"/>
    <w:rsid w:val="66E31E89"/>
    <w:rsid w:val="66F145A6"/>
    <w:rsid w:val="67285F44"/>
    <w:rsid w:val="676F1B28"/>
    <w:rsid w:val="67827BE1"/>
    <w:rsid w:val="67D068B1"/>
    <w:rsid w:val="67EC1862"/>
    <w:rsid w:val="683A3A89"/>
    <w:rsid w:val="691B3B5C"/>
    <w:rsid w:val="69491E5A"/>
    <w:rsid w:val="697119CE"/>
    <w:rsid w:val="69C46CC3"/>
    <w:rsid w:val="69FA7573"/>
    <w:rsid w:val="6A07520A"/>
    <w:rsid w:val="6AA16C37"/>
    <w:rsid w:val="6AED5C1F"/>
    <w:rsid w:val="6AF641CC"/>
    <w:rsid w:val="6B122264"/>
    <w:rsid w:val="6B1B42E7"/>
    <w:rsid w:val="6B7F6714"/>
    <w:rsid w:val="6B87372B"/>
    <w:rsid w:val="6C2B67AC"/>
    <w:rsid w:val="6C315445"/>
    <w:rsid w:val="6CEB7CE9"/>
    <w:rsid w:val="6CF50B68"/>
    <w:rsid w:val="6D5E2269"/>
    <w:rsid w:val="6DB13DCE"/>
    <w:rsid w:val="6E13574A"/>
    <w:rsid w:val="6E2A5389"/>
    <w:rsid w:val="6EC43B43"/>
    <w:rsid w:val="6F420807"/>
    <w:rsid w:val="6F5E47A3"/>
    <w:rsid w:val="6F633C29"/>
    <w:rsid w:val="6FB72105"/>
    <w:rsid w:val="6FBA62FD"/>
    <w:rsid w:val="6FC8323B"/>
    <w:rsid w:val="701F5AB8"/>
    <w:rsid w:val="70714B0F"/>
    <w:rsid w:val="71105F71"/>
    <w:rsid w:val="71551BD5"/>
    <w:rsid w:val="71D13952"/>
    <w:rsid w:val="72D1172F"/>
    <w:rsid w:val="72D66A87"/>
    <w:rsid w:val="72E17E55"/>
    <w:rsid w:val="73076EFF"/>
    <w:rsid w:val="73A0182E"/>
    <w:rsid w:val="73A40BF2"/>
    <w:rsid w:val="73A6496A"/>
    <w:rsid w:val="74503CDC"/>
    <w:rsid w:val="74A54C22"/>
    <w:rsid w:val="74EF65B0"/>
    <w:rsid w:val="7530530C"/>
    <w:rsid w:val="75840CDB"/>
    <w:rsid w:val="75862CA5"/>
    <w:rsid w:val="75C00121"/>
    <w:rsid w:val="76212261"/>
    <w:rsid w:val="76AE24B4"/>
    <w:rsid w:val="76D812DE"/>
    <w:rsid w:val="772C5186"/>
    <w:rsid w:val="77536BB7"/>
    <w:rsid w:val="775A7F45"/>
    <w:rsid w:val="777234E1"/>
    <w:rsid w:val="782347DB"/>
    <w:rsid w:val="782C7B34"/>
    <w:rsid w:val="789711D5"/>
    <w:rsid w:val="789D458E"/>
    <w:rsid w:val="790A7749"/>
    <w:rsid w:val="791F1447"/>
    <w:rsid w:val="79423F98"/>
    <w:rsid w:val="795F5CE7"/>
    <w:rsid w:val="798968C0"/>
    <w:rsid w:val="7A036D91"/>
    <w:rsid w:val="7A081EDB"/>
    <w:rsid w:val="7AD07CBE"/>
    <w:rsid w:val="7ADC6EC3"/>
    <w:rsid w:val="7B04075A"/>
    <w:rsid w:val="7BAD79DD"/>
    <w:rsid w:val="7BBC3750"/>
    <w:rsid w:val="7BC504B0"/>
    <w:rsid w:val="7BF456F4"/>
    <w:rsid w:val="7C003083"/>
    <w:rsid w:val="7D771311"/>
    <w:rsid w:val="7E543940"/>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7"/>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99"/>
    <w:pPr>
      <w:snapToGrid w:val="0"/>
      <w:spacing w:before="120" w:line="360" w:lineRule="auto"/>
    </w:pPr>
    <w:rPr>
      <w:rFonts w:ascii="Arial" w:hAnsi="Arial"/>
      <w:snapToGrid w:val="0"/>
      <w:color w:val="000000"/>
      <w:szCs w:val="20"/>
    </w:rPr>
  </w:style>
  <w:style w:type="paragraph" w:styleId="7">
    <w:name w:val="annotation text"/>
    <w:basedOn w:val="1"/>
    <w:link w:val="38"/>
    <w:qFormat/>
    <w:uiPriority w:val="0"/>
  </w:style>
  <w:style w:type="paragraph" w:styleId="8">
    <w:name w:val="Body Text"/>
    <w:basedOn w:val="1"/>
    <w:next w:val="9"/>
    <w:link w:val="40"/>
    <w:qFormat/>
    <w:uiPriority w:val="99"/>
    <w:pPr>
      <w:spacing w:after="120"/>
    </w:pPr>
    <w:rPr>
      <w:rFonts w:ascii="Times New Roman"/>
    </w:rPr>
  </w:style>
  <w:style w:type="paragraph" w:styleId="9">
    <w:name w:val="Body Text First Indent"/>
    <w:basedOn w:val="8"/>
    <w:link w:val="41"/>
    <w:qFormat/>
    <w:uiPriority w:val="0"/>
    <w:pPr>
      <w:ind w:firstLine="420" w:firstLineChars="100"/>
      <w:jc w:val="both"/>
    </w:pPr>
    <w:rPr>
      <w:kern w:val="2"/>
      <w:sz w:val="21"/>
      <w:lang w:val="zh-CN"/>
    </w:rPr>
  </w:style>
  <w:style w:type="paragraph" w:styleId="10">
    <w:name w:val="Body Text Indent"/>
    <w:basedOn w:val="1"/>
    <w:link w:val="52"/>
    <w:qFormat/>
    <w:uiPriority w:val="0"/>
    <w:pPr>
      <w:autoSpaceDE/>
      <w:autoSpaceDN/>
      <w:adjustRightInd/>
      <w:spacing w:line="480" w:lineRule="exact"/>
      <w:ind w:firstLine="560" w:firstLineChars="200"/>
      <w:jc w:val="both"/>
    </w:pPr>
    <w:rPr>
      <w:rFonts w:hAnsi="宋体"/>
      <w:kern w:val="2"/>
      <w:sz w:val="28"/>
    </w:rPr>
  </w:style>
  <w:style w:type="paragraph" w:styleId="11">
    <w:name w:val="toc 3"/>
    <w:basedOn w:val="1"/>
    <w:next w:val="1"/>
    <w:qFormat/>
    <w:uiPriority w:val="0"/>
    <w:pPr>
      <w:ind w:left="840" w:leftChars="400"/>
    </w:pPr>
  </w:style>
  <w:style w:type="paragraph" w:styleId="12">
    <w:name w:val="Plain Text"/>
    <w:basedOn w:val="1"/>
    <w:link w:val="46"/>
    <w:qFormat/>
    <w:uiPriority w:val="0"/>
    <w:pPr>
      <w:autoSpaceDE/>
      <w:autoSpaceDN/>
      <w:adjustRightInd/>
      <w:jc w:val="both"/>
    </w:pPr>
    <w:rPr>
      <w:rFonts w:hAnsi="Courier New"/>
      <w:kern w:val="2"/>
      <w:sz w:val="21"/>
      <w:szCs w:val="20"/>
    </w:rPr>
  </w:style>
  <w:style w:type="paragraph" w:styleId="13">
    <w:name w:val="Body Text Indent 2"/>
    <w:basedOn w:val="1"/>
    <w:semiHidden/>
    <w:unhideWhenUsed/>
    <w:qFormat/>
    <w:uiPriority w:val="99"/>
    <w:pPr>
      <w:spacing w:after="120" w:line="480" w:lineRule="auto"/>
      <w:ind w:left="420" w:leftChars="200"/>
    </w:pPr>
  </w:style>
  <w:style w:type="paragraph" w:styleId="14">
    <w:name w:val="Balloon Text"/>
    <w:basedOn w:val="1"/>
    <w:link w:val="37"/>
    <w:qFormat/>
    <w:uiPriority w:val="0"/>
    <w:rPr>
      <w:sz w:val="18"/>
      <w:szCs w:val="18"/>
    </w:rPr>
  </w:style>
  <w:style w:type="paragraph" w:styleId="15">
    <w:name w:val="footer"/>
    <w:basedOn w:val="1"/>
    <w:link w:val="48"/>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6">
    <w:name w:val="header"/>
    <w:basedOn w:val="1"/>
    <w:link w:val="4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unhideWhenUsed/>
    <w:qFormat/>
    <w:uiPriority w:val="39"/>
    <w:pPr>
      <w:tabs>
        <w:tab w:val="right" w:leader="dot" w:pos="8296"/>
      </w:tabs>
      <w:spacing w:line="360" w:lineRule="auto"/>
    </w:pPr>
  </w:style>
  <w:style w:type="paragraph" w:styleId="18">
    <w:name w:val="Subtitle"/>
    <w:basedOn w:val="1"/>
    <w:next w:val="1"/>
    <w:link w:val="43"/>
    <w:qFormat/>
    <w:uiPriority w:val="11"/>
    <w:pPr>
      <w:spacing w:before="240" w:after="60" w:line="312" w:lineRule="auto"/>
      <w:jc w:val="center"/>
      <w:outlineLvl w:val="1"/>
    </w:pPr>
    <w:rPr>
      <w:rFonts w:ascii="Cambria" w:hAnsi="Cambria"/>
      <w:b/>
      <w:bCs/>
      <w:kern w:val="28"/>
      <w:sz w:val="32"/>
      <w:szCs w:val="32"/>
    </w:rPr>
  </w:style>
  <w:style w:type="paragraph" w:styleId="19">
    <w:name w:val="toc 2"/>
    <w:basedOn w:val="1"/>
    <w:next w:val="1"/>
    <w:qFormat/>
    <w:uiPriority w:val="0"/>
    <w:pPr>
      <w:ind w:left="420" w:leftChars="200"/>
    </w:pPr>
  </w:style>
  <w:style w:type="paragraph" w:styleId="20">
    <w:name w:val="HTML Preformatted"/>
    <w:basedOn w:val="1"/>
    <w:link w:val="5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1">
    <w:name w:val="Normal (Web)"/>
    <w:basedOn w:val="1"/>
    <w:qFormat/>
    <w:uiPriority w:val="0"/>
    <w:pPr>
      <w:spacing w:beforeAutospacing="1" w:afterAutospacing="1"/>
    </w:pPr>
  </w:style>
  <w:style w:type="paragraph" w:styleId="22">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23">
    <w:name w:val="annotation subject"/>
    <w:basedOn w:val="7"/>
    <w:next w:val="7"/>
    <w:link w:val="39"/>
    <w:qFormat/>
    <w:uiPriority w:val="0"/>
    <w:rPr>
      <w:b/>
      <w:bCs/>
    </w:rPr>
  </w:style>
  <w:style w:type="paragraph" w:styleId="24">
    <w:name w:val="Body Text First Indent 2"/>
    <w:basedOn w:val="10"/>
    <w:link w:val="57"/>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unhideWhenUsed/>
    <w:qFormat/>
    <w:uiPriority w:val="99"/>
    <w:rPr>
      <w:color w:val="954F72"/>
      <w:u w:val="single"/>
    </w:rPr>
  </w:style>
  <w:style w:type="character" w:styleId="29">
    <w:name w:val="Hyperlink"/>
    <w:basedOn w:val="27"/>
    <w:unhideWhenUsed/>
    <w:qFormat/>
    <w:uiPriority w:val="99"/>
    <w:rPr>
      <w:color w:val="0563C1" w:themeColor="hyperlink"/>
      <w:u w:val="single"/>
      <w14:textFill>
        <w14:solidFill>
          <w14:schemeClr w14:val="hlink"/>
        </w14:solidFill>
      </w14:textFill>
    </w:rPr>
  </w:style>
  <w:style w:type="character" w:styleId="30">
    <w:name w:val="annotation reference"/>
    <w:basedOn w:val="27"/>
    <w:qFormat/>
    <w:uiPriority w:val="99"/>
    <w:rPr>
      <w:sz w:val="21"/>
      <w:szCs w:val="21"/>
    </w:rPr>
  </w:style>
  <w:style w:type="paragraph" w:customStyle="1" w:styleId="31">
    <w:name w:val="样式 宋体 行距: 1.5 倍行距"/>
    <w:basedOn w:val="1"/>
    <w:qFormat/>
    <w:uiPriority w:val="0"/>
    <w:pPr>
      <w:jc w:val="center"/>
    </w:pPr>
    <w:rPr>
      <w:b/>
    </w:rPr>
  </w:style>
  <w:style w:type="paragraph" w:customStyle="1" w:styleId="32">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3">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4">
    <w:name w:val="彩色列表 - 强调文字颜色 11"/>
    <w:basedOn w:val="1"/>
    <w:qFormat/>
    <w:uiPriority w:val="34"/>
    <w:pPr>
      <w:ind w:firstLine="420" w:firstLineChars="200"/>
    </w:pPr>
  </w:style>
  <w:style w:type="paragraph" w:customStyle="1" w:styleId="35">
    <w:name w:val="文本格式"/>
    <w:basedOn w:val="1"/>
    <w:link w:val="36"/>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6">
    <w:name w:val="文本格式 Char"/>
    <w:basedOn w:val="27"/>
    <w:link w:val="35"/>
    <w:qFormat/>
    <w:uiPriority w:val="0"/>
    <w:rPr>
      <w:kern w:val="2"/>
      <w:sz w:val="24"/>
      <w:szCs w:val="28"/>
    </w:rPr>
  </w:style>
  <w:style w:type="character" w:customStyle="1" w:styleId="37">
    <w:name w:val="批注框文本 字符"/>
    <w:basedOn w:val="27"/>
    <w:link w:val="14"/>
    <w:qFormat/>
    <w:uiPriority w:val="0"/>
    <w:rPr>
      <w:rFonts w:ascii="宋体"/>
      <w:sz w:val="18"/>
      <w:szCs w:val="18"/>
    </w:rPr>
  </w:style>
  <w:style w:type="character" w:customStyle="1" w:styleId="38">
    <w:name w:val="批注文字 字符"/>
    <w:basedOn w:val="27"/>
    <w:link w:val="7"/>
    <w:qFormat/>
    <w:uiPriority w:val="0"/>
    <w:rPr>
      <w:rFonts w:ascii="宋体"/>
      <w:sz w:val="24"/>
      <w:szCs w:val="24"/>
    </w:rPr>
  </w:style>
  <w:style w:type="character" w:customStyle="1" w:styleId="39">
    <w:name w:val="批注主题 字符"/>
    <w:basedOn w:val="38"/>
    <w:link w:val="23"/>
    <w:qFormat/>
    <w:uiPriority w:val="0"/>
    <w:rPr>
      <w:rFonts w:ascii="宋体"/>
      <w:b/>
      <w:bCs/>
      <w:sz w:val="24"/>
      <w:szCs w:val="24"/>
    </w:rPr>
  </w:style>
  <w:style w:type="character" w:customStyle="1" w:styleId="40">
    <w:name w:val="正文文本 字符"/>
    <w:basedOn w:val="27"/>
    <w:link w:val="8"/>
    <w:qFormat/>
    <w:uiPriority w:val="0"/>
    <w:rPr>
      <w:sz w:val="24"/>
      <w:szCs w:val="24"/>
    </w:rPr>
  </w:style>
  <w:style w:type="character" w:customStyle="1" w:styleId="41">
    <w:name w:val="正文首行缩进 字符"/>
    <w:basedOn w:val="40"/>
    <w:link w:val="9"/>
    <w:qFormat/>
    <w:uiPriority w:val="0"/>
    <w:rPr>
      <w:kern w:val="2"/>
      <w:sz w:val="21"/>
      <w:szCs w:val="24"/>
      <w:lang w:val="zh-CN"/>
    </w:rPr>
  </w:style>
  <w:style w:type="paragraph" w:customStyle="1" w:styleId="42">
    <w:name w:val="p0"/>
    <w:basedOn w:val="1"/>
    <w:qFormat/>
    <w:uiPriority w:val="0"/>
    <w:pPr>
      <w:autoSpaceDE/>
      <w:autoSpaceDN/>
      <w:adjustRightInd/>
      <w:jc w:val="both"/>
    </w:pPr>
    <w:rPr>
      <w:rFonts w:ascii="Times New Roman"/>
      <w:sz w:val="21"/>
      <w:szCs w:val="21"/>
    </w:rPr>
  </w:style>
  <w:style w:type="character" w:customStyle="1" w:styleId="43">
    <w:name w:val="副标题 字符1"/>
    <w:link w:val="18"/>
    <w:qFormat/>
    <w:uiPriority w:val="11"/>
    <w:rPr>
      <w:rFonts w:ascii="Cambria" w:hAnsi="Cambria"/>
      <w:b/>
      <w:bCs/>
      <w:kern w:val="28"/>
      <w:sz w:val="32"/>
      <w:szCs w:val="32"/>
      <w:lang w:val="en-US" w:eastAsia="zh-CN"/>
    </w:rPr>
  </w:style>
  <w:style w:type="character" w:customStyle="1" w:styleId="44">
    <w:name w:val="副标题 字符"/>
    <w:basedOn w:val="27"/>
    <w:qFormat/>
    <w:uiPriority w:val="0"/>
    <w:rPr>
      <w:rFonts w:asciiTheme="minorHAnsi" w:hAnsiTheme="minorHAnsi" w:eastAsiaTheme="minorEastAsia" w:cstheme="minorBidi"/>
      <w:b/>
      <w:bCs/>
      <w:kern w:val="28"/>
      <w:sz w:val="32"/>
      <w:szCs w:val="32"/>
    </w:rPr>
  </w:style>
  <w:style w:type="paragraph" w:customStyle="1" w:styleId="45">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6">
    <w:name w:val="纯文本 字符"/>
    <w:basedOn w:val="27"/>
    <w:link w:val="12"/>
    <w:qFormat/>
    <w:uiPriority w:val="0"/>
    <w:rPr>
      <w:rFonts w:ascii="宋体" w:hAnsi="Courier New"/>
      <w:kern w:val="2"/>
      <w:sz w:val="21"/>
    </w:rPr>
  </w:style>
  <w:style w:type="character" w:customStyle="1" w:styleId="47">
    <w:name w:val="标题 9 字符"/>
    <w:basedOn w:val="27"/>
    <w:link w:val="5"/>
    <w:semiHidden/>
    <w:qFormat/>
    <w:uiPriority w:val="0"/>
    <w:rPr>
      <w:rFonts w:ascii="等线 Light" w:hAnsi="等线 Light" w:eastAsia="等线 Light"/>
      <w:kern w:val="2"/>
      <w:sz w:val="21"/>
      <w:szCs w:val="21"/>
    </w:rPr>
  </w:style>
  <w:style w:type="character" w:customStyle="1" w:styleId="48">
    <w:name w:val="页脚 字符"/>
    <w:link w:val="15"/>
    <w:qFormat/>
    <w:uiPriority w:val="99"/>
    <w:rPr>
      <w:rFonts w:asciiTheme="minorHAnsi" w:hAnsiTheme="minorHAnsi" w:eastAsiaTheme="minorEastAsia" w:cstheme="minorBidi"/>
      <w:kern w:val="2"/>
      <w:sz w:val="18"/>
      <w:szCs w:val="18"/>
    </w:rPr>
  </w:style>
  <w:style w:type="character" w:customStyle="1" w:styleId="49">
    <w:name w:val="页眉 字符"/>
    <w:link w:val="16"/>
    <w:qFormat/>
    <w:uiPriority w:val="99"/>
    <w:rPr>
      <w:rFonts w:ascii="宋体"/>
      <w:sz w:val="18"/>
      <w:szCs w:val="24"/>
    </w:rPr>
  </w:style>
  <w:style w:type="character" w:customStyle="1" w:styleId="50">
    <w:name w:val="HTML 预设格式 字符"/>
    <w:basedOn w:val="27"/>
    <w:link w:val="20"/>
    <w:qFormat/>
    <w:uiPriority w:val="99"/>
    <w:rPr>
      <w:rFonts w:ascii="宋体" w:hAnsi="宋体" w:cs="宋体"/>
      <w:sz w:val="24"/>
      <w:szCs w:val="24"/>
    </w:rPr>
  </w:style>
  <w:style w:type="paragraph" w:customStyle="1" w:styleId="51">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52">
    <w:name w:val="正文文本缩进 字符"/>
    <w:basedOn w:val="27"/>
    <w:link w:val="10"/>
    <w:qFormat/>
    <w:uiPriority w:val="0"/>
    <w:rPr>
      <w:rFonts w:ascii="宋体" w:hAnsi="宋体"/>
      <w:kern w:val="2"/>
      <w:sz w:val="28"/>
      <w:szCs w:val="24"/>
    </w:rPr>
  </w:style>
  <w:style w:type="paragraph" w:customStyle="1" w:styleId="53">
    <w:name w:val="修订11"/>
    <w:hidden/>
    <w:qFormat/>
    <w:uiPriority w:val="99"/>
    <w:rPr>
      <w:rFonts w:ascii="宋体" w:hAnsi="Times New Roman" w:eastAsia="宋体" w:cs="Times New Roman"/>
      <w:sz w:val="24"/>
      <w:szCs w:val="24"/>
      <w:lang w:val="en-US" w:eastAsia="zh-CN" w:bidi="ar-SA"/>
    </w:rPr>
  </w:style>
  <w:style w:type="character" w:customStyle="1" w:styleId="54">
    <w:name w:val="页脚 字符1"/>
    <w:basedOn w:val="27"/>
    <w:semiHidden/>
    <w:qFormat/>
    <w:uiPriority w:val="99"/>
    <w:rPr>
      <w:rFonts w:ascii="Times New Roman" w:hAnsi="Times New Roman"/>
      <w:kern w:val="2"/>
      <w:sz w:val="18"/>
      <w:szCs w:val="18"/>
    </w:rPr>
  </w:style>
  <w:style w:type="character" w:customStyle="1" w:styleId="55">
    <w:name w:val="页眉 字符1"/>
    <w:basedOn w:val="27"/>
    <w:semiHidden/>
    <w:qFormat/>
    <w:uiPriority w:val="99"/>
    <w:rPr>
      <w:rFonts w:ascii="Times New Roman" w:hAnsi="Times New Roman"/>
      <w:kern w:val="2"/>
      <w:sz w:val="18"/>
      <w:szCs w:val="18"/>
    </w:rPr>
  </w:style>
  <w:style w:type="table" w:customStyle="1" w:styleId="56">
    <w:name w:val="网格型1"/>
    <w:basedOn w:val="2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正文首行缩进 2 字符"/>
    <w:basedOn w:val="52"/>
    <w:link w:val="24"/>
    <w:qFormat/>
    <w:uiPriority w:val="0"/>
    <w:rPr>
      <w:rFonts w:ascii="宋体" w:hAnsi="宋体"/>
      <w:kern w:val="2"/>
      <w:sz w:val="24"/>
      <w:szCs w:val="24"/>
    </w:rPr>
  </w:style>
  <w:style w:type="character" w:customStyle="1" w:styleId="58">
    <w:name w:val="标题 2 字符"/>
    <w:basedOn w:val="27"/>
    <w:link w:val="3"/>
    <w:semiHidden/>
    <w:qFormat/>
    <w:uiPriority w:val="0"/>
    <w:rPr>
      <w:rFonts w:asciiTheme="majorHAnsi" w:hAnsiTheme="majorHAnsi" w:eastAsiaTheme="majorEastAsia" w:cstheme="majorBidi"/>
      <w:b/>
      <w:bCs/>
      <w:sz w:val="32"/>
      <w:szCs w:val="32"/>
    </w:rPr>
  </w:style>
  <w:style w:type="character" w:customStyle="1" w:styleId="59">
    <w:name w:val="font01"/>
    <w:qFormat/>
    <w:uiPriority w:val="0"/>
    <w:rPr>
      <w:rFonts w:hint="eastAsia" w:ascii="宋体" w:hAnsi="宋体" w:eastAsia="宋体" w:cs="宋体"/>
      <w:color w:val="000000"/>
      <w:sz w:val="22"/>
      <w:szCs w:val="22"/>
      <w:u w:val="none"/>
    </w:rPr>
  </w:style>
  <w:style w:type="table" w:customStyle="1" w:styleId="60">
    <w:name w:val="网格型2"/>
    <w:basedOn w:val="25"/>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1">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62">
    <w:name w:val="首行缩进"/>
    <w:basedOn w:val="1"/>
    <w:qFormat/>
    <w:uiPriority w:val="0"/>
    <w:pPr>
      <w:ind w:firstLine="480" w:firstLineChars="200"/>
    </w:pPr>
    <w:rPr>
      <w:lang w:val="zh-CN"/>
    </w:rPr>
  </w:style>
  <w:style w:type="paragraph" w:customStyle="1" w:styleId="63">
    <w:name w:val="Table Text"/>
    <w:basedOn w:val="1"/>
    <w:semiHidden/>
    <w:qFormat/>
    <w:uiPriority w:val="0"/>
    <w:rPr>
      <w:rFonts w:hAnsi="宋体" w:cs="宋体"/>
      <w:sz w:val="21"/>
      <w:szCs w:val="21"/>
      <w:lang w:eastAsia="en-US"/>
    </w:rPr>
  </w:style>
  <w:style w:type="paragraph" w:customStyle="1" w:styleId="64">
    <w:name w:val="正文缩进2格"/>
    <w:basedOn w:val="1"/>
    <w:unhideWhenUsed/>
    <w:qFormat/>
    <w:uiPriority w:val="0"/>
    <w:pPr>
      <w:spacing w:line="600" w:lineRule="exact"/>
      <w:ind w:firstLine="639" w:firstLineChars="206"/>
    </w:pPr>
    <w:rPr>
      <w:rFonts w:hint="eastAsia" w:ascii="仿宋_GB2312" w:hAnsi="宋体" w:eastAsia="仿宋_GB2312"/>
      <w:sz w:val="31"/>
      <w:szCs w:val="28"/>
    </w:rPr>
  </w:style>
  <w:style w:type="paragraph" w:customStyle="1" w:styleId="65">
    <w:name w:val="样式 标题 3 + (中文) 黑体 小四 非加粗 段前: 7.8 磅 段后: 0 磅 行距: 固定值 20 磅"/>
    <w:basedOn w:val="4"/>
    <w:qFormat/>
    <w:uiPriority w:val="0"/>
    <w:pPr>
      <w:keepNext/>
      <w:keepLines/>
      <w:tabs>
        <w:tab w:val="left" w:pos="420"/>
      </w:tabs>
      <w:autoSpaceDE/>
      <w:autoSpaceDN/>
      <w:adjustRightInd/>
      <w:spacing w:line="400" w:lineRule="exact"/>
      <w:jc w:val="both"/>
    </w:pPr>
    <w:rPr>
      <w:rFonts w:ascii="Calibri" w:hAnsi="Calibri" w:eastAsia="黑体" w:cs="宋体"/>
      <w:kern w:val="2"/>
      <w:szCs w:val="20"/>
    </w:rPr>
  </w:style>
  <w:style w:type="paragraph" w:customStyle="1" w:styleId="66">
    <w:name w:val="修订2"/>
    <w:hidden/>
    <w:semiHidden/>
    <w:qFormat/>
    <w:uiPriority w:val="99"/>
    <w:rPr>
      <w:rFonts w:ascii="宋体" w:hAnsi="Times New Roman" w:eastAsia="宋体" w:cs="Times New Roman"/>
      <w:sz w:val="24"/>
      <w:szCs w:val="24"/>
      <w:lang w:val="en-US" w:eastAsia="zh-CN" w:bidi="ar-SA"/>
    </w:rPr>
  </w:style>
  <w:style w:type="paragraph" w:customStyle="1" w:styleId="67">
    <w:name w:val="保留正文"/>
    <w:basedOn w:val="8"/>
    <w:qFormat/>
    <w:uiPriority w:val="0"/>
    <w:pPr>
      <w:keepNext/>
      <w:autoSpaceDE/>
      <w:autoSpaceDN/>
      <w:adjustRightInd/>
      <w:spacing w:after="160"/>
      <w:ind w:right="0"/>
      <w:jc w:val="both"/>
    </w:pPr>
    <w:rPr>
      <w:rFonts w:ascii="Times New Roman"/>
      <w:sz w:val="21"/>
      <w:szCs w:val="24"/>
      <w:lang w:val="en-US"/>
    </w:rPr>
  </w:style>
  <w:style w:type="paragraph" w:customStyle="1" w:styleId="68">
    <w:name w:val="文档正文"/>
    <w:basedOn w:val="1"/>
    <w:qFormat/>
    <w:uiPriority w:val="0"/>
    <w:pPr>
      <w:spacing w:line="360" w:lineRule="auto"/>
    </w:pPr>
    <w:rPr>
      <w:rFonts w:cs="Arial"/>
      <w:bCs/>
    </w:rPr>
  </w:style>
  <w:style w:type="paragraph" w:customStyle="1" w:styleId="69">
    <w:name w:val="List Paragraph1"/>
    <w:basedOn w:val="1"/>
    <w:qFormat/>
    <w:uiPriority w:val="34"/>
    <w:pPr>
      <w:ind w:firstLine="420" w:firstLineChars="200"/>
    </w:pPr>
  </w:style>
  <w:style w:type="paragraph" w:customStyle="1" w:styleId="70">
    <w:name w:val="_Style 80"/>
    <w:basedOn w:val="1"/>
    <w:qFormat/>
    <w:uiPriority w:val="34"/>
    <w:pPr>
      <w:adjustRightInd/>
      <w:ind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2696E-72B6-4033-8518-5F19D9320637}">
  <ds:schemaRefs/>
</ds:datastoreItem>
</file>

<file path=docProps/app.xml><?xml version="1.0" encoding="utf-8"?>
<Properties xmlns="http://schemas.openxmlformats.org/officeDocument/2006/extended-properties" xmlns:vt="http://schemas.openxmlformats.org/officeDocument/2006/docPropsVTypes">
  <Template>Normal</Template>
  <Pages>72</Pages>
  <Words>1608</Words>
  <Characters>1842</Characters>
  <Lines>188</Lines>
  <Paragraphs>53</Paragraphs>
  <TotalTime>14</TotalTime>
  <ScaleCrop>false</ScaleCrop>
  <LinksUpToDate>false</LinksUpToDate>
  <CharactersWithSpaces>1875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2026-04-09T06:22:21Z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3CC868EE0F8A4F3FA4288D783EBC43D0_13</vt:lpwstr>
  </property>
</Properties>
</file>