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4E8F8">
      <w:pPr>
        <w:jc w:val="center"/>
        <w:rPr>
          <w:rFonts w:hint="eastAsia" w:ascii="宋体" w:hAnsi="宋体" w:eastAsia="宋体" w:cs="宋体"/>
          <w:b/>
          <w:bCs/>
          <w:color w:val="auto"/>
          <w:kern w:val="44"/>
          <w:sz w:val="32"/>
          <w:szCs w:val="32"/>
          <w:highlight w:val="none"/>
          <w:lang w:val="zh-CN"/>
        </w:rPr>
      </w:pPr>
      <w:r>
        <w:rPr>
          <w:rFonts w:hint="eastAsia" w:ascii="宋体" w:hAnsi="宋体" w:eastAsia="宋体" w:cs="宋体"/>
          <w:b/>
          <w:bCs/>
          <w:color w:val="auto"/>
          <w:kern w:val="44"/>
          <w:sz w:val="32"/>
          <w:szCs w:val="32"/>
          <w:highlight w:val="none"/>
          <w:lang w:val="zh-CN"/>
        </w:rPr>
        <w:t>松山湖水厂分布式光伏项目（一期）设备采购</w:t>
      </w:r>
      <w:r>
        <w:rPr>
          <w:rFonts w:hint="eastAsia" w:ascii="宋体" w:hAnsi="宋体" w:eastAsia="宋体" w:cs="宋体"/>
          <w:b/>
          <w:bCs/>
          <w:color w:val="auto"/>
          <w:kern w:val="44"/>
          <w:sz w:val="32"/>
          <w:szCs w:val="32"/>
          <w:highlight w:val="none"/>
          <w:lang w:val="en-US" w:eastAsia="zh-CN"/>
        </w:rPr>
        <w:br w:type="textWrapping"/>
      </w:r>
      <w:r>
        <w:rPr>
          <w:rFonts w:hint="eastAsia" w:ascii="宋体" w:hAnsi="宋体" w:eastAsia="宋体" w:cs="宋体"/>
          <w:b/>
          <w:bCs/>
          <w:color w:val="auto"/>
          <w:kern w:val="44"/>
          <w:sz w:val="32"/>
          <w:szCs w:val="32"/>
          <w:highlight w:val="none"/>
          <w:lang w:val="zh-CN"/>
        </w:rPr>
        <w:t>用户需求书</w:t>
      </w:r>
    </w:p>
    <w:p w14:paraId="6AE90F61">
      <w:pPr>
        <w:jc w:val="center"/>
        <w:rPr>
          <w:rFonts w:hint="eastAsia" w:ascii="宋体" w:hAnsi="宋体" w:eastAsia="宋体" w:cs="宋体"/>
          <w:b/>
          <w:bCs/>
          <w:color w:val="auto"/>
          <w:kern w:val="44"/>
          <w:sz w:val="32"/>
          <w:szCs w:val="32"/>
          <w:highlight w:val="none"/>
          <w:lang w:val="zh-CN"/>
        </w:rPr>
      </w:pPr>
    </w:p>
    <w:p w14:paraId="4F2ACFC2">
      <w:pPr>
        <w:spacing w:line="360" w:lineRule="auto"/>
        <w:ind w:firstLine="9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一、项目概况</w:t>
      </w:r>
    </w:p>
    <w:p w14:paraId="06C07FBF">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为贯彻落实国家“双碳”战略，积极响应市委市政府关于市属</w:t>
      </w:r>
      <w:bookmarkStart w:id="11" w:name="_GoBack"/>
      <w:bookmarkEnd w:id="11"/>
      <w:r>
        <w:rPr>
          <w:rFonts w:hint="eastAsia" w:ascii="宋体" w:hAnsi="宋体" w:eastAsia="宋体" w:cs="宋体"/>
          <w:color w:val="auto"/>
          <w:szCs w:val="21"/>
          <w:highlight w:val="none"/>
          <w:lang w:val="zh-CN"/>
        </w:rPr>
        <w:t>国企积极参与光伏发电项目开发建设的要求，</w:t>
      </w:r>
      <w:r>
        <w:rPr>
          <w:rFonts w:hint="eastAsia" w:ascii="宋体" w:hAnsi="宋体" w:eastAsia="宋体" w:cs="宋体"/>
          <w:color w:val="auto"/>
          <w:kern w:val="0"/>
          <w:szCs w:val="21"/>
          <w:highlight w:val="none"/>
          <w:lang w:eastAsia="zh-CN"/>
        </w:rPr>
        <w:t>东莞市水务环境投资控股集团</w:t>
      </w:r>
      <w:r>
        <w:rPr>
          <w:rFonts w:hint="eastAsia" w:ascii="宋体" w:hAnsi="宋体" w:eastAsia="宋体" w:cs="宋体"/>
          <w:color w:val="auto"/>
          <w:szCs w:val="21"/>
          <w:highlight w:val="none"/>
          <w:lang w:val="en-US" w:eastAsia="zh-CN"/>
        </w:rPr>
        <w:t>有限公司</w:t>
      </w:r>
      <w:r>
        <w:rPr>
          <w:rFonts w:hint="eastAsia" w:ascii="宋体" w:hAnsi="宋体" w:eastAsia="宋体" w:cs="宋体"/>
          <w:color w:val="auto"/>
          <w:szCs w:val="21"/>
          <w:highlight w:val="none"/>
          <w:lang w:val="zh-CN"/>
        </w:rPr>
        <w:t>正大力拓展绿色新能源业务板块。根据</w:t>
      </w:r>
      <w:r>
        <w:rPr>
          <w:rFonts w:hint="eastAsia" w:ascii="宋体" w:hAnsi="宋体" w:eastAsia="宋体" w:cs="宋体"/>
          <w:color w:val="auto"/>
          <w:kern w:val="0"/>
          <w:szCs w:val="21"/>
          <w:highlight w:val="none"/>
          <w:lang w:eastAsia="zh-CN"/>
        </w:rPr>
        <w:t>东莞市水务环境投资控股集团</w:t>
      </w:r>
      <w:r>
        <w:rPr>
          <w:rFonts w:hint="eastAsia" w:ascii="宋体" w:hAnsi="宋体" w:eastAsia="宋体" w:cs="宋体"/>
          <w:color w:val="auto"/>
          <w:szCs w:val="21"/>
          <w:highlight w:val="none"/>
          <w:lang w:val="en-US" w:eastAsia="zh-CN"/>
        </w:rPr>
        <w:t>有限公司</w:t>
      </w:r>
      <w:r>
        <w:rPr>
          <w:rFonts w:hint="eastAsia" w:ascii="宋体" w:hAnsi="宋体" w:eastAsia="宋体" w:cs="宋体"/>
          <w:color w:val="auto"/>
          <w:szCs w:val="21"/>
          <w:highlight w:val="none"/>
          <w:lang w:val="zh-CN"/>
        </w:rPr>
        <w:t>工作部署，拟在</w:t>
      </w:r>
      <w:r>
        <w:rPr>
          <w:rFonts w:hint="eastAsia" w:ascii="宋体" w:hAnsi="宋体" w:eastAsia="宋体" w:cs="宋体"/>
          <w:color w:val="auto"/>
          <w:szCs w:val="21"/>
          <w:highlight w:val="none"/>
          <w:lang w:val="en-US" w:eastAsia="zh-CN"/>
        </w:rPr>
        <w:t>珠三角水资源配置工程东莞配套</w:t>
      </w:r>
    </w:p>
    <w:p w14:paraId="57ACE17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松山湖水厂（以下简称“松山湖水厂”）</w:t>
      </w:r>
      <w:r>
        <w:rPr>
          <w:rFonts w:hint="eastAsia" w:ascii="宋体" w:hAnsi="宋体" w:eastAsia="宋体" w:cs="宋体"/>
          <w:color w:val="auto"/>
          <w:szCs w:val="21"/>
          <w:highlight w:val="none"/>
          <w:lang w:val="zh-CN"/>
        </w:rPr>
        <w:t>的工作间屋</w:t>
      </w:r>
      <w:r>
        <w:rPr>
          <w:rFonts w:hint="eastAsia" w:ascii="宋体" w:hAnsi="宋体" w:eastAsia="宋体" w:cs="宋体"/>
          <w:color w:val="auto"/>
          <w:szCs w:val="21"/>
          <w:highlight w:val="none"/>
        </w:rPr>
        <w:t>面</w:t>
      </w:r>
      <w:r>
        <w:rPr>
          <w:rFonts w:hint="eastAsia" w:ascii="宋体" w:hAnsi="宋体" w:eastAsia="宋体" w:cs="宋体"/>
          <w:color w:val="auto"/>
          <w:szCs w:val="21"/>
          <w:highlight w:val="none"/>
          <w:lang w:val="zh-CN"/>
        </w:rPr>
        <w:t>和部分工作池池面安装光伏发电设施，直属企业东莞市水务环境投资控股集团科技发展有限公司（以下简称“招标人”）负责</w:t>
      </w:r>
      <w:r>
        <w:rPr>
          <w:rFonts w:hint="eastAsia" w:ascii="宋体" w:hAnsi="宋体" w:eastAsia="宋体" w:cs="宋体"/>
          <w:color w:val="auto"/>
          <w:szCs w:val="21"/>
          <w:highlight w:val="none"/>
          <w:lang w:val="en-US" w:eastAsia="zh-CN"/>
        </w:rPr>
        <w:t>松山湖水厂</w:t>
      </w:r>
      <w:r>
        <w:rPr>
          <w:rFonts w:hint="eastAsia" w:ascii="宋体" w:hAnsi="宋体" w:eastAsia="宋体" w:cs="宋体"/>
          <w:color w:val="auto"/>
          <w:szCs w:val="21"/>
          <w:highlight w:val="none"/>
          <w:lang w:val="zh-CN"/>
        </w:rPr>
        <w:t>光伏发电项目投资、建设及运营。</w:t>
      </w:r>
    </w:p>
    <w:p w14:paraId="260FE96E">
      <w:pPr>
        <w:spacing w:line="360" w:lineRule="auto"/>
        <w:ind w:firstLine="9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二、工作内容</w:t>
      </w:r>
    </w:p>
    <w:p w14:paraId="7F217F82">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1、项目建设内容：</w:t>
      </w:r>
    </w:p>
    <w:p w14:paraId="15B4619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根据《珠三角水资源配置工程东莞配套松山湖水厂分布式光伏项目</w:t>
      </w:r>
      <w:r>
        <w:rPr>
          <w:rFonts w:hint="eastAsia" w:ascii="宋体" w:hAnsi="宋体" w:eastAsia="宋体" w:cs="宋体"/>
          <w:color w:val="auto"/>
          <w:szCs w:val="21"/>
          <w:highlight w:val="none"/>
          <w:lang w:eastAsia="zh-CN"/>
        </w:rPr>
        <w:t>（一期）</w:t>
      </w:r>
      <w:r>
        <w:rPr>
          <w:rFonts w:hint="eastAsia" w:ascii="宋体" w:hAnsi="宋体" w:eastAsia="宋体" w:cs="宋体"/>
          <w:color w:val="auto"/>
          <w:szCs w:val="21"/>
          <w:highlight w:val="none"/>
        </w:rPr>
        <w:t>》方案优化内容，主要建设内容包括但不限于光伏组件</w:t>
      </w:r>
      <w:r>
        <w:rPr>
          <w:rFonts w:hint="eastAsia" w:ascii="宋体" w:hAnsi="宋体" w:eastAsia="宋体" w:cs="宋体"/>
          <w:color w:val="auto"/>
          <w:szCs w:val="21"/>
          <w:highlight w:val="none"/>
          <w:lang w:eastAsia="zh-CN"/>
        </w:rPr>
        <w:t>、优化器</w:t>
      </w:r>
      <w:r>
        <w:rPr>
          <w:rFonts w:hint="eastAsia" w:ascii="宋体" w:hAnsi="宋体" w:eastAsia="宋体" w:cs="宋体"/>
          <w:color w:val="auto"/>
          <w:szCs w:val="21"/>
          <w:highlight w:val="none"/>
        </w:rPr>
        <w:t>、并网设施、</w:t>
      </w:r>
      <w:r>
        <w:rPr>
          <w:rFonts w:hint="eastAsia" w:ascii="宋体" w:hAnsi="宋体" w:eastAsia="宋体" w:cs="宋体"/>
          <w:color w:val="auto"/>
          <w:szCs w:val="21"/>
          <w:highlight w:val="none"/>
          <w:lang w:eastAsia="zh-CN"/>
        </w:rPr>
        <w:t>光伏电源</w:t>
      </w:r>
      <w:r>
        <w:rPr>
          <w:rFonts w:hint="eastAsia" w:ascii="宋体" w:hAnsi="宋体" w:eastAsia="宋体" w:cs="宋体"/>
          <w:color w:val="auto"/>
          <w:szCs w:val="21"/>
          <w:highlight w:val="none"/>
        </w:rPr>
        <w:t>箱、逆变器、开关柜、光伏支架、电缆、监控、通讯、</w:t>
      </w:r>
      <w:r>
        <w:rPr>
          <w:rFonts w:hint="eastAsia" w:ascii="宋体" w:hAnsi="宋体" w:eastAsia="宋体" w:cs="宋体"/>
          <w:color w:val="auto"/>
          <w:szCs w:val="21"/>
          <w:highlight w:val="none"/>
          <w:lang w:eastAsia="zh-CN"/>
        </w:rPr>
        <w:t>光伏中控系统、</w:t>
      </w:r>
      <w:r>
        <w:rPr>
          <w:rFonts w:hint="eastAsia" w:ascii="宋体" w:hAnsi="宋体" w:eastAsia="宋体" w:cs="宋体"/>
          <w:color w:val="auto"/>
          <w:szCs w:val="21"/>
          <w:highlight w:val="none"/>
        </w:rPr>
        <w:t>防雷及安全防护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安装步梯</w:t>
      </w:r>
      <w:r>
        <w:rPr>
          <w:rFonts w:hint="eastAsia" w:ascii="宋体" w:hAnsi="宋体" w:eastAsia="宋体" w:cs="宋体"/>
          <w:color w:val="auto"/>
          <w:szCs w:val="21"/>
          <w:highlight w:val="none"/>
        </w:rPr>
        <w:t>等配套设施的安装及相关配套手续的办理，光伏发电建设规模初定为</w:t>
      </w:r>
      <w:r>
        <w:rPr>
          <w:rFonts w:hint="eastAsia" w:ascii="宋体" w:hAnsi="宋体" w:eastAsia="宋体" w:cs="宋体"/>
          <w:color w:val="auto"/>
          <w:kern w:val="0"/>
          <w:szCs w:val="21"/>
          <w:highlight w:val="none"/>
          <w:lang w:val="en-US" w:eastAsia="zh-CN" w:bidi="ar"/>
        </w:rPr>
        <w:t>5441</w:t>
      </w:r>
      <w:r>
        <w:rPr>
          <w:rFonts w:hint="eastAsia" w:ascii="宋体" w:hAnsi="宋体" w:eastAsia="宋体" w:cs="宋体"/>
          <w:color w:val="auto"/>
          <w:szCs w:val="21"/>
          <w:highlight w:val="none"/>
        </w:rPr>
        <w:t>kWp。最终安装容量以项目实际安装容量为准，据实际建设</w:t>
      </w:r>
      <w:r>
        <w:rPr>
          <w:rFonts w:hint="eastAsia" w:ascii="宋体" w:hAnsi="宋体" w:eastAsia="宋体" w:cs="宋体"/>
          <w:color w:val="auto"/>
          <w:sz w:val="21"/>
          <w:szCs w:val="21"/>
          <w:highlight w:val="none"/>
          <w:lang w:val="en-US" w:eastAsia="zh-CN"/>
        </w:rPr>
        <w:t>后的结算装机</w:t>
      </w:r>
      <w:r>
        <w:rPr>
          <w:rFonts w:hint="eastAsia" w:ascii="宋体" w:hAnsi="宋体" w:eastAsia="宋体" w:cs="宋体"/>
          <w:color w:val="auto"/>
          <w:szCs w:val="21"/>
          <w:highlight w:val="none"/>
        </w:rPr>
        <w:t>容量及每瓦单价结算。</w:t>
      </w:r>
    </w:p>
    <w:p w14:paraId="38C6B06E">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2、服务内容：</w:t>
      </w:r>
    </w:p>
    <w:p w14:paraId="3F2C60DC">
      <w:pPr>
        <w:pStyle w:val="4"/>
        <w:spacing w:line="360" w:lineRule="auto"/>
        <w:ind w:firstLine="420"/>
        <w:rPr>
          <w:rFonts w:hAnsi="宋体" w:cs="宋体"/>
          <w:color w:val="auto"/>
          <w:szCs w:val="21"/>
          <w:highlight w:val="none"/>
        </w:rPr>
      </w:pPr>
      <w:r>
        <w:rPr>
          <w:rFonts w:hint="eastAsia" w:hAnsi="宋体" w:cs="宋体"/>
          <w:color w:val="auto"/>
          <w:szCs w:val="21"/>
          <w:highlight w:val="none"/>
        </w:rPr>
        <w:t>本项目按图纸、用户需求书、合同范围总承包，</w:t>
      </w:r>
      <w:r>
        <w:rPr>
          <w:rFonts w:hint="eastAsia" w:hAnsi="宋体" w:cs="仿宋"/>
          <w:color w:val="auto"/>
          <w:szCs w:val="21"/>
          <w:highlight w:val="none"/>
        </w:rPr>
        <w:t>包括但不限于协助</w:t>
      </w:r>
      <w:r>
        <w:rPr>
          <w:rFonts w:hint="eastAsia" w:hAnsi="宋体" w:cs="仿宋"/>
          <w:color w:val="auto"/>
          <w:szCs w:val="21"/>
          <w:highlight w:val="none"/>
          <w:lang w:val="en-US" w:eastAsia="zh-CN"/>
        </w:rPr>
        <w:t>招标人</w:t>
      </w:r>
      <w:r>
        <w:rPr>
          <w:rFonts w:hint="eastAsia" w:hAnsi="宋体" w:cs="仿宋"/>
          <w:color w:val="auto"/>
          <w:szCs w:val="21"/>
          <w:highlight w:val="none"/>
        </w:rPr>
        <w:t>完成备案工作</w:t>
      </w:r>
      <w:r>
        <w:rPr>
          <w:rFonts w:hint="eastAsia" w:hAnsi="宋体" w:cs="仿宋"/>
          <w:color w:val="auto"/>
          <w:szCs w:val="21"/>
          <w:highlight w:val="none"/>
          <w:lang w:eastAsia="zh-CN"/>
        </w:rPr>
        <w:t>、</w:t>
      </w:r>
      <w:r>
        <w:rPr>
          <w:rFonts w:hint="eastAsia" w:hAnsi="宋体" w:cs="仿宋"/>
          <w:color w:val="auto"/>
          <w:szCs w:val="21"/>
          <w:highlight w:val="none"/>
        </w:rPr>
        <w:t>完成太阳能光伏组件至并网点全部项目的勘察与设计、</w:t>
      </w:r>
      <w:r>
        <w:rPr>
          <w:rFonts w:hint="eastAsia" w:hAnsi="宋体" w:cs="仿宋"/>
          <w:color w:val="auto"/>
          <w:szCs w:val="21"/>
          <w:highlight w:val="none"/>
          <w:lang w:val="en-US" w:eastAsia="zh-CN"/>
        </w:rPr>
        <w:t>供电报审、</w:t>
      </w:r>
      <w:r>
        <w:rPr>
          <w:rFonts w:hint="eastAsia" w:hAnsi="宋体" w:cs="仿宋"/>
          <w:color w:val="auto"/>
          <w:szCs w:val="21"/>
          <w:highlight w:val="none"/>
        </w:rPr>
        <w:t>设备材料供应及安装（含并网设施、光伏组件、</w:t>
      </w:r>
      <w:r>
        <w:rPr>
          <w:rFonts w:hint="eastAsia" w:hAnsi="宋体" w:cs="仿宋"/>
          <w:color w:val="auto"/>
          <w:szCs w:val="21"/>
          <w:highlight w:val="none"/>
          <w:lang w:eastAsia="zh-CN"/>
        </w:rPr>
        <w:t>优化器、光伏电源</w:t>
      </w:r>
      <w:r>
        <w:rPr>
          <w:rFonts w:hint="eastAsia" w:hAnsi="宋体" w:cs="仿宋"/>
          <w:color w:val="auto"/>
          <w:szCs w:val="21"/>
          <w:highlight w:val="none"/>
        </w:rPr>
        <w:t>箱、逆变器、开关柜、光伏支架、电缆、监控、</w:t>
      </w:r>
      <w:r>
        <w:rPr>
          <w:rFonts w:hint="eastAsia" w:hAnsi="宋体" w:cs="仿宋"/>
          <w:color w:val="auto"/>
          <w:szCs w:val="21"/>
          <w:highlight w:val="none"/>
          <w:lang w:eastAsia="zh-CN"/>
        </w:rPr>
        <w:t>光伏中控系统、</w:t>
      </w:r>
      <w:r>
        <w:rPr>
          <w:rFonts w:hint="eastAsia" w:hAnsi="宋体" w:cs="仿宋"/>
          <w:color w:val="auto"/>
          <w:szCs w:val="21"/>
          <w:highlight w:val="none"/>
        </w:rPr>
        <w:t>防雷及</w:t>
      </w:r>
      <w:r>
        <w:rPr>
          <w:rFonts w:hint="eastAsia" w:hAnsi="宋体" w:cs="仿宋"/>
          <w:color w:val="auto"/>
          <w:szCs w:val="21"/>
          <w:highlight w:val="none"/>
          <w:lang w:val="zh-CN"/>
        </w:rPr>
        <w:t>安全等配套设施</w:t>
      </w:r>
      <w:r>
        <w:rPr>
          <w:rFonts w:hint="eastAsia" w:hAnsi="宋体" w:cs="仿宋"/>
          <w:color w:val="auto"/>
          <w:szCs w:val="21"/>
          <w:highlight w:val="none"/>
        </w:rPr>
        <w:t>等光伏发电项目所有设备材料，运输、储存），以及在松山湖水厂现状条件下为满足本项目实施的相关拆除、迁改、基础制作、安装，按厂区要求增设的钢结构室外楼梯和安全线缆，电网接入系统检测、全部项目系统调试及试运、验收（含为满足并网条件，需按供电局要求完成线路改造、安健环改造、网络安防、电能质量优化及调度控制系统建设等相关工作</w:t>
      </w:r>
      <w:r>
        <w:rPr>
          <w:rFonts w:hint="eastAsia" w:hAnsi="宋体" w:cs="宋体"/>
          <w:bCs/>
          <w:color w:val="auto"/>
          <w:szCs w:val="21"/>
          <w:highlight w:val="none"/>
        </w:rPr>
        <w:t>，以及供电局所需的试验</w:t>
      </w:r>
      <w:r>
        <w:rPr>
          <w:rFonts w:hint="eastAsia" w:hAnsi="宋体" w:cs="仿宋"/>
          <w:color w:val="auto"/>
          <w:szCs w:val="21"/>
          <w:highlight w:val="none"/>
        </w:rPr>
        <w:t>）并交付生产、培训、质量保修期内的消缺等</w:t>
      </w:r>
      <w:r>
        <w:rPr>
          <w:rFonts w:hint="eastAsia" w:hAnsi="宋体" w:cs="宋体"/>
          <w:color w:val="auto"/>
          <w:szCs w:val="21"/>
          <w:highlight w:val="none"/>
        </w:rPr>
        <w:t>完成并网投运</w:t>
      </w:r>
      <w:r>
        <w:rPr>
          <w:rFonts w:hint="eastAsia" w:hAnsi="宋体" w:cs="仿宋"/>
          <w:color w:val="auto"/>
          <w:szCs w:val="21"/>
          <w:highlight w:val="none"/>
        </w:rPr>
        <w:t>全过程的工作，办理供电局并网投运全过程中所需的各类手续，在满足合同其它责任和义务的同时使本项目符合相关达标验收的要求，提供1年的</w:t>
      </w:r>
      <w:r>
        <w:rPr>
          <w:rFonts w:hint="eastAsia" w:hAnsi="宋体" w:cs="仿宋"/>
          <w:color w:val="auto"/>
          <w:szCs w:val="21"/>
          <w:highlight w:val="none"/>
          <w:lang w:val="zh-CN"/>
        </w:rPr>
        <w:t>运营维护服务</w:t>
      </w:r>
      <w:r>
        <w:rPr>
          <w:rFonts w:hint="eastAsia" w:hAnsi="宋体" w:cs="宋体"/>
          <w:color w:val="auto"/>
          <w:szCs w:val="21"/>
          <w:highlight w:val="none"/>
        </w:rPr>
        <w:t>。</w:t>
      </w:r>
    </w:p>
    <w:p w14:paraId="11D8F8FB">
      <w:pPr>
        <w:widowControl/>
        <w:spacing w:line="360" w:lineRule="auto"/>
        <w:ind w:firstLine="9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三、费用说明</w:t>
      </w:r>
    </w:p>
    <w:p w14:paraId="4F3F5C8E">
      <w:pPr>
        <w:widowControl/>
        <w:tabs>
          <w:tab w:val="center" w:pos="3125"/>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1、项目经供电局</w:t>
      </w:r>
      <w:r>
        <w:rPr>
          <w:rFonts w:hint="eastAsia" w:ascii="宋体" w:hAnsi="宋体" w:eastAsia="宋体" w:cs="宋体"/>
          <w:color w:val="auto"/>
          <w:szCs w:val="21"/>
          <w:highlight w:val="none"/>
          <w:lang w:val="en-US" w:eastAsia="zh-CN"/>
        </w:rPr>
        <w:t>并网审批</w:t>
      </w:r>
      <w:r>
        <w:rPr>
          <w:rFonts w:hint="eastAsia" w:ascii="宋体" w:hAnsi="宋体" w:eastAsia="宋体" w:cs="宋体"/>
          <w:color w:val="auto"/>
          <w:szCs w:val="21"/>
          <w:highlight w:val="none"/>
        </w:rPr>
        <w:t>通过开始正式送电之日起1年内的全部运维费（含日常办公、设备巡检、维修养护、组件清洗、耗材更换、人员工资及保险、管理酬金等所有相关费用）均已包含在总承包费用中，中标人须自行承担上述全部成本，招标人不再另行支付任何费用。</w:t>
      </w:r>
    </w:p>
    <w:p w14:paraId="36C67E9C">
      <w:pPr>
        <w:pStyle w:val="3"/>
        <w:autoSpaceDE/>
        <w:autoSpaceDN/>
        <w:adjustRightInd/>
        <w:spacing w:line="360" w:lineRule="auto"/>
        <w:ind w:right="-28" w:firstLine="422" w:firstLineChars="200"/>
        <w:jc w:val="left"/>
        <w:rPr>
          <w:rFonts w:hAnsi="宋体" w:cs="宋体"/>
          <w:color w:val="auto"/>
          <w:sz w:val="21"/>
          <w:szCs w:val="21"/>
          <w:highlight w:val="none"/>
          <w:lang w:val="en-US"/>
        </w:rPr>
      </w:pPr>
      <w:r>
        <w:rPr>
          <w:rFonts w:hint="eastAsia" w:hAnsi="宋体" w:cs="宋体"/>
          <w:color w:val="auto"/>
          <w:sz w:val="21"/>
          <w:szCs w:val="21"/>
          <w:highlight w:val="none"/>
          <w:lang w:val="en-US"/>
        </w:rPr>
        <w:t>★2、</w:t>
      </w:r>
      <w:r>
        <w:rPr>
          <w:rFonts w:hint="eastAsia" w:hAnsi="宋体" w:cs="宋体"/>
          <w:color w:val="auto"/>
          <w:sz w:val="21"/>
          <w:szCs w:val="21"/>
          <w:highlight w:val="none"/>
          <w:u w:val="single"/>
          <w:lang w:val="en-US"/>
        </w:rPr>
        <w:t>投标人需提供</w:t>
      </w:r>
      <w:r>
        <w:rPr>
          <w:rFonts w:hint="eastAsia" w:hAnsi="宋体" w:cs="宋体"/>
          <w:color w:val="auto"/>
          <w:sz w:val="21"/>
          <w:szCs w:val="21"/>
          <w:highlight w:val="none"/>
          <w:u w:val="single"/>
          <w:lang w:val="en-US" w:eastAsia="zh-CN"/>
        </w:rPr>
        <w:t>36块预留</w:t>
      </w:r>
      <w:r>
        <w:rPr>
          <w:rFonts w:hint="eastAsia" w:hAnsi="宋体" w:cs="宋体"/>
          <w:color w:val="auto"/>
          <w:sz w:val="21"/>
          <w:szCs w:val="21"/>
          <w:highlight w:val="none"/>
          <w:u w:val="single"/>
          <w:lang w:val="en-US"/>
        </w:rPr>
        <w:t>光伏组件作为招标人在项目质保期满后运维使用，根据招标人的要求送货到指定地点，费用包含在总承包费用</w:t>
      </w:r>
      <w:r>
        <w:rPr>
          <w:rFonts w:hint="eastAsia" w:hAnsi="宋体" w:cs="宋体"/>
          <w:color w:val="auto"/>
          <w:sz w:val="21"/>
          <w:szCs w:val="21"/>
          <w:highlight w:val="none"/>
          <w:u w:val="single"/>
          <w:lang w:val="en-US" w:eastAsia="zh-CN"/>
        </w:rPr>
        <w:t>（固定每瓦单价）</w:t>
      </w:r>
      <w:r>
        <w:rPr>
          <w:rFonts w:hint="eastAsia" w:hAnsi="宋体" w:cs="宋体"/>
          <w:color w:val="auto"/>
          <w:sz w:val="21"/>
          <w:szCs w:val="21"/>
          <w:highlight w:val="none"/>
          <w:u w:val="single"/>
          <w:lang w:val="en-US"/>
        </w:rPr>
        <w:t>中</w:t>
      </w:r>
      <w:r>
        <w:rPr>
          <w:rFonts w:hint="eastAsia" w:hAnsi="宋体" w:cs="宋体"/>
          <w:color w:val="auto"/>
          <w:sz w:val="21"/>
          <w:szCs w:val="21"/>
          <w:highlight w:val="none"/>
          <w:u w:val="single"/>
          <w:lang w:val="en-US" w:eastAsia="zh-CN"/>
        </w:rPr>
        <w:t>，不另行计费</w:t>
      </w:r>
      <w:r>
        <w:rPr>
          <w:rFonts w:hint="eastAsia" w:hAnsi="宋体" w:cs="宋体"/>
          <w:color w:val="auto"/>
          <w:sz w:val="21"/>
          <w:szCs w:val="21"/>
          <w:highlight w:val="none"/>
          <w:lang w:val="en-US"/>
        </w:rPr>
        <w:t>。</w:t>
      </w:r>
    </w:p>
    <w:p w14:paraId="6DD34D9D">
      <w:pPr>
        <w:pStyle w:val="4"/>
        <w:spacing w:line="360" w:lineRule="auto"/>
        <w:ind w:firstLine="420"/>
        <w:rPr>
          <w:rFonts w:hAnsi="宋体" w:cs="宋体"/>
          <w:color w:val="auto"/>
          <w:szCs w:val="21"/>
          <w:highlight w:val="none"/>
        </w:rPr>
      </w:pPr>
      <w:r>
        <w:rPr>
          <w:rFonts w:hint="eastAsia" w:hAnsi="宋体" w:cs="宋体"/>
          <w:color w:val="auto"/>
          <w:szCs w:val="21"/>
          <w:highlight w:val="none"/>
        </w:rPr>
        <w:t>3、项目实施过程中，与本项目相关的原建（构）筑物的拆除、设备迁改（生产设备除外）或为方便厂区后期运维，按厂区要求增设的室外楼梯（钢结构）和安全线缆等，其费用包含在总承包费用里。</w:t>
      </w:r>
    </w:p>
    <w:p w14:paraId="6AC410BC">
      <w:pPr>
        <w:pStyle w:val="4"/>
        <w:spacing w:line="360" w:lineRule="auto"/>
        <w:ind w:firstLine="420"/>
        <w:rPr>
          <w:rFonts w:hAnsi="宋体" w:cs="宋体"/>
          <w:color w:val="auto"/>
          <w:szCs w:val="21"/>
          <w:highlight w:val="none"/>
        </w:rPr>
      </w:pPr>
      <w:r>
        <w:rPr>
          <w:rFonts w:hint="eastAsia" w:hAnsi="宋体" w:cs="宋体"/>
          <w:color w:val="auto"/>
          <w:szCs w:val="21"/>
          <w:highlight w:val="none"/>
        </w:rPr>
        <w:t>4、项目实施过程中需按要求办理项目的全部手续及合规性工作，包括但不限于：（</w:t>
      </w:r>
      <w:r>
        <w:rPr>
          <w:rFonts w:hint="eastAsia" w:hAnsi="宋体" w:cs="宋体"/>
          <w:color w:val="auto"/>
          <w:szCs w:val="21"/>
          <w:highlight w:val="none"/>
          <w:lang w:val="en-US" w:eastAsia="zh-CN"/>
        </w:rPr>
        <w:t>1</w:t>
      </w:r>
      <w:r>
        <w:rPr>
          <w:rFonts w:hint="eastAsia" w:hAnsi="宋体" w:cs="宋体"/>
          <w:color w:val="auto"/>
          <w:szCs w:val="21"/>
          <w:highlight w:val="none"/>
        </w:rPr>
        <w:t>）供电局对项目接入意见办理、接入方案的设计、评审、接入施工图纸的设计、评审、接入系统的设备、材料的采购、施工、调试以及竣工验收；（</w:t>
      </w:r>
      <w:r>
        <w:rPr>
          <w:rFonts w:hint="eastAsia" w:hAnsi="宋体" w:cs="宋体"/>
          <w:color w:val="auto"/>
          <w:szCs w:val="21"/>
          <w:highlight w:val="none"/>
          <w:lang w:val="en-US" w:eastAsia="zh-CN"/>
        </w:rPr>
        <w:t>2</w:t>
      </w:r>
      <w:r>
        <w:rPr>
          <w:rFonts w:hint="eastAsia" w:hAnsi="宋体" w:cs="宋体"/>
          <w:color w:val="auto"/>
          <w:szCs w:val="21"/>
          <w:highlight w:val="none"/>
        </w:rPr>
        <w:t>）政府部门或售电公司上网项目核准；（</w:t>
      </w:r>
      <w:r>
        <w:rPr>
          <w:rFonts w:hint="eastAsia" w:hAnsi="宋体" w:cs="宋体"/>
          <w:color w:val="auto"/>
          <w:szCs w:val="21"/>
          <w:highlight w:val="none"/>
          <w:lang w:val="en-US" w:eastAsia="zh-CN"/>
        </w:rPr>
        <w:t>3</w:t>
      </w:r>
      <w:r>
        <w:rPr>
          <w:rFonts w:hint="eastAsia" w:hAnsi="宋体" w:cs="宋体"/>
          <w:color w:val="auto"/>
          <w:szCs w:val="21"/>
          <w:highlight w:val="none"/>
        </w:rPr>
        <w:t>）为满足并网条件，需按供电局要求完成线路改造、安健环改造、网络安防、电能质量优化及调度控制系统建设等相关工作。前述所有手续的办理、协调及实施费用均已包含在总承包费用中，不因任何原因调整总承包费用。投标人须自行承担因手续延误或变更产生的全部责任及额外成本。</w:t>
      </w:r>
    </w:p>
    <w:p w14:paraId="1A0FE0AB">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5、投标人需负责项目招标范围内的设计、供货、施工和验收及满足并网投运所需要的一切手续，即便在招标范围内没有载明，但实际证明是确保项目发电运行所必须的，则需纳入设计、采购、安装及提供服务范围。</w:t>
      </w:r>
    </w:p>
    <w:p w14:paraId="29E34505">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6、接入方式以供电局批复为准；技术要求以本用户需求书“五、光伏发电设施技术要求”为准。根据项目的要求，等保测评、涉网试验等包括在本次招标范围内。</w:t>
      </w:r>
    </w:p>
    <w:p w14:paraId="60E32F5F">
      <w:pPr>
        <w:widowControl/>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四</w:t>
      </w:r>
      <w:r>
        <w:rPr>
          <w:rFonts w:hint="eastAsia" w:ascii="宋体" w:hAnsi="宋体" w:eastAsia="宋体" w:cs="宋体"/>
          <w:b/>
          <w:color w:val="auto"/>
          <w:szCs w:val="21"/>
          <w:highlight w:val="none"/>
          <w:lang w:val="zh-CN"/>
        </w:rPr>
        <w:t>、设计规范和设计依据</w:t>
      </w:r>
    </w:p>
    <w:p w14:paraId="70BA9AF9">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（1）建筑平面、总平面；其他相关专业提出的要求。</w:t>
      </w:r>
    </w:p>
    <w:p w14:paraId="3C34717A">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（2）招标人所提供的可行性研究报告、</w:t>
      </w:r>
      <w:r>
        <w:rPr>
          <w:rFonts w:hint="eastAsia" w:ascii="宋体" w:hAnsi="宋体" w:eastAsia="宋体" w:cs="宋体"/>
          <w:color w:val="auto"/>
          <w:szCs w:val="21"/>
          <w:highlight w:val="none"/>
          <w:lang w:val="en-US" w:eastAsia="zh-CN"/>
        </w:rPr>
        <w:t>屋面增设光伏设备可行性及结构安全、抗震性专项鉴定报告</w:t>
      </w:r>
      <w:r>
        <w:rPr>
          <w:rFonts w:hint="eastAsia" w:ascii="宋体" w:hAnsi="宋体" w:eastAsia="宋体" w:cs="宋体"/>
          <w:color w:val="auto"/>
          <w:szCs w:val="21"/>
          <w:highlight w:val="none"/>
        </w:rPr>
        <w:t>、原厂区设计图纸等资料。</w:t>
      </w:r>
    </w:p>
    <w:p w14:paraId="77A4DA6B">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（3）国家及省的有关规范、标准、规程：</w:t>
      </w:r>
    </w:p>
    <w:p w14:paraId="47770EED">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《光伏发电站防雷技术规程》 DL/T 1364-2014(国家能源局)</w:t>
      </w:r>
    </w:p>
    <w:p w14:paraId="4C65785F">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《光伏并网逆变器技术规范》 NB/T 32004-2018(国家能源局)</w:t>
      </w:r>
    </w:p>
    <w:p w14:paraId="218C0A06">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《光伏发电站电能质量检测技术规程》 NB/T 32006-2013(国家能源局)</w:t>
      </w:r>
    </w:p>
    <w:p w14:paraId="38621710">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《光伏发电站功率预测系统技术要求》 NB/T 32011-2013(国家能源局)</w:t>
      </w:r>
    </w:p>
    <w:p w14:paraId="2292C55F">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《光伏发电站防孤岛效应检测技术规程》 NB/T 32014-2013(国家能源局)</w:t>
      </w:r>
    </w:p>
    <w:p w14:paraId="2D7B67EE">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《并网光伏发电监控系统技术规范》 NB/T 32016-2013(国家能源局)</w:t>
      </w:r>
    </w:p>
    <w:p w14:paraId="72E0B501">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《太阳能光伏系统防雷技术规范》 QX/T 263-2015(中国气象局)</w:t>
      </w:r>
    </w:p>
    <w:p w14:paraId="2B07B4D8">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《光伏发电接入配电网设计规范》 GB/T 50865-2013</w:t>
      </w:r>
    </w:p>
    <w:p w14:paraId="346B3DA8">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《光伏发电站接入电力系统设计规范》 GB/T 50866-2013</w:t>
      </w:r>
    </w:p>
    <w:p w14:paraId="6CA14E81">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《光伏发电站继电保护技术规范》 GB/T 32900-2016</w:t>
      </w:r>
    </w:p>
    <w:p w14:paraId="44337F09">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《分布式光伏发电系统接入电网技术规范》 Q/CSG_1211001-2014</w:t>
      </w:r>
    </w:p>
    <w:p w14:paraId="3F35CD16">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《光伏发电站接入电网技术规范》 Q/CSG_1211002-2014</w:t>
      </w:r>
    </w:p>
    <w:p w14:paraId="01C66228">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《光伏发电并网技术标准》 Q/CSG_1211006-2016</w:t>
      </w:r>
    </w:p>
    <w:p w14:paraId="2F460375">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《并网光伏发电站监控系统技术规范》 Q/CSG_1211011-2016</w:t>
      </w:r>
    </w:p>
    <w:p w14:paraId="5EE449D8">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val="0"/>
          <w:bCs w:val="0"/>
          <w:i w:val="0"/>
          <w:iCs w:val="0"/>
          <w:caps w:val="0"/>
          <w:color w:val="auto"/>
          <w:spacing w:val="0"/>
          <w:kern w:val="2"/>
          <w:sz w:val="21"/>
          <w:szCs w:val="21"/>
          <w:highlight w:val="none"/>
          <w:shd w:val="clear"/>
          <w:lang w:val="en-US" w:eastAsia="zh-CN" w:bidi="ar"/>
        </w:rPr>
        <w:t>《光伏组件功率优化器技术规范》NB/T 42143-2018</w:t>
      </w:r>
    </w:p>
    <w:p w14:paraId="0D98A745">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《光伏发电站设计标准》 GB50797-2012</w:t>
      </w:r>
    </w:p>
    <w:p w14:paraId="6D1593FF">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《建筑结构荷载规范》 GB50009-2012</w:t>
      </w:r>
    </w:p>
    <w:p w14:paraId="261C4499">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《建筑物防雷设计规范》 GB50057-2010</w:t>
      </w:r>
    </w:p>
    <w:p w14:paraId="05764A05">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且包含未明列但属国家或地方规定的其他强制执行标准或规范（条款）</w:t>
      </w:r>
    </w:p>
    <w:p w14:paraId="41DC883B">
      <w:pPr>
        <w:widowControl/>
        <w:numPr>
          <w:ilvl w:val="255"/>
          <w:numId w:val="0"/>
        </w:num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五、光伏发电设施技术要求</w:t>
      </w:r>
    </w:p>
    <w:p w14:paraId="3E4629D2">
      <w:pPr>
        <w:widowControl/>
        <w:numPr>
          <w:ilvl w:val="-1"/>
          <w:numId w:val="0"/>
        </w:numPr>
        <w:wordWrap w:val="0"/>
        <w:spacing w:line="360" w:lineRule="auto"/>
        <w:ind w:firstLine="420" w:firstLineChars="200"/>
        <w:rPr>
          <w:rFonts w:hint="eastAsia" w:ascii="宋体" w:hAnsi="宋体" w:eastAsia="宋体" w:cs="宋体"/>
          <w:b w:val="0"/>
          <w:color w:val="auto"/>
          <w:szCs w:val="21"/>
          <w:highlight w:val="none"/>
        </w:rPr>
      </w:pPr>
      <w:r>
        <w:rPr>
          <w:rFonts w:hint="eastAsia" w:ascii="宋体" w:hAnsi="宋体" w:eastAsia="宋体" w:cs="宋体"/>
          <w:b w:val="0"/>
          <w:color w:val="auto"/>
          <w:szCs w:val="21"/>
          <w:highlight w:val="none"/>
        </w:rPr>
        <w:t>针对本项目光伏发电设施，若优化设计图纸与用户提出的需求存在不一致之处，</w:t>
      </w:r>
      <w:r>
        <w:rPr>
          <w:rFonts w:hint="eastAsia" w:ascii="宋体" w:hAnsi="宋体" w:eastAsia="宋体" w:cs="宋体"/>
          <w:color w:val="auto"/>
          <w:szCs w:val="21"/>
          <w:highlight w:val="none"/>
        </w:rPr>
        <w:t>原则上按优化设计图纸执行，优先以优化设计图纸为准；若优化设计图纸中未明确规定具体参数，则以本</w:t>
      </w:r>
      <w:r>
        <w:rPr>
          <w:rFonts w:hint="eastAsia" w:ascii="宋体" w:hAnsi="宋体" w:eastAsia="宋体" w:cs="宋体"/>
          <w:color w:val="auto"/>
          <w:szCs w:val="21"/>
          <w:highlight w:val="none"/>
          <w:lang w:val="en-US" w:eastAsia="zh-CN"/>
        </w:rPr>
        <w:t>用户</w:t>
      </w:r>
      <w:r>
        <w:rPr>
          <w:rFonts w:hint="eastAsia" w:ascii="宋体" w:hAnsi="宋体" w:eastAsia="宋体" w:cs="宋体"/>
          <w:color w:val="auto"/>
          <w:szCs w:val="21"/>
          <w:highlight w:val="none"/>
        </w:rPr>
        <w:t>需求书相关要求为准。</w:t>
      </w:r>
    </w:p>
    <w:p w14:paraId="6BAB5671">
      <w:pPr>
        <w:wordWrap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1、光伏组件</w:t>
      </w:r>
    </w:p>
    <w:p w14:paraId="58CB8A71">
      <w:pPr>
        <w:wordWrap w:val="0"/>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（1）光伏组件光伏发电系统采用高效单晶硅光伏组件，单块容量</w:t>
      </w:r>
      <w:r>
        <w:rPr>
          <w:rFonts w:hint="eastAsia" w:ascii="宋体" w:hAnsi="宋体" w:eastAsia="宋体" w:cs="宋体"/>
          <w:b/>
          <w:color w:val="auto"/>
          <w:szCs w:val="21"/>
          <w:highlight w:val="none"/>
          <w:lang w:eastAsia="zh-CN"/>
        </w:rPr>
        <w:t>不低于</w:t>
      </w:r>
      <w:r>
        <w:rPr>
          <w:rFonts w:hint="eastAsia" w:ascii="宋体" w:hAnsi="宋体" w:eastAsia="宋体" w:cs="宋体"/>
          <w:b/>
          <w:bCs/>
          <w:color w:val="auto"/>
          <w:spacing w:val="-2"/>
          <w:szCs w:val="21"/>
          <w:highlight w:val="none"/>
          <w:lang w:val="en-US" w:eastAsia="zh-CN"/>
        </w:rPr>
        <w:t>650</w:t>
      </w:r>
      <w:r>
        <w:rPr>
          <w:rFonts w:hint="eastAsia" w:ascii="宋体" w:hAnsi="宋体" w:eastAsia="宋体" w:cs="宋体"/>
          <w:b/>
          <w:bCs/>
          <w:color w:val="auto"/>
          <w:spacing w:val="-2"/>
          <w:szCs w:val="21"/>
          <w:highlight w:val="none"/>
        </w:rPr>
        <w:t>Wp</w:t>
      </w:r>
      <w:r>
        <w:rPr>
          <w:rFonts w:hint="eastAsia" w:ascii="宋体" w:hAnsi="宋体" w:eastAsia="宋体" w:cs="宋体"/>
          <w:b/>
          <w:color w:val="auto"/>
          <w:szCs w:val="21"/>
          <w:highlight w:val="none"/>
        </w:rPr>
        <w:t>,具体参数如下：</w:t>
      </w:r>
    </w:p>
    <w:p w14:paraId="3FCFEFC8">
      <w:pPr>
        <w:wordWrap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pacing w:val="13"/>
          <w:szCs w:val="21"/>
          <w:highlight w:val="none"/>
        </w:rPr>
        <w:t>光伏组</w:t>
      </w:r>
      <w:r>
        <w:rPr>
          <w:rFonts w:hint="eastAsia" w:ascii="宋体" w:hAnsi="宋体" w:eastAsia="宋体" w:cs="宋体"/>
          <w:b/>
          <w:color w:val="auto"/>
          <w:spacing w:val="8"/>
          <w:szCs w:val="21"/>
          <w:highlight w:val="none"/>
        </w:rPr>
        <w:t>件主要技术参数表</w:t>
      </w:r>
    </w:p>
    <w:tbl>
      <w:tblPr>
        <w:tblStyle w:val="7"/>
        <w:tblW w:w="5026"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989"/>
        <w:gridCol w:w="4366"/>
      </w:tblGrid>
      <w:tr w14:paraId="4DF59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4FA06F0C">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6"/>
                <w:szCs w:val="21"/>
                <w:highlight w:val="none"/>
              </w:rPr>
              <w:t>型号规</w:t>
            </w:r>
            <w:r>
              <w:rPr>
                <w:rFonts w:hint="eastAsia" w:ascii="宋体" w:hAnsi="宋体" w:eastAsia="宋体" w:cs="宋体"/>
                <w:color w:val="auto"/>
                <w:spacing w:val="5"/>
                <w:szCs w:val="21"/>
                <w:highlight w:val="none"/>
              </w:rPr>
              <w:t>格</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5775FB3B">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单晶硅双面双玻</w:t>
            </w:r>
            <w:r>
              <w:rPr>
                <w:rFonts w:hint="eastAsia" w:ascii="东文宋体" w:hAnsi="东文宋体" w:eastAsia="东文宋体" w:cs="东文宋体"/>
                <w:color w:val="auto"/>
                <w:szCs w:val="21"/>
                <w:highlight w:val="none"/>
                <w:lang w:val="en-US" w:eastAsia="zh-CN"/>
              </w:rPr>
              <w:t>≥</w:t>
            </w:r>
            <w:r>
              <w:rPr>
                <w:rFonts w:hint="eastAsia" w:ascii="宋体" w:hAnsi="宋体" w:eastAsia="宋体" w:cs="宋体"/>
                <w:color w:val="auto"/>
                <w:spacing w:val="-2"/>
                <w:szCs w:val="21"/>
                <w:highlight w:val="none"/>
                <w:lang w:val="en-US" w:eastAsia="zh-CN"/>
              </w:rPr>
              <w:t>650</w:t>
            </w:r>
            <w:r>
              <w:rPr>
                <w:rFonts w:hint="eastAsia" w:ascii="宋体" w:hAnsi="宋体" w:eastAsia="宋体" w:cs="宋体"/>
                <w:color w:val="auto"/>
                <w:spacing w:val="-2"/>
                <w:szCs w:val="21"/>
                <w:highlight w:val="none"/>
              </w:rPr>
              <w:t>Wp</w:t>
            </w:r>
          </w:p>
        </w:tc>
      </w:tr>
      <w:tr w14:paraId="27B17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725B7FB6">
            <w:pPr>
              <w:spacing w:line="360" w:lineRule="auto"/>
              <w:jc w:val="center"/>
              <w:rPr>
                <w:rFonts w:ascii="宋体" w:hAnsi="宋体" w:eastAsia="宋体" w:cs="宋体"/>
                <w:color w:val="auto"/>
                <w:szCs w:val="21"/>
                <w:highlight w:val="none"/>
              </w:rPr>
            </w:pPr>
            <w:bookmarkStart w:id="0" w:name="OLE_LINK42"/>
            <w:r>
              <w:rPr>
                <w:rFonts w:hint="eastAsia" w:ascii="宋体" w:hAnsi="宋体" w:eastAsia="宋体" w:cs="宋体"/>
                <w:color w:val="auto"/>
                <w:spacing w:val="1"/>
                <w:szCs w:val="21"/>
                <w:highlight w:val="none"/>
              </w:rPr>
              <w:t>标称功率</w:t>
            </w:r>
            <w:bookmarkEnd w:id="0"/>
            <w:r>
              <w:rPr>
                <w:rFonts w:hint="eastAsia" w:ascii="宋体" w:hAnsi="宋体" w:eastAsia="宋体" w:cs="宋体"/>
                <w:color w:val="auto"/>
                <w:szCs w:val="21"/>
                <w:highlight w:val="none"/>
              </w:rPr>
              <w:t>(W)</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34A67A9C">
            <w:pPr>
              <w:spacing w:line="360" w:lineRule="auto"/>
              <w:jc w:val="center"/>
              <w:rPr>
                <w:rFonts w:ascii="宋体" w:hAnsi="宋体" w:eastAsia="宋体" w:cs="宋体"/>
                <w:color w:val="auto"/>
                <w:szCs w:val="21"/>
                <w:highlight w:val="none"/>
              </w:rPr>
            </w:pPr>
            <w:r>
              <w:rPr>
                <w:rFonts w:hint="eastAsia" w:ascii="东文宋体" w:hAnsi="东文宋体" w:eastAsia="东文宋体" w:cs="东文宋体"/>
                <w:color w:val="auto"/>
                <w:spacing w:val="-2"/>
                <w:szCs w:val="21"/>
                <w:highlight w:val="none"/>
              </w:rPr>
              <w:t>≥</w:t>
            </w:r>
            <w:r>
              <w:rPr>
                <w:rFonts w:hint="eastAsia" w:ascii="宋体" w:hAnsi="宋体" w:eastAsia="宋体" w:cs="宋体"/>
                <w:color w:val="auto"/>
                <w:spacing w:val="-2"/>
                <w:szCs w:val="21"/>
                <w:highlight w:val="none"/>
                <w:lang w:val="en-US" w:eastAsia="zh-CN"/>
              </w:rPr>
              <w:t>650</w:t>
            </w:r>
            <w:r>
              <w:rPr>
                <w:rFonts w:hint="eastAsia" w:ascii="宋体" w:hAnsi="宋体" w:eastAsia="宋体" w:cs="宋体"/>
                <w:color w:val="auto"/>
                <w:spacing w:val="-2"/>
                <w:szCs w:val="21"/>
                <w:highlight w:val="none"/>
              </w:rPr>
              <w:t>Wp</w:t>
            </w:r>
          </w:p>
        </w:tc>
      </w:tr>
      <w:tr w14:paraId="00C57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4CFFE1DF">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8"/>
                <w:szCs w:val="21"/>
                <w:highlight w:val="none"/>
              </w:rPr>
              <w:t>组</w:t>
            </w:r>
            <w:r>
              <w:rPr>
                <w:rFonts w:hint="eastAsia" w:ascii="宋体" w:hAnsi="宋体" w:eastAsia="宋体" w:cs="宋体"/>
                <w:color w:val="auto"/>
                <w:spacing w:val="-5"/>
                <w:szCs w:val="21"/>
                <w:highlight w:val="none"/>
              </w:rPr>
              <w:t>件效率(</w:t>
            </w:r>
            <w:r>
              <w:rPr>
                <w:rFonts w:hint="eastAsia" w:ascii="宋体" w:hAnsi="宋体" w:eastAsia="宋体" w:cs="宋体"/>
                <w:color w:val="auto"/>
                <w:spacing w:val="2"/>
                <w:position w:val="-1"/>
                <w:szCs w:val="21"/>
                <w:highlight w:val="none"/>
              </w:rPr>
              <w:t>%</w:t>
            </w:r>
            <w:r>
              <w:rPr>
                <w:rFonts w:hint="eastAsia" w:ascii="宋体" w:hAnsi="宋体" w:eastAsia="宋体" w:cs="宋体"/>
                <w:color w:val="auto"/>
                <w:spacing w:val="-5"/>
                <w:szCs w:val="21"/>
                <w:highlight w:val="none"/>
              </w:rPr>
              <w:t>)</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674D8340">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pacing w:val="-2"/>
                <w:szCs w:val="21"/>
                <w:highlight w:val="none"/>
              </w:rPr>
              <w:t>23</w:t>
            </w:r>
            <w:r>
              <w:rPr>
                <w:rFonts w:hint="eastAsia" w:ascii="宋体" w:hAnsi="宋体" w:eastAsia="宋体" w:cs="宋体"/>
                <w:color w:val="auto"/>
                <w:spacing w:val="-2"/>
                <w:szCs w:val="21"/>
                <w:highlight w:val="none"/>
                <w:lang w:val="en-US" w:eastAsia="zh-CN"/>
              </w:rPr>
              <w:t>.2</w:t>
            </w:r>
          </w:p>
        </w:tc>
      </w:tr>
      <w:tr w14:paraId="30F65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38FA5AA1">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首年功率衰减率</w:t>
            </w:r>
            <w:r>
              <w:rPr>
                <w:rFonts w:hint="eastAsia" w:ascii="宋体" w:hAnsi="宋体" w:eastAsia="宋体" w:cs="宋体"/>
                <w:color w:val="auto"/>
                <w:spacing w:val="-5"/>
                <w:szCs w:val="21"/>
                <w:highlight w:val="none"/>
              </w:rPr>
              <w:t>(</w:t>
            </w:r>
            <w:r>
              <w:rPr>
                <w:rFonts w:hint="eastAsia" w:ascii="宋体" w:hAnsi="宋体" w:eastAsia="宋体" w:cs="宋体"/>
                <w:color w:val="auto"/>
                <w:spacing w:val="2"/>
                <w:position w:val="-1"/>
                <w:szCs w:val="21"/>
                <w:highlight w:val="none"/>
              </w:rPr>
              <w:t>%</w:t>
            </w:r>
            <w:r>
              <w:rPr>
                <w:rFonts w:hint="eastAsia" w:ascii="宋体" w:hAnsi="宋体" w:eastAsia="宋体" w:cs="宋体"/>
                <w:color w:val="auto"/>
                <w:spacing w:val="-5"/>
                <w:szCs w:val="21"/>
                <w:highlight w:val="none"/>
              </w:rPr>
              <w:t>)</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35BBE5B6">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r>
      <w:tr w14:paraId="1E0D6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4CCA837D">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次年后每年功率衰减率</w:t>
            </w:r>
            <w:r>
              <w:rPr>
                <w:rFonts w:hint="eastAsia" w:ascii="宋体" w:hAnsi="宋体" w:eastAsia="宋体" w:cs="宋体"/>
                <w:color w:val="auto"/>
                <w:spacing w:val="-5"/>
                <w:szCs w:val="21"/>
                <w:highlight w:val="none"/>
              </w:rPr>
              <w:t>(</w:t>
            </w:r>
            <w:r>
              <w:rPr>
                <w:rFonts w:hint="eastAsia" w:ascii="宋体" w:hAnsi="宋体" w:eastAsia="宋体" w:cs="宋体"/>
                <w:color w:val="auto"/>
                <w:spacing w:val="2"/>
                <w:position w:val="-1"/>
                <w:szCs w:val="21"/>
                <w:highlight w:val="none"/>
              </w:rPr>
              <w:t>%</w:t>
            </w:r>
            <w:r>
              <w:rPr>
                <w:rFonts w:hint="eastAsia" w:ascii="宋体" w:hAnsi="宋体" w:eastAsia="宋体" w:cs="宋体"/>
                <w:color w:val="auto"/>
                <w:spacing w:val="-5"/>
                <w:szCs w:val="21"/>
                <w:highlight w:val="none"/>
              </w:rPr>
              <w:t>)</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072F6B3F">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pacing w:val="-2"/>
                <w:szCs w:val="21"/>
                <w:highlight w:val="none"/>
              </w:rPr>
              <w:t>0.4</w:t>
            </w:r>
          </w:p>
        </w:tc>
      </w:tr>
      <w:tr w14:paraId="5730A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00BFA253">
            <w:pPr>
              <w:spacing w:line="360" w:lineRule="auto"/>
              <w:jc w:val="center"/>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25年后</w:t>
            </w:r>
            <w:r>
              <w:rPr>
                <w:rFonts w:hint="eastAsia" w:ascii="宋体" w:hAnsi="宋体" w:eastAsia="宋体" w:cs="宋体"/>
                <w:color w:val="auto"/>
                <w:szCs w:val="21"/>
                <w:highlight w:val="none"/>
              </w:rPr>
              <w:t>功率衰减率</w:t>
            </w:r>
            <w:r>
              <w:rPr>
                <w:rFonts w:hint="eastAsia" w:ascii="宋体" w:hAnsi="宋体" w:eastAsia="宋体" w:cs="宋体"/>
                <w:color w:val="auto"/>
                <w:spacing w:val="-5"/>
                <w:szCs w:val="21"/>
                <w:highlight w:val="none"/>
              </w:rPr>
              <w:t>(</w:t>
            </w:r>
            <w:r>
              <w:rPr>
                <w:rFonts w:hint="eastAsia" w:ascii="宋体" w:hAnsi="宋体" w:eastAsia="宋体" w:cs="宋体"/>
                <w:color w:val="auto"/>
                <w:spacing w:val="2"/>
                <w:position w:val="-1"/>
                <w:szCs w:val="21"/>
                <w:highlight w:val="none"/>
              </w:rPr>
              <w:t>%</w:t>
            </w:r>
            <w:r>
              <w:rPr>
                <w:rFonts w:hint="eastAsia" w:ascii="宋体" w:hAnsi="宋体" w:eastAsia="宋体" w:cs="宋体"/>
                <w:color w:val="auto"/>
                <w:spacing w:val="-5"/>
                <w:szCs w:val="21"/>
                <w:highlight w:val="none"/>
              </w:rPr>
              <w:t>)</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3E4A9422">
            <w:pPr>
              <w:spacing w:line="360" w:lineRule="auto"/>
              <w:jc w:val="center"/>
              <w:rPr>
                <w:rFonts w:ascii="宋体" w:hAnsi="宋体" w:eastAsia="宋体" w:cs="宋体"/>
                <w:color w:val="auto"/>
                <w:spacing w:val="-12"/>
                <w:position w:val="1"/>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pacing w:val="-2"/>
                <w:szCs w:val="21"/>
                <w:highlight w:val="none"/>
              </w:rPr>
              <w:t>13</w:t>
            </w:r>
          </w:p>
        </w:tc>
      </w:tr>
    </w:tbl>
    <w:p w14:paraId="20D4C3B0">
      <w:pPr>
        <w:numPr>
          <w:ilvl w:val="0"/>
          <w:numId w:val="0"/>
        </w:numPr>
        <w:spacing w:line="360" w:lineRule="auto"/>
        <w:ind w:firstLine="210" w:firstLineChars="100"/>
        <w:rPr>
          <w:rFonts w:ascii="宋体" w:hAnsi="宋体" w:eastAsia="宋体" w:cs="宋体"/>
          <w:color w:val="auto"/>
          <w:szCs w:val="21"/>
          <w:highlight w:val="cyan"/>
        </w:rPr>
      </w:pPr>
      <w:r>
        <w:rPr>
          <w:rFonts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ascii="宋体" w:hAnsi="宋体" w:eastAsia="宋体" w:cs="宋体"/>
          <w:color w:val="auto"/>
          <w:szCs w:val="21"/>
          <w:highlight w:val="none"/>
        </w:rPr>
        <w:t>）</w:t>
      </w:r>
      <w:r>
        <w:rPr>
          <w:rFonts w:ascii="宋体" w:hAnsi="宋体" w:eastAsia="宋体" w:cs="宋体"/>
          <w:i w:val="0"/>
          <w:iCs w:val="0"/>
          <w:caps w:val="0"/>
          <w:color w:val="auto"/>
          <w:spacing w:val="0"/>
          <w:sz w:val="21"/>
          <w:szCs w:val="21"/>
          <w:highlight w:val="none"/>
          <w:shd w:val="clear" w:fill="auto"/>
        </w:rPr>
        <w:t>光伏组件防护等级应不低于IP66，并具备在雨、雾、露水等湿气环境下正常运行的能力。防火等级须达到UL</w:t>
      </w:r>
      <w:r>
        <w:rPr>
          <w:rFonts w:hint="eastAsia" w:ascii="宋体" w:hAnsi="宋体" w:eastAsia="宋体" w:cs="宋体"/>
          <w:i w:val="0"/>
          <w:iCs w:val="0"/>
          <w:caps w:val="0"/>
          <w:color w:val="auto"/>
          <w:spacing w:val="0"/>
          <w:sz w:val="21"/>
          <w:szCs w:val="21"/>
          <w:highlight w:val="none"/>
          <w:shd w:val="clear" w:fill="auto"/>
          <w:lang w:val="en-US" w:eastAsia="zh-CN"/>
        </w:rPr>
        <w:t xml:space="preserve"> </w:t>
      </w:r>
      <w:r>
        <w:rPr>
          <w:rFonts w:ascii="宋体" w:hAnsi="宋体" w:eastAsia="宋体" w:cs="宋体"/>
          <w:i w:val="0"/>
          <w:iCs w:val="0"/>
          <w:caps w:val="0"/>
          <w:color w:val="auto"/>
          <w:spacing w:val="0"/>
          <w:sz w:val="21"/>
          <w:szCs w:val="21"/>
          <w:highlight w:val="none"/>
          <w:shd w:val="clear" w:fill="auto"/>
        </w:rPr>
        <w:t>790</w:t>
      </w:r>
      <w:r>
        <w:rPr>
          <w:rFonts w:hint="eastAsia" w:ascii="宋体" w:hAnsi="宋体" w:eastAsia="宋体" w:cs="宋体"/>
          <w:i w:val="0"/>
          <w:iCs w:val="0"/>
          <w:caps w:val="0"/>
          <w:color w:val="auto"/>
          <w:spacing w:val="0"/>
          <w:sz w:val="21"/>
          <w:szCs w:val="21"/>
          <w:highlight w:val="none"/>
          <w:shd w:val="clear" w:fill="auto"/>
          <w:lang w:val="en-US" w:eastAsia="zh-CN"/>
        </w:rPr>
        <w:t xml:space="preserve"> </w:t>
      </w:r>
      <w:r>
        <w:rPr>
          <w:rFonts w:hint="eastAsia" w:ascii="宋体" w:hAnsi="宋体" w:eastAsia="宋体" w:cs="宋体"/>
          <w:i w:val="0"/>
          <w:iCs w:val="0"/>
          <w:caps w:val="0"/>
          <w:color w:val="auto"/>
          <w:spacing w:val="0"/>
          <w:sz w:val="21"/>
          <w:szCs w:val="21"/>
          <w:highlight w:val="none"/>
          <w:shd w:val="clear" w:fill="auto"/>
          <w:lang w:eastAsia="zh-CN"/>
        </w:rPr>
        <w:t>或</w:t>
      </w:r>
      <w:r>
        <w:rPr>
          <w:rFonts w:hint="eastAsia" w:ascii="宋体" w:hAnsi="宋体" w:eastAsia="宋体" w:cs="宋体"/>
          <w:i w:val="0"/>
          <w:iCs w:val="0"/>
          <w:caps w:val="0"/>
          <w:color w:val="auto"/>
          <w:spacing w:val="0"/>
          <w:sz w:val="21"/>
          <w:szCs w:val="21"/>
          <w:highlight w:val="none"/>
          <w:shd w:val="clear" w:fill="auto"/>
          <w:lang w:val="en-US" w:eastAsia="zh-CN"/>
        </w:rPr>
        <w:t>IEC</w:t>
      </w:r>
      <w:r>
        <w:rPr>
          <w:rFonts w:ascii="宋体" w:hAnsi="宋体" w:eastAsia="宋体" w:cs="宋体"/>
          <w:i w:val="0"/>
          <w:iCs w:val="0"/>
          <w:caps w:val="0"/>
          <w:color w:val="auto"/>
          <w:spacing w:val="0"/>
          <w:sz w:val="21"/>
          <w:szCs w:val="21"/>
          <w:highlight w:val="none"/>
          <w:shd w:val="clear" w:fill="auto"/>
        </w:rPr>
        <w:t>标准规定</w:t>
      </w:r>
      <w:r>
        <w:rPr>
          <w:rFonts w:hint="eastAsia" w:ascii="宋体" w:hAnsi="宋体" w:eastAsia="宋体" w:cs="宋体"/>
          <w:i w:val="0"/>
          <w:iCs w:val="0"/>
          <w:caps w:val="0"/>
          <w:color w:val="auto"/>
          <w:spacing w:val="0"/>
          <w:sz w:val="21"/>
          <w:szCs w:val="21"/>
          <w:highlight w:val="none"/>
          <w:shd w:val="clear" w:fill="auto"/>
          <w:lang w:val="en-US" w:eastAsia="zh-CN"/>
        </w:rPr>
        <w:t xml:space="preserve"> </w:t>
      </w:r>
      <w:r>
        <w:rPr>
          <w:rFonts w:ascii="宋体" w:hAnsi="宋体" w:eastAsia="宋体" w:cs="宋体"/>
          <w:i w:val="0"/>
          <w:iCs w:val="0"/>
          <w:caps w:val="0"/>
          <w:color w:val="auto"/>
          <w:spacing w:val="0"/>
          <w:sz w:val="21"/>
          <w:szCs w:val="21"/>
          <w:highlight w:val="none"/>
          <w:shd w:val="clear" w:fill="auto"/>
        </w:rPr>
        <w:t>C类（Class C）</w:t>
      </w:r>
      <w:r>
        <w:rPr>
          <w:rFonts w:hint="eastAsia" w:ascii="宋体" w:hAnsi="宋体" w:eastAsia="宋体" w:cs="宋体"/>
          <w:i w:val="0"/>
          <w:iCs w:val="0"/>
          <w:caps w:val="0"/>
          <w:color w:val="auto"/>
          <w:spacing w:val="0"/>
          <w:sz w:val="21"/>
          <w:szCs w:val="21"/>
          <w:highlight w:val="none"/>
          <w:shd w:val="clear" w:fill="auto"/>
          <w:lang w:val="en-US" w:eastAsia="zh-CN"/>
        </w:rPr>
        <w:t>或以上</w:t>
      </w:r>
      <w:r>
        <w:rPr>
          <w:rFonts w:ascii="宋体" w:hAnsi="宋体" w:eastAsia="宋体" w:cs="宋体"/>
          <w:i w:val="0"/>
          <w:iCs w:val="0"/>
          <w:caps w:val="0"/>
          <w:color w:val="auto"/>
          <w:spacing w:val="0"/>
          <w:sz w:val="21"/>
          <w:szCs w:val="21"/>
          <w:highlight w:val="none"/>
          <w:shd w:val="clear" w:fill="auto"/>
        </w:rPr>
        <w:t>要求</w:t>
      </w:r>
      <w:r>
        <w:rPr>
          <w:rFonts w:hint="default" w:ascii="宋体" w:hAnsi="宋体" w:eastAsia="宋体" w:cs="宋体"/>
          <w:i w:val="0"/>
          <w:iCs w:val="0"/>
          <w:caps w:val="0"/>
          <w:color w:val="auto"/>
          <w:spacing w:val="0"/>
          <w:sz w:val="21"/>
          <w:szCs w:val="21"/>
          <w:highlight w:val="none"/>
          <w:shd w:val="clear" w:fill="auto"/>
          <w:lang w:eastAsia="zh-CN"/>
        </w:rPr>
        <w:t>，</w:t>
      </w:r>
      <w:r>
        <w:rPr>
          <w:rFonts w:ascii="宋体" w:hAnsi="宋体" w:eastAsia="宋体" w:cs="宋体"/>
          <w:i w:val="0"/>
          <w:iCs w:val="0"/>
          <w:caps w:val="0"/>
          <w:color w:val="auto"/>
          <w:spacing w:val="0"/>
          <w:sz w:val="21"/>
          <w:szCs w:val="21"/>
          <w:highlight w:val="none"/>
          <w:shd w:val="clear" w:fill="auto"/>
        </w:rPr>
        <w:t>相关证明文件须在货物运抵现场投入使用前提交，作为项目验收依据。</w:t>
      </w:r>
    </w:p>
    <w:p w14:paraId="5198B605">
      <w:pPr>
        <w:spacing w:line="360" w:lineRule="auto"/>
        <w:ind w:firstLine="210" w:firstLineChars="100"/>
        <w:rPr>
          <w:rFonts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ascii="宋体" w:hAnsi="宋体" w:eastAsia="宋体" w:cs="宋体"/>
          <w:color w:val="auto"/>
          <w:szCs w:val="21"/>
          <w:highlight w:val="none"/>
        </w:rPr>
        <w:t>）</w:t>
      </w:r>
      <w:r>
        <w:rPr>
          <w:rFonts w:hint="eastAsia" w:ascii="宋体" w:hAnsi="宋体" w:eastAsia="宋体" w:cs="宋体"/>
          <w:color w:val="auto"/>
          <w:szCs w:val="21"/>
          <w:highlight w:val="none"/>
        </w:rPr>
        <w:t>所供组电池组件需具备防盐雾腐蚀功能，不因盐雾腐蚀出现绝缘降低、发电量减少情况。</w:t>
      </w:r>
    </w:p>
    <w:p w14:paraId="69B0BCC6">
      <w:pPr>
        <w:spacing w:line="360" w:lineRule="auto"/>
        <w:ind w:firstLine="210" w:firstLineChars="100"/>
        <w:rPr>
          <w:rFonts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ascii="宋体" w:hAnsi="宋体" w:eastAsia="宋体" w:cs="宋体"/>
          <w:color w:val="auto"/>
          <w:szCs w:val="21"/>
          <w:highlight w:val="none"/>
        </w:rPr>
        <w:t>）</w:t>
      </w:r>
      <w:r>
        <w:rPr>
          <w:rFonts w:hint="eastAsia" w:ascii="宋体" w:hAnsi="宋体" w:eastAsia="宋体" w:cs="宋体"/>
          <w:color w:val="auto"/>
          <w:szCs w:val="21"/>
          <w:highlight w:val="none"/>
        </w:rPr>
        <w:t>电池组件需具备一定的抗潮湿能力，组件在雨、雾、露水的湿气的环境下，组件能正常工作，绝缘性能满足要求，不允许出现漏电现象，湿漏电流试验需满足IEC61215相关条款规定。</w:t>
      </w:r>
    </w:p>
    <w:p w14:paraId="61D44A21">
      <w:pPr>
        <w:spacing w:line="360" w:lineRule="auto"/>
        <w:ind w:firstLine="210" w:firstLineChars="100"/>
        <w:rPr>
          <w:rFonts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ascii="宋体" w:hAnsi="宋体" w:eastAsia="宋体" w:cs="宋体"/>
          <w:color w:val="auto"/>
          <w:szCs w:val="21"/>
          <w:highlight w:val="none"/>
        </w:rPr>
        <w:t>）</w:t>
      </w:r>
      <w:r>
        <w:rPr>
          <w:rFonts w:hint="eastAsia" w:ascii="宋体" w:hAnsi="宋体" w:eastAsia="宋体" w:cs="宋体"/>
          <w:color w:val="auto"/>
          <w:szCs w:val="21"/>
          <w:highlight w:val="none"/>
        </w:rPr>
        <w:t>要求同一光伏发电单元内光伏组件的电池片需为同一批次原料，表面颜色均匀一致，无机械损伤，焊点无氧化斑，电池组件的I-V曲线基本相同。</w:t>
      </w:r>
    </w:p>
    <w:p w14:paraId="538F91FA">
      <w:pPr>
        <w:spacing w:line="360" w:lineRule="auto"/>
        <w:ind w:firstLine="210" w:firstLineChars="100"/>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ascii="宋体" w:hAnsi="宋体" w:eastAsia="宋体" w:cs="宋体"/>
          <w:color w:val="auto"/>
          <w:szCs w:val="21"/>
          <w:highlight w:val="none"/>
        </w:rPr>
        <w:t>）</w:t>
      </w:r>
      <w:r>
        <w:rPr>
          <w:rFonts w:hint="eastAsia" w:ascii="宋体" w:hAnsi="宋体" w:eastAsia="宋体" w:cs="宋体"/>
          <w:color w:val="auto"/>
          <w:szCs w:val="21"/>
          <w:highlight w:val="none"/>
        </w:rPr>
        <w:t>光伏组件进场后，投标人应会同甲方或其委托的项目管理单位对每批次产品按不低于3%的比例进行抽样EL检测并形成抽检记录，检测合格后方可使用；对检测不合格的组件，投标人应免费予以更换。项目完成并验收时，须委托第三方机构对已安装组件的隐裂情况进行检测，若发现存在不合格组件，投标人须及时安排无偿更换。</w:t>
      </w:r>
    </w:p>
    <w:p w14:paraId="08D900FF">
      <w:pPr>
        <w:spacing w:line="360" w:lineRule="auto"/>
        <w:ind w:firstLine="211" w:firstLineChars="1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、光伏优化器</w:t>
      </w:r>
    </w:p>
    <w:p w14:paraId="076D4485">
      <w:pPr>
        <w:widowControl/>
        <w:spacing w:line="24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光伏优化器和组件配套使用，</w:t>
      </w:r>
      <w:r>
        <w:rPr>
          <w:rFonts w:hint="eastAsia" w:ascii="宋体" w:hAnsi="宋体" w:eastAsia="宋体" w:cs="宋体"/>
          <w:b w:val="0"/>
          <w:bCs w:val="0"/>
          <w:i w:val="0"/>
          <w:iCs w:val="0"/>
          <w:caps w:val="0"/>
          <w:color w:val="auto"/>
          <w:spacing w:val="0"/>
          <w:kern w:val="2"/>
          <w:sz w:val="21"/>
          <w:szCs w:val="21"/>
          <w:highlight w:val="none"/>
          <w:shd w:val="clear"/>
          <w:lang w:val="en-US" w:eastAsia="zh-CN" w:bidi="ar"/>
        </w:rPr>
        <w:t>产品应符合 NB/T 42143-2018《光伏组件功率优化器技术规范》的要求，</w:t>
      </w:r>
      <w:r>
        <w:rPr>
          <w:rFonts w:hint="eastAsia" w:ascii="宋体" w:hAnsi="宋体" w:eastAsia="宋体" w:cs="宋体"/>
          <w:color w:val="auto"/>
          <w:szCs w:val="21"/>
          <w:highlight w:val="none"/>
        </w:rPr>
        <w:t>具体功能及技术要求如下：</w:t>
      </w:r>
    </w:p>
    <w:p w14:paraId="092E045D">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提升效率：组件级MPPT追踪，提升系统发电量；</w:t>
      </w:r>
    </w:p>
    <w:p w14:paraId="48A8DBA5">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安全关断：过压、过流、过温时自动保护，支持本地和远程关断，消除高压危险；</w:t>
      </w:r>
    </w:p>
    <w:p w14:paraId="45B9705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精准定位：实时监控每块组件各项运行数据，及时发现问题组件；</w:t>
      </w:r>
    </w:p>
    <w:p w14:paraId="12D9B199">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便捷安装：安装、接线便捷，有利于降低直流电缆使用量；</w:t>
      </w:r>
    </w:p>
    <w:p w14:paraId="5A327EE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超长寿命：25年使用寿命设计，与光伏组件匹配；</w:t>
      </w:r>
    </w:p>
    <w:p w14:paraId="588EBEB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最大转换效率：≥99.5%；</w:t>
      </w:r>
    </w:p>
    <w:p w14:paraId="22514E1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输入参数：支持组件数量：2个，最大输入功率≥650W（单个）；</w:t>
      </w:r>
    </w:p>
    <w:p w14:paraId="3397BF39">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输出参数：最大输出功率≥1300W，最大输出电流≥20A；</w:t>
      </w:r>
    </w:p>
    <w:p w14:paraId="451DB3E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最大系统电压</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1500 VDC；</w:t>
      </w:r>
    </w:p>
    <w:p w14:paraId="7607C03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工作温度</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-40～+70℃；</w:t>
      </w:r>
    </w:p>
    <w:p w14:paraId="0AB529BD">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相对湿度</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0～100%；</w:t>
      </w:r>
    </w:p>
    <w:p w14:paraId="18DCB47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防护等级</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IP68；</w:t>
      </w:r>
    </w:p>
    <w:p w14:paraId="00DD0D8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具备远程组件级关断功能，且关断时间＜30s；</w:t>
      </w:r>
    </w:p>
    <w:p w14:paraId="014F9F8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单个优化器出现故障异常时，自动切除该优化器及被优化组件，不影响其他组件功率输出和系统的正常工作；</w:t>
      </w:r>
    </w:p>
    <w:p w14:paraId="3D07905C">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设备支持自动发现、自动协商、自动配置，上电即可快速组建分布式通信网络；</w:t>
      </w:r>
    </w:p>
    <w:p w14:paraId="012537C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可实时感知设备状态，对离线、故障或移除节点自动退出网络，自动更新拓扑；</w:t>
      </w:r>
    </w:p>
    <w:p w14:paraId="625376BD">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链路中断或节点故障时，系统自动路由重构、快速恢复通信，具备自主自愈能力；</w:t>
      </w:r>
    </w:p>
    <w:p w14:paraId="7AFA035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一拖二系列产品具备两路独立监控；</w:t>
      </w:r>
    </w:p>
    <w:p w14:paraId="118F67C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优化器通讯方式：2.4G、HPLC或PLC。</w:t>
      </w:r>
    </w:p>
    <w:p w14:paraId="3128E0DA">
      <w:pPr>
        <w:keepNext/>
        <w:keepLines/>
        <w:spacing w:line="360" w:lineRule="auto"/>
        <w:ind w:firstLine="422" w:firstLineChars="200"/>
        <w:outlineLvl w:val="3"/>
        <w:rPr>
          <w:rFonts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、逆变器</w:t>
      </w:r>
    </w:p>
    <w:p w14:paraId="429EACF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逆变器选型时除应考虑具有过/欠电压、过/欠频率、防孤岛效应、短路保护、逆向功率保护等保护功能外，同时应考虑其电压（电流）总谐波畸变率满足国际规定要求，减少对电网的干扰。整个光伏系统采用若干组逆变器每个逆变器具有自动最大功率跟踪功能，并能够随着光伏组件接收的功率，以最经济的方式自动识别并投入运行。</w:t>
      </w:r>
    </w:p>
    <w:p w14:paraId="306CA59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（2）逆变器必须是经国家认监委批准的认证机构认证且达标的产品（须具备直流拉弧检测功能），并提供不低于5年的质保。</w:t>
      </w:r>
    </w:p>
    <w:p w14:paraId="543595DC">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（3）最大逆变效率≥98.5%，中国效率≥98%，交流输出400V机型直流输入电压范围范围200~1100V或更宽，交流输出800V机型直流输入电压范围500~1500V或更宽。</w:t>
      </w:r>
    </w:p>
    <w:p w14:paraId="3671A5AF">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（4）逆变器输出功率大于其额定功率的50%时，功率因数应不小于0.98，输出有功功率在20%-50%之间时，功率因数不小于0.95。同时逆变器功率因素必须满足项目所在地电网要求。</w:t>
      </w:r>
    </w:p>
    <w:p w14:paraId="1FB00DC4">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10%额定功率及以上下电流总谐波畸变率≤3%；交流输出三相电压的允许偏差不超过额定电压的±7%；直流分量不超过其交流额定值的0.5%；具有电网过/欠压保护、过/欠频保护、防孤岛保护、恢复并网保护、过流保护、极性反接保护、过载保护功能、Anti-PID功能，具备远程操作功能。</w:t>
      </w:r>
    </w:p>
    <w:p w14:paraId="18438BA9">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（6）逆变器要求能够自动化运行，可维护性强。采用近端线连或者 app 通讯方式，可实时了解各项运行数据、实时故障数据、历史故障数据、总发电量等数据，逆变器镶有设备的铭牌，需提供标准/开放的协议和接口。</w:t>
      </w:r>
    </w:p>
    <w:p w14:paraId="3FC39F5F">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（7）逆变器≥110kW需安装高温排风装置，在环境温度高于45℃时自动启动排风装置，排风口应具有防尘措施。</w:t>
      </w:r>
    </w:p>
    <w:p w14:paraId="5F2E1B73">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（8）组串式逆变器箱体须具备防盐雾腐蚀措施，具备防盐雾腐蚀功能，确保箱体内部25年内无任何腐蚀现象。</w:t>
      </w:r>
    </w:p>
    <w:p w14:paraId="70C3AC2C">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（9）要求配置每路组串电压电流检测功能。</w:t>
      </w:r>
    </w:p>
    <w:p w14:paraId="34C72595">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（10）具有直流拉弧检测功能。</w:t>
      </w:r>
    </w:p>
    <w:p w14:paraId="51AFDE20">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（11）逆变器必须满足系统抗PID功能和修复PID功能。</w:t>
      </w:r>
    </w:p>
    <w:p w14:paraId="4774A120">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（12）逆变器内置交直流防雷和直流开关，交直流浪涌保护II 级以上，具备良好的电气隔离性，整机符合国家相关标准。</w:t>
      </w:r>
    </w:p>
    <w:p w14:paraId="040F2104">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（13）逆变器直流输入支路必须配置光伏专用熔断器，确保当直流侧发生短路或热斑效应时，可快速隔离故障点。</w:t>
      </w:r>
    </w:p>
    <w:p w14:paraId="4741328F">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（14）支持PLC通讯，项目通电并网后投标人必须负责为招标人技术员注册APP监控软件，并将光伏电站现场实时监测数据联通传送至招标人指定的数据控制中心PC端。</w:t>
      </w:r>
    </w:p>
    <w:p w14:paraId="0238EE3C">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（15）户外安装时，要求具备遮阳挡雨措施，挡雨板材质应采用304及以上不锈钢材质。</w:t>
      </w:r>
    </w:p>
    <w:p w14:paraId="30351997">
      <w:pPr>
        <w:keepNext/>
        <w:keepLines/>
        <w:numPr>
          <w:ilvl w:val="-1"/>
          <w:numId w:val="0"/>
        </w:numPr>
        <w:spacing w:line="360" w:lineRule="auto"/>
        <w:ind w:firstLine="422" w:firstLineChars="200"/>
        <w:outlineLvl w:val="3"/>
        <w:rPr>
          <w:rFonts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eastAsia="zh-CN"/>
        </w:rPr>
        <w:t>光伏电源</w:t>
      </w:r>
      <w:r>
        <w:rPr>
          <w:rFonts w:hint="eastAsia" w:ascii="宋体" w:hAnsi="宋体" w:eastAsia="宋体" w:cs="宋体"/>
          <w:b/>
          <w:color w:val="auto"/>
          <w:szCs w:val="21"/>
          <w:highlight w:val="none"/>
        </w:rPr>
        <w:t>箱</w:t>
      </w:r>
    </w:p>
    <w:p w14:paraId="00F9905B">
      <w:pPr>
        <w:numPr>
          <w:ilvl w:val="2"/>
          <w:numId w:val="0"/>
        </w:numPr>
        <w:tabs>
          <w:tab w:val="left" w:pos="735"/>
          <w:tab w:val="left" w:pos="2160"/>
        </w:tabs>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（1）配电箱必须是成套配电箱，</w:t>
      </w:r>
      <w:r>
        <w:rPr>
          <w:rFonts w:hint="eastAsia" w:ascii="宋体" w:hAnsi="宋体" w:eastAsia="宋体" w:cs="宋体"/>
          <w:b/>
          <w:bCs/>
          <w:color w:val="auto"/>
          <w:szCs w:val="21"/>
          <w:highlight w:val="none"/>
          <w:u w:val="single"/>
        </w:rPr>
        <w:t>成套配电箱内开关要提供3C认证和出厂检验报告，</w:t>
      </w:r>
      <w:r>
        <w:rPr>
          <w:rFonts w:hint="eastAsia" w:ascii="宋体" w:hAnsi="宋体" w:eastAsia="宋体" w:cs="宋体"/>
          <w:color w:val="auto"/>
          <w:szCs w:val="21"/>
          <w:highlight w:val="none"/>
        </w:rPr>
        <w:t>箱内设备要配备符合安全需求的断路器、浪涌保护器。</w:t>
      </w:r>
      <w:r>
        <w:rPr>
          <w:rFonts w:hint="eastAsia" w:ascii="宋体" w:hAnsi="宋体" w:eastAsia="宋体" w:cs="宋体"/>
          <w:i w:val="0"/>
          <w:iCs w:val="0"/>
          <w:caps w:val="0"/>
          <w:color w:val="auto"/>
          <w:spacing w:val="0"/>
          <w:sz w:val="21"/>
          <w:szCs w:val="21"/>
          <w:highlight w:val="none"/>
          <w:shd w:val="clear" w:fill="auto"/>
        </w:rPr>
        <w:t>相关证明文件须在货物运抵现场投入使用前提交</w:t>
      </w:r>
      <w:r>
        <w:rPr>
          <w:rFonts w:hint="eastAsia" w:ascii="宋体" w:hAnsi="宋体" w:eastAsia="宋体" w:cs="宋体"/>
          <w:i w:val="0"/>
          <w:iCs w:val="0"/>
          <w:caps w:val="0"/>
          <w:color w:val="auto"/>
          <w:spacing w:val="0"/>
          <w:sz w:val="21"/>
          <w:szCs w:val="21"/>
          <w:highlight w:val="none"/>
          <w:shd w:val="clear" w:fill="auto"/>
          <w:lang w:eastAsia="zh-CN"/>
        </w:rPr>
        <w:t>。</w:t>
      </w:r>
    </w:p>
    <w:p w14:paraId="0E3BA5D2">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（2）采用的内置漏电保护和浪涌保护，采用交直II级防雷保护，整体符合国家相关标准。</w:t>
      </w:r>
    </w:p>
    <w:p w14:paraId="419F8EF4">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（3）箱体的防护等级不低于IP65，适合户外安装，满足防水、防尘、防紫外线、防盐雾、耐腐蚀等，安装位置干燥、通风良好。</w:t>
      </w:r>
    </w:p>
    <w:p w14:paraId="105E8199">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（4）箱体需采用304不锈钢，钢板的厚度≥1.5mm，经过静电喷塑处理，内部全部的金属结构都需经过防腐处理，内外表面平整、光洁，无锈蚀、涂层脱落和磕碰损伤现象。</w:t>
      </w:r>
    </w:p>
    <w:p w14:paraId="132E659E">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（5）箱体内部结构具有足够的机械强度，保证元器件安装后及操作时无摇晃、不变形；元器 件安装走线应整齐、可靠、合理布置；电器间绝缘应符合国家有关标准，进出线必须通过接线端子。</w:t>
      </w:r>
    </w:p>
    <w:p w14:paraId="5C697655">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（6）箱体内应该针对接入的设备及线路，拥有明显的电气开断元件，确保检修时能够断开</w:t>
      </w:r>
      <w:r>
        <w:rPr>
          <w:rFonts w:hint="eastAsia" w:ascii="宋体" w:hAnsi="宋体" w:eastAsia="宋体" w:cs="宋体"/>
          <w:color w:val="auto"/>
          <w:szCs w:val="21"/>
          <w:highlight w:val="none"/>
          <w:lang w:eastAsia="zh-CN"/>
        </w:rPr>
        <w:t>电源</w:t>
      </w:r>
      <w:r>
        <w:rPr>
          <w:rFonts w:hint="eastAsia" w:ascii="宋体" w:hAnsi="宋体" w:eastAsia="宋体" w:cs="宋体"/>
          <w:color w:val="auto"/>
          <w:szCs w:val="21"/>
          <w:highlight w:val="none"/>
        </w:rPr>
        <w:t>，每个</w:t>
      </w:r>
      <w:r>
        <w:rPr>
          <w:rFonts w:hint="eastAsia" w:ascii="宋体" w:hAnsi="宋体" w:eastAsia="宋体" w:cs="宋体"/>
          <w:color w:val="auto"/>
          <w:szCs w:val="21"/>
          <w:highlight w:val="none"/>
          <w:lang w:eastAsia="zh-CN"/>
        </w:rPr>
        <w:t>电源</w:t>
      </w:r>
      <w:r>
        <w:rPr>
          <w:rFonts w:hint="eastAsia" w:ascii="宋体" w:hAnsi="宋体" w:eastAsia="宋体" w:cs="宋体"/>
          <w:color w:val="auto"/>
          <w:szCs w:val="21"/>
          <w:highlight w:val="none"/>
        </w:rPr>
        <w:t>箱必须给出一次及二次接线图。</w:t>
      </w:r>
    </w:p>
    <w:p w14:paraId="26A2FF73">
      <w:pPr>
        <w:numPr>
          <w:ilvl w:val="-1"/>
          <w:numId w:val="0"/>
        </w:numPr>
        <w:tabs>
          <w:tab w:val="left" w:pos="735"/>
          <w:tab w:val="left" w:pos="2160"/>
        </w:tabs>
        <w:adjustRightInd w:val="0"/>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并网柜</w:t>
      </w:r>
    </w:p>
    <w:p w14:paraId="3ECA5235">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（1）中压10千伏项目中配置的配电箱应为自动化成套配电箱。</w:t>
      </w:r>
    </w:p>
    <w:p w14:paraId="54FF2F85">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
          <w:bCs/>
          <w:color w:val="auto"/>
          <w:szCs w:val="21"/>
          <w:highlight w:val="none"/>
          <w:u w:val="single"/>
        </w:rPr>
        <w:t>并网柜与电气元件均应具备国内3C认证，</w:t>
      </w:r>
      <w:r>
        <w:rPr>
          <w:rFonts w:ascii="宋体" w:hAnsi="宋体" w:eastAsia="宋体" w:cs="宋体"/>
          <w:i w:val="0"/>
          <w:iCs w:val="0"/>
          <w:caps w:val="0"/>
          <w:color w:val="auto"/>
          <w:spacing w:val="0"/>
          <w:sz w:val="21"/>
          <w:szCs w:val="21"/>
          <w:highlight w:val="none"/>
          <w:shd w:val="clear"/>
        </w:rPr>
        <w:t>相关证明文件须在货物运抵现场投入使用前提交，作为项目验收依据。</w:t>
      </w:r>
      <w:r>
        <w:rPr>
          <w:rFonts w:hint="eastAsia" w:ascii="宋体" w:hAnsi="宋体" w:eastAsia="宋体" w:cs="宋体"/>
          <w:color w:val="auto"/>
          <w:szCs w:val="21"/>
          <w:highlight w:val="none"/>
        </w:rPr>
        <w:t>。</w:t>
      </w:r>
    </w:p>
    <w:p w14:paraId="54E2A359">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并网柜具备被动孤岛检测、有压自动重合闸、失压跳闸、过欠压保护、过电流保护、防雷保护、短路保护、高低频保护、防孤岛保护等基本功能，若当地供电部门要求，还需配置逆功率保护；同时具备智能通讯功能，可以和后台系统通讯组网，远程操作断路器分合闸，远程查看并网柜各种电参量及开关位置信息。</w:t>
      </w:r>
    </w:p>
    <w:p w14:paraId="55F7B968">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（4）光伏并网柜可以加装计量仓，计量表具备双向计量功能，计量表有功电能精度不低于0.5S 级，电压互感器、电流互感器不低于0.2S 级。计量电表数据均接入到监控系统后台。</w:t>
      </w:r>
    </w:p>
    <w:p w14:paraId="1A8C9497">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（5）柜体的防护等级不低于IP41，配电房内安装，柜型按照原有配电房开关柜定做，整体符合国家相关标准。</w:t>
      </w:r>
    </w:p>
    <w:p w14:paraId="782B6BF4">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（6）柜体需采用冷轧钢板制作，钢板的厚度≥1.5mm，经过静电喷塑处理，内部全部的金属结构都需经过防腐处理，内外表面平整、光洁，无锈蚀、涂层脱落和磕碰损伤现象。</w:t>
      </w:r>
    </w:p>
    <w:p w14:paraId="10217E2B">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（7）630A及以上低压断路器采用固定式框架式断路器，要求配置具有三段保护的数显智能模块，630A以下采用塑壳式断路器。</w:t>
      </w:r>
    </w:p>
    <w:p w14:paraId="00E7CB84">
      <w:p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（8）</w:t>
      </w:r>
      <w:r>
        <w:rPr>
          <w:rFonts w:hint="eastAsia" w:ascii="宋体" w:hAnsi="宋体" w:eastAsia="宋体" w:cs="宋体"/>
          <w:color w:val="auto"/>
          <w:szCs w:val="21"/>
          <w:highlight w:val="none"/>
        </w:rPr>
        <w:t>柜体内应该针对接入的设备及线路，拥有明显的电气开断元件，能够确保检修时能够逐级断开系统，每个并网柜在安装时必须给出一次及二次接线图。</w:t>
      </w:r>
    </w:p>
    <w:p w14:paraId="3E54AB2E">
      <w:p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（9）</w:t>
      </w:r>
      <w:r>
        <w:rPr>
          <w:rFonts w:hint="eastAsia" w:ascii="宋体" w:hAnsi="宋体" w:eastAsia="宋体" w:cs="宋体"/>
          <w:color w:val="auto"/>
          <w:szCs w:val="21"/>
          <w:highlight w:val="none"/>
        </w:rPr>
        <w:t>所有电气设备安装完成后，应进行电气交接试验，并形成记录。</w:t>
      </w:r>
    </w:p>
    <w:p w14:paraId="7035E667">
      <w:pPr>
        <w:keepNext/>
        <w:keepLines/>
        <w:numPr>
          <w:ilvl w:val="-1"/>
          <w:numId w:val="0"/>
        </w:numPr>
        <w:spacing w:line="360" w:lineRule="auto"/>
        <w:ind w:firstLine="422" w:firstLineChars="200"/>
        <w:outlineLvl w:val="3"/>
        <w:rPr>
          <w:rFonts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rPr>
        <w:t>光伏支架</w:t>
      </w:r>
    </w:p>
    <w:p w14:paraId="0283C9FC">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支架（含阵列式）的强度应满足在自重、风荷载和地震荷载共同作用下的使用要求，设计时光伏支架基础设计使用年限50年，光伏支架结构设计使用年限25年，表面防腐应满足10年内可拆卸再利用和25年内安全使用的要求。</w:t>
      </w:r>
    </w:p>
    <w:p w14:paraId="6664C099">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（2）支架设计（含阵列式）必须满足东莞地区的风压等级要求（即0.65KN/m²风压，风速在32.27米/秒以上的热带气旋）的抗风要求。</w:t>
      </w:r>
    </w:p>
    <w:p w14:paraId="348E5B16">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（3）本项目支架形式采用固定式钢支架的，需选用Q235B及以上钢材，钢材防腐可采用热浸锌和镀镁铝锌两种方式。若采用热浸锌防腐，镀锌层厚度应满足《光伏支架结构设计规程》（NB/T 10115-2018）、《金属覆盖层 钢铁制件热浸镀锌层技术要求及试验方法》（GB/T13912-2020）的相关要求。对于3＜钢构件厚度≤6mm 时；镀镁铝锌不低于275mg/m</w:t>
      </w:r>
      <w:r>
        <w:rPr>
          <w:rFonts w:hint="eastAsia" w:ascii="宋体" w:hAnsi="宋体" w:eastAsia="宋体" w:cs="宋体"/>
          <w:color w:val="auto"/>
          <w:szCs w:val="21"/>
          <w:highlight w:val="none"/>
          <w:vertAlign w:val="superscript"/>
        </w:rPr>
        <w:t>2</w:t>
      </w:r>
      <w:r>
        <w:rPr>
          <w:rFonts w:hint="eastAsia" w:ascii="宋体" w:hAnsi="宋体" w:eastAsia="宋体" w:cs="宋体"/>
          <w:color w:val="auto"/>
          <w:szCs w:val="21"/>
          <w:highlight w:val="none"/>
        </w:rPr>
        <w:t>。</w:t>
      </w:r>
    </w:p>
    <w:p w14:paraId="44903D99">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）光伏支架施工图设计应根据</w:t>
      </w:r>
      <w:r>
        <w:rPr>
          <w:rFonts w:hint="eastAsia" w:ascii="宋体" w:hAnsi="宋体" w:eastAsia="宋体" w:cs="宋体"/>
          <w:color w:val="auto"/>
          <w:szCs w:val="21"/>
          <w:highlight w:val="none"/>
          <w:lang w:bidi="en-US"/>
        </w:rPr>
        <w:t>建构筑物承载力检测报告</w:t>
      </w:r>
      <w:r>
        <w:rPr>
          <w:rFonts w:hint="eastAsia" w:ascii="宋体" w:hAnsi="宋体" w:eastAsia="宋体" w:cs="宋体"/>
          <w:color w:val="auto"/>
          <w:szCs w:val="21"/>
          <w:highlight w:val="none"/>
        </w:rPr>
        <w:t>进行深化，并在过程中征得招标人同意，钢材选用及防腐要求同混凝土屋面支架要求。</w:t>
      </w:r>
    </w:p>
    <w:p w14:paraId="47C9D738">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本项目光伏支架布置必须考虑光伏电站的建设和后期运行不能影响厂区的正常运作，厂区地下管网错综复杂，支架基础要注意避开地下管网，基础桩基施工过程注意对厂区生产构筑物、管道、电缆的安全监测，如因施工原因造成安全隐患，投标人需无条件修复。</w:t>
      </w:r>
    </w:p>
    <w:p w14:paraId="08988971">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）光伏支架根据</w:t>
      </w:r>
      <w:r>
        <w:rPr>
          <w:rFonts w:hint="eastAsia" w:ascii="宋体" w:hAnsi="宋体" w:eastAsia="宋体" w:cs="宋体"/>
          <w:color w:val="auto"/>
          <w:szCs w:val="21"/>
          <w:highlight w:val="none"/>
          <w:lang w:bidi="en-US"/>
        </w:rPr>
        <w:t>建构筑物承载力检测报告</w:t>
      </w:r>
      <w:r>
        <w:rPr>
          <w:rFonts w:hint="eastAsia" w:ascii="宋体" w:hAnsi="宋体" w:eastAsia="宋体" w:cs="宋体"/>
          <w:color w:val="auto"/>
          <w:szCs w:val="21"/>
          <w:highlight w:val="none"/>
        </w:rPr>
        <w:t>，如确因屋面承载力不满足抗风荷载要求，光伏支架可采用膨胀螺栓或化学螺栓锚固，但投标人需及时修复锚固过程中破损的屋面防水层，并保障屋面的防水性能不低于本项目工程实施前。若因光伏项目造成屋面漏水的，由投标人负责处理修复完好。</w:t>
      </w:r>
    </w:p>
    <w:p w14:paraId="22C38644">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）本项目光伏支架布置需为后期光伏板机器人自动清洗、厂区维护运营预留操作路径。</w:t>
      </w:r>
    </w:p>
    <w:p w14:paraId="4C9D9E75">
      <w:pPr>
        <w:numPr>
          <w:ilvl w:val="255"/>
          <w:numId w:val="0"/>
        </w:numPr>
        <w:tabs>
          <w:tab w:val="center" w:pos="3125"/>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）设计时，整个支架结构的强度、挠度、稳定性应符合国家结构设计相关规范的安全性要求；同时，支架结构的的节点连接也应满足国家结构设计规范的结构安全性的要求。</w:t>
      </w:r>
      <w:r>
        <w:rPr>
          <w:rFonts w:hint="eastAsia" w:ascii="宋体" w:hAnsi="宋体" w:eastAsia="宋体" w:cs="宋体"/>
          <w:b/>
          <w:bCs/>
          <w:color w:val="auto"/>
          <w:szCs w:val="21"/>
          <w:highlight w:val="none"/>
          <w:u w:val="single"/>
        </w:rPr>
        <w:t>若在现有变压器容量的基础上，若因单块光伏板容量增大，导致组件排布数量减少的，中标人需采用与运维通道相同材质的板材，把空缺部分补平，达到</w:t>
      </w:r>
      <w:r>
        <w:rPr>
          <w:rFonts w:hint="eastAsia" w:ascii="宋体" w:hAnsi="宋体" w:eastAsia="宋体" w:cs="宋体"/>
          <w:b/>
          <w:bCs/>
          <w:color w:val="auto"/>
          <w:szCs w:val="21"/>
          <w:highlight w:val="none"/>
          <w:u w:val="single"/>
          <w:lang w:val="en-US" w:eastAsia="zh-CN"/>
        </w:rPr>
        <w:t>招标人</w:t>
      </w:r>
      <w:r>
        <w:rPr>
          <w:rFonts w:hint="eastAsia" w:ascii="宋体" w:hAnsi="宋体" w:eastAsia="宋体" w:cs="宋体"/>
          <w:b/>
          <w:bCs/>
          <w:color w:val="auto"/>
          <w:szCs w:val="21"/>
          <w:highlight w:val="none"/>
          <w:u w:val="single"/>
        </w:rPr>
        <w:t>或厂区的美观要求，费用已包含在合同不含税固定每瓦单价内，招标人无需另行支付费用</w:t>
      </w:r>
      <w:r>
        <w:rPr>
          <w:rFonts w:hint="eastAsia" w:ascii="宋体" w:hAnsi="宋体" w:eastAsia="宋体" w:cs="宋体"/>
          <w:color w:val="auto"/>
          <w:szCs w:val="21"/>
          <w:highlight w:val="none"/>
        </w:rPr>
        <w:t>。</w:t>
      </w:r>
    </w:p>
    <w:p w14:paraId="17DCABFF">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）组件安装螺栓选用不锈钢304及以上材质，表面需钝化，安装前须点胶或采用防松动螺母。</w:t>
      </w:r>
    </w:p>
    <w:p w14:paraId="623EC8DB">
      <w:pPr>
        <w:numPr>
          <w:ilvl w:val="2"/>
          <w:numId w:val="0"/>
        </w:numPr>
        <w:tabs>
          <w:tab w:val="left" w:pos="735"/>
          <w:tab w:val="left" w:pos="2160"/>
        </w:tabs>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）柱脚板安装完成后，中标人应会同甲方或其委托的项目管理单位，按不少于2%的比例进行抗拉拔抽检，并形成抽检记录。要求符合《GB 50797-2012光伏电站设计标准》和《JGJ 145-2013混凝土结构后锚固技术规程》相关内容，抗拉拔试验未完成且验收合格前，严禁进行下道工序施工。</w:t>
      </w:r>
    </w:p>
    <w:p w14:paraId="6DED651C">
      <w:pPr>
        <w:keepNext/>
        <w:keepLines/>
        <w:numPr>
          <w:ilvl w:val="-1"/>
          <w:numId w:val="0"/>
        </w:numPr>
        <w:spacing w:line="360" w:lineRule="auto"/>
        <w:ind w:firstLine="422" w:firstLineChars="200"/>
        <w:outlineLvl w:val="3"/>
        <w:rPr>
          <w:rFonts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rPr>
        <w:t>电气安装要求</w:t>
      </w:r>
    </w:p>
    <w:p w14:paraId="3FF5F171">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（1）光伏电站必须在逆变器输出汇总点设置易于操作、可闭锁、且具有明显断开点的并网总断路器，以保证电力设备检修维护人员的人身安全。</w:t>
      </w:r>
    </w:p>
    <w:p w14:paraId="2F8CF3C3">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（2）光伏电站和并网点设备的防雷和接地应符合当地供电部门规定要求，光伏电站接地网接地电阻合格，接地电阻应按规定周期进行测试。</w:t>
      </w:r>
    </w:p>
    <w:p w14:paraId="1E84DB0F">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光伏电站或电网异常、故障时为保护设备和人身安全，应具有相应继电保护功能，保护电网和光伏设备的安全运行，确保维护人员和公众人身安全。光伏电站的保护应符合当地供电部门规定的可靠性、选择性、灵活性和速动性的要求。</w:t>
      </w:r>
    </w:p>
    <w:p w14:paraId="5B44BD11">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（4）光伏电站的过流与短路保护、防孤岛能力、逆变器保护、恢复并网等应满足当地供电部门规定的要求。</w:t>
      </w:r>
    </w:p>
    <w:p w14:paraId="59D2D70C">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（5）光伏电站的二次用直流系统的设计配置及蓄电池的放电容量应符合相关规程的技术要求。</w:t>
      </w:r>
    </w:p>
    <w:p w14:paraId="31932822">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（6）光伏电站的电能质量满足规程要求，电压谐波和波形畸变、电压偏差、电压波动和闪变、电压不平衡度、直流分量在规定的范围内，保证功率因素在0.98以上。</w:t>
      </w:r>
    </w:p>
    <w:p w14:paraId="66D03243">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（7）光伏电站的安全自动装置应按国家规定配置齐全。</w:t>
      </w:r>
    </w:p>
    <w:p w14:paraId="148AF73E">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（8）直流部分和交流低压部分的总线路损耗应控制在2%以内。</w:t>
      </w:r>
    </w:p>
    <w:p w14:paraId="6405F9CE">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（9）配线线槽在建筑物上的布置应美观，与整个建筑协调一致，布线应隐蔽，从底部不能明显的看到线缆。各方阵的线缆便于连接，并有足够的强度，线缆连接附件应防水、抗老化。</w:t>
      </w:r>
    </w:p>
    <w:p w14:paraId="2FAB9EB7">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（10）直流侧电缆要以减少线损并防止外界干扰的原则选型，选用双绝缘防紫外线阻燃铜芯电缆，电缆性能符合《橡胶和塑料软管 实验室光源暴露试验法 颜色、外观和其他物理性能变化的测定》（GB/T18950-2023）性能测试的要求；交流侧需要考虑敷设的形式和安全来选择，应采用铜芯阻燃5芯电缆，若涉及埋管电缆须采用铠装。</w:t>
      </w:r>
    </w:p>
    <w:p w14:paraId="3B434999">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（11）电缆要采用铜芯电缆，其中直流电缆采用中国质量中心认证的光伏专用电缆，能满足室外30年的使用年限。光伏线缆 MC4 插头制作应严格按规范进行，各类线缆不能裸露。</w:t>
      </w:r>
    </w:p>
    <w:p w14:paraId="615C3F76">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（12）所有线缆敷设完成后，应进行直流电阻、绝缘电阻、直流耐压/交流耐压试验，并形成记录。</w:t>
      </w:r>
    </w:p>
    <w:p w14:paraId="2413EDBC">
      <w:pPr>
        <w:spacing w:line="360" w:lineRule="auto"/>
        <w:ind w:firstLine="422" w:firstLineChars="200"/>
        <w:outlineLvl w:val="2"/>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8</w:t>
      </w:r>
      <w:r>
        <w:rPr>
          <w:rFonts w:hint="eastAsia" w:ascii="宋体" w:hAnsi="宋体" w:eastAsia="宋体" w:cs="宋体"/>
          <w:b/>
          <w:bCs/>
          <w:color w:val="auto"/>
          <w:szCs w:val="21"/>
          <w:highlight w:val="none"/>
        </w:rPr>
        <w:t>、防雷系统技术要求</w:t>
      </w:r>
    </w:p>
    <w:p w14:paraId="5B33F024">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（1）光伏系统的防雷设计，应满足雷电防护分区、分级确定的防雷等级要求。各连接点的连接 电阻应小于4Ω。接地网的制作应符合国家相关规范要求。屋顶必须有等电位接地地网作为接地连接。防雷接地设施符合国家《建筑物防雷设计规范》（GB50057-2010）。</w:t>
      </w:r>
    </w:p>
    <w:p w14:paraId="4AD365E2">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（2）提供的并网逆变器安全可靠，能确保25年内有效防止光伏组件PID现象的发生。</w:t>
      </w:r>
    </w:p>
    <w:p w14:paraId="0D10A478">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（3）带边框的光伏太阳能组件防雷接地要牢靠，并网逆变器将外壳可靠接地，避雷针、避雷扁钢、接地线及接地级要符合规范要求。</w:t>
      </w:r>
    </w:p>
    <w:p w14:paraId="1CBFA50E">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（4）组件与组件之间、组件与导轨之间需用接地线连接，线槽需做好等电位连接与接地。</w:t>
      </w:r>
    </w:p>
    <w:p w14:paraId="37C3C89F">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光伏组件作为建筑一部分，本身要具备很好的防雷措施，能够与建筑物的防雷带有很明显的防雷连接点。在并网逆变器、</w:t>
      </w:r>
      <w:r>
        <w:rPr>
          <w:rFonts w:hint="eastAsia" w:ascii="宋体" w:hAnsi="宋体" w:eastAsia="宋体" w:cs="宋体"/>
          <w:color w:val="auto"/>
          <w:szCs w:val="21"/>
          <w:highlight w:val="none"/>
          <w:lang w:eastAsia="zh-CN"/>
        </w:rPr>
        <w:t>光伏电源</w:t>
      </w:r>
      <w:r>
        <w:rPr>
          <w:rFonts w:hint="eastAsia" w:ascii="宋体" w:hAnsi="宋体" w:eastAsia="宋体" w:cs="宋体"/>
          <w:color w:val="auto"/>
          <w:szCs w:val="21"/>
          <w:highlight w:val="none"/>
        </w:rPr>
        <w:t>箱，光伏并网柜都应该有分级别的防雷防浪涌保护模块，保护相关的电气设备和线路。</w:t>
      </w:r>
    </w:p>
    <w:p w14:paraId="386983F6">
      <w:pPr>
        <w:numPr>
          <w:ilvl w:val="2"/>
          <w:numId w:val="0"/>
        </w:numPr>
        <w:tabs>
          <w:tab w:val="left" w:pos="735"/>
          <w:tab w:val="left" w:pos="216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（5）防雷系统完成后由中标人委托具备防雷检测CMA、CNAS资质认证的第三方检测单位进行防雷检测工作，出具加盖CMA或CNAS章的检测报告。</w:t>
      </w:r>
    </w:p>
    <w:p w14:paraId="6C41AF77">
      <w:pPr>
        <w:spacing w:line="360" w:lineRule="auto"/>
        <w:ind w:firstLine="422" w:firstLineChars="200"/>
        <w:outlineLvl w:val="2"/>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9</w:t>
      </w:r>
      <w:r>
        <w:rPr>
          <w:rFonts w:hint="eastAsia" w:ascii="宋体" w:hAnsi="宋体" w:eastAsia="宋体" w:cs="宋体"/>
          <w:b/>
          <w:bCs/>
          <w:color w:val="auto"/>
          <w:szCs w:val="21"/>
          <w:highlight w:val="none"/>
        </w:rPr>
        <w:t>、视频监控系统技术要求</w:t>
      </w:r>
    </w:p>
    <w:p w14:paraId="4AF6AAA8">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（1）本项目中系统监控管理由投标人提供，投标人负责安装调试及配合招标人后期维护。</w:t>
      </w:r>
    </w:p>
    <w:p w14:paraId="1954B266">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（2）视频监控采用高清网络摄像机，招标人能通过投标人提供的网络地址或软件对光伏电站进行实时远程监控，图像分辨率达到2560×1440以上，镜头变倍≥20 倍光学变焦，能够分辨出设备的外观及运行状态、识别烟雾及火灾并完成报警提示等，防护等级要求达到IP67，TVS 8000V防雷、防浪涌、防突波，具有红外夜视功能，夜视距离≥150 米，使用先进的压缩编码技术，视频图像直接在前端进行压缩，通过网络传输回电站监控室，避免外界电磁场对图像的影响。</w:t>
      </w:r>
    </w:p>
    <w:p w14:paraId="596BAF4E">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视频监控系统既支持光伏电站全景展示又能进行细节展示，对于重要设备还具有从多个摄像机进行多角度监视的功能，同时实时图像自动复位，即可对发电阵列内可旋转的摄像机设定默认监视位置，正常状态下摄像机保持默认位置；在控制完成后自动恢复到默认监视位置。</w:t>
      </w:r>
    </w:p>
    <w:p w14:paraId="138138BB">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（4）项目通电并网后投标人必须负责将光伏电站现场实时监测数据联通传送至招标人指定的数据控制中心PC端，实现集中监控，具体要求如下：</w:t>
      </w:r>
    </w:p>
    <w:tbl>
      <w:tblPr>
        <w:tblStyle w:val="11"/>
        <w:tblW w:w="5046"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44"/>
        <w:gridCol w:w="2193"/>
        <w:gridCol w:w="5156"/>
      </w:tblGrid>
      <w:tr w14:paraId="26D9B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622" w:type="pct"/>
            <w:tcBorders>
              <w:top w:val="single" w:color="auto" w:sz="4" w:space="0"/>
              <w:left w:val="single" w:color="auto" w:sz="4" w:space="0"/>
              <w:bottom w:val="single" w:color="auto" w:sz="4" w:space="0"/>
              <w:right w:val="single" w:color="auto" w:sz="4" w:space="0"/>
            </w:tcBorders>
            <w:vAlign w:val="center"/>
          </w:tcPr>
          <w:p w14:paraId="3E93855C">
            <w:pPr>
              <w:autoSpaceDE/>
              <w:autoSpaceDN/>
              <w:spacing w:line="360" w:lineRule="auto"/>
              <w:jc w:val="center"/>
              <w:rPr>
                <w:rFonts w:ascii="宋体" w:hAnsi="宋体" w:eastAsia="宋体" w:cs="宋体"/>
                <w:b/>
                <w:bCs/>
                <w:color w:val="auto"/>
                <w:szCs w:val="21"/>
                <w:highlight w:val="none"/>
                <w:lang w:eastAsia="en-US"/>
              </w:rPr>
            </w:pPr>
            <w:r>
              <w:rPr>
                <w:rFonts w:hint="eastAsia" w:ascii="宋体" w:hAnsi="宋体" w:eastAsia="宋体" w:cs="宋体"/>
                <w:b/>
                <w:bCs/>
                <w:color w:val="auto"/>
                <w:spacing w:val="-5"/>
                <w:szCs w:val="21"/>
                <w:highlight w:val="none"/>
                <w:lang w:eastAsia="en-US"/>
              </w:rPr>
              <w:t>区</w:t>
            </w:r>
            <w:r>
              <w:rPr>
                <w:rFonts w:hint="eastAsia" w:ascii="宋体" w:hAnsi="宋体" w:eastAsia="宋体" w:cs="宋体"/>
                <w:b/>
                <w:bCs/>
                <w:color w:val="auto"/>
                <w:spacing w:val="-3"/>
                <w:szCs w:val="21"/>
                <w:highlight w:val="none"/>
                <w:lang w:eastAsia="en-US"/>
              </w:rPr>
              <w:t>域</w:t>
            </w:r>
          </w:p>
        </w:tc>
        <w:tc>
          <w:tcPr>
            <w:tcW w:w="1306" w:type="pct"/>
            <w:tcBorders>
              <w:top w:val="single" w:color="auto" w:sz="4" w:space="0"/>
              <w:left w:val="single" w:color="auto" w:sz="4" w:space="0"/>
              <w:bottom w:val="single" w:color="auto" w:sz="4" w:space="0"/>
              <w:right w:val="single" w:color="auto" w:sz="4" w:space="0"/>
            </w:tcBorders>
            <w:vAlign w:val="center"/>
          </w:tcPr>
          <w:p w14:paraId="1BF8FA49">
            <w:pPr>
              <w:autoSpaceDE/>
              <w:autoSpaceDN/>
              <w:spacing w:line="360" w:lineRule="auto"/>
              <w:jc w:val="center"/>
              <w:rPr>
                <w:rFonts w:ascii="宋体" w:hAnsi="宋体" w:eastAsia="宋体" w:cs="宋体"/>
                <w:b/>
                <w:bCs/>
                <w:color w:val="auto"/>
                <w:szCs w:val="21"/>
                <w:highlight w:val="none"/>
                <w:lang w:eastAsia="en-US"/>
              </w:rPr>
            </w:pPr>
            <w:r>
              <w:rPr>
                <w:rFonts w:hint="eastAsia" w:ascii="宋体" w:hAnsi="宋体" w:eastAsia="宋体" w:cs="宋体"/>
                <w:b/>
                <w:bCs/>
                <w:color w:val="auto"/>
                <w:spacing w:val="8"/>
                <w:szCs w:val="21"/>
                <w:highlight w:val="none"/>
                <w:lang w:eastAsia="en-US"/>
              </w:rPr>
              <w:t>摄像头数量</w:t>
            </w:r>
          </w:p>
        </w:tc>
        <w:tc>
          <w:tcPr>
            <w:tcW w:w="3071" w:type="pct"/>
            <w:tcBorders>
              <w:top w:val="single" w:color="auto" w:sz="4" w:space="0"/>
              <w:left w:val="single" w:color="auto" w:sz="4" w:space="0"/>
              <w:bottom w:val="single" w:color="auto" w:sz="4" w:space="0"/>
              <w:right w:val="single" w:color="auto" w:sz="4" w:space="0"/>
            </w:tcBorders>
            <w:vAlign w:val="center"/>
          </w:tcPr>
          <w:p w14:paraId="100E9474">
            <w:pPr>
              <w:autoSpaceDE/>
              <w:autoSpaceDN/>
              <w:spacing w:line="360" w:lineRule="auto"/>
              <w:jc w:val="center"/>
              <w:rPr>
                <w:rFonts w:ascii="宋体" w:hAnsi="宋体" w:eastAsia="宋体" w:cs="宋体"/>
                <w:b/>
                <w:bCs/>
                <w:color w:val="auto"/>
                <w:szCs w:val="21"/>
                <w:highlight w:val="none"/>
                <w:lang w:eastAsia="en-US"/>
              </w:rPr>
            </w:pPr>
            <w:r>
              <w:rPr>
                <w:rFonts w:hint="eastAsia" w:ascii="宋体" w:hAnsi="宋体" w:eastAsia="宋体" w:cs="宋体"/>
                <w:b/>
                <w:bCs/>
                <w:color w:val="auto"/>
                <w:spacing w:val="4"/>
                <w:szCs w:val="21"/>
                <w:highlight w:val="none"/>
                <w:lang w:eastAsia="en-US"/>
              </w:rPr>
              <w:t>技术</w:t>
            </w:r>
          </w:p>
        </w:tc>
      </w:tr>
      <w:tr w14:paraId="766EB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7" w:hRule="atLeast"/>
          <w:jc w:val="center"/>
        </w:trPr>
        <w:tc>
          <w:tcPr>
            <w:tcW w:w="622" w:type="pct"/>
            <w:tcBorders>
              <w:top w:val="single" w:color="auto" w:sz="4" w:space="0"/>
              <w:left w:val="single" w:color="auto" w:sz="4" w:space="0"/>
              <w:bottom w:val="single" w:color="auto" w:sz="4" w:space="0"/>
              <w:right w:val="single" w:color="auto" w:sz="4" w:space="0"/>
            </w:tcBorders>
            <w:vAlign w:val="center"/>
          </w:tcPr>
          <w:p w14:paraId="78DE45EC">
            <w:pPr>
              <w:autoSpaceDE/>
              <w:autoSpaceDN/>
              <w:spacing w:line="360" w:lineRule="auto"/>
              <w:jc w:val="center"/>
              <w:rPr>
                <w:rFonts w:ascii="宋体" w:hAnsi="宋体" w:eastAsia="宋体" w:cs="宋体"/>
                <w:color w:val="auto"/>
                <w:szCs w:val="21"/>
                <w:highlight w:val="none"/>
                <w:lang w:eastAsia="en-US"/>
              </w:rPr>
            </w:pPr>
            <w:r>
              <w:rPr>
                <w:rFonts w:hint="eastAsia" w:ascii="宋体" w:hAnsi="宋体" w:eastAsia="宋体" w:cs="宋体"/>
                <w:color w:val="auto"/>
                <w:spacing w:val="4"/>
                <w:szCs w:val="21"/>
                <w:highlight w:val="none"/>
                <w:lang w:eastAsia="en-US"/>
              </w:rPr>
              <w:t>光伏组件</w:t>
            </w:r>
          </w:p>
        </w:tc>
        <w:tc>
          <w:tcPr>
            <w:tcW w:w="1306" w:type="pct"/>
            <w:vMerge w:val="restart"/>
            <w:tcBorders>
              <w:top w:val="single" w:color="auto" w:sz="4" w:space="0"/>
              <w:left w:val="single" w:color="auto" w:sz="4" w:space="0"/>
              <w:bottom w:val="single" w:color="auto" w:sz="4" w:space="0"/>
              <w:right w:val="single" w:color="auto" w:sz="4" w:space="0"/>
            </w:tcBorders>
            <w:vAlign w:val="center"/>
          </w:tcPr>
          <w:p w14:paraId="6E3805FB">
            <w:pPr>
              <w:autoSpaceDE/>
              <w:autoSpaceDN/>
              <w:spacing w:line="360" w:lineRule="auto"/>
              <w:ind w:right="203"/>
              <w:jc w:val="left"/>
              <w:rPr>
                <w:rFonts w:ascii="宋体" w:hAnsi="宋体" w:eastAsia="宋体" w:cs="宋体"/>
                <w:color w:val="auto"/>
                <w:szCs w:val="21"/>
                <w:highlight w:val="none"/>
                <w:lang w:eastAsia="zh-CN"/>
              </w:rPr>
            </w:pPr>
            <w:r>
              <w:rPr>
                <w:rFonts w:hint="eastAsia" w:ascii="宋体" w:hAnsi="宋体" w:eastAsia="宋体" w:cs="宋体"/>
                <w:color w:val="auto"/>
                <w:spacing w:val="-4"/>
                <w:szCs w:val="21"/>
                <w:highlight w:val="none"/>
                <w:lang w:eastAsia="zh-CN"/>
              </w:rPr>
              <w:t>1.</w:t>
            </w:r>
            <w:r>
              <w:rPr>
                <w:rFonts w:hint="eastAsia" w:ascii="宋体" w:hAnsi="宋体" w:eastAsia="宋体" w:cs="宋体"/>
                <w:color w:val="auto"/>
                <w:szCs w:val="21"/>
                <w:highlight w:val="none"/>
                <w:lang w:eastAsia="zh-CN"/>
              </w:rPr>
              <w:t>根据现场及招标人意见调整；</w:t>
            </w:r>
          </w:p>
          <w:p w14:paraId="2CB4733B">
            <w:pPr>
              <w:autoSpaceDE/>
              <w:autoSpaceDN/>
              <w:spacing w:line="360" w:lineRule="auto"/>
              <w:ind w:right="203"/>
              <w:jc w:val="left"/>
              <w:rPr>
                <w:rFonts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2.视频监控画面必须覆盖所有光伏组件、逆变器区域，不得存在盲区。</w:t>
            </w:r>
          </w:p>
        </w:tc>
        <w:tc>
          <w:tcPr>
            <w:tcW w:w="3071" w:type="pct"/>
            <w:vMerge w:val="restart"/>
            <w:tcBorders>
              <w:top w:val="single" w:color="auto" w:sz="4" w:space="0"/>
              <w:left w:val="single" w:color="auto" w:sz="4" w:space="0"/>
              <w:bottom w:val="single" w:color="auto" w:sz="4" w:space="0"/>
              <w:right w:val="single" w:color="auto" w:sz="4" w:space="0"/>
            </w:tcBorders>
            <w:vAlign w:val="center"/>
          </w:tcPr>
          <w:p w14:paraId="02110621">
            <w:pPr>
              <w:autoSpaceDE/>
              <w:autoSpaceDN/>
              <w:spacing w:line="360" w:lineRule="auto"/>
              <w:ind w:right="203"/>
              <w:rPr>
                <w:rFonts w:ascii="宋体" w:hAnsi="宋体" w:eastAsia="宋体" w:cs="宋体"/>
                <w:color w:val="auto"/>
                <w:spacing w:val="-4"/>
                <w:szCs w:val="21"/>
                <w:highlight w:val="none"/>
                <w:lang w:eastAsia="zh-CN"/>
              </w:rPr>
            </w:pPr>
            <w:r>
              <w:rPr>
                <w:rFonts w:hint="eastAsia" w:ascii="宋体" w:hAnsi="宋体" w:eastAsia="宋体" w:cs="宋体"/>
                <w:color w:val="auto"/>
                <w:spacing w:val="-4"/>
                <w:szCs w:val="21"/>
                <w:highlight w:val="none"/>
                <w:lang w:eastAsia="zh-CN"/>
              </w:rPr>
              <w:t>1.</w:t>
            </w:r>
            <w:r>
              <w:rPr>
                <w:rFonts w:hint="eastAsia" w:ascii="宋体" w:hAnsi="宋体" w:eastAsia="宋体" w:cs="宋体"/>
                <w:color w:val="auto"/>
                <w:spacing w:val="-4"/>
                <w:szCs w:val="21"/>
                <w:highlight w:val="none"/>
              </w:rPr>
              <w:t>支持识别烟雾及火灾并完成报警提示</w:t>
            </w:r>
            <w:r>
              <w:rPr>
                <w:rFonts w:hint="eastAsia" w:ascii="宋体" w:hAnsi="宋体" w:eastAsia="宋体" w:cs="宋体"/>
                <w:color w:val="auto"/>
                <w:spacing w:val="-4"/>
                <w:sz w:val="21"/>
                <w:szCs w:val="21"/>
                <w:highlight w:val="none"/>
              </w:rPr>
              <w:t>；</w:t>
            </w:r>
          </w:p>
          <w:p w14:paraId="51F78BD6">
            <w:pPr>
              <w:autoSpaceDE/>
              <w:autoSpaceDN/>
              <w:spacing w:line="360" w:lineRule="auto"/>
              <w:ind w:right="203"/>
              <w:rPr>
                <w:rFonts w:ascii="宋体" w:hAnsi="宋体" w:eastAsia="宋体" w:cs="宋体"/>
                <w:color w:val="auto"/>
                <w:spacing w:val="-4"/>
                <w:szCs w:val="21"/>
                <w:highlight w:val="none"/>
                <w:lang w:eastAsia="zh-CN"/>
              </w:rPr>
            </w:pPr>
            <w:r>
              <w:rPr>
                <w:rFonts w:hint="eastAsia" w:ascii="宋体" w:hAnsi="宋体" w:eastAsia="宋体" w:cs="宋体"/>
                <w:color w:val="auto"/>
                <w:spacing w:val="-4"/>
                <w:szCs w:val="21"/>
                <w:highlight w:val="none"/>
                <w:lang w:val="en-US" w:eastAsia="zh-CN"/>
              </w:rPr>
              <w:t>2</w:t>
            </w:r>
            <w:r>
              <w:rPr>
                <w:rFonts w:hint="eastAsia" w:ascii="宋体" w:hAnsi="宋体" w:eastAsia="宋体" w:cs="宋体"/>
                <w:color w:val="auto"/>
                <w:spacing w:val="-4"/>
                <w:szCs w:val="21"/>
                <w:highlight w:val="none"/>
                <w:lang w:eastAsia="zh-CN"/>
              </w:rPr>
              <w:t>.视频摄像头为高清、具有夜视功能，支持移动侦测报警；</w:t>
            </w:r>
          </w:p>
          <w:p w14:paraId="6C1FCB01">
            <w:pPr>
              <w:autoSpaceDE/>
              <w:autoSpaceDN/>
              <w:spacing w:line="360" w:lineRule="auto"/>
              <w:ind w:right="203"/>
              <w:rPr>
                <w:rFonts w:ascii="宋体" w:hAnsi="宋体" w:eastAsia="宋体" w:cs="宋体"/>
                <w:color w:val="auto"/>
                <w:spacing w:val="-4"/>
                <w:szCs w:val="21"/>
                <w:highlight w:val="none"/>
                <w:lang w:eastAsia="zh-CN"/>
              </w:rPr>
            </w:pPr>
            <w:r>
              <w:rPr>
                <w:rFonts w:hint="eastAsia" w:ascii="宋体" w:hAnsi="宋体" w:eastAsia="宋体" w:cs="宋体"/>
                <w:color w:val="auto"/>
                <w:spacing w:val="-4"/>
                <w:szCs w:val="21"/>
                <w:highlight w:val="none"/>
                <w:lang w:val="en-US" w:eastAsia="zh-CN"/>
              </w:rPr>
              <w:t>3</w:t>
            </w:r>
            <w:r>
              <w:rPr>
                <w:rFonts w:hint="eastAsia" w:ascii="宋体" w:hAnsi="宋体" w:eastAsia="宋体" w:cs="宋体"/>
                <w:color w:val="auto"/>
                <w:spacing w:val="-4"/>
                <w:szCs w:val="21"/>
                <w:highlight w:val="none"/>
                <w:lang w:eastAsia="zh-CN"/>
              </w:rPr>
              <w:t>.视频监控电源需引自市电，若配置室外立杆需可靠接地并不造成光伏组件阴影遮挡；</w:t>
            </w:r>
          </w:p>
          <w:p w14:paraId="44DF555C">
            <w:pPr>
              <w:autoSpaceDE/>
              <w:autoSpaceDN/>
              <w:spacing w:line="360" w:lineRule="auto"/>
              <w:ind w:right="203"/>
              <w:rPr>
                <w:rFonts w:ascii="宋体" w:hAnsi="宋体" w:eastAsia="宋体" w:cs="宋体"/>
                <w:color w:val="auto"/>
                <w:spacing w:val="-4"/>
                <w:szCs w:val="21"/>
                <w:highlight w:val="none"/>
                <w:lang w:eastAsia="zh-CN"/>
              </w:rPr>
            </w:pPr>
            <w:r>
              <w:rPr>
                <w:rFonts w:hint="eastAsia" w:ascii="宋体" w:hAnsi="宋体" w:eastAsia="宋体" w:cs="宋体"/>
                <w:color w:val="auto"/>
                <w:spacing w:val="-4"/>
                <w:szCs w:val="21"/>
                <w:highlight w:val="none"/>
                <w:lang w:val="en-US" w:eastAsia="zh-CN"/>
              </w:rPr>
              <w:t>4</w:t>
            </w:r>
            <w:r>
              <w:rPr>
                <w:rFonts w:hint="eastAsia" w:ascii="宋体" w:hAnsi="宋体" w:eastAsia="宋体" w:cs="宋体"/>
                <w:color w:val="auto"/>
                <w:spacing w:val="-4"/>
                <w:szCs w:val="21"/>
                <w:highlight w:val="none"/>
                <w:lang w:eastAsia="zh-CN"/>
              </w:rPr>
              <w:t>.所有摄像头均可360°自由转动巡检；</w:t>
            </w:r>
          </w:p>
          <w:p w14:paraId="32E6ECE2">
            <w:pPr>
              <w:autoSpaceDE/>
              <w:autoSpaceDN/>
              <w:spacing w:line="360" w:lineRule="auto"/>
              <w:ind w:right="203"/>
              <w:rPr>
                <w:rFonts w:ascii="宋体" w:hAnsi="宋体" w:eastAsia="宋体" w:cs="宋体"/>
                <w:color w:val="auto"/>
                <w:szCs w:val="21"/>
                <w:highlight w:val="none"/>
                <w:lang w:eastAsia="zh-CN"/>
              </w:rPr>
            </w:pPr>
            <w:r>
              <w:rPr>
                <w:rFonts w:hint="eastAsia" w:ascii="宋体" w:hAnsi="宋体" w:eastAsia="宋体" w:cs="宋体"/>
                <w:color w:val="auto"/>
                <w:spacing w:val="-4"/>
                <w:szCs w:val="21"/>
                <w:highlight w:val="none"/>
                <w:lang w:val="en-US" w:eastAsia="zh-CN"/>
              </w:rPr>
              <w:t>5</w:t>
            </w:r>
            <w:r>
              <w:rPr>
                <w:rFonts w:hint="eastAsia" w:ascii="宋体" w:hAnsi="宋体" w:eastAsia="宋体" w:cs="宋体"/>
                <w:color w:val="auto"/>
                <w:spacing w:val="-4"/>
                <w:szCs w:val="21"/>
                <w:highlight w:val="none"/>
                <w:lang w:eastAsia="zh-CN"/>
              </w:rPr>
              <w:t>.提供标准/开放的协议和接口，由招标人实现集成整合应用。</w:t>
            </w:r>
          </w:p>
        </w:tc>
      </w:tr>
      <w:tr w14:paraId="3CEA2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jc w:val="center"/>
        </w:trPr>
        <w:tc>
          <w:tcPr>
            <w:tcW w:w="622" w:type="pct"/>
            <w:tcBorders>
              <w:top w:val="single" w:color="auto" w:sz="4" w:space="0"/>
            </w:tcBorders>
            <w:vAlign w:val="center"/>
          </w:tcPr>
          <w:p w14:paraId="559B67BE">
            <w:pPr>
              <w:autoSpaceDE/>
              <w:autoSpaceDN/>
              <w:spacing w:line="360" w:lineRule="auto"/>
              <w:jc w:val="center"/>
              <w:rPr>
                <w:rFonts w:ascii="宋体" w:hAnsi="宋体" w:eastAsia="宋体" w:cs="宋体"/>
                <w:color w:val="auto"/>
                <w:szCs w:val="21"/>
                <w:highlight w:val="none"/>
                <w:lang w:eastAsia="en-US"/>
              </w:rPr>
            </w:pPr>
            <w:r>
              <w:rPr>
                <w:rFonts w:hint="eastAsia" w:ascii="宋体" w:hAnsi="宋体" w:eastAsia="宋体" w:cs="宋体"/>
                <w:color w:val="auto"/>
                <w:spacing w:val="7"/>
                <w:szCs w:val="21"/>
                <w:highlight w:val="none"/>
                <w:lang w:eastAsia="en-US"/>
              </w:rPr>
              <w:t>并网逆变器</w:t>
            </w:r>
          </w:p>
        </w:tc>
        <w:tc>
          <w:tcPr>
            <w:tcW w:w="1306" w:type="pct"/>
            <w:vMerge w:val="continue"/>
            <w:tcBorders>
              <w:top w:val="single" w:color="auto" w:sz="4" w:space="0"/>
            </w:tcBorders>
            <w:vAlign w:val="center"/>
          </w:tcPr>
          <w:p w14:paraId="5A6DAF09">
            <w:pPr>
              <w:autoSpaceDE/>
              <w:autoSpaceDN/>
              <w:spacing w:line="360" w:lineRule="auto"/>
              <w:jc w:val="center"/>
              <w:rPr>
                <w:rFonts w:ascii="宋体" w:hAnsi="宋体" w:eastAsia="宋体" w:cs="宋体"/>
                <w:color w:val="auto"/>
                <w:szCs w:val="21"/>
                <w:highlight w:val="none"/>
                <w:lang w:eastAsia="en-US"/>
              </w:rPr>
            </w:pPr>
          </w:p>
        </w:tc>
        <w:tc>
          <w:tcPr>
            <w:tcW w:w="3071" w:type="pct"/>
            <w:vMerge w:val="continue"/>
            <w:tcBorders>
              <w:top w:val="single" w:color="auto" w:sz="4" w:space="0"/>
              <w:right w:val="single" w:color="auto" w:sz="4" w:space="0"/>
            </w:tcBorders>
            <w:vAlign w:val="center"/>
          </w:tcPr>
          <w:p w14:paraId="1E2F57A2">
            <w:pPr>
              <w:autoSpaceDE/>
              <w:autoSpaceDN/>
              <w:spacing w:line="360" w:lineRule="auto"/>
              <w:jc w:val="center"/>
              <w:rPr>
                <w:rFonts w:ascii="宋体" w:hAnsi="宋体" w:eastAsia="宋体" w:cs="宋体"/>
                <w:color w:val="auto"/>
                <w:szCs w:val="21"/>
                <w:highlight w:val="none"/>
                <w:lang w:eastAsia="en-US"/>
              </w:rPr>
            </w:pPr>
          </w:p>
        </w:tc>
      </w:tr>
    </w:tbl>
    <w:p w14:paraId="499CDFA6">
      <w:pPr>
        <w:pStyle w:val="3"/>
        <w:numPr>
          <w:ilvl w:val="0"/>
          <w:numId w:val="1"/>
        </w:numPr>
        <w:autoSpaceDE/>
        <w:autoSpaceDN/>
        <w:adjustRightInd/>
        <w:spacing w:line="360" w:lineRule="auto"/>
        <w:ind w:right="-28" w:firstLine="422" w:firstLineChars="200"/>
        <w:jc w:val="left"/>
        <w:rPr>
          <w:rFonts w:hint="eastAsia" w:hAnsi="宋体" w:cs="宋体"/>
          <w:color w:val="auto"/>
          <w:sz w:val="21"/>
          <w:szCs w:val="21"/>
          <w:highlight w:val="none"/>
          <w:lang w:val="en-US"/>
        </w:rPr>
      </w:pPr>
      <w:r>
        <w:rPr>
          <w:rFonts w:hint="eastAsia" w:hAnsi="宋体" w:cs="宋体"/>
          <w:color w:val="auto"/>
          <w:sz w:val="21"/>
          <w:szCs w:val="21"/>
          <w:highlight w:val="none"/>
          <w:lang w:val="en-US"/>
        </w:rPr>
        <w:t>中标人须在项目进场施工后7天内按以上要求完成所有区域视频监控的安装投运和移交，确保视频监控系统正常运行。</w:t>
      </w:r>
    </w:p>
    <w:p w14:paraId="276EBB68">
      <w:pPr>
        <w:ind w:firstLine="435"/>
        <w:rPr>
          <w:rFonts w:hint="eastAsia"/>
          <w:b/>
          <w:bCs/>
          <w:highlight w:val="none"/>
        </w:rPr>
      </w:pPr>
      <w:r>
        <w:rPr>
          <w:rFonts w:hint="eastAsia"/>
          <w:b/>
          <w:bCs/>
          <w:highlight w:val="none"/>
          <w:lang w:val="en-US" w:eastAsia="zh-CN"/>
        </w:rPr>
        <w:t>10</w:t>
      </w:r>
      <w:r>
        <w:rPr>
          <w:rFonts w:hint="eastAsia"/>
          <w:b/>
          <w:bCs/>
          <w:highlight w:val="none"/>
        </w:rPr>
        <w:t>、光伏中控系统</w:t>
      </w:r>
    </w:p>
    <w:p w14:paraId="57D86C3B">
      <w:pPr>
        <w:wordWrap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（1）能源驾驶舱</w:t>
      </w:r>
    </w:p>
    <w:p w14:paraId="018E497E">
      <w:pPr>
        <w:wordWrap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建立光伏系统全景图：以三维模型场景还原松山湖水厂各光伏站点区域外观、结构和效果等内容，左右两侧的界面展示项目简介或相关的数据信息。</w:t>
      </w:r>
    </w:p>
    <w:p w14:paraId="62BD8D0D">
      <w:pPr>
        <w:wordWrap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（2）故障管理及服务</w:t>
      </w:r>
    </w:p>
    <w:p w14:paraId="15D1D624">
      <w:pPr>
        <w:wordWrap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告警推送功能：接受实时告警推送，新告警信息会在页面顶端通知，自动进行语音播报，告警单体将标红高亮闪烁，并标记告警信息；告警列表可以汇总展示所有未处理告警事件，并在小地图标注告警分布。</w:t>
      </w:r>
    </w:p>
    <w:p w14:paraId="5A094771">
      <w:pPr>
        <w:wordWrap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（3）历史数据及事件管理</w:t>
      </w:r>
    </w:p>
    <w:p w14:paraId="09C84775">
      <w:pPr>
        <w:wordWrap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① 系统支持对逆变器以及光伏发电历史数据进行查询和分析，列表、曲线、棒图方式展示任意时段的历史数据，展示时段最值、平均值，多参数数据对比。</w:t>
      </w:r>
    </w:p>
    <w:p w14:paraId="0747421C">
      <w:pPr>
        <w:wordWrap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② 记录告警事件发生时的时间标识，以及事件的简要信息描述，并根据告警等级划分事件的重要程度，对告警事件可进行全方位多维度的筛选∶按时间段、按事件等级、按事件类型等，可通过消息窗口以及声光闪烁等通知方式推送告警信息。</w:t>
      </w:r>
    </w:p>
    <w:p w14:paraId="4037E987">
      <w:pPr>
        <w:wordWrap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（4）报表管理</w:t>
      </w:r>
    </w:p>
    <w:p w14:paraId="20EBCB4C">
      <w:pPr>
        <w:wordWrap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系统支持灵活的报表工具，可按照日、周、月、季、年、自定义时段等统计，支持跨时段、指定日期等多种查询方式，展示平均值、差值等，报表格式及内容可自定义绘制以及峰谷平电量数据查询。</w:t>
      </w:r>
    </w:p>
    <w:p w14:paraId="5B429806">
      <w:pPr>
        <w:wordWrap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（5）设备管理</w:t>
      </w:r>
    </w:p>
    <w:p w14:paraId="1B2F4F97">
      <w:pPr>
        <w:wordWrap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基于数据采集平台，通过选择设备等单体，查询单体设备实时信息，以浮动窗口展示相应的实时运行参数、状态数据、参数设置、资产信息等，如常规电学参数：电压、电流、功率、温度、电度等可通过动态数字展示；也可通过多种曲线、棒图等多种可视化图表展示，如：实时功率曲线等；</w:t>
      </w:r>
    </w:p>
    <w:p w14:paraId="6AD1ECF2">
      <w:pPr>
        <w:wordWrap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1）配电室：可以直观查看楼层内整体的结构，配电室区域结构划分等；</w:t>
      </w:r>
    </w:p>
    <w:p w14:paraId="4A3A13B1">
      <w:pPr>
        <w:wordWrap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2）设备监控：使用浮窗展示各配电柜、控制柜实时电学参数与运行状态；柜体指示灯随实时状态变化。</w:t>
      </w:r>
    </w:p>
    <w:p w14:paraId="4D933492">
      <w:pPr>
        <w:wordWrap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（6）系统权限设置</w:t>
      </w:r>
    </w:p>
    <w:p w14:paraId="55FB3058">
      <w:pPr>
        <w:wordWrap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系统设置中可增加系统访问账号、给不同的账号分配不同权限、不同展示画面与数据均可做不同的权限管理，还可进行报警等级设置、设备管理、企业管理等多个子用户管理。</w:t>
      </w:r>
    </w:p>
    <w:p w14:paraId="2059CCC7">
      <w:pPr>
        <w:wordWrap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（7）视频监控系统</w:t>
      </w:r>
    </w:p>
    <w:p w14:paraId="244CA171">
      <w:pPr>
        <w:wordWrap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可在视频监控总图或在三维场景选择视频监控设备单体，就可在场景中展示视频监控实时画面，也可通过视频监控汇总视图监控查看；支持视频角度、焦距、焦点、光圈的远程遥控，结合视频三维场景直观了解监控区域所在，以进一步沙盘推演，直观分析。</w:t>
      </w:r>
    </w:p>
    <w:p w14:paraId="495C1999">
      <w:pPr>
        <w:wordWrap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（8）环境智能监测系统</w:t>
      </w:r>
    </w:p>
    <w:p w14:paraId="6169FAFF">
      <w:pPr>
        <w:wordWrap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气象监测仪表安装于监控中心高处（如主控楼顶），用以实时监测该区域风速、光照、温湿度等数据，监测数据以通讯的形式回传，至中控系统显示。</w:t>
      </w:r>
    </w:p>
    <w:p w14:paraId="42C72A21">
      <w:pPr>
        <w:wordWrap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（9）电能管理系统</w:t>
      </w:r>
    </w:p>
    <w:p w14:paraId="28542D28">
      <w:pPr>
        <w:wordWrap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各配电室用能，光伏发电的电能管理系统。绘制光伏电站的一次电气设备接线图，包含重要数据的展示、断路器的分合状态、光伏板的发电情况、逆变器的运行状况等重要遥信信息。</w:t>
      </w:r>
    </w:p>
    <w:p w14:paraId="350F8169">
      <w:pPr>
        <w:numPr>
          <w:ilvl w:val="0"/>
          <w:numId w:val="2"/>
        </w:numPr>
        <w:wordWrap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多能数据集成</w:t>
      </w:r>
    </w:p>
    <w:p w14:paraId="72DFF3C6">
      <w:pPr>
        <w:wordWrap w:val="0"/>
        <w:spacing w:line="360" w:lineRule="auto"/>
        <w:ind w:firstLine="420" w:firstLineChars="200"/>
        <w:jc w:val="left"/>
        <w:rPr>
          <w:rFonts w:hint="eastAsia" w:asciiTheme="minorEastAsia" w:hAnsiTheme="minorEastAsia" w:cstheme="minorEastAsia"/>
          <w:sz w:val="21"/>
          <w:szCs w:val="22"/>
          <w:highlight w:val="none"/>
        </w:rPr>
      </w:pPr>
      <w:r>
        <w:rPr>
          <w:rFonts w:hint="eastAsia" w:ascii="宋体" w:hAnsi="宋体" w:eastAsia="宋体" w:cs="宋体"/>
          <w:color w:val="auto"/>
          <w:szCs w:val="21"/>
          <w:highlight w:val="none"/>
          <w:lang w:eastAsia="zh-CN"/>
        </w:rPr>
        <w:t>含SCADA信息、电力监控系统信息、视频信息的数据集成。</w:t>
      </w:r>
    </w:p>
    <w:p w14:paraId="66B3DDCF">
      <w:pPr>
        <w:jc w:val="center"/>
        <w:rPr>
          <w:rFonts w:hint="eastAsia" w:asciiTheme="minorEastAsia" w:hAnsiTheme="minorEastAsia" w:cstheme="minorEastAsia"/>
          <w:sz w:val="21"/>
          <w:szCs w:val="22"/>
          <w:highlight w:val="none"/>
        </w:rPr>
      </w:pPr>
      <w:r>
        <w:rPr>
          <w:rFonts w:hint="eastAsia" w:asciiTheme="minorEastAsia" w:hAnsiTheme="minorEastAsia" w:cstheme="minorEastAsia"/>
          <w:sz w:val="21"/>
          <w:szCs w:val="22"/>
          <w:highlight w:val="none"/>
        </w:rPr>
        <w:t>光伏中控系统功能清单表</w:t>
      </w:r>
    </w:p>
    <w:p w14:paraId="32E3E656">
      <w:pPr>
        <w:jc w:val="center"/>
        <w:rPr>
          <w:rFonts w:hint="eastAsia" w:asciiTheme="minorEastAsia" w:hAnsiTheme="minorEastAsia" w:cstheme="minorEastAsia"/>
          <w:sz w:val="21"/>
          <w:szCs w:val="22"/>
          <w:highlight w:val="none"/>
        </w:rPr>
      </w:pPr>
    </w:p>
    <w:tbl>
      <w:tblPr>
        <w:tblStyle w:val="7"/>
        <w:tblW w:w="0" w:type="auto"/>
        <w:tblInd w:w="0" w:type="dxa"/>
        <w:tblLayout w:type="autofit"/>
        <w:tblCellMar>
          <w:top w:w="0" w:type="dxa"/>
          <w:left w:w="108" w:type="dxa"/>
          <w:bottom w:w="0" w:type="dxa"/>
          <w:right w:w="108" w:type="dxa"/>
        </w:tblCellMar>
      </w:tblPr>
      <w:tblGrid>
        <w:gridCol w:w="767"/>
        <w:gridCol w:w="972"/>
        <w:gridCol w:w="6783"/>
      </w:tblGrid>
      <w:tr w14:paraId="779947BD">
        <w:tblPrEx>
          <w:tblCellMar>
            <w:top w:w="0" w:type="dxa"/>
            <w:left w:w="108" w:type="dxa"/>
            <w:bottom w:w="0" w:type="dxa"/>
            <w:right w:w="108" w:type="dxa"/>
          </w:tblCellMar>
        </w:tblPrEx>
        <w:trPr>
          <w:trHeight w:val="795" w:hRule="atLeast"/>
        </w:trPr>
        <w:tc>
          <w:tcPr>
            <w:tcW w:w="0" w:type="auto"/>
            <w:vMerge w:val="restart"/>
            <w:tcBorders>
              <w:top w:val="single" w:color="auto" w:sz="4" w:space="0"/>
              <w:left w:val="single" w:color="auto" w:sz="4" w:space="0"/>
              <w:bottom w:val="single" w:color="auto" w:sz="4" w:space="0"/>
              <w:right w:val="single" w:color="auto" w:sz="4" w:space="0"/>
            </w:tcBorders>
            <w:vAlign w:val="center"/>
          </w:tcPr>
          <w:p w14:paraId="1D9F57C6">
            <w:pPr>
              <w:spacing w:after="160" w:line="278" w:lineRule="auto"/>
              <w:jc w:val="left"/>
              <w:rPr>
                <w:rFonts w:hint="eastAsia" w:ascii="宋体" w:hAnsi="宋体" w:eastAsia="宋体"/>
                <w:szCs w:val="21"/>
              </w:rPr>
            </w:pPr>
            <w:r>
              <w:rPr>
                <w:rFonts w:hint="eastAsia" w:ascii="宋体" w:hAnsi="宋体" w:eastAsia="宋体"/>
                <w:szCs w:val="21"/>
              </w:rPr>
              <w:t>光伏中控系统</w:t>
            </w:r>
          </w:p>
        </w:tc>
        <w:tc>
          <w:tcPr>
            <w:tcW w:w="0" w:type="auto"/>
            <w:tcBorders>
              <w:top w:val="single" w:color="auto" w:sz="4" w:space="0"/>
              <w:left w:val="nil"/>
              <w:bottom w:val="single" w:color="auto" w:sz="4" w:space="0"/>
              <w:right w:val="single" w:color="auto" w:sz="4" w:space="0"/>
            </w:tcBorders>
            <w:vAlign w:val="center"/>
          </w:tcPr>
          <w:p w14:paraId="04F70CC4">
            <w:pPr>
              <w:spacing w:after="160" w:line="278" w:lineRule="auto"/>
              <w:jc w:val="left"/>
              <w:rPr>
                <w:rFonts w:hint="eastAsia" w:ascii="宋体" w:hAnsi="宋体" w:eastAsia="宋体"/>
                <w:szCs w:val="21"/>
              </w:rPr>
            </w:pPr>
            <w:r>
              <w:rPr>
                <w:rFonts w:hint="eastAsia" w:ascii="宋体" w:hAnsi="宋体" w:eastAsia="宋体"/>
                <w:szCs w:val="21"/>
              </w:rPr>
              <w:t>能源驾驶舱</w:t>
            </w:r>
          </w:p>
        </w:tc>
        <w:tc>
          <w:tcPr>
            <w:tcW w:w="0" w:type="auto"/>
            <w:tcBorders>
              <w:top w:val="single" w:color="auto" w:sz="4" w:space="0"/>
              <w:left w:val="nil"/>
              <w:bottom w:val="single" w:color="auto" w:sz="4" w:space="0"/>
              <w:right w:val="single" w:color="auto" w:sz="4" w:space="0"/>
            </w:tcBorders>
            <w:vAlign w:val="center"/>
          </w:tcPr>
          <w:p w14:paraId="14B179C5">
            <w:pPr>
              <w:spacing w:after="160" w:line="278" w:lineRule="auto"/>
              <w:jc w:val="left"/>
              <w:rPr>
                <w:rFonts w:hint="eastAsia" w:ascii="宋体" w:hAnsi="宋体" w:eastAsia="宋体"/>
                <w:szCs w:val="21"/>
              </w:rPr>
            </w:pPr>
            <w:r>
              <w:rPr>
                <w:rFonts w:hint="eastAsia" w:ascii="宋体" w:hAnsi="宋体" w:eastAsia="宋体"/>
                <w:szCs w:val="21"/>
              </w:rPr>
              <w:t>建立松山湖水厂建构筑物及光伏站点的轻量化模型，以三维模型场景还原公司各光伏子站点区域外观、结构和效果、绿化和装饰效果等内容，左右两侧的界面展示项目简介或相关的数据信息。</w:t>
            </w:r>
          </w:p>
        </w:tc>
      </w:tr>
      <w:tr w14:paraId="04904C23">
        <w:tblPrEx>
          <w:tblCellMar>
            <w:top w:w="0" w:type="dxa"/>
            <w:left w:w="108" w:type="dxa"/>
            <w:bottom w:w="0" w:type="dxa"/>
            <w:right w:w="108" w:type="dxa"/>
          </w:tblCellMar>
        </w:tblPrEx>
        <w:trPr>
          <w:trHeight w:val="99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E62214F">
            <w:pPr>
              <w:spacing w:after="160" w:line="278" w:lineRule="auto"/>
              <w:rPr>
                <w:rFonts w:ascii="宋体" w:hAnsi="宋体" w:eastAsia="宋体"/>
                <w:szCs w:val="21"/>
              </w:rPr>
            </w:pPr>
          </w:p>
        </w:tc>
        <w:tc>
          <w:tcPr>
            <w:tcW w:w="0" w:type="auto"/>
            <w:tcBorders>
              <w:top w:val="nil"/>
              <w:left w:val="nil"/>
              <w:bottom w:val="single" w:color="auto" w:sz="4" w:space="0"/>
              <w:right w:val="single" w:color="auto" w:sz="4" w:space="0"/>
            </w:tcBorders>
            <w:vAlign w:val="center"/>
          </w:tcPr>
          <w:p w14:paraId="25A4B316">
            <w:pPr>
              <w:spacing w:after="160" w:line="278" w:lineRule="auto"/>
              <w:jc w:val="left"/>
              <w:rPr>
                <w:rFonts w:hint="eastAsia" w:ascii="宋体" w:hAnsi="宋体" w:eastAsia="宋体"/>
                <w:szCs w:val="21"/>
              </w:rPr>
            </w:pPr>
            <w:r>
              <w:rPr>
                <w:rFonts w:hint="eastAsia" w:ascii="宋体" w:hAnsi="宋体" w:eastAsia="宋体"/>
                <w:szCs w:val="21"/>
              </w:rPr>
              <w:t>故障管理及服务</w:t>
            </w:r>
          </w:p>
        </w:tc>
        <w:tc>
          <w:tcPr>
            <w:tcW w:w="0" w:type="auto"/>
            <w:tcBorders>
              <w:top w:val="single" w:color="auto" w:sz="4" w:space="0"/>
              <w:left w:val="nil"/>
              <w:bottom w:val="single" w:color="auto" w:sz="4" w:space="0"/>
              <w:right w:val="single" w:color="auto" w:sz="4" w:space="0"/>
            </w:tcBorders>
            <w:vAlign w:val="center"/>
          </w:tcPr>
          <w:p w14:paraId="3A770F3C">
            <w:pPr>
              <w:spacing w:after="160" w:line="278" w:lineRule="auto"/>
              <w:jc w:val="left"/>
              <w:rPr>
                <w:rFonts w:hint="eastAsia" w:ascii="宋体" w:hAnsi="宋体" w:eastAsia="宋体"/>
                <w:szCs w:val="21"/>
              </w:rPr>
            </w:pPr>
            <w:r>
              <w:rPr>
                <w:rFonts w:hint="eastAsia" w:ascii="宋体" w:hAnsi="宋体" w:eastAsia="宋体"/>
                <w:szCs w:val="21"/>
              </w:rPr>
              <w:t>告警推送功能：接受实时告警推送，新告警信息会在页面顶端通知，自动进行语音播报，告警单体将标红高亮闪烁，并标记告警信息；告警列表可以汇总展示所有未处理告警事件，并在小地图标注告警分布。</w:t>
            </w:r>
          </w:p>
        </w:tc>
      </w:tr>
      <w:tr w14:paraId="5A99A627">
        <w:tblPrEx>
          <w:tblCellMar>
            <w:top w:w="0" w:type="dxa"/>
            <w:left w:w="108" w:type="dxa"/>
            <w:bottom w:w="0" w:type="dxa"/>
            <w:right w:w="108" w:type="dxa"/>
          </w:tblCellMar>
        </w:tblPrEx>
        <w:trPr>
          <w:trHeight w:val="121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EC59E4D">
            <w:pPr>
              <w:spacing w:after="160" w:line="278" w:lineRule="auto"/>
              <w:rPr>
                <w:rFonts w:ascii="宋体" w:hAnsi="宋体" w:eastAsia="宋体"/>
                <w:szCs w:val="21"/>
              </w:rPr>
            </w:pPr>
          </w:p>
        </w:tc>
        <w:tc>
          <w:tcPr>
            <w:tcW w:w="0" w:type="auto"/>
            <w:tcBorders>
              <w:top w:val="nil"/>
              <w:left w:val="nil"/>
              <w:bottom w:val="single" w:color="auto" w:sz="4" w:space="0"/>
              <w:right w:val="single" w:color="auto" w:sz="4" w:space="0"/>
            </w:tcBorders>
            <w:vAlign w:val="center"/>
          </w:tcPr>
          <w:p w14:paraId="6E56C3AA">
            <w:pPr>
              <w:spacing w:after="160" w:line="278" w:lineRule="auto"/>
              <w:jc w:val="left"/>
              <w:rPr>
                <w:rFonts w:hint="eastAsia" w:ascii="宋体" w:hAnsi="宋体" w:eastAsia="宋体"/>
                <w:szCs w:val="21"/>
              </w:rPr>
            </w:pPr>
            <w:r>
              <w:rPr>
                <w:rFonts w:hint="eastAsia" w:ascii="宋体" w:hAnsi="宋体" w:eastAsia="宋体"/>
                <w:szCs w:val="21"/>
              </w:rPr>
              <w:t>历史数据及事件管理</w:t>
            </w:r>
          </w:p>
        </w:tc>
        <w:tc>
          <w:tcPr>
            <w:tcW w:w="0" w:type="auto"/>
            <w:tcBorders>
              <w:top w:val="single" w:color="auto" w:sz="4" w:space="0"/>
              <w:left w:val="nil"/>
              <w:bottom w:val="single" w:color="auto" w:sz="4" w:space="0"/>
              <w:right w:val="single" w:color="auto" w:sz="4" w:space="0"/>
            </w:tcBorders>
            <w:vAlign w:val="center"/>
          </w:tcPr>
          <w:p w14:paraId="119D4CD8">
            <w:pPr>
              <w:spacing w:after="160" w:line="278" w:lineRule="auto"/>
              <w:jc w:val="left"/>
              <w:rPr>
                <w:rFonts w:hint="eastAsia" w:ascii="宋体" w:hAnsi="宋体" w:eastAsia="宋体"/>
                <w:szCs w:val="21"/>
              </w:rPr>
            </w:pPr>
            <w:r>
              <w:rPr>
                <w:rFonts w:hint="eastAsia" w:ascii="宋体" w:hAnsi="宋体" w:eastAsia="宋体"/>
                <w:szCs w:val="21"/>
              </w:rPr>
              <w:t>系统支持对逆变器以及光伏发电历史数据进行查询和分析，列表、曲线、棒图方式展示任意时段的历史数据，展示时段最值、平均值，多参数数据对比。</w:t>
            </w:r>
          </w:p>
        </w:tc>
      </w:tr>
      <w:tr w14:paraId="22B030E5">
        <w:tblPrEx>
          <w:tblCellMar>
            <w:top w:w="0" w:type="dxa"/>
            <w:left w:w="108" w:type="dxa"/>
            <w:bottom w:w="0" w:type="dxa"/>
            <w:right w:w="108" w:type="dxa"/>
          </w:tblCellMar>
        </w:tblPrEx>
        <w:trPr>
          <w:trHeight w:val="111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387FC09">
            <w:pPr>
              <w:spacing w:after="160" w:line="278" w:lineRule="auto"/>
              <w:rPr>
                <w:rFonts w:ascii="宋体" w:hAnsi="宋体" w:eastAsia="宋体"/>
                <w:szCs w:val="21"/>
              </w:rPr>
            </w:pPr>
          </w:p>
        </w:tc>
        <w:tc>
          <w:tcPr>
            <w:tcW w:w="0" w:type="auto"/>
            <w:tcBorders>
              <w:top w:val="nil"/>
              <w:left w:val="nil"/>
              <w:bottom w:val="single" w:color="auto" w:sz="4" w:space="0"/>
              <w:right w:val="single" w:color="auto" w:sz="4" w:space="0"/>
            </w:tcBorders>
            <w:vAlign w:val="center"/>
          </w:tcPr>
          <w:p w14:paraId="22DCC541">
            <w:pPr>
              <w:spacing w:after="160" w:line="278" w:lineRule="auto"/>
              <w:jc w:val="left"/>
              <w:rPr>
                <w:rFonts w:hint="eastAsia" w:ascii="宋体" w:hAnsi="宋体" w:eastAsia="宋体"/>
                <w:szCs w:val="21"/>
              </w:rPr>
            </w:pPr>
            <w:r>
              <w:rPr>
                <w:rFonts w:hint="eastAsia" w:ascii="宋体" w:hAnsi="宋体" w:eastAsia="宋体"/>
                <w:szCs w:val="21"/>
              </w:rPr>
              <w:t>报表管理</w:t>
            </w:r>
          </w:p>
        </w:tc>
        <w:tc>
          <w:tcPr>
            <w:tcW w:w="0" w:type="auto"/>
            <w:tcBorders>
              <w:top w:val="single" w:color="auto" w:sz="4" w:space="0"/>
              <w:left w:val="nil"/>
              <w:bottom w:val="single" w:color="auto" w:sz="4" w:space="0"/>
              <w:right w:val="single" w:color="auto" w:sz="4" w:space="0"/>
            </w:tcBorders>
            <w:vAlign w:val="center"/>
          </w:tcPr>
          <w:p w14:paraId="0A881C3E">
            <w:pPr>
              <w:spacing w:after="160" w:line="278" w:lineRule="auto"/>
              <w:jc w:val="left"/>
              <w:rPr>
                <w:rFonts w:hint="eastAsia" w:ascii="宋体" w:hAnsi="宋体" w:eastAsia="宋体"/>
                <w:szCs w:val="21"/>
              </w:rPr>
            </w:pPr>
            <w:r>
              <w:rPr>
                <w:rFonts w:hint="eastAsia" w:ascii="宋体" w:hAnsi="宋体" w:eastAsia="宋体"/>
                <w:szCs w:val="21"/>
              </w:rPr>
              <w:t>系统支持灵活的报表工具，可按照日、周、月、季、年、自定义时段等统计，支持跨时段、指定日期等多种查询方式，展示平均值、差值等，报表格式及内容可自定义绘制以及峰谷平电量数据查询</w:t>
            </w:r>
          </w:p>
        </w:tc>
      </w:tr>
      <w:tr w14:paraId="74D9FEA4">
        <w:tblPrEx>
          <w:tblCellMar>
            <w:top w:w="0" w:type="dxa"/>
            <w:left w:w="108" w:type="dxa"/>
            <w:bottom w:w="0" w:type="dxa"/>
            <w:right w:w="108" w:type="dxa"/>
          </w:tblCellMar>
        </w:tblPrEx>
        <w:trPr>
          <w:trHeight w:val="76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C5087C6">
            <w:pPr>
              <w:spacing w:after="160" w:line="278" w:lineRule="auto"/>
              <w:rPr>
                <w:rFonts w:ascii="宋体" w:hAnsi="宋体" w:eastAsia="宋体"/>
                <w:szCs w:val="21"/>
              </w:rPr>
            </w:pPr>
          </w:p>
        </w:tc>
        <w:tc>
          <w:tcPr>
            <w:tcW w:w="0" w:type="auto"/>
            <w:tcBorders>
              <w:top w:val="nil"/>
              <w:left w:val="nil"/>
              <w:bottom w:val="single" w:color="auto" w:sz="4" w:space="0"/>
              <w:right w:val="single" w:color="auto" w:sz="4" w:space="0"/>
            </w:tcBorders>
            <w:vAlign w:val="center"/>
          </w:tcPr>
          <w:p w14:paraId="187594D1">
            <w:pPr>
              <w:spacing w:after="160" w:line="278" w:lineRule="auto"/>
              <w:jc w:val="left"/>
              <w:rPr>
                <w:rFonts w:hint="eastAsia" w:ascii="宋体" w:hAnsi="宋体" w:eastAsia="宋体"/>
                <w:szCs w:val="21"/>
              </w:rPr>
            </w:pPr>
            <w:r>
              <w:rPr>
                <w:rFonts w:hint="eastAsia" w:ascii="宋体" w:hAnsi="宋体" w:eastAsia="宋体"/>
                <w:szCs w:val="21"/>
              </w:rPr>
              <w:t>设备管理</w:t>
            </w:r>
          </w:p>
        </w:tc>
        <w:tc>
          <w:tcPr>
            <w:tcW w:w="0" w:type="auto"/>
            <w:tcBorders>
              <w:top w:val="single" w:color="auto" w:sz="4" w:space="0"/>
              <w:left w:val="nil"/>
              <w:bottom w:val="single" w:color="auto" w:sz="4" w:space="0"/>
              <w:right w:val="single" w:color="auto" w:sz="4" w:space="0"/>
            </w:tcBorders>
            <w:vAlign w:val="center"/>
          </w:tcPr>
          <w:p w14:paraId="71DAE040">
            <w:pPr>
              <w:spacing w:after="160" w:line="278" w:lineRule="auto"/>
              <w:jc w:val="left"/>
              <w:rPr>
                <w:rFonts w:hint="eastAsia" w:ascii="宋体" w:hAnsi="宋体" w:eastAsia="宋体"/>
                <w:szCs w:val="21"/>
              </w:rPr>
            </w:pPr>
            <w:r>
              <w:rPr>
                <w:rFonts w:hint="eastAsia" w:ascii="宋体" w:hAnsi="宋体" w:eastAsia="宋体"/>
                <w:szCs w:val="21"/>
              </w:rPr>
              <w:t>通过选择设备等单体，查询单体设备实时信息，以浮动窗口展示相应的实时运行参数、状态数据、参数设置、资产信息等</w:t>
            </w:r>
          </w:p>
        </w:tc>
      </w:tr>
      <w:tr w14:paraId="2F3A7DEB">
        <w:tblPrEx>
          <w:tblCellMar>
            <w:top w:w="0" w:type="dxa"/>
            <w:left w:w="108" w:type="dxa"/>
            <w:bottom w:w="0" w:type="dxa"/>
            <w:right w:w="108" w:type="dxa"/>
          </w:tblCellMar>
        </w:tblPrEx>
        <w:trPr>
          <w:trHeight w:val="9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A0AE278">
            <w:pPr>
              <w:spacing w:after="160" w:line="278" w:lineRule="auto"/>
              <w:rPr>
                <w:rFonts w:ascii="宋体" w:hAnsi="宋体" w:eastAsia="宋体"/>
                <w:szCs w:val="21"/>
              </w:rPr>
            </w:pPr>
          </w:p>
        </w:tc>
        <w:tc>
          <w:tcPr>
            <w:tcW w:w="0" w:type="auto"/>
            <w:tcBorders>
              <w:top w:val="nil"/>
              <w:left w:val="nil"/>
              <w:bottom w:val="single" w:color="auto" w:sz="4" w:space="0"/>
              <w:right w:val="single" w:color="auto" w:sz="4" w:space="0"/>
            </w:tcBorders>
            <w:vAlign w:val="center"/>
          </w:tcPr>
          <w:p w14:paraId="3E9F1067">
            <w:pPr>
              <w:spacing w:after="160" w:line="278" w:lineRule="auto"/>
              <w:jc w:val="left"/>
              <w:rPr>
                <w:rFonts w:hint="eastAsia" w:ascii="宋体" w:hAnsi="宋体" w:eastAsia="宋体"/>
                <w:szCs w:val="21"/>
              </w:rPr>
            </w:pPr>
            <w:r>
              <w:rPr>
                <w:rFonts w:hint="eastAsia" w:ascii="宋体" w:hAnsi="宋体" w:eastAsia="宋体"/>
                <w:szCs w:val="21"/>
              </w:rPr>
              <w:t>系统权限设置</w:t>
            </w:r>
          </w:p>
        </w:tc>
        <w:tc>
          <w:tcPr>
            <w:tcW w:w="0" w:type="auto"/>
            <w:tcBorders>
              <w:top w:val="single" w:color="auto" w:sz="4" w:space="0"/>
              <w:left w:val="nil"/>
              <w:bottom w:val="single" w:color="auto" w:sz="4" w:space="0"/>
              <w:right w:val="single" w:color="auto" w:sz="4" w:space="0"/>
            </w:tcBorders>
            <w:vAlign w:val="center"/>
          </w:tcPr>
          <w:p w14:paraId="77450E17">
            <w:pPr>
              <w:spacing w:after="160" w:line="278" w:lineRule="auto"/>
              <w:jc w:val="left"/>
              <w:rPr>
                <w:rFonts w:hint="eastAsia" w:ascii="宋体" w:hAnsi="宋体" w:eastAsia="宋体"/>
                <w:szCs w:val="21"/>
              </w:rPr>
            </w:pPr>
            <w:r>
              <w:rPr>
                <w:rFonts w:hint="eastAsia" w:ascii="宋体" w:hAnsi="宋体" w:eastAsia="宋体"/>
                <w:szCs w:val="21"/>
              </w:rPr>
              <w:t>系统设置中可增加系统访问账号、给不同的账号分配不同权限、不同展示画面与数据均可做不同的权限管理，还可进行报警等级设置、设备管理、企业管理等多个子用户管理</w:t>
            </w:r>
          </w:p>
        </w:tc>
      </w:tr>
      <w:tr w14:paraId="53842E40">
        <w:tblPrEx>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1FD7A0F">
            <w:pPr>
              <w:spacing w:after="160" w:line="278" w:lineRule="auto"/>
              <w:rPr>
                <w:rFonts w:ascii="宋体" w:hAnsi="宋体" w:eastAsia="宋体"/>
                <w:szCs w:val="21"/>
              </w:rPr>
            </w:pPr>
          </w:p>
        </w:tc>
        <w:tc>
          <w:tcPr>
            <w:tcW w:w="0" w:type="auto"/>
            <w:tcBorders>
              <w:top w:val="nil"/>
              <w:left w:val="nil"/>
              <w:bottom w:val="single" w:color="auto" w:sz="4" w:space="0"/>
              <w:right w:val="single" w:color="auto" w:sz="4" w:space="0"/>
            </w:tcBorders>
            <w:vAlign w:val="center"/>
          </w:tcPr>
          <w:p w14:paraId="24407B8D">
            <w:pPr>
              <w:spacing w:after="160" w:line="278" w:lineRule="auto"/>
              <w:jc w:val="left"/>
              <w:rPr>
                <w:rFonts w:hint="eastAsia" w:ascii="宋体" w:hAnsi="宋体" w:eastAsia="宋体"/>
                <w:szCs w:val="21"/>
              </w:rPr>
            </w:pPr>
            <w:r>
              <w:rPr>
                <w:rFonts w:hint="eastAsia" w:ascii="宋体" w:hAnsi="宋体" w:eastAsia="宋体"/>
                <w:szCs w:val="21"/>
              </w:rPr>
              <w:t>视频监控系统</w:t>
            </w:r>
          </w:p>
        </w:tc>
        <w:tc>
          <w:tcPr>
            <w:tcW w:w="0" w:type="auto"/>
            <w:tcBorders>
              <w:top w:val="single" w:color="auto" w:sz="4" w:space="0"/>
              <w:left w:val="nil"/>
              <w:bottom w:val="single" w:color="auto" w:sz="4" w:space="0"/>
              <w:right w:val="single" w:color="auto" w:sz="4" w:space="0"/>
            </w:tcBorders>
            <w:vAlign w:val="center"/>
          </w:tcPr>
          <w:p w14:paraId="58D08B7D">
            <w:pPr>
              <w:spacing w:after="160" w:line="278" w:lineRule="auto"/>
              <w:jc w:val="left"/>
              <w:rPr>
                <w:rFonts w:hint="eastAsia" w:ascii="宋体" w:hAnsi="宋体" w:eastAsia="宋体"/>
                <w:szCs w:val="21"/>
              </w:rPr>
            </w:pPr>
            <w:r>
              <w:rPr>
                <w:rFonts w:hint="eastAsia" w:ascii="宋体" w:hAnsi="宋体" w:eastAsia="宋体"/>
                <w:szCs w:val="21"/>
              </w:rPr>
              <w:t>实现光伏电站少人值守或无人值守利用高清视频监控（摄像头、机器人）设备，进行远程、高频、高效的智能巡视，以机器代替人工</w:t>
            </w:r>
          </w:p>
        </w:tc>
      </w:tr>
      <w:tr w14:paraId="175283FE">
        <w:tblPrEx>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0EF200D">
            <w:pPr>
              <w:spacing w:after="160" w:line="278" w:lineRule="auto"/>
              <w:rPr>
                <w:rFonts w:ascii="宋体" w:hAnsi="宋体" w:eastAsia="宋体"/>
                <w:szCs w:val="21"/>
              </w:rPr>
            </w:pPr>
          </w:p>
        </w:tc>
        <w:tc>
          <w:tcPr>
            <w:tcW w:w="0" w:type="auto"/>
            <w:tcBorders>
              <w:top w:val="nil"/>
              <w:left w:val="nil"/>
              <w:bottom w:val="single" w:color="auto" w:sz="4" w:space="0"/>
              <w:right w:val="single" w:color="auto" w:sz="4" w:space="0"/>
            </w:tcBorders>
            <w:vAlign w:val="center"/>
          </w:tcPr>
          <w:p w14:paraId="40AD3B2F">
            <w:pPr>
              <w:spacing w:after="160" w:line="278" w:lineRule="auto"/>
              <w:jc w:val="left"/>
              <w:rPr>
                <w:rFonts w:hint="eastAsia" w:ascii="宋体" w:hAnsi="宋体" w:eastAsia="宋体"/>
                <w:szCs w:val="21"/>
              </w:rPr>
            </w:pPr>
            <w:r>
              <w:rPr>
                <w:rFonts w:hint="eastAsia" w:ascii="宋体" w:hAnsi="宋体" w:eastAsia="宋体"/>
                <w:szCs w:val="21"/>
              </w:rPr>
              <w:t>环境智能监测系统</w:t>
            </w:r>
          </w:p>
        </w:tc>
        <w:tc>
          <w:tcPr>
            <w:tcW w:w="0" w:type="auto"/>
            <w:tcBorders>
              <w:top w:val="single" w:color="auto" w:sz="4" w:space="0"/>
              <w:left w:val="nil"/>
              <w:bottom w:val="single" w:color="auto" w:sz="4" w:space="0"/>
              <w:right w:val="single" w:color="auto" w:sz="4" w:space="0"/>
            </w:tcBorders>
            <w:vAlign w:val="center"/>
          </w:tcPr>
          <w:p w14:paraId="50C45736">
            <w:pPr>
              <w:spacing w:after="160" w:line="278" w:lineRule="auto"/>
              <w:jc w:val="left"/>
              <w:rPr>
                <w:rFonts w:hint="eastAsia" w:ascii="宋体" w:hAnsi="宋体" w:eastAsia="宋体"/>
                <w:szCs w:val="21"/>
              </w:rPr>
            </w:pPr>
            <w:r>
              <w:rPr>
                <w:rFonts w:hint="eastAsia" w:ascii="宋体" w:hAnsi="宋体" w:eastAsia="宋体"/>
                <w:szCs w:val="21"/>
              </w:rPr>
              <w:t>配电室环境监测及室外气象等数据监测</w:t>
            </w:r>
          </w:p>
        </w:tc>
      </w:tr>
      <w:tr w14:paraId="355CFC99">
        <w:tblPrEx>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39E64CA">
            <w:pPr>
              <w:spacing w:after="160" w:line="278" w:lineRule="auto"/>
              <w:rPr>
                <w:rFonts w:ascii="宋体" w:hAnsi="宋体" w:eastAsia="宋体"/>
                <w:szCs w:val="21"/>
              </w:rPr>
            </w:pPr>
          </w:p>
        </w:tc>
        <w:tc>
          <w:tcPr>
            <w:tcW w:w="0" w:type="auto"/>
            <w:tcBorders>
              <w:top w:val="nil"/>
              <w:left w:val="nil"/>
              <w:bottom w:val="single" w:color="auto" w:sz="4" w:space="0"/>
              <w:right w:val="single" w:color="auto" w:sz="4" w:space="0"/>
            </w:tcBorders>
            <w:vAlign w:val="center"/>
          </w:tcPr>
          <w:p w14:paraId="7E8D7817">
            <w:pPr>
              <w:spacing w:after="160" w:line="278" w:lineRule="auto"/>
              <w:jc w:val="left"/>
              <w:rPr>
                <w:rFonts w:hint="eastAsia" w:ascii="宋体" w:hAnsi="宋体" w:eastAsia="宋体"/>
                <w:szCs w:val="21"/>
              </w:rPr>
            </w:pPr>
            <w:r>
              <w:rPr>
                <w:rFonts w:hint="eastAsia" w:ascii="宋体" w:hAnsi="宋体" w:eastAsia="宋体"/>
                <w:szCs w:val="21"/>
              </w:rPr>
              <w:t>电能管理系统</w:t>
            </w:r>
          </w:p>
        </w:tc>
        <w:tc>
          <w:tcPr>
            <w:tcW w:w="0" w:type="auto"/>
            <w:tcBorders>
              <w:top w:val="single" w:color="auto" w:sz="4" w:space="0"/>
              <w:left w:val="nil"/>
              <w:bottom w:val="single" w:color="auto" w:sz="4" w:space="0"/>
              <w:right w:val="single" w:color="auto" w:sz="4" w:space="0"/>
            </w:tcBorders>
            <w:vAlign w:val="center"/>
          </w:tcPr>
          <w:p w14:paraId="1444FAFA">
            <w:pPr>
              <w:spacing w:after="160" w:line="278" w:lineRule="auto"/>
              <w:jc w:val="left"/>
              <w:rPr>
                <w:rFonts w:hint="eastAsia" w:ascii="宋体" w:hAnsi="宋体" w:eastAsia="宋体"/>
                <w:szCs w:val="21"/>
              </w:rPr>
            </w:pPr>
            <w:r>
              <w:rPr>
                <w:rFonts w:hint="eastAsia" w:ascii="宋体" w:hAnsi="宋体" w:eastAsia="宋体"/>
                <w:szCs w:val="21"/>
              </w:rPr>
              <w:t>各配电室用能，光伏发电的电能管理系统</w:t>
            </w:r>
          </w:p>
        </w:tc>
      </w:tr>
      <w:tr w14:paraId="04C43A3A">
        <w:tblPrEx>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B5340C3">
            <w:pPr>
              <w:spacing w:after="160" w:line="278" w:lineRule="auto"/>
              <w:rPr>
                <w:rFonts w:ascii="宋体" w:hAnsi="宋体" w:eastAsia="宋体"/>
                <w:szCs w:val="21"/>
              </w:rPr>
            </w:pPr>
          </w:p>
        </w:tc>
        <w:tc>
          <w:tcPr>
            <w:tcW w:w="0" w:type="auto"/>
            <w:tcBorders>
              <w:top w:val="nil"/>
              <w:left w:val="nil"/>
              <w:bottom w:val="single" w:color="auto" w:sz="4" w:space="0"/>
              <w:right w:val="single" w:color="auto" w:sz="4" w:space="0"/>
            </w:tcBorders>
            <w:vAlign w:val="center"/>
          </w:tcPr>
          <w:p w14:paraId="53E8681C">
            <w:pPr>
              <w:spacing w:after="160" w:line="278" w:lineRule="auto"/>
              <w:jc w:val="left"/>
              <w:rPr>
                <w:rFonts w:hint="eastAsia" w:ascii="宋体" w:hAnsi="宋体" w:eastAsia="宋体"/>
                <w:szCs w:val="21"/>
              </w:rPr>
            </w:pPr>
            <w:r>
              <w:rPr>
                <w:rFonts w:hint="eastAsia" w:ascii="宋体" w:hAnsi="宋体" w:eastAsia="宋体"/>
                <w:szCs w:val="21"/>
              </w:rPr>
              <w:t>多能数据集成</w:t>
            </w:r>
          </w:p>
        </w:tc>
        <w:tc>
          <w:tcPr>
            <w:tcW w:w="0" w:type="auto"/>
            <w:tcBorders>
              <w:top w:val="single" w:color="auto" w:sz="4" w:space="0"/>
              <w:left w:val="nil"/>
              <w:bottom w:val="single" w:color="auto" w:sz="4" w:space="0"/>
              <w:right w:val="single" w:color="auto" w:sz="4" w:space="0"/>
            </w:tcBorders>
            <w:vAlign w:val="center"/>
          </w:tcPr>
          <w:p w14:paraId="15EEC9E6">
            <w:pPr>
              <w:spacing w:after="160" w:line="278" w:lineRule="auto"/>
              <w:jc w:val="left"/>
              <w:rPr>
                <w:rFonts w:hint="eastAsia" w:ascii="宋体" w:hAnsi="宋体" w:eastAsia="宋体"/>
                <w:szCs w:val="21"/>
              </w:rPr>
            </w:pPr>
            <w:r>
              <w:rPr>
                <w:rFonts w:hint="eastAsia" w:ascii="宋体" w:hAnsi="宋体" w:eastAsia="宋体"/>
                <w:szCs w:val="21"/>
              </w:rPr>
              <w:t>含SCADA信息、电力监控系统信息、视频信息的数据集成</w:t>
            </w:r>
          </w:p>
        </w:tc>
      </w:tr>
      <w:tr w14:paraId="3E48075C">
        <w:tblPrEx>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6FA62FD">
            <w:pPr>
              <w:spacing w:after="160" w:line="278" w:lineRule="auto"/>
              <w:rPr>
                <w:rFonts w:ascii="宋体" w:hAnsi="宋体" w:eastAsia="宋体"/>
                <w:szCs w:val="21"/>
              </w:rPr>
            </w:pPr>
          </w:p>
        </w:tc>
        <w:tc>
          <w:tcPr>
            <w:tcW w:w="0" w:type="auto"/>
            <w:tcBorders>
              <w:top w:val="nil"/>
              <w:left w:val="nil"/>
              <w:bottom w:val="single" w:color="auto" w:sz="4" w:space="0"/>
              <w:right w:val="single" w:color="auto" w:sz="4" w:space="0"/>
            </w:tcBorders>
            <w:vAlign w:val="center"/>
          </w:tcPr>
          <w:p w14:paraId="7EB46C48">
            <w:pPr>
              <w:spacing w:after="160" w:line="278" w:lineRule="auto"/>
              <w:jc w:val="left"/>
              <w:rPr>
                <w:rFonts w:hint="eastAsia" w:ascii="宋体" w:hAnsi="宋体" w:eastAsia="宋体"/>
                <w:szCs w:val="21"/>
              </w:rPr>
            </w:pPr>
            <w:r>
              <w:rPr>
                <w:rFonts w:hint="eastAsia" w:ascii="宋体" w:hAnsi="宋体" w:eastAsia="宋体"/>
                <w:szCs w:val="21"/>
              </w:rPr>
              <w:t>信创数据库</w:t>
            </w:r>
          </w:p>
        </w:tc>
        <w:tc>
          <w:tcPr>
            <w:tcW w:w="0" w:type="auto"/>
            <w:tcBorders>
              <w:top w:val="single" w:color="auto" w:sz="4" w:space="0"/>
              <w:left w:val="nil"/>
              <w:bottom w:val="single" w:color="auto" w:sz="4" w:space="0"/>
              <w:right w:val="single" w:color="auto" w:sz="4" w:space="0"/>
            </w:tcBorders>
            <w:vAlign w:val="center"/>
          </w:tcPr>
          <w:p w14:paraId="6AAB0768">
            <w:pPr>
              <w:spacing w:after="160" w:line="278" w:lineRule="auto"/>
              <w:jc w:val="left"/>
              <w:rPr>
                <w:rFonts w:hint="eastAsia" w:ascii="宋体" w:hAnsi="宋体" w:eastAsia="宋体"/>
                <w:szCs w:val="21"/>
              </w:rPr>
            </w:pPr>
            <w:r>
              <w:rPr>
                <w:rFonts w:hint="eastAsia" w:ascii="宋体" w:hAnsi="宋体" w:eastAsia="宋体"/>
                <w:szCs w:val="21"/>
              </w:rPr>
              <w:t>信创版</w:t>
            </w:r>
          </w:p>
        </w:tc>
      </w:tr>
    </w:tbl>
    <w:p w14:paraId="454B0F4D">
      <w:pPr>
        <w:numPr>
          <w:ilvl w:val="-1"/>
          <w:numId w:val="0"/>
        </w:numPr>
        <w:rPr>
          <w:b w:val="0"/>
          <w:bCs w:val="0"/>
          <w:highlight w:val="none"/>
          <w:lang w:val="en-US"/>
        </w:rPr>
      </w:pPr>
    </w:p>
    <w:p w14:paraId="55A3C604">
      <w:pPr>
        <w:widowControl/>
        <w:numPr>
          <w:ilvl w:val="255"/>
          <w:numId w:val="0"/>
        </w:numPr>
        <w:spacing w:line="360" w:lineRule="auto"/>
        <w:ind w:firstLine="9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六</w:t>
      </w:r>
      <w:r>
        <w:rPr>
          <w:rFonts w:ascii="宋体" w:hAnsi="宋体" w:eastAsia="宋体" w:cs="宋体"/>
          <w:b/>
          <w:bCs/>
          <w:color w:val="auto"/>
          <w:szCs w:val="21"/>
          <w:highlight w:val="none"/>
        </w:rPr>
        <w:t>、质量及安全保障</w:t>
      </w:r>
    </w:p>
    <w:p w14:paraId="649C2C09">
      <w:pPr>
        <w:wordWrap w:val="0"/>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1、质量要求</w:t>
      </w:r>
    </w:p>
    <w:p w14:paraId="60450C73">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（1）达到国家或光伏、电力行业质量检验评定的</w:t>
      </w:r>
      <w:r>
        <w:rPr>
          <w:rFonts w:hint="eastAsia" w:ascii="宋体" w:hAnsi="宋体" w:eastAsia="宋体" w:cs="宋体"/>
          <w:color w:val="auto"/>
          <w:szCs w:val="21"/>
          <w:highlight w:val="none"/>
          <w:u w:val="single"/>
        </w:rPr>
        <w:t xml:space="preserve"> 合格 </w:t>
      </w:r>
      <w:r>
        <w:rPr>
          <w:rFonts w:hint="eastAsia" w:ascii="宋体" w:hAnsi="宋体" w:eastAsia="宋体" w:cs="宋体"/>
          <w:color w:val="auto"/>
          <w:szCs w:val="21"/>
          <w:highlight w:val="none"/>
        </w:rPr>
        <w:t>标准。</w:t>
      </w:r>
    </w:p>
    <w:p w14:paraId="618FAEE9">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（2）建立健全质量保证体系，并保证其正常运作。</w:t>
      </w:r>
    </w:p>
    <w:p w14:paraId="55CB459A">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（3）加强安装调试过程控制，设专人对安装质量进行跟踪检查。</w:t>
      </w:r>
    </w:p>
    <w:p w14:paraId="14A03B06">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（4）对项目质量的检查严格执行三检制（自检、互检、专检）。</w:t>
      </w:r>
    </w:p>
    <w:p w14:paraId="27E5B88F">
      <w:pPr>
        <w:wordWrap w:val="0"/>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2、安全保证措施</w:t>
      </w:r>
    </w:p>
    <w:p w14:paraId="57CD8438">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（1）建立安全生产体系，制定详细的安全保证措施，加强安全管理，保证安全生产无事故。</w:t>
      </w:r>
    </w:p>
    <w:p w14:paraId="379ECEE6">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（2）项目现场的布置符合防火、防爆、防雷电等安全规定及文明施工的要求。项目现场生活办公用房、仓库、材料堆放场按批准的总平面布置图进行布置。</w:t>
      </w:r>
    </w:p>
    <w:p w14:paraId="40841FA2">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（3）现场道路保持畅通，危险地点悬挂安全警示标牌，项目现场设置安全宣传标语。</w:t>
      </w:r>
    </w:p>
    <w:p w14:paraId="5D709B49">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（4）各类房屋、库棚、料场等安全消防距离符合有关规定，现场易燃杂物随时清理，严禁在有火种的场所或其近旁堆放易燃物品。</w:t>
      </w:r>
    </w:p>
    <w:p w14:paraId="2A5757AB">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（5）成品保护措施：脆弱屋面在实施前应采集承载数据，经结构荷载计算光伏荷载≤0.71KN/m</w:t>
      </w:r>
      <w:r>
        <w:rPr>
          <w:rFonts w:hint="eastAsia" w:ascii="宋体" w:hAnsi="宋体" w:eastAsia="宋体" w:cs="宋体"/>
          <w:color w:val="auto"/>
          <w:szCs w:val="21"/>
          <w:highlight w:val="none"/>
          <w:vertAlign w:val="superscript"/>
        </w:rPr>
        <w:t>2</w:t>
      </w:r>
      <w:r>
        <w:rPr>
          <w:rFonts w:hint="eastAsia" w:ascii="宋体" w:hAnsi="宋体" w:eastAsia="宋体" w:cs="宋体"/>
          <w:color w:val="auto"/>
          <w:szCs w:val="21"/>
          <w:highlight w:val="none"/>
        </w:rPr>
        <w:t>，符合承载要求才可进行安装；应采取避免集中受力的保证措施，如架设轻质木板或其他增大受力面积的保证措施，同时必须优先安装运维通道，避免屋面因集中受力变形破裂受损。如因保护措施不足，使原有屋面受损，投标人应承担维修责任及费用，情况严重的，招标人有权要求投标人按照招标人遭受的损失进行赔偿。</w:t>
      </w:r>
    </w:p>
    <w:p w14:paraId="3C86409D">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（6）项目现场的临时用电严格按照《建筑与市政工程施工现场临时用电安全技术标准》JGJ/46-2024 的规定执行，严格按照三相五线制布设电线，做到二级保护，三级控制，一机一闸，同时需出专项方案。</w:t>
      </w:r>
    </w:p>
    <w:p w14:paraId="53CF8B3D">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（7）项目现场的高处作业严格按照《</w:t>
      </w:r>
      <w:bookmarkStart w:id="1" w:name="OLE_LINK126"/>
      <w:r>
        <w:rPr>
          <w:rFonts w:hint="eastAsia" w:ascii="宋体" w:hAnsi="宋体" w:eastAsia="宋体" w:cs="宋体"/>
          <w:color w:val="auto"/>
          <w:szCs w:val="21"/>
          <w:highlight w:val="none"/>
        </w:rPr>
        <w:t>建筑施工高处作业安全技术规范</w:t>
      </w:r>
      <w:bookmarkEnd w:id="1"/>
      <w:r>
        <w:rPr>
          <w:rFonts w:hint="eastAsia" w:ascii="宋体" w:hAnsi="宋体" w:eastAsia="宋体" w:cs="宋体"/>
          <w:color w:val="auto"/>
          <w:szCs w:val="21"/>
          <w:highlight w:val="none"/>
        </w:rPr>
        <w:t>》JGJ80-2016的规定落实安全措施，正确佩戴五点式安全带（绳）、安全帽，同时需出</w:t>
      </w:r>
      <w:bookmarkStart w:id="2" w:name="OLE_LINK85"/>
      <w:r>
        <w:rPr>
          <w:rFonts w:hint="eastAsia" w:ascii="宋体" w:hAnsi="宋体" w:eastAsia="宋体" w:cs="宋体"/>
          <w:color w:val="auto"/>
          <w:szCs w:val="21"/>
          <w:highlight w:val="none"/>
        </w:rPr>
        <w:t>专项方案</w:t>
      </w:r>
      <w:bookmarkEnd w:id="2"/>
      <w:r>
        <w:rPr>
          <w:rFonts w:hint="eastAsia" w:ascii="宋体" w:hAnsi="宋体" w:eastAsia="宋体" w:cs="宋体"/>
          <w:color w:val="auto"/>
          <w:szCs w:val="21"/>
          <w:highlight w:val="none"/>
        </w:rPr>
        <w:t>。</w:t>
      </w:r>
    </w:p>
    <w:p w14:paraId="3762C5C8">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（8）项目现场的吊装作业必须设置警戒区域，禁止人员跟随物体起吊，禁止人员站在吊物作业范围内下方，同时需出</w:t>
      </w:r>
      <w:bookmarkStart w:id="3" w:name="OLE_LINK86"/>
      <w:r>
        <w:rPr>
          <w:rFonts w:hint="eastAsia" w:ascii="宋体" w:hAnsi="宋体" w:eastAsia="宋体" w:cs="宋体"/>
          <w:color w:val="auto"/>
          <w:szCs w:val="21"/>
          <w:highlight w:val="none"/>
        </w:rPr>
        <w:t>专项方案</w:t>
      </w:r>
      <w:bookmarkEnd w:id="3"/>
      <w:r>
        <w:rPr>
          <w:rFonts w:hint="eastAsia" w:ascii="宋体" w:hAnsi="宋体" w:eastAsia="宋体" w:cs="宋体"/>
          <w:color w:val="auto"/>
          <w:szCs w:val="21"/>
          <w:highlight w:val="none"/>
        </w:rPr>
        <w:t>。</w:t>
      </w:r>
    </w:p>
    <w:p w14:paraId="4F23DFC6">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（9）项目现场的动火作业点应落实消防安全措施，清理周边易燃、可燃物体，设置灭火毯、灭火器等设施，严禁在禁火区域进行动火，同时需出</w:t>
      </w:r>
      <w:bookmarkStart w:id="4" w:name="OLE_LINK87"/>
      <w:r>
        <w:rPr>
          <w:rFonts w:hint="eastAsia" w:ascii="宋体" w:hAnsi="宋体" w:eastAsia="宋体" w:cs="宋体"/>
          <w:color w:val="auto"/>
          <w:szCs w:val="21"/>
          <w:highlight w:val="none"/>
        </w:rPr>
        <w:t>专项方案</w:t>
      </w:r>
      <w:bookmarkEnd w:id="4"/>
      <w:r>
        <w:rPr>
          <w:rFonts w:hint="eastAsia" w:ascii="宋体" w:hAnsi="宋体" w:eastAsia="宋体" w:cs="宋体"/>
          <w:color w:val="auto"/>
          <w:szCs w:val="21"/>
          <w:highlight w:val="none"/>
        </w:rPr>
        <w:t>。</w:t>
      </w:r>
    </w:p>
    <w:p w14:paraId="157D619B">
      <w:pPr>
        <w:tabs>
          <w:tab w:val="left" w:pos="360"/>
        </w:tabs>
        <w:spacing w:line="360" w:lineRule="auto"/>
        <w:ind w:firstLine="420" w:firstLineChars="200"/>
        <w:rPr>
          <w:rFonts w:ascii="宋体" w:hAnsi="宋体" w:eastAsia="宋体" w:cs="宋体"/>
          <w:b/>
          <w:bCs/>
          <w:color w:val="auto"/>
          <w:szCs w:val="21"/>
          <w:highlight w:val="none"/>
        </w:rPr>
      </w:pPr>
      <w:r>
        <w:rPr>
          <w:rFonts w:hint="eastAsia" w:ascii="宋体" w:hAnsi="宋体" w:eastAsia="宋体" w:cs="宋体"/>
          <w:color w:val="auto"/>
          <w:szCs w:val="21"/>
          <w:highlight w:val="none"/>
        </w:rPr>
        <w:t>（10）项目现场设立安全警示牌。危险区域必须悬挂“临边区域，当心坠落”、“高空作业，当心坠落”、“小心踏空，以防坠落”、“以防坠落，请勿攀爬”、“吊装作业，请勿靠近”、“高压有电，请勿靠近”、“当心触电”、“注意安全 ”、“严禁烟火”、“禁止通行”或“高空作业，系好安全带”、“必须系安全带”、“必须戴安全帽”等警示标志。</w:t>
      </w:r>
    </w:p>
    <w:p w14:paraId="429EE717">
      <w:pPr>
        <w:widowControl/>
        <w:spacing w:line="360" w:lineRule="auto"/>
        <w:ind w:firstLine="90"/>
        <w:rPr>
          <w:rFonts w:ascii="宋体" w:hAnsi="宋体" w:eastAsia="宋体" w:cs="宋体"/>
          <w:b/>
          <w:color w:val="auto"/>
          <w:szCs w:val="21"/>
          <w:highlight w:val="none"/>
        </w:rPr>
      </w:pPr>
      <w:r>
        <w:rPr>
          <w:rFonts w:hint="eastAsia" w:ascii="宋体" w:hAnsi="宋体" w:eastAsia="宋体" w:cs="宋体"/>
          <w:b/>
          <w:bCs/>
          <w:color w:val="auto"/>
          <w:szCs w:val="21"/>
          <w:highlight w:val="none"/>
        </w:rPr>
        <w:t>七</w:t>
      </w:r>
      <w:r>
        <w:rPr>
          <w:rFonts w:ascii="宋体" w:hAnsi="宋体" w:eastAsia="宋体" w:cs="宋体"/>
          <w:b/>
          <w:color w:val="auto"/>
          <w:szCs w:val="21"/>
          <w:highlight w:val="none"/>
        </w:rPr>
        <w:t>、</w:t>
      </w:r>
      <w:bookmarkStart w:id="5" w:name="OLE_LINK324"/>
      <w:r>
        <w:rPr>
          <w:rFonts w:ascii="宋体" w:hAnsi="宋体" w:eastAsia="宋体" w:cs="宋体"/>
          <w:b/>
          <w:color w:val="auto"/>
          <w:szCs w:val="21"/>
          <w:highlight w:val="none"/>
        </w:rPr>
        <w:t>安全运维技术要求</w:t>
      </w:r>
      <w:bookmarkEnd w:id="5"/>
    </w:p>
    <w:p w14:paraId="72AC4327">
      <w:pPr>
        <w:wordWrap w:val="0"/>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1、安全运维要求</w:t>
      </w:r>
    </w:p>
    <w:p w14:paraId="152892FC">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投标人应当在光伏系统并网成功后在招标人要求时间内，按投标文件及合同约定制定相应的运维制度，成立专门的管理团队，编制运维方案，确保光伏设施的安全运行；投标人在质保期内需配合招标人进行运维管理。</w:t>
      </w:r>
    </w:p>
    <w:p w14:paraId="0DDF015A">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（2）质保期内投标人应确保光伏系统安全、稳定、可靠运行，定期派人检查、监管和记录项目的运行情况，并定期汇总给招标人安全运维部门。</w:t>
      </w:r>
    </w:p>
    <w:p w14:paraId="2ECEEF3E">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（3）投标人对光伏系统提供一年的运营维护服务，负责项目照管责任并承担全部运营维护所需费用。</w:t>
      </w:r>
    </w:p>
    <w:p w14:paraId="46724394">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（4）投标人承诺对光伏系统提供质保期内维修保养服务，并承担维修保养费用。</w:t>
      </w:r>
    </w:p>
    <w:p w14:paraId="69F0081A">
      <w:pPr>
        <w:wordWrap w:val="0"/>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2、安全运维设施</w:t>
      </w:r>
    </w:p>
    <w:p w14:paraId="404785E1">
      <w:pPr>
        <w:tabs>
          <w:tab w:val="left" w:pos="360"/>
        </w:tabs>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（1）水清洗系统</w:t>
      </w:r>
    </w:p>
    <w:p w14:paraId="3371C0CC">
      <w:pPr>
        <w:tabs>
          <w:tab w:val="left" w:pos="360"/>
        </w:tabs>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①考虑到后期光伏组件清洗，每个屋面光伏系统需设计水清洗系统，要求在光伏组件排布屋面安装水管，并在出水口加装水龙头，在每个接水口需要配置相应的计量水表。</w:t>
      </w:r>
    </w:p>
    <w:p w14:paraId="5B927374">
      <w:pPr>
        <w:tabs>
          <w:tab w:val="left" w:pos="360"/>
        </w:tabs>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②水清洗系统冲洗端水压不足（压力小于0.2MPa时）需加装增压泵，出口压力可调节，最小出口压力保证每个终端同时开启时冲洗压力大于0.2MPa，泵入口设置可拆卸式滤网保证冲洗水不含杂质。</w:t>
      </w:r>
    </w:p>
    <w:p w14:paraId="12624597">
      <w:pPr>
        <w:tabs>
          <w:tab w:val="left" w:pos="360"/>
        </w:tabs>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③所有的冲洗水管采用PPR热熔管，清洗水管管网放在通道上，水管拖长不超过50米且不能放在光伏组件上，在棚架光伏组件面每25米设置一个水龙头，按只能走通道的原则来布置水龙头。</w:t>
      </w:r>
    </w:p>
    <w:p w14:paraId="0DDFE43B">
      <w:pPr>
        <w:tabs>
          <w:tab w:val="left" w:pos="360"/>
        </w:tabs>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④水管、水龙头应安装整齐、牢固，外观无明显破损和质量问题。</w:t>
      </w:r>
    </w:p>
    <w:p w14:paraId="4527B265">
      <w:pPr>
        <w:tabs>
          <w:tab w:val="left" w:pos="360"/>
        </w:tabs>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⑤混凝土屋顶原排水系统不足以及时排水或建筑物业主方要求增加新的排水管时需设计安装引到地面的排水管</w:t>
      </w:r>
      <w:r>
        <w:rPr>
          <w:rFonts w:hint="eastAsia" w:ascii="宋体" w:hAnsi="宋体" w:eastAsia="宋体" w:cs="宋体"/>
          <w:color w:val="auto"/>
          <w:szCs w:val="21"/>
          <w:highlight w:val="none"/>
        </w:rPr>
        <w:t>。</w:t>
      </w:r>
    </w:p>
    <w:p w14:paraId="4D5D70D6">
      <w:pPr>
        <w:tabs>
          <w:tab w:val="left" w:pos="360"/>
        </w:tabs>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（2）运维通道</w:t>
      </w:r>
    </w:p>
    <w:p w14:paraId="571AAD27">
      <w:pPr>
        <w:tabs>
          <w:tab w:val="left" w:pos="360"/>
        </w:tabs>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各项目根据组件排布设置合理的运维通道，确保方便运维人员进行运维。运维通道应连成一体，并和水管、桥架等统一布置。</w:t>
      </w:r>
    </w:p>
    <w:p w14:paraId="21A8AF0B">
      <w:pPr>
        <w:tabs>
          <w:tab w:val="left" w:pos="360"/>
        </w:tabs>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A.混凝土屋面光伏结构棚面中间设置花纹钢板运维通道，通道能直达到检修楼梯平台且不影响光伏系统件的正常运行。运维花纹钢板要求如下：</w:t>
      </w:r>
    </w:p>
    <w:p w14:paraId="7422AEDE">
      <w:pPr>
        <w:tabs>
          <w:tab w:val="left" w:pos="360"/>
        </w:tabs>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①花纹钢板材质采用</w:t>
      </w:r>
      <w:r>
        <w:rPr>
          <w:rFonts w:hint="eastAsia" w:ascii="宋体" w:hAnsi="宋体" w:eastAsia="宋体" w:cs="宋体"/>
          <w:color w:val="auto"/>
          <w:szCs w:val="21"/>
          <w:highlight w:val="none"/>
          <w:lang w:val="en-US" w:eastAsia="zh-CN"/>
        </w:rPr>
        <w:t>镀镁铝锌</w:t>
      </w:r>
      <w:r>
        <w:rPr>
          <w:rFonts w:ascii="宋体" w:hAnsi="宋体" w:eastAsia="宋体" w:cs="宋体"/>
          <w:color w:val="auto"/>
          <w:szCs w:val="21"/>
          <w:highlight w:val="none"/>
        </w:rPr>
        <w:t>，花纹钢板的重量</w:t>
      </w:r>
      <w:r>
        <w:rPr>
          <w:rFonts w:hint="eastAsia" w:ascii="宋体" w:hAnsi="宋体" w:eastAsia="宋体" w:cs="宋体"/>
          <w:color w:val="auto"/>
          <w:szCs w:val="21"/>
          <w:highlight w:val="none"/>
          <w:lang w:val="en-US" w:eastAsia="zh-CN"/>
        </w:rPr>
        <w:t>不得低于23</w:t>
      </w:r>
      <w:r>
        <w:rPr>
          <w:rFonts w:ascii="宋体" w:hAnsi="宋体" w:eastAsia="宋体" w:cs="宋体"/>
          <w:color w:val="auto"/>
          <w:szCs w:val="21"/>
          <w:highlight w:val="none"/>
        </w:rPr>
        <w:t>kg/m2，宽度不低于400mm；</w:t>
      </w:r>
    </w:p>
    <w:p w14:paraId="01CBD857">
      <w:pPr>
        <w:tabs>
          <w:tab w:val="left" w:pos="360"/>
        </w:tabs>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②花纹钢板能够满足并能覆盖整个屋面太阳能板区域运维过程中的清洗、检修等工作；</w:t>
      </w:r>
    </w:p>
    <w:p w14:paraId="7855D8C5">
      <w:pPr>
        <w:tabs>
          <w:tab w:val="left" w:pos="360"/>
        </w:tabs>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③花纹钢板与花纹钢板衔接处可靠固定，花纹钢板与光伏结构棚可靠连接；</w:t>
      </w:r>
    </w:p>
    <w:p w14:paraId="32F21095">
      <w:pPr>
        <w:tabs>
          <w:tab w:val="left" w:pos="360"/>
        </w:tabs>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④花纹钢板强度和质量，满足如下要求：确保花纹钢板不移位晃动，不下垂并满足踩踏强度要求，寿命要求25年以上；</w:t>
      </w:r>
    </w:p>
    <w:p w14:paraId="17A51F6A">
      <w:pPr>
        <w:tabs>
          <w:tab w:val="left" w:pos="360"/>
        </w:tabs>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⑤花纹钢板侧必须设置悬挂安全绳的牢固点，并参照《坠落防护水平生命线装置》GB38454-2019沿着花纹钢板加装水平生命线，确保方便运维人员安全清洗、运维。</w:t>
      </w:r>
    </w:p>
    <w:p w14:paraId="148B7C38">
      <w:pPr>
        <w:tabs>
          <w:tab w:val="left" w:pos="360"/>
        </w:tabs>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（3）检修配电箱</w:t>
      </w:r>
    </w:p>
    <w:p w14:paraId="2F25DF52">
      <w:pPr>
        <w:tabs>
          <w:tab w:val="left" w:pos="360"/>
        </w:tabs>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为方便运维人员进行后期运维作业，安装光伏系统的屋面需加装检修配电箱，做法同逆变器一样，安装户外支架或挂墙安装,箱体采用厚度≥1.5mm的</w:t>
      </w:r>
      <w:r>
        <w:rPr>
          <w:rFonts w:hint="eastAsia" w:ascii="宋体" w:hAnsi="宋体" w:eastAsia="宋体" w:cs="宋体"/>
          <w:color w:val="auto"/>
          <w:szCs w:val="21"/>
          <w:highlight w:val="none"/>
        </w:rPr>
        <w:t>304不锈钢</w:t>
      </w:r>
      <w:r>
        <w:rPr>
          <w:rFonts w:ascii="宋体" w:hAnsi="宋体" w:eastAsia="宋体" w:cs="宋体"/>
          <w:color w:val="auto"/>
          <w:szCs w:val="21"/>
          <w:highlight w:val="none"/>
        </w:rPr>
        <w:t>，防护等级不低于IP65，可靠接地，电源由</w:t>
      </w:r>
      <w:r>
        <w:rPr>
          <w:rFonts w:hint="eastAsia" w:ascii="宋体" w:hAnsi="宋体" w:eastAsia="宋体" w:cs="宋体"/>
          <w:color w:val="auto"/>
          <w:szCs w:val="21"/>
          <w:highlight w:val="none"/>
          <w:lang w:eastAsia="zh-CN"/>
        </w:rPr>
        <w:t>光伏电源</w:t>
      </w:r>
      <w:r>
        <w:rPr>
          <w:rFonts w:ascii="宋体" w:hAnsi="宋体" w:eastAsia="宋体" w:cs="宋体"/>
          <w:color w:val="auto"/>
          <w:szCs w:val="21"/>
          <w:highlight w:val="none"/>
        </w:rPr>
        <w:t>箱、逆变器交流端就近引入，开关与线缆大小的选型需满足焊接要求，同时方便视频监控系统取电。</w:t>
      </w:r>
    </w:p>
    <w:p w14:paraId="0434DBAA">
      <w:pPr>
        <w:widowControl/>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（4）安全护栏、钢直梯</w:t>
      </w:r>
    </w:p>
    <w:p w14:paraId="7DC04375">
      <w:pPr>
        <w:widowControl/>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安全护栏：运维通道两端需加装高度≥1200mm的永久热镀锌角钢、U型钢材质防护围栏，以保护运维人员的人身安全，同时也要减少护栏对光伏组件阴影遮挡影响。护栏立柱之间的间距小于1.5m，横杆之间的间距小于0.6m，护栏按间隔可靠防雷接地。护栏安装应牢固、美观，符合《建筑施工高处作业安全技术规范》JGJ80-2016。</w:t>
      </w:r>
    </w:p>
    <w:p w14:paraId="31E19318">
      <w:pPr>
        <w:widowControl/>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运维通道位置的钢直梯：为方便人员上运维通道，需要设置从屋面至光伏运维通道的钢直梯，为保证人员安全，运维通道设置护笼，钢直梯底部与屋面梁连接，顶部与光伏棚的刚结构连接，材质采用热浸锌。为满足运维人员通行需求，布设屋面至光伏运维通道钢直梯；为确保人员作业安全，运维通道钢直梯增设护笼防护。钢直梯底部与屋面梁可靠连接，顶部与光伏棚钢结构固定，构件均采用热浸锌材质制作。</w:t>
      </w:r>
    </w:p>
    <w:p w14:paraId="5DDF4E3C">
      <w:pPr>
        <w:widowControl/>
        <w:spacing w:line="360" w:lineRule="auto"/>
        <w:ind w:left="0" w:leftChars="0"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八、</w:t>
      </w:r>
      <w:bookmarkStart w:id="6" w:name="OLE_LINK326"/>
      <w:r>
        <w:rPr>
          <w:rFonts w:hint="eastAsia" w:ascii="宋体" w:hAnsi="宋体" w:eastAsia="宋体" w:cs="宋体"/>
          <w:b/>
          <w:bCs/>
          <w:color w:val="auto"/>
          <w:szCs w:val="21"/>
          <w:highlight w:val="none"/>
        </w:rPr>
        <w:t>消防要求</w:t>
      </w:r>
      <w:bookmarkEnd w:id="6"/>
    </w:p>
    <w:p w14:paraId="40B9866D">
      <w:pPr>
        <w:wordWrap w:val="0"/>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1、主要设计原则、功能及配置</w:t>
      </w:r>
    </w:p>
    <w:p w14:paraId="136044F8">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本项目依据国家有关消防条例、规范进行设计，本着“预防为主、防消结合 ”的消防工作方针，消防系统的设置以加强自身防范力量为主，立足于自救，同时与消防部门联防，做到“防患于未然”，从积极的方面预防火灾的发生及蔓延。变电站内电气设备较多，消防设计的重点是防止电气火灾。</w:t>
      </w:r>
    </w:p>
    <w:p w14:paraId="5E9D4F7A">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（1）对设有电气仪表设备的房间，应配置移动式气体灭火器和手动火灾报警（警铃）。</w:t>
      </w:r>
    </w:p>
    <w:p w14:paraId="4EF43442">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（2）对光伏组件屋面应按方阵、逆变器数量配置干粉灭火器和消防沙，用于发电单元电气设备的灭火。</w:t>
      </w:r>
    </w:p>
    <w:p w14:paraId="2A08AA55">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根据“预防为主、防消结合”的原则，本着减少着火几率，阻止电缆着火延燃及窜燃的目的，结合现场实际情况，主要采取“封”“堵”“隔”“涂”等技术措施，封堵施工按照国家及行业有关标准和以往的电缆防火封堵措施并结合电站实际情况进行，交流电缆采用阻燃型。安装主要达到《电气装置安装工程 电缆线路施工及验收标准》GB50168-2018。</w:t>
      </w:r>
    </w:p>
    <w:p w14:paraId="72EC681A">
      <w:pPr>
        <w:wordWrap w:val="0"/>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2、消防设计及消防验收</w:t>
      </w:r>
    </w:p>
    <w:p w14:paraId="24B721FE">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投标人须依据《中华人民共和国消防法》、《建设工程消防设计审查验收管理暂行规定》等法律法规及当地消防管理部门的要求，完成如下事项（包括但不限于）:</w:t>
      </w:r>
    </w:p>
    <w:p w14:paraId="1F0142BF">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（1）光伏发电项目的消防设计及备案；</w:t>
      </w:r>
    </w:p>
    <w:p w14:paraId="5920A846">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（2）委托有资质的第三方机构进行消防检测，并取得消防设施检测合格证明文件；</w:t>
      </w:r>
    </w:p>
    <w:p w14:paraId="4FCCC7F3">
      <w:pPr>
        <w:tabs>
          <w:tab w:val="left" w:pos="360"/>
        </w:tabs>
        <w:spacing w:line="360" w:lineRule="auto"/>
        <w:ind w:firstLine="420" w:firstLineChars="200"/>
        <w:rPr>
          <w:rFonts w:ascii="宋体" w:hAnsi="宋体" w:eastAsia="宋体" w:cs="宋体"/>
          <w:color w:val="auto"/>
          <w:szCs w:val="21"/>
          <w:highlight w:val="none"/>
        </w:rPr>
      </w:pPr>
      <w:bookmarkStart w:id="7" w:name="OLE_LINK103"/>
      <w:r>
        <w:rPr>
          <w:rFonts w:hint="eastAsia" w:ascii="宋体" w:hAnsi="宋体" w:eastAsia="宋体" w:cs="宋体"/>
          <w:color w:val="auto"/>
          <w:szCs w:val="21"/>
          <w:highlight w:val="none"/>
        </w:rPr>
        <w:t>（3）</w:t>
      </w:r>
      <w:bookmarkStart w:id="8" w:name="OLE_LINK104"/>
      <w:r>
        <w:rPr>
          <w:rFonts w:hint="eastAsia" w:ascii="宋体" w:hAnsi="宋体" w:eastAsia="宋体" w:cs="宋体"/>
          <w:color w:val="auto"/>
          <w:szCs w:val="21"/>
          <w:highlight w:val="none"/>
        </w:rPr>
        <w:t>竣工</w:t>
      </w:r>
      <w:bookmarkEnd w:id="8"/>
      <w:r>
        <w:rPr>
          <w:rFonts w:hint="eastAsia" w:ascii="宋体" w:hAnsi="宋体" w:eastAsia="宋体" w:cs="宋体"/>
          <w:color w:val="auto"/>
          <w:szCs w:val="21"/>
          <w:highlight w:val="none"/>
        </w:rPr>
        <w:t>验收消防备案；</w:t>
      </w:r>
    </w:p>
    <w:bookmarkEnd w:id="7"/>
    <w:p w14:paraId="1CE9EBF4">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（4）如本项目被确定为抽查对象，须通过当地消防管理部门的检测检验。</w:t>
      </w:r>
    </w:p>
    <w:p w14:paraId="2EBDCEB9">
      <w:pPr>
        <w:widowControl/>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九、</w:t>
      </w:r>
      <w:bookmarkStart w:id="9" w:name="OLE_LINK327"/>
      <w:r>
        <w:rPr>
          <w:rFonts w:hint="eastAsia" w:ascii="宋体" w:hAnsi="宋体" w:eastAsia="宋体" w:cs="宋体"/>
          <w:b/>
          <w:bCs/>
          <w:color w:val="auto"/>
          <w:szCs w:val="21"/>
          <w:highlight w:val="none"/>
        </w:rPr>
        <w:t>其他</w:t>
      </w:r>
      <w:bookmarkEnd w:id="9"/>
      <w:r>
        <w:rPr>
          <w:rFonts w:hint="eastAsia" w:ascii="宋体" w:hAnsi="宋体" w:eastAsia="宋体" w:cs="宋体"/>
          <w:b/>
          <w:bCs/>
          <w:color w:val="auto"/>
          <w:szCs w:val="21"/>
          <w:highlight w:val="none"/>
        </w:rPr>
        <w:t>要求</w:t>
      </w:r>
    </w:p>
    <w:p w14:paraId="448B4E09">
      <w:pPr>
        <w:pStyle w:val="4"/>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1、工期安排：</w:t>
      </w:r>
    </w:p>
    <w:p w14:paraId="612E9AF0">
      <w:pPr>
        <w:pStyle w:val="4"/>
        <w:spacing w:line="360" w:lineRule="auto"/>
        <w:ind w:firstLine="420" w:firstLineChars="200"/>
        <w:rPr>
          <w:rFonts w:hint="eastAsia" w:hAnsi="宋体"/>
          <w:color w:val="auto"/>
          <w:highlight w:val="none"/>
          <w:lang w:eastAsia="zh-CN"/>
        </w:rPr>
      </w:pPr>
      <w:r>
        <w:rPr>
          <w:rFonts w:hint="eastAsia" w:hAnsi="宋体" w:cs="宋体"/>
          <w:color w:val="auto"/>
          <w:szCs w:val="21"/>
          <w:highlight w:val="none"/>
          <w:lang w:eastAsia="zh-CN"/>
        </w:rPr>
        <w:t>（</w:t>
      </w:r>
      <w:r>
        <w:rPr>
          <w:rFonts w:hint="eastAsia" w:hAnsi="宋体" w:cs="宋体"/>
          <w:color w:val="auto"/>
          <w:szCs w:val="21"/>
          <w:highlight w:val="none"/>
          <w:lang w:val="en-US" w:eastAsia="zh-CN"/>
        </w:rPr>
        <w:t>1）深化设计工期：合同签订之日起，</w:t>
      </w:r>
      <w:r>
        <w:rPr>
          <w:rFonts w:hint="eastAsia"/>
          <w:color w:val="auto"/>
          <w:highlight w:val="none"/>
          <w:lang w:val="en-US" w:eastAsia="zh-CN"/>
        </w:rPr>
        <w:t>10</w:t>
      </w:r>
      <w:r>
        <w:rPr>
          <w:rFonts w:hint="eastAsia"/>
          <w:color w:val="auto"/>
          <w:highlight w:val="none"/>
        </w:rPr>
        <w:t>日</w:t>
      </w:r>
      <w:r>
        <w:rPr>
          <w:rFonts w:hint="eastAsia" w:hAnsi="宋体" w:cs="宋体"/>
          <w:color w:val="auto"/>
          <w:highlight w:val="none"/>
        </w:rPr>
        <w:t>（日历日，下同）</w:t>
      </w:r>
      <w:r>
        <w:rPr>
          <w:rFonts w:hint="eastAsia" w:hAnsi="宋体"/>
          <w:color w:val="auto"/>
          <w:highlight w:val="none"/>
        </w:rPr>
        <w:t>内完成项目深化设计文件</w:t>
      </w:r>
      <w:r>
        <w:rPr>
          <w:rFonts w:hint="eastAsia" w:hAnsi="宋体"/>
          <w:color w:val="auto"/>
          <w:highlight w:val="none"/>
          <w:lang w:eastAsia="zh-CN"/>
        </w:rPr>
        <w:t>。</w:t>
      </w:r>
    </w:p>
    <w:p w14:paraId="2B0975C9">
      <w:pPr>
        <w:pStyle w:val="4"/>
        <w:spacing w:line="360" w:lineRule="auto"/>
        <w:ind w:firstLine="420" w:firstLineChars="200"/>
        <w:rPr>
          <w:rFonts w:hAnsi="宋体" w:cs="宋体"/>
          <w:color w:val="auto"/>
          <w:szCs w:val="21"/>
          <w:highlight w:val="none"/>
        </w:rPr>
      </w:pPr>
      <w:r>
        <w:rPr>
          <w:rFonts w:hint="eastAsia" w:hAnsi="宋体"/>
          <w:color w:val="auto"/>
          <w:highlight w:val="none"/>
          <w:lang w:eastAsia="zh-CN"/>
        </w:rPr>
        <w:t>（</w:t>
      </w:r>
      <w:r>
        <w:rPr>
          <w:rFonts w:hint="eastAsia" w:hAnsi="宋体"/>
          <w:color w:val="auto"/>
          <w:highlight w:val="none"/>
          <w:lang w:val="en-US" w:eastAsia="zh-CN"/>
        </w:rPr>
        <w:t>2）供货安装工期：</w:t>
      </w:r>
      <w:r>
        <w:rPr>
          <w:rFonts w:hint="eastAsia" w:hAnsi="宋体" w:cs="宋体"/>
          <w:color w:val="auto"/>
          <w:szCs w:val="21"/>
          <w:highlight w:val="none"/>
          <w:lang w:val="en-US" w:eastAsia="zh-CN"/>
        </w:rPr>
        <w:t>由招标人</w:t>
      </w:r>
      <w:r>
        <w:rPr>
          <w:rFonts w:hint="eastAsia" w:hAnsi="宋体" w:cs="宋体"/>
          <w:color w:val="auto"/>
          <w:szCs w:val="21"/>
          <w:highlight w:val="none"/>
        </w:rPr>
        <w:t>或其委托的项目管理公司签发该项目开工通知之日起1</w:t>
      </w:r>
      <w:r>
        <w:rPr>
          <w:rFonts w:hint="eastAsia" w:hAnsi="宋体" w:cs="宋体"/>
          <w:color w:val="auto"/>
          <w:szCs w:val="21"/>
          <w:highlight w:val="none"/>
          <w:lang w:val="en-US" w:eastAsia="zh-CN"/>
        </w:rPr>
        <w:t>2</w:t>
      </w:r>
      <w:r>
        <w:rPr>
          <w:rFonts w:hint="eastAsia" w:hAnsi="宋体" w:cs="宋体"/>
          <w:color w:val="auto"/>
          <w:szCs w:val="21"/>
          <w:highlight w:val="none"/>
        </w:rPr>
        <w:t>0</w:t>
      </w:r>
      <w:r>
        <w:rPr>
          <w:rFonts w:hint="eastAsia" w:hAnsi="宋体" w:cs="宋体"/>
          <w:color w:val="auto"/>
          <w:highlight w:val="none"/>
        </w:rPr>
        <w:t>日</w:t>
      </w:r>
      <w:r>
        <w:rPr>
          <w:rFonts w:hint="eastAsia" w:hAnsi="宋体" w:cs="宋体"/>
          <w:color w:val="auto"/>
          <w:szCs w:val="21"/>
          <w:highlight w:val="none"/>
        </w:rPr>
        <w:t>内完成</w:t>
      </w:r>
      <w:r>
        <w:rPr>
          <w:rFonts w:hint="eastAsia" w:hAnsi="宋体" w:cs="宋体"/>
          <w:color w:val="auto"/>
          <w:szCs w:val="21"/>
          <w:highlight w:val="none"/>
          <w:lang w:val="en-US" w:eastAsia="zh-CN"/>
        </w:rPr>
        <w:t>本</w:t>
      </w:r>
      <w:r>
        <w:rPr>
          <w:rFonts w:hint="eastAsia" w:hAnsi="宋体" w:cs="宋体"/>
          <w:color w:val="auto"/>
          <w:szCs w:val="21"/>
          <w:highlight w:val="none"/>
        </w:rPr>
        <w:t>项目所有建设内容</w:t>
      </w:r>
      <w:r>
        <w:rPr>
          <w:rFonts w:hint="eastAsia" w:hAnsi="宋体" w:cs="宋体"/>
          <w:color w:val="auto"/>
          <w:highlight w:val="none"/>
        </w:rPr>
        <w:t>（即初步验收合格）</w:t>
      </w:r>
      <w:r>
        <w:rPr>
          <w:rFonts w:hint="eastAsia" w:hAnsi="宋体" w:cs="宋体"/>
          <w:color w:val="auto"/>
          <w:szCs w:val="21"/>
          <w:highlight w:val="none"/>
        </w:rPr>
        <w:t>，建设完成后，30</w:t>
      </w:r>
      <w:r>
        <w:rPr>
          <w:rFonts w:hint="eastAsia" w:hAnsi="宋体" w:cs="宋体"/>
          <w:color w:val="auto"/>
          <w:highlight w:val="none"/>
        </w:rPr>
        <w:t>日</w:t>
      </w:r>
      <w:r>
        <w:rPr>
          <w:rFonts w:hint="eastAsia" w:hAnsi="宋体" w:cs="宋体"/>
          <w:color w:val="auto"/>
          <w:szCs w:val="21"/>
          <w:highlight w:val="none"/>
        </w:rPr>
        <w:t>内完成并网通电。若本项目未能在工期要求时间内完成工作，</w:t>
      </w:r>
      <w:r>
        <w:rPr>
          <w:rFonts w:hint="eastAsia" w:hAnsi="宋体" w:cs="宋体"/>
          <w:color w:val="auto"/>
          <w:szCs w:val="21"/>
          <w:highlight w:val="none"/>
          <w:lang w:val="en-US" w:eastAsia="zh-CN"/>
        </w:rPr>
        <w:t>中标人</w:t>
      </w:r>
      <w:r>
        <w:rPr>
          <w:rFonts w:hint="eastAsia" w:hAnsi="宋体" w:cs="宋体"/>
          <w:color w:val="auto"/>
          <w:szCs w:val="21"/>
          <w:highlight w:val="none"/>
        </w:rPr>
        <w:t>需承担违约责任，并根据</w:t>
      </w:r>
      <w:r>
        <w:rPr>
          <w:rFonts w:hint="eastAsia" w:hAnsi="宋体" w:cs="宋体"/>
          <w:color w:val="auto"/>
          <w:szCs w:val="21"/>
          <w:highlight w:val="none"/>
          <w:lang w:val="en-US" w:eastAsia="zh-CN"/>
        </w:rPr>
        <w:t>本项目</w:t>
      </w:r>
      <w:r>
        <w:rPr>
          <w:rFonts w:hint="eastAsia" w:hAnsi="宋体" w:cs="宋体"/>
          <w:color w:val="auto"/>
          <w:szCs w:val="21"/>
          <w:highlight w:val="none"/>
        </w:rPr>
        <w:t>合同约定向</w:t>
      </w:r>
      <w:r>
        <w:rPr>
          <w:rFonts w:hint="eastAsia" w:hAnsi="宋体" w:cs="宋体"/>
          <w:color w:val="auto"/>
          <w:szCs w:val="21"/>
          <w:highlight w:val="none"/>
          <w:lang w:val="en-US" w:eastAsia="zh-CN"/>
        </w:rPr>
        <w:t>招标人</w:t>
      </w:r>
      <w:r>
        <w:rPr>
          <w:rFonts w:hint="eastAsia" w:hAnsi="宋体" w:cs="宋体"/>
          <w:color w:val="auto"/>
          <w:szCs w:val="21"/>
          <w:highlight w:val="none"/>
        </w:rPr>
        <w:t>支付对应的违约金。如因供电部门审批延误、不可抗力或其他非项目</w:t>
      </w:r>
      <w:r>
        <w:rPr>
          <w:rFonts w:hint="eastAsia" w:hAnsi="宋体" w:cs="宋体"/>
          <w:color w:val="auto"/>
          <w:szCs w:val="21"/>
          <w:highlight w:val="none"/>
          <w:lang w:val="en-US" w:eastAsia="zh-CN"/>
        </w:rPr>
        <w:t>中标人</w:t>
      </w:r>
      <w:r>
        <w:rPr>
          <w:rFonts w:hint="eastAsia" w:hAnsi="宋体" w:cs="宋体"/>
          <w:color w:val="auto"/>
          <w:szCs w:val="21"/>
          <w:highlight w:val="none"/>
        </w:rPr>
        <w:t>原因且不可归责于</w:t>
      </w:r>
      <w:r>
        <w:rPr>
          <w:rFonts w:hint="eastAsia" w:hAnsi="宋体" w:cs="宋体"/>
          <w:color w:val="auto"/>
          <w:szCs w:val="21"/>
          <w:highlight w:val="none"/>
          <w:lang w:val="en-US" w:eastAsia="zh-CN"/>
        </w:rPr>
        <w:t>中标人</w:t>
      </w:r>
      <w:r>
        <w:rPr>
          <w:rFonts w:hint="eastAsia" w:hAnsi="宋体" w:cs="宋体"/>
          <w:color w:val="auto"/>
          <w:szCs w:val="21"/>
          <w:highlight w:val="none"/>
        </w:rPr>
        <w:t>的客观因素导致工期延误，则受影响</w:t>
      </w:r>
      <w:r>
        <w:rPr>
          <w:rFonts w:hint="eastAsia" w:hAnsi="宋体" w:cs="宋体"/>
          <w:color w:val="auto"/>
          <w:szCs w:val="21"/>
          <w:highlight w:val="none"/>
          <w:lang w:val="en-US" w:eastAsia="zh-CN"/>
        </w:rPr>
        <w:t>本</w:t>
      </w:r>
      <w:r>
        <w:rPr>
          <w:rFonts w:hint="eastAsia" w:hAnsi="宋体" w:cs="宋体"/>
          <w:color w:val="auto"/>
          <w:szCs w:val="21"/>
          <w:highlight w:val="none"/>
        </w:rPr>
        <w:t>项目的工期应相应顺延，顺延时长以实际延误时间为准，并经</w:t>
      </w:r>
      <w:r>
        <w:rPr>
          <w:rFonts w:hint="eastAsia" w:hAnsi="宋体" w:cs="宋体"/>
          <w:color w:val="auto"/>
          <w:szCs w:val="21"/>
          <w:highlight w:val="none"/>
          <w:lang w:val="en-US" w:eastAsia="zh-CN"/>
        </w:rPr>
        <w:t>招标人、中标人</w:t>
      </w:r>
      <w:r>
        <w:rPr>
          <w:rFonts w:hint="eastAsia" w:hAnsi="宋体" w:cs="宋体"/>
          <w:color w:val="auto"/>
          <w:szCs w:val="21"/>
          <w:highlight w:val="none"/>
        </w:rPr>
        <w:t>双方盖章确认。</w:t>
      </w:r>
    </w:p>
    <w:p w14:paraId="406357DE">
      <w:pPr>
        <w:tabs>
          <w:tab w:val="center" w:pos="3125"/>
        </w:tabs>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2、运维期：1年，自</w:t>
      </w:r>
      <w:r>
        <w:rPr>
          <w:rFonts w:hint="eastAsia" w:ascii="宋体" w:hAnsi="宋体" w:eastAsia="宋体" w:cs="宋体"/>
          <w:b/>
          <w:bCs/>
          <w:color w:val="auto"/>
          <w:szCs w:val="21"/>
          <w:highlight w:val="none"/>
          <w:lang w:val="en-US" w:eastAsia="zh-CN"/>
        </w:rPr>
        <w:t>本项目</w:t>
      </w:r>
      <w:r>
        <w:rPr>
          <w:rFonts w:hint="eastAsia" w:ascii="宋体" w:hAnsi="宋体" w:eastAsia="宋体" w:cs="宋体"/>
          <w:b/>
          <w:bCs/>
          <w:color w:val="auto"/>
          <w:szCs w:val="21"/>
          <w:highlight w:val="none"/>
        </w:rPr>
        <w:t>并网审批通过开始正式送电之日起计算。</w:t>
      </w:r>
    </w:p>
    <w:p w14:paraId="50C1AF06">
      <w:pPr>
        <w:tabs>
          <w:tab w:val="center" w:pos="3125"/>
        </w:tabs>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3、质保期：质保期为</w:t>
      </w:r>
      <w:r>
        <w:rPr>
          <w:rFonts w:hint="eastAsia" w:ascii="宋体" w:hAnsi="宋体" w:eastAsia="宋体" w:cs="宋体"/>
          <w:b/>
          <w:bCs/>
          <w:color w:val="auto"/>
          <w:szCs w:val="21"/>
          <w:highlight w:val="none"/>
          <w:lang w:val="en-US" w:eastAsia="zh-CN"/>
        </w:rPr>
        <w:t>本</w:t>
      </w:r>
      <w:r>
        <w:rPr>
          <w:rFonts w:hint="eastAsia" w:ascii="宋体" w:hAnsi="宋体" w:eastAsia="宋体" w:cs="宋体"/>
          <w:b/>
          <w:bCs/>
          <w:color w:val="auto"/>
          <w:szCs w:val="21"/>
          <w:highlight w:val="none"/>
        </w:rPr>
        <w:t>项目最终验收合格后2年。</w:t>
      </w:r>
    </w:p>
    <w:p w14:paraId="0ABA0F6C">
      <w:pPr>
        <w:tabs>
          <w:tab w:val="center" w:pos="3125"/>
        </w:tabs>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4、合同价格形式</w:t>
      </w:r>
    </w:p>
    <w:p w14:paraId="2ACB1ED0">
      <w:pPr>
        <w:tabs>
          <w:tab w:val="center" w:pos="3125"/>
        </w:tabs>
        <w:spacing w:line="360" w:lineRule="auto"/>
        <w:ind w:firstLine="420" w:firstLineChars="200"/>
        <w:rPr>
          <w:rFonts w:ascii="宋体" w:hAnsi="宋体" w:eastAsia="宋体" w:cs="宋体"/>
          <w:color w:val="auto"/>
          <w:szCs w:val="21"/>
          <w:highlight w:val="none"/>
        </w:rPr>
      </w:pPr>
      <w:bookmarkStart w:id="10" w:name="OLE_LINK454"/>
      <w:r>
        <w:rPr>
          <w:rFonts w:hint="eastAsia" w:ascii="宋体" w:hAnsi="宋体" w:eastAsia="宋体" w:cs="宋体"/>
          <w:color w:val="auto"/>
          <w:szCs w:val="21"/>
          <w:highlight w:val="none"/>
        </w:rPr>
        <w:t>（1）关于合同价格形式的约定：以暂定不含税总价、不含税固定每瓦单价总承包的方式。</w:t>
      </w:r>
    </w:p>
    <w:p w14:paraId="788D940B">
      <w:pPr>
        <w:tabs>
          <w:tab w:val="center" w:pos="3125"/>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（2）关于合同价格调整的约定：根据最终</w:t>
      </w:r>
      <w:r>
        <w:rPr>
          <w:rFonts w:hint="eastAsia" w:ascii="宋体" w:hAnsi="宋体" w:eastAsia="宋体" w:cs="宋体"/>
          <w:color w:val="auto"/>
          <w:szCs w:val="21"/>
          <w:highlight w:val="none"/>
          <w:lang w:val="en-US" w:eastAsia="zh-CN"/>
        </w:rPr>
        <w:t>结算</w:t>
      </w:r>
      <w:r>
        <w:rPr>
          <w:rFonts w:hint="eastAsia" w:ascii="宋体" w:hAnsi="宋体" w:eastAsia="宋体" w:cs="宋体"/>
          <w:color w:val="auto"/>
          <w:szCs w:val="21"/>
          <w:highlight w:val="none"/>
        </w:rPr>
        <w:t>装机容量及合同约定相应调整。</w:t>
      </w:r>
    </w:p>
    <w:p w14:paraId="42C523A0">
      <w:pPr>
        <w:tabs>
          <w:tab w:val="center" w:pos="3125"/>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注：</w:t>
      </w:r>
    </w:p>
    <w:p w14:paraId="34998E40">
      <w:pPr>
        <w:tabs>
          <w:tab w:val="center" w:pos="3125"/>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eastAsia="宋体" w:cs="宋体"/>
          <w:b/>
          <w:bCs/>
          <w:color w:val="auto"/>
          <w:szCs w:val="21"/>
          <w:highlight w:val="none"/>
          <w:u w:val="single"/>
        </w:rPr>
        <w:t>结算合同价以结算装机容量计算，按以下方式确定结算装机容量：（1）如安装并网光伏组件单块容量与投标产品一致，以并网装机容量作为结算装机容量；（2）经招标人书面提出光伏组件型号变化时，该调整范围内以并网装机容量作为结算装机容量；（3）如果中标人因产能、产品迭代等自身原因提出安装使用质量条件不低于合同约定及用户需求书的单块并网组件，且容量（对比投标产品）增大导致实际并网装机容量增大的，经招标人书面同意后，可以调整，但按并网光伏组件数量和投标产品单块组件容量计算结算装机容量</w:t>
      </w:r>
      <w:r>
        <w:rPr>
          <w:rFonts w:hint="eastAsia" w:ascii="宋体" w:hAnsi="宋体" w:eastAsia="宋体" w:cs="宋体"/>
          <w:b/>
          <w:bCs/>
          <w:color w:val="auto"/>
          <w:szCs w:val="21"/>
          <w:highlight w:val="none"/>
          <w:u w:val="single"/>
          <w:lang w:eastAsia="zh-CN"/>
        </w:rPr>
        <w:t>（即结算装机容量=投标产品单块组件容量×并网光伏组件数量）</w:t>
      </w:r>
      <w:r>
        <w:rPr>
          <w:rFonts w:hint="eastAsia" w:ascii="宋体" w:hAnsi="宋体" w:eastAsia="宋体" w:cs="宋体"/>
          <w:b/>
          <w:bCs/>
          <w:color w:val="auto"/>
          <w:szCs w:val="21"/>
          <w:highlight w:val="none"/>
          <w:u w:val="single"/>
        </w:rPr>
        <w:t>；（4）原则上，</w:t>
      </w:r>
      <w:r>
        <w:rPr>
          <w:rFonts w:hint="eastAsia" w:ascii="宋体" w:hAnsi="宋体" w:eastAsia="宋体" w:cs="宋体"/>
          <w:b/>
          <w:bCs/>
          <w:color w:val="auto"/>
          <w:szCs w:val="21"/>
          <w:highlight w:val="none"/>
          <w:u w:val="single"/>
          <w:lang w:val="en-US" w:eastAsia="zh-CN"/>
        </w:rPr>
        <w:t>本</w:t>
      </w:r>
      <w:r>
        <w:rPr>
          <w:rFonts w:hint="eastAsia" w:ascii="宋体" w:hAnsi="宋体" w:eastAsia="宋体" w:cs="宋体"/>
          <w:b/>
          <w:bCs/>
          <w:color w:val="auto"/>
          <w:szCs w:val="21"/>
          <w:highlight w:val="none"/>
          <w:u w:val="single"/>
        </w:rPr>
        <w:t>项目内建设范围（建设区域）不得改变，因招标人原因对</w:t>
      </w:r>
      <w:r>
        <w:rPr>
          <w:rFonts w:hint="eastAsia" w:ascii="宋体" w:hAnsi="宋体" w:eastAsia="宋体" w:cs="宋体"/>
          <w:b/>
          <w:bCs/>
          <w:color w:val="auto"/>
          <w:szCs w:val="21"/>
          <w:highlight w:val="none"/>
          <w:u w:val="single"/>
          <w:lang w:val="en-US" w:eastAsia="zh-CN"/>
        </w:rPr>
        <w:t>本</w:t>
      </w:r>
      <w:r>
        <w:rPr>
          <w:rFonts w:hint="eastAsia" w:ascii="宋体" w:hAnsi="宋体" w:eastAsia="宋体" w:cs="宋体"/>
          <w:b/>
          <w:bCs/>
          <w:color w:val="auto"/>
          <w:szCs w:val="21"/>
          <w:highlight w:val="none"/>
          <w:u w:val="single"/>
        </w:rPr>
        <w:t>项目内建设范围（建设区域）增减的，经招标人书面确认后，对应调整，按照前述（1）至（3）项原则确定结算装机容量</w:t>
      </w:r>
      <w:r>
        <w:rPr>
          <w:rFonts w:hint="eastAsia" w:ascii="宋体" w:hAnsi="宋体" w:eastAsia="宋体" w:cs="宋体"/>
          <w:color w:val="auto"/>
          <w:szCs w:val="21"/>
          <w:highlight w:val="none"/>
        </w:rPr>
        <w:t>。</w:t>
      </w:r>
    </w:p>
    <w:p w14:paraId="4AFBEB5B">
      <w:pPr>
        <w:tabs>
          <w:tab w:val="center" w:pos="3125"/>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②中标不含税固定每瓦单价=暂定不含税总价（即中标人的投标报价）÷暂定总装机容量（计算的单价按四舍五入保留小数点后3位小数），招标人按中标不含税固定每瓦单价×实际结算装机容量和对应的销项税额进行结算。</w:t>
      </w:r>
    </w:p>
    <w:p w14:paraId="5B848888">
      <w:pPr>
        <w:tabs>
          <w:tab w:val="center" w:pos="3125"/>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③合同暂定价格仅为便于计算使用，不作为招标人最终采购实施数量的保证。招标人的实际需求数量以实际装机容量为准，按实际的结算装机容量结算。在履行期内，中标人不得因招标人实际采购实施数量的减少或增加而要求招标人作出任何形式的补偿或赔偿，或要求招标人按暂定数量采购。 </w:t>
      </w:r>
      <w:bookmarkEnd w:id="10"/>
    </w:p>
    <w:p w14:paraId="26525D2A">
      <w:pPr>
        <w:tabs>
          <w:tab w:val="center" w:pos="3125"/>
        </w:tabs>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5、付款方式：</w:t>
      </w:r>
    </w:p>
    <w:p w14:paraId="236A53B9">
      <w:pPr>
        <w:pStyle w:val="3"/>
        <w:autoSpaceDE/>
        <w:autoSpaceDN/>
        <w:adjustRightInd/>
        <w:spacing w:line="360" w:lineRule="auto"/>
        <w:ind w:right="-28"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第一阶段：合同签订后，</w:t>
      </w:r>
      <w:r>
        <w:rPr>
          <w:rFonts w:hint="eastAsia" w:hAnsi="宋体" w:cs="宋体"/>
          <w:b w:val="0"/>
          <w:bCs w:val="0"/>
          <w:color w:val="auto"/>
          <w:sz w:val="21"/>
          <w:szCs w:val="21"/>
          <w:highlight w:val="none"/>
          <w:lang w:val="en-US"/>
        </w:rPr>
        <w:t>中标人</w:t>
      </w:r>
      <w:r>
        <w:rPr>
          <w:rFonts w:hint="eastAsia" w:hAnsi="宋体" w:cs="宋体"/>
          <w:b w:val="0"/>
          <w:bCs w:val="0"/>
          <w:color w:val="auto"/>
          <w:sz w:val="21"/>
          <w:szCs w:val="21"/>
          <w:highlight w:val="none"/>
        </w:rPr>
        <w:t>向</w:t>
      </w:r>
      <w:r>
        <w:rPr>
          <w:rFonts w:hint="eastAsia" w:hAnsi="宋体" w:cs="宋体"/>
          <w:b w:val="0"/>
          <w:bCs w:val="0"/>
          <w:color w:val="auto"/>
          <w:sz w:val="21"/>
          <w:szCs w:val="21"/>
          <w:highlight w:val="none"/>
          <w:lang w:val="en-US"/>
        </w:rPr>
        <w:t>招标人</w:t>
      </w:r>
      <w:r>
        <w:rPr>
          <w:rFonts w:hint="eastAsia" w:hAnsi="宋体" w:cs="宋体"/>
          <w:b w:val="0"/>
          <w:bCs w:val="0"/>
          <w:color w:val="auto"/>
          <w:sz w:val="21"/>
          <w:szCs w:val="21"/>
          <w:highlight w:val="none"/>
        </w:rPr>
        <w:t>提交</w:t>
      </w:r>
      <w:r>
        <w:rPr>
          <w:rFonts w:hint="eastAsia" w:ascii="宋体" w:hAnsi="宋体" w:cs="宋体"/>
          <w:b w:val="0"/>
          <w:bCs w:val="0"/>
          <w:color w:val="auto"/>
          <w:sz w:val="21"/>
          <w:szCs w:val="21"/>
          <w:highlight w:val="none"/>
        </w:rPr>
        <w:t>等额</w:t>
      </w:r>
      <w:r>
        <w:rPr>
          <w:rFonts w:hint="eastAsia" w:hAnsi="宋体" w:cs="宋体"/>
          <w:b w:val="0"/>
          <w:bCs w:val="0"/>
          <w:color w:val="auto"/>
          <w:sz w:val="21"/>
          <w:szCs w:val="21"/>
          <w:highlight w:val="none"/>
          <w:lang w:val="en-US" w:eastAsia="zh-CN"/>
        </w:rPr>
        <w:t>不可撤销银行</w:t>
      </w:r>
      <w:r>
        <w:rPr>
          <w:rFonts w:hint="eastAsia" w:ascii="宋体" w:hAnsi="宋体" w:cs="宋体"/>
          <w:b w:val="0"/>
          <w:bCs w:val="0"/>
          <w:color w:val="auto"/>
          <w:sz w:val="21"/>
          <w:szCs w:val="21"/>
          <w:highlight w:val="none"/>
        </w:rPr>
        <w:t>预付款保函</w:t>
      </w:r>
      <w:r>
        <w:rPr>
          <w:rFonts w:hint="eastAsia" w:hAnsi="宋体" w:cs="宋体"/>
          <w:b w:val="0"/>
          <w:bCs w:val="0"/>
          <w:color w:val="auto"/>
          <w:sz w:val="21"/>
          <w:szCs w:val="21"/>
          <w:highlight w:val="none"/>
        </w:rPr>
        <w:t>，经</w:t>
      </w:r>
      <w:r>
        <w:rPr>
          <w:rFonts w:hint="eastAsia" w:hAnsi="宋体" w:cs="宋体"/>
          <w:b w:val="0"/>
          <w:bCs w:val="0"/>
          <w:color w:val="auto"/>
          <w:sz w:val="21"/>
          <w:szCs w:val="21"/>
          <w:highlight w:val="none"/>
          <w:lang w:val="en-US"/>
        </w:rPr>
        <w:t>招标人</w:t>
      </w:r>
      <w:r>
        <w:rPr>
          <w:rFonts w:hint="eastAsia" w:hAnsi="宋体" w:cs="宋体"/>
          <w:b w:val="0"/>
          <w:bCs w:val="0"/>
          <w:color w:val="auto"/>
          <w:sz w:val="21"/>
          <w:szCs w:val="21"/>
          <w:highlight w:val="none"/>
        </w:rPr>
        <w:t>审核确认后，</w:t>
      </w:r>
      <w:r>
        <w:rPr>
          <w:rFonts w:hint="eastAsia" w:hAnsi="宋体" w:cs="宋体"/>
          <w:b w:val="0"/>
          <w:bCs w:val="0"/>
          <w:color w:val="auto"/>
          <w:sz w:val="21"/>
          <w:szCs w:val="21"/>
          <w:highlight w:val="none"/>
          <w:lang w:val="en-US"/>
        </w:rPr>
        <w:t>招标人</w:t>
      </w:r>
      <w:r>
        <w:rPr>
          <w:rFonts w:hint="eastAsia" w:hAnsi="宋体" w:cs="宋体"/>
          <w:b w:val="0"/>
          <w:bCs w:val="0"/>
          <w:color w:val="auto"/>
          <w:sz w:val="21"/>
          <w:szCs w:val="21"/>
          <w:highlight w:val="none"/>
        </w:rPr>
        <w:t>向</w:t>
      </w:r>
      <w:r>
        <w:rPr>
          <w:rFonts w:hint="eastAsia" w:hAnsi="宋体" w:cs="宋体"/>
          <w:b w:val="0"/>
          <w:bCs w:val="0"/>
          <w:color w:val="auto"/>
          <w:sz w:val="21"/>
          <w:szCs w:val="21"/>
          <w:highlight w:val="none"/>
          <w:lang w:val="en-US"/>
        </w:rPr>
        <w:t>中标人</w:t>
      </w:r>
      <w:r>
        <w:rPr>
          <w:rFonts w:hint="eastAsia" w:hAnsi="宋体" w:cs="宋体"/>
          <w:b w:val="0"/>
          <w:bCs w:val="0"/>
          <w:color w:val="auto"/>
          <w:sz w:val="21"/>
          <w:szCs w:val="21"/>
          <w:highlight w:val="none"/>
        </w:rPr>
        <w:t>支付</w:t>
      </w:r>
      <w:r>
        <w:rPr>
          <w:rFonts w:hint="eastAsia" w:hAnsi="宋体" w:cs="宋体"/>
          <w:b w:val="0"/>
          <w:bCs w:val="0"/>
          <w:color w:val="auto"/>
          <w:sz w:val="21"/>
          <w:szCs w:val="21"/>
          <w:highlight w:val="none"/>
          <w:lang w:val="en-US" w:eastAsia="zh-CN"/>
        </w:rPr>
        <w:t>合同</w:t>
      </w:r>
      <w:r>
        <w:rPr>
          <w:rFonts w:hint="eastAsia" w:hAnsi="宋体" w:cs="宋体"/>
          <w:b w:val="0"/>
          <w:bCs w:val="0"/>
          <w:color w:val="auto"/>
          <w:sz w:val="21"/>
          <w:szCs w:val="21"/>
          <w:highlight w:val="none"/>
        </w:rPr>
        <w:t>暂定不含税总价20%</w:t>
      </w:r>
      <w:r>
        <w:rPr>
          <w:rFonts w:hint="eastAsia" w:hAnsi="宋体" w:cs="宋体"/>
          <w:b w:val="0"/>
          <w:bCs w:val="0"/>
          <w:color w:val="auto"/>
          <w:sz w:val="21"/>
          <w:szCs w:val="21"/>
          <w:highlight w:val="none"/>
          <w:lang w:val="en-US" w:eastAsia="zh-CN"/>
        </w:rPr>
        <w:t>的预付款</w:t>
      </w:r>
      <w:r>
        <w:rPr>
          <w:rFonts w:hint="eastAsia" w:hAnsi="宋体" w:cs="宋体"/>
          <w:b w:val="0"/>
          <w:bCs w:val="0"/>
          <w:color w:val="auto"/>
          <w:sz w:val="21"/>
          <w:szCs w:val="21"/>
          <w:highlight w:val="none"/>
          <w:lang w:val="en-US"/>
        </w:rPr>
        <w:t>和对应的销项税额</w:t>
      </w:r>
      <w:r>
        <w:rPr>
          <w:rFonts w:hint="eastAsia" w:hAnsi="宋体" w:cs="宋体"/>
          <w:b w:val="0"/>
          <w:bCs w:val="0"/>
          <w:color w:val="auto"/>
          <w:sz w:val="21"/>
          <w:szCs w:val="21"/>
          <w:highlight w:val="none"/>
        </w:rPr>
        <w:t>；</w:t>
      </w:r>
    </w:p>
    <w:p w14:paraId="048515DF">
      <w:pPr>
        <w:pStyle w:val="3"/>
        <w:autoSpaceDE/>
        <w:autoSpaceDN/>
        <w:adjustRightInd/>
        <w:spacing w:line="360" w:lineRule="auto"/>
        <w:ind w:right="-28" w:firstLine="420" w:firstLineChars="200"/>
        <w:jc w:val="left"/>
        <w:rPr>
          <w:rFonts w:hint="eastAsia" w:hAnsi="宋体" w:cs="宋体"/>
          <w:b w:val="0"/>
          <w:bCs w:val="0"/>
          <w:color w:val="auto"/>
          <w:sz w:val="21"/>
          <w:szCs w:val="21"/>
          <w:highlight w:val="none"/>
        </w:rPr>
      </w:pPr>
      <w:r>
        <w:rPr>
          <w:rFonts w:hint="eastAsia" w:hAnsi="宋体" w:cs="宋体"/>
          <w:b w:val="0"/>
          <w:bCs w:val="0"/>
          <w:color w:val="auto"/>
          <w:sz w:val="21"/>
          <w:szCs w:val="21"/>
          <w:highlight w:val="none"/>
        </w:rPr>
        <w:t>第二阶段：中标人完成光伏组件铺设并经招标人确认后，招标人向中标人支付该本项目的项目暂定不含税总价的</w:t>
      </w:r>
      <w:r>
        <w:rPr>
          <w:rFonts w:hint="eastAsia" w:hAnsi="宋体" w:cs="宋体"/>
          <w:b w:val="0"/>
          <w:bCs w:val="0"/>
          <w:color w:val="auto"/>
          <w:sz w:val="21"/>
          <w:szCs w:val="21"/>
          <w:highlight w:val="none"/>
          <w:lang w:val="en-US" w:eastAsia="zh-CN"/>
        </w:rPr>
        <w:t>4</w:t>
      </w:r>
      <w:r>
        <w:rPr>
          <w:rFonts w:hint="eastAsia" w:hAnsi="宋体" w:cs="宋体"/>
          <w:b w:val="0"/>
          <w:bCs w:val="0"/>
          <w:color w:val="auto"/>
          <w:sz w:val="21"/>
          <w:szCs w:val="21"/>
          <w:highlight w:val="none"/>
        </w:rPr>
        <w:t>0%和对应的销项税额；</w:t>
      </w:r>
    </w:p>
    <w:p w14:paraId="68ED26C6">
      <w:pPr>
        <w:pStyle w:val="3"/>
        <w:autoSpaceDE/>
        <w:autoSpaceDN/>
        <w:adjustRightInd/>
        <w:spacing w:line="360" w:lineRule="auto"/>
        <w:ind w:right="-28" w:firstLine="420" w:firstLineChars="200"/>
        <w:jc w:val="left"/>
        <w:rPr>
          <w:rFonts w:hint="eastAsia" w:hAnsi="宋体" w:cs="宋体"/>
          <w:b w:val="0"/>
          <w:bCs w:val="0"/>
          <w:color w:val="auto"/>
          <w:sz w:val="21"/>
          <w:szCs w:val="21"/>
          <w:highlight w:val="none"/>
        </w:rPr>
      </w:pPr>
      <w:r>
        <w:rPr>
          <w:rFonts w:hint="eastAsia" w:hAnsi="宋体" w:cs="宋体"/>
          <w:b w:val="0"/>
          <w:bCs w:val="0"/>
          <w:color w:val="auto"/>
          <w:sz w:val="21"/>
          <w:szCs w:val="21"/>
          <w:highlight w:val="none"/>
          <w:lang w:val="en-US" w:eastAsia="zh-CN"/>
        </w:rPr>
        <w:t>第三阶段：</w:t>
      </w:r>
      <w:r>
        <w:rPr>
          <w:rFonts w:hint="eastAsia" w:hAnsi="宋体" w:cs="宋体"/>
          <w:b w:val="0"/>
          <w:bCs w:val="0"/>
          <w:color w:val="auto"/>
          <w:sz w:val="21"/>
          <w:szCs w:val="21"/>
          <w:highlight w:val="none"/>
        </w:rPr>
        <w:t>本项目完成并网验收，招标人向中标人支付该本项目的项目暂定不含税总价的20%和对应的销项税额。</w:t>
      </w:r>
    </w:p>
    <w:p w14:paraId="284EAD7B">
      <w:pPr>
        <w:pStyle w:val="3"/>
        <w:autoSpaceDE/>
        <w:autoSpaceDN/>
        <w:adjustRightInd/>
        <w:spacing w:line="360" w:lineRule="auto"/>
        <w:ind w:right="-28" w:firstLine="420" w:firstLineChars="200"/>
        <w:jc w:val="left"/>
        <w:rPr>
          <w:rFonts w:hAnsi="宋体" w:cs="宋体"/>
          <w:b w:val="0"/>
          <w:bCs w:val="0"/>
          <w:color w:val="auto"/>
          <w:sz w:val="21"/>
          <w:szCs w:val="21"/>
          <w:highlight w:val="none"/>
          <w:lang w:val="en-US"/>
        </w:rPr>
      </w:pPr>
      <w:r>
        <w:rPr>
          <w:rFonts w:hint="eastAsia" w:hAnsi="宋体" w:cs="宋体"/>
          <w:b w:val="0"/>
          <w:bCs w:val="0"/>
          <w:color w:val="auto"/>
          <w:sz w:val="21"/>
          <w:szCs w:val="21"/>
          <w:highlight w:val="none"/>
        </w:rPr>
        <w:t>第</w:t>
      </w:r>
      <w:r>
        <w:rPr>
          <w:rFonts w:hint="eastAsia" w:hAnsi="宋体" w:cs="宋体"/>
          <w:b w:val="0"/>
          <w:bCs w:val="0"/>
          <w:color w:val="auto"/>
          <w:sz w:val="21"/>
          <w:szCs w:val="21"/>
          <w:highlight w:val="none"/>
          <w:lang w:val="en-US" w:eastAsia="zh-CN"/>
        </w:rPr>
        <w:t>四</w:t>
      </w:r>
      <w:r>
        <w:rPr>
          <w:rFonts w:hint="eastAsia" w:hAnsi="宋体" w:cs="宋体"/>
          <w:b w:val="0"/>
          <w:bCs w:val="0"/>
          <w:color w:val="auto"/>
          <w:sz w:val="21"/>
          <w:szCs w:val="21"/>
          <w:highlight w:val="none"/>
        </w:rPr>
        <w:t>阶段：在</w:t>
      </w:r>
      <w:r>
        <w:rPr>
          <w:rFonts w:hint="eastAsia" w:hAnsi="宋体" w:cs="宋体"/>
          <w:b w:val="0"/>
          <w:bCs w:val="0"/>
          <w:color w:val="auto"/>
          <w:sz w:val="21"/>
          <w:szCs w:val="21"/>
          <w:highlight w:val="none"/>
          <w:lang w:eastAsia="zh-CN"/>
        </w:rPr>
        <w:t>本项目</w:t>
      </w:r>
      <w:r>
        <w:rPr>
          <w:rFonts w:hint="eastAsia" w:hAnsi="宋体" w:cs="宋体"/>
          <w:b w:val="0"/>
          <w:bCs w:val="0"/>
          <w:color w:val="auto"/>
          <w:sz w:val="21"/>
          <w:szCs w:val="21"/>
          <w:highlight w:val="none"/>
          <w:lang w:val="en-US"/>
        </w:rPr>
        <w:t>竣工</w:t>
      </w:r>
      <w:r>
        <w:rPr>
          <w:rFonts w:hint="eastAsia" w:hAnsi="宋体" w:cs="宋体"/>
          <w:b w:val="0"/>
          <w:bCs w:val="0"/>
          <w:color w:val="auto"/>
          <w:sz w:val="21"/>
          <w:szCs w:val="21"/>
          <w:highlight w:val="none"/>
        </w:rPr>
        <w:t>验收合格</w:t>
      </w:r>
      <w:r>
        <w:rPr>
          <w:rFonts w:hint="eastAsia" w:hAnsi="宋体" w:cs="宋体"/>
          <w:b w:val="0"/>
          <w:bCs w:val="0"/>
          <w:color w:val="auto"/>
          <w:sz w:val="21"/>
          <w:szCs w:val="21"/>
          <w:highlight w:val="none"/>
          <w:lang w:val="en-US"/>
        </w:rPr>
        <w:t>并</w:t>
      </w:r>
      <w:r>
        <w:rPr>
          <w:rFonts w:hint="eastAsia" w:hAnsi="宋体" w:cs="宋体"/>
          <w:b w:val="0"/>
          <w:bCs w:val="0"/>
          <w:color w:val="auto"/>
          <w:sz w:val="21"/>
          <w:szCs w:val="21"/>
          <w:highlight w:val="none"/>
        </w:rPr>
        <w:t>结算完成后，招标人向中标人支付至</w:t>
      </w:r>
      <w:r>
        <w:rPr>
          <w:rFonts w:hint="eastAsia" w:hAnsi="宋体" w:cs="宋体"/>
          <w:b w:val="0"/>
          <w:bCs w:val="0"/>
          <w:color w:val="auto"/>
          <w:sz w:val="21"/>
          <w:szCs w:val="21"/>
          <w:highlight w:val="none"/>
          <w:lang w:val="en-US" w:eastAsia="zh-CN"/>
        </w:rPr>
        <w:t>合同</w:t>
      </w:r>
      <w:r>
        <w:rPr>
          <w:rFonts w:hint="eastAsia" w:hAnsi="宋体" w:cs="宋体"/>
          <w:b w:val="0"/>
          <w:bCs w:val="0"/>
          <w:color w:val="auto"/>
          <w:sz w:val="21"/>
          <w:szCs w:val="21"/>
          <w:highlight w:val="none"/>
          <w:lang w:val="en-US"/>
        </w:rPr>
        <w:t>不含税</w:t>
      </w:r>
      <w:r>
        <w:rPr>
          <w:rFonts w:hint="eastAsia" w:hAnsi="宋体" w:cs="宋体"/>
          <w:b w:val="0"/>
          <w:bCs w:val="0"/>
          <w:color w:val="auto"/>
          <w:sz w:val="21"/>
          <w:szCs w:val="21"/>
          <w:highlight w:val="none"/>
        </w:rPr>
        <w:t>结算价款的90%</w:t>
      </w:r>
      <w:r>
        <w:rPr>
          <w:rFonts w:hint="eastAsia" w:hAnsi="宋体" w:cs="宋体"/>
          <w:b w:val="0"/>
          <w:bCs w:val="0"/>
          <w:color w:val="auto"/>
          <w:sz w:val="21"/>
          <w:szCs w:val="21"/>
          <w:highlight w:val="none"/>
          <w:lang w:val="en-US"/>
        </w:rPr>
        <w:t>和对应的销项税额。</w:t>
      </w:r>
    </w:p>
    <w:p w14:paraId="295FAE70">
      <w:pPr>
        <w:pStyle w:val="3"/>
        <w:autoSpaceDE/>
        <w:autoSpaceDN/>
        <w:adjustRightInd/>
        <w:spacing w:line="360" w:lineRule="auto"/>
        <w:ind w:right="-28" w:firstLine="420" w:firstLineChars="200"/>
        <w:jc w:val="left"/>
        <w:rPr>
          <w:rFonts w:hint="eastAsia" w:hAnsi="宋体" w:cs="宋体"/>
          <w:b w:val="0"/>
          <w:bCs w:val="0"/>
          <w:color w:val="auto"/>
          <w:sz w:val="21"/>
          <w:szCs w:val="21"/>
          <w:highlight w:val="none"/>
        </w:rPr>
      </w:pPr>
      <w:r>
        <w:rPr>
          <w:rFonts w:hint="eastAsia" w:hAnsi="宋体" w:cs="宋体"/>
          <w:b w:val="0"/>
          <w:bCs w:val="0"/>
          <w:color w:val="auto"/>
          <w:sz w:val="21"/>
          <w:szCs w:val="21"/>
          <w:highlight w:val="none"/>
        </w:rPr>
        <w:t>第五阶段：不含税总结算价的7%和对应的销项税额根据乙方一年的运维考核评价结果结算，按一年四个季度分四期进行支付。应支付费用结合季度运维考核评价（运维起始期3个月视为一个季度）结算，具体如下：</w:t>
      </w:r>
    </w:p>
    <w:p w14:paraId="2A6605C3">
      <w:pPr>
        <w:pStyle w:val="3"/>
        <w:autoSpaceDE/>
        <w:autoSpaceDN/>
        <w:adjustRightInd/>
        <w:spacing w:line="360" w:lineRule="auto"/>
        <w:ind w:right="-28" w:firstLine="420" w:firstLineChars="200"/>
        <w:jc w:val="left"/>
        <w:rPr>
          <w:rFonts w:hint="eastAsia" w:hAnsi="宋体" w:cs="宋体"/>
          <w:b w:val="0"/>
          <w:bCs w:val="0"/>
          <w:color w:val="auto"/>
          <w:sz w:val="21"/>
          <w:szCs w:val="21"/>
          <w:highlight w:val="none"/>
        </w:rPr>
      </w:pPr>
      <w:r>
        <w:rPr>
          <w:rFonts w:hint="eastAsia" w:hAnsi="宋体" w:cs="宋体"/>
          <w:b w:val="0"/>
          <w:bCs w:val="0"/>
          <w:color w:val="auto"/>
          <w:sz w:val="21"/>
          <w:szCs w:val="21"/>
          <w:highlight w:val="none"/>
        </w:rPr>
        <w:t>（1）本阶段每季度应付上述不含税总结算价的7%中的25%，即1.75%；</w:t>
      </w:r>
    </w:p>
    <w:p w14:paraId="4AC24891">
      <w:pPr>
        <w:pStyle w:val="3"/>
        <w:autoSpaceDE/>
        <w:autoSpaceDN/>
        <w:adjustRightInd/>
        <w:spacing w:line="360" w:lineRule="auto"/>
        <w:ind w:right="-28" w:firstLine="420" w:firstLineChars="200"/>
        <w:jc w:val="left"/>
        <w:rPr>
          <w:rFonts w:hint="eastAsia" w:hAnsi="宋体" w:cs="宋体"/>
          <w:b w:val="0"/>
          <w:bCs w:val="0"/>
          <w:color w:val="auto"/>
          <w:sz w:val="21"/>
          <w:szCs w:val="21"/>
          <w:highlight w:val="none"/>
        </w:rPr>
      </w:pPr>
      <w:r>
        <w:rPr>
          <w:rFonts w:hint="eastAsia" w:hAnsi="宋体" w:cs="宋体"/>
          <w:b w:val="0"/>
          <w:bCs w:val="0"/>
          <w:color w:val="auto"/>
          <w:sz w:val="21"/>
          <w:szCs w:val="21"/>
          <w:highlight w:val="none"/>
        </w:rPr>
        <w:t>（2）按季度考核评价表的评分结算当季度上述1.75%费用，评分90分以上（包括90分），按全额结算当季度费用；评分90分以下（不包括90分），按所得分数与满分的百分比结算当季度费用；</w:t>
      </w:r>
    </w:p>
    <w:p w14:paraId="5F6AB24F">
      <w:pPr>
        <w:pStyle w:val="3"/>
        <w:autoSpaceDE/>
        <w:autoSpaceDN/>
        <w:adjustRightInd/>
        <w:spacing w:line="360" w:lineRule="auto"/>
        <w:ind w:right="-28" w:firstLine="420" w:firstLineChars="200"/>
        <w:jc w:val="left"/>
        <w:rPr>
          <w:rFonts w:hint="eastAsia" w:hAnsi="宋体" w:cs="宋体"/>
          <w:b w:val="0"/>
          <w:bCs w:val="0"/>
          <w:color w:val="auto"/>
          <w:sz w:val="21"/>
          <w:szCs w:val="21"/>
          <w:highlight w:val="none"/>
          <w:lang w:val="en-US"/>
        </w:rPr>
      </w:pPr>
      <w:r>
        <w:rPr>
          <w:rFonts w:hint="eastAsia" w:hAnsi="宋体" w:cs="宋体"/>
          <w:b w:val="0"/>
          <w:bCs w:val="0"/>
          <w:color w:val="auto"/>
          <w:sz w:val="21"/>
          <w:szCs w:val="21"/>
          <w:highlight w:val="none"/>
        </w:rPr>
        <w:t>（3）本阶段每季度应付费用中标人需在下一季度第一个月按要求提供请款资料，招标人在收到请款资料后20日内进行支付。</w:t>
      </w:r>
    </w:p>
    <w:p w14:paraId="65F61CAA">
      <w:pPr>
        <w:pStyle w:val="3"/>
        <w:autoSpaceDE/>
        <w:autoSpaceDN/>
        <w:adjustRightInd/>
        <w:spacing w:line="360" w:lineRule="auto"/>
        <w:ind w:right="-28" w:firstLine="420" w:firstLineChars="200"/>
        <w:jc w:val="left"/>
        <w:rPr>
          <w:rFonts w:hint="eastAsia" w:ascii="宋体" w:hAnsi="宋体" w:eastAsia="宋体" w:cs="宋体"/>
          <w:b w:val="0"/>
          <w:bCs w:val="0"/>
          <w:color w:val="auto"/>
          <w:sz w:val="21"/>
          <w:szCs w:val="21"/>
          <w:highlight w:val="none"/>
        </w:rPr>
      </w:pPr>
      <w:r>
        <w:rPr>
          <w:rFonts w:hint="eastAsia" w:hAnsi="宋体" w:cs="宋体"/>
          <w:b w:val="0"/>
          <w:bCs w:val="0"/>
          <w:color w:val="auto"/>
          <w:sz w:val="21"/>
          <w:szCs w:val="21"/>
          <w:highlight w:val="none"/>
          <w:lang w:val="en-US"/>
        </w:rPr>
        <w:t>第</w:t>
      </w:r>
      <w:r>
        <w:rPr>
          <w:rFonts w:hint="eastAsia" w:hAnsi="宋体" w:cs="宋体"/>
          <w:b w:val="0"/>
          <w:bCs w:val="0"/>
          <w:color w:val="auto"/>
          <w:sz w:val="21"/>
          <w:szCs w:val="21"/>
          <w:highlight w:val="none"/>
          <w:lang w:val="en-US" w:eastAsia="zh-CN"/>
        </w:rPr>
        <w:t>六</w:t>
      </w:r>
      <w:r>
        <w:rPr>
          <w:rFonts w:hint="eastAsia" w:hAnsi="宋体" w:cs="宋体"/>
          <w:b w:val="0"/>
          <w:bCs w:val="0"/>
          <w:color w:val="auto"/>
          <w:sz w:val="21"/>
          <w:szCs w:val="21"/>
          <w:highlight w:val="none"/>
          <w:lang w:val="en-US"/>
        </w:rPr>
        <w:t>阶段：</w:t>
      </w:r>
      <w:r>
        <w:rPr>
          <w:rFonts w:hint="eastAsia" w:ascii="宋体" w:hAnsi="宋体" w:eastAsia="宋体" w:cs="宋体"/>
          <w:b w:val="0"/>
          <w:bCs w:val="0"/>
          <w:color w:val="auto"/>
          <w:sz w:val="21"/>
          <w:szCs w:val="21"/>
          <w:highlight w:val="none"/>
        </w:rPr>
        <w:t>结算价款的3%</w:t>
      </w:r>
      <w:r>
        <w:rPr>
          <w:rFonts w:hint="eastAsia" w:hAnsi="宋体" w:cs="宋体"/>
          <w:b w:val="0"/>
          <w:bCs w:val="0"/>
          <w:color w:val="auto"/>
          <w:sz w:val="21"/>
          <w:szCs w:val="21"/>
          <w:highlight w:val="none"/>
          <w:lang w:val="en-US" w:eastAsia="zh-CN"/>
        </w:rPr>
        <w:t>及其销项税额</w:t>
      </w:r>
      <w:r>
        <w:rPr>
          <w:rFonts w:hint="eastAsia" w:ascii="宋体" w:hAnsi="宋体" w:eastAsia="宋体" w:cs="宋体"/>
          <w:b w:val="0"/>
          <w:bCs w:val="0"/>
          <w:color w:val="auto"/>
          <w:sz w:val="21"/>
          <w:szCs w:val="21"/>
          <w:highlight w:val="none"/>
        </w:rPr>
        <w:t>留作质量保修金。若中标人按合同约定履行质量保修义务，招标人将在质保期满后无息退还剩余质量保修金。如中标人未按合同约定履行质量保修义务，招标人有权不予退还或推迟退还质量保修金。中标人可在承诺的</w:t>
      </w:r>
      <w:r>
        <w:rPr>
          <w:rFonts w:hint="eastAsia" w:hAnsi="宋体" w:cs="宋体"/>
          <w:b w:val="0"/>
          <w:bCs w:val="0"/>
          <w:color w:val="auto"/>
          <w:sz w:val="21"/>
          <w:szCs w:val="21"/>
          <w:highlight w:val="none"/>
          <w:lang w:val="en-US" w:eastAsia="zh-CN"/>
        </w:rPr>
        <w:t>项目整体</w:t>
      </w:r>
      <w:r>
        <w:rPr>
          <w:rFonts w:hint="eastAsia" w:ascii="宋体" w:hAnsi="宋体" w:eastAsia="宋体" w:cs="宋体"/>
          <w:b w:val="0"/>
          <w:bCs w:val="0"/>
          <w:color w:val="auto"/>
          <w:sz w:val="21"/>
          <w:szCs w:val="21"/>
          <w:highlight w:val="none"/>
        </w:rPr>
        <w:t>质量保修期届满前，提前申请退还质量保修金。如提前申请，中标人须向招标人提交一份担保金额与质量保修金等额、无条件、见索即付且不可撤销</w:t>
      </w:r>
      <w:r>
        <w:rPr>
          <w:rFonts w:hint="eastAsia" w:hAnsi="宋体" w:cs="宋体"/>
          <w:b w:val="0"/>
          <w:bCs w:val="0"/>
          <w:color w:val="auto"/>
          <w:sz w:val="21"/>
          <w:szCs w:val="21"/>
          <w:highlight w:val="none"/>
          <w:lang w:val="en-US" w:eastAsia="zh-CN"/>
        </w:rPr>
        <w:t>银行</w:t>
      </w:r>
      <w:r>
        <w:rPr>
          <w:rFonts w:hint="eastAsia" w:ascii="宋体" w:hAnsi="宋体" w:eastAsia="宋体" w:cs="宋体"/>
          <w:b w:val="0"/>
          <w:bCs w:val="0"/>
          <w:color w:val="auto"/>
          <w:sz w:val="21"/>
          <w:szCs w:val="21"/>
          <w:highlight w:val="none"/>
        </w:rPr>
        <w:t>质量保修保函，该</w:t>
      </w:r>
      <w:r>
        <w:rPr>
          <w:rFonts w:hint="eastAsia" w:hAnsi="宋体" w:cs="宋体"/>
          <w:b w:val="0"/>
          <w:bCs w:val="0"/>
          <w:color w:val="auto"/>
          <w:sz w:val="21"/>
          <w:szCs w:val="21"/>
          <w:highlight w:val="none"/>
          <w:lang w:val="en-US" w:eastAsia="zh-CN"/>
        </w:rPr>
        <w:t>银行</w:t>
      </w:r>
      <w:r>
        <w:rPr>
          <w:rFonts w:hint="eastAsia" w:ascii="宋体" w:hAnsi="宋体" w:eastAsia="宋体" w:cs="宋体"/>
          <w:b w:val="0"/>
          <w:bCs w:val="0"/>
          <w:color w:val="auto"/>
          <w:sz w:val="21"/>
          <w:szCs w:val="21"/>
          <w:highlight w:val="none"/>
        </w:rPr>
        <w:t>保函的有效期应覆盖</w:t>
      </w:r>
      <w:r>
        <w:rPr>
          <w:rFonts w:hint="eastAsia" w:hAnsi="宋体" w:cs="宋体"/>
          <w:b w:val="0"/>
          <w:bCs w:val="0"/>
          <w:color w:val="auto"/>
          <w:sz w:val="21"/>
          <w:szCs w:val="21"/>
          <w:highlight w:val="none"/>
          <w:lang w:val="en-US" w:eastAsia="zh-CN"/>
        </w:rPr>
        <w:t>中</w:t>
      </w:r>
      <w:r>
        <w:rPr>
          <w:rFonts w:hint="eastAsia" w:ascii="宋体" w:hAnsi="宋体" w:eastAsia="宋体" w:cs="宋体"/>
          <w:b w:val="0"/>
          <w:bCs w:val="0"/>
          <w:color w:val="auto"/>
          <w:sz w:val="21"/>
          <w:szCs w:val="21"/>
          <w:highlight w:val="none"/>
        </w:rPr>
        <w:t>标人承诺的</w:t>
      </w:r>
      <w:r>
        <w:rPr>
          <w:rFonts w:hint="eastAsia" w:hAnsi="宋体" w:cs="宋体"/>
          <w:b w:val="0"/>
          <w:bCs w:val="0"/>
          <w:color w:val="auto"/>
          <w:sz w:val="21"/>
          <w:szCs w:val="21"/>
          <w:highlight w:val="none"/>
          <w:lang w:val="en-US" w:eastAsia="zh-CN"/>
        </w:rPr>
        <w:t>项目整体</w:t>
      </w:r>
      <w:r>
        <w:rPr>
          <w:rFonts w:hint="eastAsia" w:ascii="宋体" w:hAnsi="宋体" w:eastAsia="宋体" w:cs="宋体"/>
          <w:b w:val="0"/>
          <w:bCs w:val="0"/>
          <w:color w:val="auto"/>
          <w:sz w:val="21"/>
          <w:szCs w:val="21"/>
          <w:highlight w:val="none"/>
        </w:rPr>
        <w:t>质保期限。招标人将在收到符合要求的</w:t>
      </w:r>
      <w:r>
        <w:rPr>
          <w:rFonts w:hint="eastAsia" w:hAnsi="宋体" w:cs="宋体"/>
          <w:b w:val="0"/>
          <w:bCs w:val="0"/>
          <w:color w:val="auto"/>
          <w:sz w:val="21"/>
          <w:szCs w:val="21"/>
          <w:highlight w:val="none"/>
          <w:lang w:val="en-US" w:eastAsia="zh-CN"/>
        </w:rPr>
        <w:t>银行</w:t>
      </w:r>
      <w:r>
        <w:rPr>
          <w:rFonts w:hint="eastAsia" w:ascii="宋体" w:hAnsi="宋体" w:eastAsia="宋体" w:cs="宋体"/>
          <w:b w:val="0"/>
          <w:bCs w:val="0"/>
          <w:color w:val="auto"/>
          <w:sz w:val="21"/>
          <w:szCs w:val="21"/>
          <w:highlight w:val="none"/>
        </w:rPr>
        <w:t>保函后办理退还。</w:t>
      </w:r>
    </w:p>
    <w:p w14:paraId="213AEC66">
      <w:pPr>
        <w:pStyle w:val="3"/>
        <w:autoSpaceDE/>
        <w:autoSpaceDN/>
        <w:adjustRightInd/>
        <w:spacing w:line="360" w:lineRule="auto"/>
        <w:ind w:right="-28" w:firstLine="422" w:firstLineChars="200"/>
        <w:jc w:val="left"/>
        <w:rPr>
          <w:rFonts w:hAnsi="宋体" w:cs="宋体"/>
          <w:color w:val="auto"/>
          <w:sz w:val="21"/>
          <w:szCs w:val="21"/>
          <w:highlight w:val="none"/>
        </w:rPr>
      </w:pPr>
      <w:r>
        <w:rPr>
          <w:rFonts w:hint="eastAsia" w:hAnsi="宋体" w:cs="宋体"/>
          <w:color w:val="auto"/>
          <w:sz w:val="21"/>
          <w:szCs w:val="21"/>
          <w:highlight w:val="none"/>
        </w:rPr>
        <w:t>6、</w:t>
      </w:r>
      <w:r>
        <w:rPr>
          <w:rFonts w:hint="eastAsia" w:hAnsi="宋体" w:cs="宋体"/>
          <w:color w:val="auto"/>
          <w:sz w:val="21"/>
          <w:szCs w:val="21"/>
          <w:highlight w:val="none"/>
          <w:u w:val="single"/>
        </w:rPr>
        <w:t>投标人须对本项目为单位的货物及服务进行整体投标，任何只对其中一部分内容进行的投标都被视为无效投标</w:t>
      </w:r>
      <w:r>
        <w:rPr>
          <w:rFonts w:hint="eastAsia" w:hAnsi="宋体" w:cs="宋体"/>
          <w:color w:val="auto"/>
          <w:sz w:val="21"/>
          <w:szCs w:val="21"/>
          <w:highlight w:val="none"/>
        </w:rPr>
        <w:t>。如本项目的部分安装（实施）工程需要具有相应资质才能实施但投标人不具备该项资质的，投标人应在获得招标人的书面同意后，委托具有相应资质的单位实施。</w:t>
      </w:r>
    </w:p>
    <w:p w14:paraId="57FC448C">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苹方 常规">
    <w:altName w:val="宋体"/>
    <w:panose1 w:val="00000000000000000000"/>
    <w:charset w:val="86"/>
    <w:family w:val="auto"/>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东文宋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A51F9"/>
    <w:multiLevelType w:val="singleLevel"/>
    <w:tmpl w:val="FDFA51F9"/>
    <w:lvl w:ilvl="0" w:tentative="0">
      <w:start w:val="5"/>
      <w:numFmt w:val="decimal"/>
      <w:lvlText w:val="(%1)"/>
      <w:lvlJc w:val="left"/>
      <w:pPr>
        <w:tabs>
          <w:tab w:val="left" w:pos="312"/>
        </w:tabs>
      </w:pPr>
    </w:lvl>
  </w:abstractNum>
  <w:abstractNum w:abstractNumId="1">
    <w:nsid w:val="19CB46F6"/>
    <w:multiLevelType w:val="singleLevel"/>
    <w:tmpl w:val="19CB46F6"/>
    <w:lvl w:ilvl="0" w:tentative="0">
      <w:start w:val="10"/>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C652BF"/>
    <w:rsid w:val="008A2A2D"/>
    <w:rsid w:val="00F5145D"/>
    <w:rsid w:val="0BE91440"/>
    <w:rsid w:val="10260DE8"/>
    <w:rsid w:val="14B835FE"/>
    <w:rsid w:val="162F7090"/>
    <w:rsid w:val="1E08206F"/>
    <w:rsid w:val="1E9B2A6E"/>
    <w:rsid w:val="27B96F1D"/>
    <w:rsid w:val="29A30860"/>
    <w:rsid w:val="2A476376"/>
    <w:rsid w:val="2F8F217B"/>
    <w:rsid w:val="318C75CD"/>
    <w:rsid w:val="32965AB5"/>
    <w:rsid w:val="33543845"/>
    <w:rsid w:val="34547138"/>
    <w:rsid w:val="3AD068AF"/>
    <w:rsid w:val="3D3066FE"/>
    <w:rsid w:val="40295566"/>
    <w:rsid w:val="486E1F59"/>
    <w:rsid w:val="48802209"/>
    <w:rsid w:val="50CE6A33"/>
    <w:rsid w:val="54E27B0F"/>
    <w:rsid w:val="575D4506"/>
    <w:rsid w:val="58EB5A2C"/>
    <w:rsid w:val="5C78171D"/>
    <w:rsid w:val="5DFD0713"/>
    <w:rsid w:val="615D47CA"/>
    <w:rsid w:val="61954943"/>
    <w:rsid w:val="66963DF0"/>
    <w:rsid w:val="69103F48"/>
    <w:rsid w:val="69512208"/>
    <w:rsid w:val="6986531C"/>
    <w:rsid w:val="6CC445CE"/>
    <w:rsid w:val="6DEB154F"/>
    <w:rsid w:val="6FDD19E7"/>
    <w:rsid w:val="703E4686"/>
    <w:rsid w:val="760F5DFD"/>
    <w:rsid w:val="761C7A76"/>
    <w:rsid w:val="78641564"/>
    <w:rsid w:val="79412CA5"/>
    <w:rsid w:val="7AC90F13"/>
    <w:rsid w:val="7BCC0CE6"/>
    <w:rsid w:val="7DC652BF"/>
    <w:rsid w:val="7FEF74FD"/>
    <w:rsid w:val="9FFF59EC"/>
    <w:rsid w:val="E77EB1FD"/>
    <w:rsid w:val="FF7D2085"/>
    <w:rsid w:val="FFD47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99"/>
    <w:pPr>
      <w:autoSpaceDE w:val="0"/>
      <w:autoSpaceDN w:val="0"/>
      <w:adjustRightInd w:val="0"/>
      <w:ind w:right="-26"/>
      <w:jc w:val="center"/>
    </w:pPr>
    <w:rPr>
      <w:rFonts w:ascii="宋体" w:eastAsia="宋体"/>
      <w:b/>
      <w:bCs/>
      <w:sz w:val="84"/>
      <w:szCs w:val="84"/>
      <w:lang w:val="zh-CN"/>
    </w:rPr>
  </w:style>
  <w:style w:type="paragraph" w:styleId="4">
    <w:name w:val="Plain Text"/>
    <w:basedOn w:val="1"/>
    <w:next w:val="5"/>
    <w:qFormat/>
    <w:uiPriority w:val="0"/>
    <w:rPr>
      <w:rFonts w:ascii="宋体" w:hAnsi="Courier New" w:eastAsia="宋体"/>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6">
    <w:name w:val="Normal (Web)"/>
    <w:basedOn w:val="1"/>
    <w:qFormat/>
    <w:uiPriority w:val="0"/>
    <w:rPr>
      <w:sz w:val="24"/>
    </w:rPr>
  </w:style>
  <w:style w:type="table" w:styleId="8">
    <w:name w:val="Table Grid"/>
    <w:basedOn w:val="7"/>
    <w:qFormat/>
    <w:uiPriority w:val="0"/>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table" w:customStyle="1" w:styleId="11">
    <w:name w:val="Table Normal"/>
    <w:basedOn w:val="7"/>
    <w:autoRedefine/>
    <w:semiHidden/>
    <w:qFormat/>
    <w:uiPriority w:val="0"/>
    <w:pPr>
      <w:widowControl w:val="0"/>
      <w:autoSpaceDE w:val="0"/>
      <w:autoSpaceDN w:val="0"/>
    </w:pPr>
    <w:rPr>
      <w:rFonts w:ascii="Calibri" w:hAnsi="Calibri" w:cs="Calibri"/>
      <w:sz w:val="22"/>
      <w:szCs w:val="22"/>
      <w:lang w:eastAsia="en-US"/>
    </w:rPr>
    <w:tblPr>
      <w:tblCellMar>
        <w:left w:w="0" w:type="dxa"/>
        <w:right w:w="0" w:type="dxa"/>
      </w:tblCellMar>
    </w:tblPr>
  </w:style>
  <w:style w:type="paragraph" w:customStyle="1" w:styleId="12">
    <w:name w:val="Table Text"/>
    <w:basedOn w:val="1"/>
    <w:semiHidden/>
    <w:qFormat/>
    <w:uiPriority w:val="0"/>
    <w:pPr>
      <w:widowControl/>
      <w:kinsoku w:val="0"/>
      <w:autoSpaceDE w:val="0"/>
      <w:autoSpaceDN w:val="0"/>
      <w:adjustRightInd w:val="0"/>
      <w:snapToGrid w:val="0"/>
      <w:spacing w:after="0" w:line="240" w:lineRule="auto"/>
      <w:textAlignment w:val="baseline"/>
    </w:pPr>
    <w:rPr>
      <w:rFonts w:ascii="苹方 常规" w:hAnsi="苹方 常规" w:eastAsia="苹方 常规" w:cs="苹方 常规"/>
      <w:snapToGrid w:val="0"/>
      <w:color w:val="000000"/>
      <w:kern w:val="0"/>
      <w:sz w:val="20"/>
      <w:szCs w:val="20"/>
      <w:lang w:eastAsia="en-US"/>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14599</Words>
  <Characters>15397</Characters>
  <Lines>0</Lines>
  <Paragraphs>0</Paragraphs>
  <TotalTime>6</TotalTime>
  <ScaleCrop>false</ScaleCrop>
  <LinksUpToDate>false</LinksUpToDate>
  <CharactersWithSpaces>15462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2026-02-12T22:18:00Z</dcterms:created>
  <dc:creator>周冠良</dc:creator>
  <cp:lastModifiedBy>周冠良</cp:lastModifiedBy>
  <dcterms:modified xsi:type="dcterms:W3CDTF">2026-03-25T09:37:53Z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7301E3CB128E4CAE99D593DCEE161179_13</vt:lpwstr>
  </property>
  <property fmtid="{D5CDD505-2E9C-101B-9397-08002B2CF9AE}" pid="4" name="KSOTemplateDocerSaveRecord">
    <vt:lpwstr>eyJoZGlkIjoiMzEwNTM5NzYwMDRjMzkwZTVkZjY2ODkwMGIxNGU0OTUiLCJ1c2VySWQiOiIyNzE2MzU1NjQifQ==</vt:lpwstr>
  </property>
</Properties>
</file>