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0CAF1">
      <w:pPr>
        <w:rPr>
          <w:rFonts w:ascii="宋体" w:hAnsi="宋体"/>
          <w:color w:val="auto"/>
          <w:highlight w:val="none"/>
        </w:rPr>
      </w:pPr>
    </w:p>
    <w:p w14:paraId="5AA0EC2F">
      <w:pPr>
        <w:jc w:val="center"/>
        <w:rPr>
          <w:rFonts w:hint="eastAsia" w:ascii="宋体" w:hAnsi="宋体"/>
          <w:b/>
          <w:color w:val="auto"/>
          <w:sz w:val="44"/>
          <w:szCs w:val="44"/>
          <w:highlight w:val="none"/>
          <w:lang w:eastAsia="zh-CN"/>
        </w:rPr>
      </w:pPr>
    </w:p>
    <w:p w14:paraId="44CBEBFF">
      <w:pPr>
        <w:jc w:val="center"/>
        <w:rPr>
          <w:rFonts w:hint="eastAsia" w:ascii="方正小标宋简体" w:hAnsi="方正小标宋简体" w:eastAsia="方正小标宋简体" w:cs="方正小标宋简体"/>
          <w:b/>
          <w:color w:val="auto"/>
          <w:sz w:val="44"/>
          <w:szCs w:val="44"/>
          <w:highlight w:val="none"/>
          <w:lang w:eastAsia="zh-CN"/>
        </w:rPr>
      </w:pPr>
    </w:p>
    <w:p w14:paraId="7F25D369">
      <w:pPr>
        <w:spacing w:line="360" w:lineRule="auto"/>
        <w:jc w:val="center"/>
        <w:rPr>
          <w:rFonts w:hint="eastAsia" w:ascii="方正小标宋简体" w:hAnsi="方正小标宋简体" w:eastAsia="方正小标宋简体" w:cs="方正小标宋简体"/>
          <w:sz w:val="44"/>
          <w:szCs w:val="44"/>
          <w:lang w:eastAsia="zh-CN"/>
        </w:rPr>
      </w:pPr>
      <w:bookmarkStart w:id="0" w:name="OLE_LINK4"/>
      <w:r>
        <w:rPr>
          <w:rFonts w:hint="eastAsia" w:ascii="方正小标宋简体" w:hAnsi="方正小标宋简体" w:eastAsia="方正小标宋简体" w:cs="方正小标宋简体"/>
          <w:sz w:val="44"/>
          <w:szCs w:val="44"/>
          <w:lang w:eastAsia="zh-CN"/>
        </w:rPr>
        <w:t>东莞市水务环境投资控股集团供水有限公司</w:t>
      </w:r>
    </w:p>
    <w:p w14:paraId="3B29C680">
      <w:pPr>
        <w:spacing w:line="360" w:lineRule="auto"/>
        <w:jc w:val="center"/>
        <w:rPr>
          <w:rFonts w:hint="default" w:ascii="宋体" w:hAnsi="宋体" w:eastAsia="宋体"/>
          <w:b/>
          <w:color w:val="auto"/>
          <w:sz w:val="44"/>
          <w:szCs w:val="44"/>
          <w:highlight w:val="none"/>
          <w:u w:val="none"/>
          <w:lang w:val="en-US" w:eastAsia="zh-CN"/>
        </w:rPr>
      </w:pPr>
      <w:r>
        <w:rPr>
          <w:rFonts w:hint="eastAsia" w:ascii="方正小标宋简体" w:hAnsi="方正小标宋简体" w:eastAsia="方正小标宋简体" w:cs="方正小标宋简体"/>
          <w:sz w:val="44"/>
          <w:szCs w:val="44"/>
          <w:lang w:eastAsia="zh-CN"/>
        </w:rPr>
        <w:t>拟</w:t>
      </w:r>
      <w:r>
        <w:rPr>
          <w:rFonts w:hint="eastAsia" w:ascii="方正小标宋简体" w:hAnsi="方正小标宋简体" w:eastAsia="方正小标宋简体" w:cs="方正小标宋简体"/>
          <w:sz w:val="44"/>
          <w:szCs w:val="44"/>
          <w:lang w:val="en-US" w:eastAsia="zh-CN"/>
        </w:rPr>
        <w:t>转让</w:t>
      </w:r>
      <w:r>
        <w:rPr>
          <w:rFonts w:hint="eastAsia" w:ascii="方正小标宋简体" w:hAnsi="方正小标宋简体" w:eastAsia="方正小标宋简体" w:cs="方正小标宋简体"/>
          <w:sz w:val="44"/>
          <w:szCs w:val="44"/>
          <w:lang w:eastAsia="zh-CN"/>
        </w:rPr>
        <w:t>一批资产设备</w:t>
      </w:r>
      <w:r>
        <w:rPr>
          <w:rFonts w:hint="eastAsia" w:ascii="方正小标宋简体" w:hAnsi="方正小标宋简体" w:eastAsia="方正小标宋简体" w:cs="方正小标宋简体"/>
          <w:sz w:val="44"/>
          <w:szCs w:val="44"/>
          <w:lang w:val="en-US" w:eastAsia="zh-CN"/>
        </w:rPr>
        <w:t>项目</w:t>
      </w:r>
      <w:bookmarkEnd w:id="0"/>
    </w:p>
    <w:p w14:paraId="6E15A329">
      <w:pPr>
        <w:rPr>
          <w:rFonts w:ascii="宋体" w:hAnsi="宋体"/>
          <w:color w:val="auto"/>
          <w:highlight w:val="none"/>
        </w:rPr>
      </w:pPr>
    </w:p>
    <w:p w14:paraId="69678C16">
      <w:pPr>
        <w:rPr>
          <w:rFonts w:ascii="宋体" w:hAnsi="宋体"/>
          <w:color w:val="auto"/>
          <w:highlight w:val="none"/>
        </w:rPr>
      </w:pPr>
    </w:p>
    <w:p w14:paraId="429318BB">
      <w:pPr>
        <w:rPr>
          <w:rFonts w:ascii="宋体" w:hAnsi="宋体"/>
          <w:color w:val="auto"/>
          <w:highlight w:val="none"/>
        </w:rPr>
      </w:pPr>
    </w:p>
    <w:p w14:paraId="02843087">
      <w:pPr>
        <w:rPr>
          <w:rFonts w:ascii="宋体" w:hAnsi="宋体"/>
          <w:color w:val="auto"/>
          <w:highlight w:val="none"/>
        </w:rPr>
      </w:pPr>
    </w:p>
    <w:p w14:paraId="15DEAB5A">
      <w:pPr>
        <w:rPr>
          <w:rFonts w:ascii="宋体" w:hAnsi="宋体"/>
          <w:color w:val="auto"/>
          <w:highlight w:val="none"/>
        </w:rPr>
      </w:pPr>
    </w:p>
    <w:p w14:paraId="70020247">
      <w:pPr>
        <w:jc w:val="center"/>
        <w:rPr>
          <w:rFonts w:ascii="宋体" w:hAnsi="宋体"/>
          <w:b/>
          <w:color w:val="auto"/>
          <w:sz w:val="72"/>
          <w:szCs w:val="72"/>
          <w:highlight w:val="none"/>
        </w:rPr>
      </w:pPr>
      <w:r>
        <w:rPr>
          <w:rFonts w:hint="eastAsia" w:ascii="宋体" w:hAnsi="宋体"/>
          <w:b/>
          <w:color w:val="auto"/>
          <w:sz w:val="72"/>
          <w:szCs w:val="72"/>
          <w:highlight w:val="none"/>
        </w:rPr>
        <w:t>询 价 文 件</w:t>
      </w:r>
    </w:p>
    <w:p w14:paraId="7D85E88D">
      <w:pPr>
        <w:spacing w:line="700" w:lineRule="exact"/>
        <w:ind w:right="-28" w:hanging="482"/>
        <w:jc w:val="center"/>
        <w:rPr>
          <w:rFonts w:ascii="宋体" w:hAnsi="宋体"/>
          <w:b/>
          <w:bCs/>
          <w:color w:val="auto"/>
          <w:sz w:val="32"/>
          <w:szCs w:val="32"/>
          <w:highlight w:val="none"/>
          <w:lang w:val="zh-CN"/>
        </w:rPr>
      </w:pPr>
      <w:r>
        <w:rPr>
          <w:rFonts w:hint="eastAsia" w:ascii="宋体" w:hAnsi="宋体"/>
          <w:b/>
          <w:bCs/>
          <w:color w:val="auto"/>
          <w:sz w:val="32"/>
          <w:szCs w:val="32"/>
          <w:highlight w:val="none"/>
          <w:lang w:val="en-US" w:eastAsia="zh-CN"/>
        </w:rPr>
        <w:t xml:space="preserve"> </w:t>
      </w:r>
    </w:p>
    <w:p w14:paraId="6920C27C">
      <w:pPr>
        <w:rPr>
          <w:rFonts w:ascii="宋体" w:hAnsi="宋体"/>
          <w:color w:val="auto"/>
          <w:sz w:val="52"/>
          <w:highlight w:val="none"/>
        </w:rPr>
      </w:pPr>
    </w:p>
    <w:p w14:paraId="6731AFC1">
      <w:pPr>
        <w:rPr>
          <w:rFonts w:ascii="宋体" w:hAnsi="宋体"/>
          <w:color w:val="auto"/>
          <w:sz w:val="52"/>
          <w:highlight w:val="none"/>
        </w:rPr>
      </w:pPr>
    </w:p>
    <w:p w14:paraId="3863978D">
      <w:pPr>
        <w:tabs>
          <w:tab w:val="left" w:pos="1620"/>
          <w:tab w:val="left" w:pos="1800"/>
        </w:tabs>
        <w:spacing w:line="740" w:lineRule="exact"/>
        <w:rPr>
          <w:rFonts w:ascii="宋体" w:hAnsi="宋体"/>
          <w:b/>
          <w:bCs/>
          <w:color w:val="auto"/>
          <w:sz w:val="32"/>
          <w:szCs w:val="32"/>
          <w:highlight w:val="none"/>
        </w:rPr>
      </w:pPr>
    </w:p>
    <w:p w14:paraId="1B624E45">
      <w:pPr>
        <w:tabs>
          <w:tab w:val="left" w:pos="1620"/>
          <w:tab w:val="left" w:pos="1800"/>
        </w:tabs>
        <w:spacing w:line="740" w:lineRule="exact"/>
        <w:rPr>
          <w:rFonts w:ascii="宋体" w:hAnsi="宋体"/>
          <w:b/>
          <w:bCs/>
          <w:color w:val="auto"/>
          <w:sz w:val="32"/>
          <w:szCs w:val="32"/>
          <w:highlight w:val="none"/>
        </w:rPr>
      </w:pPr>
    </w:p>
    <w:p w14:paraId="34CA1537">
      <w:pPr>
        <w:spacing w:line="360" w:lineRule="auto"/>
        <w:ind w:firstLine="569" w:firstLineChars="177"/>
        <w:jc w:val="center"/>
        <w:rPr>
          <w:rFonts w:hint="eastAsia" w:ascii="宋体" w:hAnsi="宋体" w:eastAsia="宋体"/>
          <w:b/>
          <w:bCs/>
          <w:color w:val="auto"/>
          <w:sz w:val="32"/>
          <w:szCs w:val="32"/>
          <w:highlight w:val="none"/>
          <w:lang w:val="en-US" w:eastAsia="zh-CN"/>
        </w:rPr>
      </w:pPr>
      <w:r>
        <w:rPr>
          <w:rFonts w:hint="eastAsia" w:ascii="宋体" w:hAnsi="宋体"/>
          <w:b/>
          <w:bCs/>
          <w:color w:val="auto"/>
          <w:sz w:val="32"/>
          <w:szCs w:val="32"/>
          <w:highlight w:val="none"/>
          <w:lang w:val="en-US" w:eastAsia="zh-CN"/>
        </w:rPr>
        <w:t>转 让 方</w:t>
      </w:r>
      <w:r>
        <w:rPr>
          <w:rFonts w:hint="eastAsia" w:ascii="宋体" w:hAnsi="宋体"/>
          <w:b/>
          <w:bCs/>
          <w:color w:val="auto"/>
          <w:sz w:val="32"/>
          <w:szCs w:val="32"/>
          <w:highlight w:val="none"/>
        </w:rPr>
        <w:t>：</w:t>
      </w:r>
      <w:r>
        <w:rPr>
          <w:rFonts w:hint="eastAsia" w:ascii="宋体" w:hAnsi="宋体" w:eastAsia="宋体"/>
          <w:b/>
          <w:bCs/>
          <w:color w:val="auto"/>
          <w:sz w:val="32"/>
          <w:szCs w:val="32"/>
          <w:highlight w:val="none"/>
          <w:u w:val="single"/>
          <w:lang w:val="en-US" w:eastAsia="zh-CN"/>
        </w:rPr>
        <w:t>东莞市水务环境投资控股集团供水有限公司</w:t>
      </w:r>
    </w:p>
    <w:p w14:paraId="3D10E6C2">
      <w:pPr>
        <w:spacing w:line="700" w:lineRule="exact"/>
        <w:ind w:right="-28" w:hanging="482"/>
        <w:jc w:val="center"/>
        <w:rPr>
          <w:rFonts w:ascii="宋体" w:hAnsi="宋体"/>
          <w:b/>
          <w:bCs/>
          <w:color w:val="auto"/>
          <w:sz w:val="32"/>
          <w:szCs w:val="32"/>
          <w:highlight w:val="none"/>
          <w:lang w:val="zh-CN"/>
        </w:rPr>
      </w:pPr>
    </w:p>
    <w:p w14:paraId="3D352870">
      <w:pPr>
        <w:spacing w:line="700" w:lineRule="exact"/>
        <w:ind w:right="-28" w:hanging="482"/>
        <w:jc w:val="center"/>
        <w:rPr>
          <w:rFonts w:hint="eastAsia" w:ascii="宋体" w:hAnsi="宋体"/>
          <w:b/>
          <w:bCs/>
          <w:color w:val="auto"/>
          <w:sz w:val="32"/>
          <w:szCs w:val="32"/>
          <w:highlight w:val="none"/>
          <w:lang w:val="zh-CN"/>
        </w:rPr>
      </w:pPr>
      <w:r>
        <w:rPr>
          <w:rFonts w:hint="eastAsia" w:ascii="宋体" w:hAnsi="宋体"/>
          <w:b/>
          <w:bCs/>
          <w:color w:val="auto"/>
          <w:sz w:val="32"/>
          <w:szCs w:val="32"/>
          <w:highlight w:val="none"/>
          <w:lang w:val="en-US" w:eastAsia="zh-CN"/>
        </w:rPr>
        <w:t xml:space="preserve"> 2026</w:t>
      </w:r>
      <w:r>
        <w:rPr>
          <w:rFonts w:ascii="宋体" w:hAnsi="宋体"/>
          <w:b/>
          <w:bCs/>
          <w:color w:val="auto"/>
          <w:sz w:val="32"/>
          <w:szCs w:val="32"/>
          <w:highlight w:val="none"/>
          <w:lang w:val="zh-CN"/>
        </w:rPr>
        <w:t>年</w:t>
      </w:r>
      <w:r>
        <w:rPr>
          <w:rFonts w:hint="eastAsia" w:ascii="宋体" w:hAnsi="宋体"/>
          <w:b/>
          <w:bCs/>
          <w:color w:val="auto"/>
          <w:sz w:val="32"/>
          <w:szCs w:val="32"/>
          <w:highlight w:val="none"/>
          <w:lang w:val="en-US" w:eastAsia="zh-CN"/>
        </w:rPr>
        <w:t>3</w:t>
      </w:r>
      <w:r>
        <w:rPr>
          <w:rFonts w:hint="eastAsia" w:ascii="宋体" w:hAnsi="宋体"/>
          <w:b/>
          <w:bCs/>
          <w:color w:val="auto"/>
          <w:sz w:val="32"/>
          <w:szCs w:val="32"/>
          <w:highlight w:val="none"/>
          <w:lang w:val="zh-CN"/>
        </w:rPr>
        <w:t>月</w:t>
      </w:r>
      <w:r>
        <w:rPr>
          <w:rFonts w:hint="eastAsia" w:ascii="宋体" w:hAnsi="宋体"/>
          <w:b/>
          <w:bCs/>
          <w:color w:val="auto"/>
          <w:sz w:val="32"/>
          <w:szCs w:val="32"/>
          <w:highlight w:val="none"/>
          <w:lang w:val="en-US" w:eastAsia="zh-CN"/>
        </w:rPr>
        <w:t>30</w:t>
      </w:r>
      <w:r>
        <w:rPr>
          <w:rFonts w:hint="eastAsia" w:ascii="宋体" w:hAnsi="宋体"/>
          <w:b/>
          <w:bCs/>
          <w:color w:val="auto"/>
          <w:sz w:val="32"/>
          <w:szCs w:val="32"/>
          <w:highlight w:val="none"/>
          <w:lang w:val="zh-CN"/>
        </w:rPr>
        <w:t>日</w:t>
      </w:r>
    </w:p>
    <w:p w14:paraId="28AAA1E5">
      <w:pPr>
        <w:rPr>
          <w:lang w:val="zh-CN"/>
        </w:rPr>
      </w:pPr>
      <w:r>
        <w:rPr>
          <w:lang w:val="zh-CN"/>
        </w:rPr>
        <w:br w:type="page"/>
      </w:r>
    </w:p>
    <w:sdt>
      <w:sdtPr>
        <w:rPr>
          <w:rFonts w:ascii="宋体" w:hAnsi="宋体" w:eastAsia="宋体" w:cs="Times New Roman"/>
          <w:sz w:val="21"/>
          <w:szCs w:val="24"/>
          <w:lang w:val="en-US" w:eastAsia="zh-CN" w:bidi="ar-SA"/>
        </w:rPr>
        <w:id w:val="147451138"/>
        <w15:color w:val="DBDBDB"/>
        <w:docPartObj>
          <w:docPartGallery w:val="Table of Contents"/>
          <w:docPartUnique/>
        </w:docPartObj>
      </w:sdtPr>
      <w:sdtEndPr>
        <w:rPr>
          <w:rFonts w:hint="default" w:ascii="Times New Roman" w:hAnsi="Times New Roman" w:eastAsia="宋体" w:cs="Times New Roman"/>
          <w:sz w:val="24"/>
          <w:szCs w:val="32"/>
          <w:highlight w:val="none"/>
          <w:lang w:val="en-US" w:eastAsia="zh-CN" w:bidi="ar-SA"/>
        </w:rPr>
      </w:sdtEndPr>
      <w:sdtContent>
        <w:p w14:paraId="4BB31D6A">
          <w:pPr>
            <w:spacing w:before="0" w:beforeLines="0" w:after="0" w:afterLines="0" w:line="240" w:lineRule="auto"/>
            <w:ind w:left="0" w:leftChars="0" w:right="0" w:rightChars="0" w:firstLine="0" w:firstLineChars="0"/>
            <w:jc w:val="center"/>
            <w:rPr>
              <w:rFonts w:hint="eastAsia" w:ascii="宋体" w:hAnsi="宋体" w:eastAsia="宋体" w:cs="宋体"/>
              <w:sz w:val="52"/>
              <w:szCs w:val="52"/>
            </w:rPr>
          </w:pPr>
          <w:r>
            <w:rPr>
              <w:rFonts w:hint="eastAsia" w:ascii="宋体" w:hAnsi="宋体" w:eastAsia="宋体" w:cs="宋体"/>
              <w:sz w:val="52"/>
              <w:szCs w:val="52"/>
            </w:rPr>
            <w:t>目录</w:t>
          </w:r>
        </w:p>
        <w:p w14:paraId="15F14127">
          <w:pPr>
            <w:pStyle w:val="14"/>
            <w:tabs>
              <w:tab w:val="right" w:leader="dot" w:pos="9638"/>
              <w:tab w:val="clear" w:pos="1260"/>
              <w:tab w:val="clear" w:pos="8722"/>
            </w:tabs>
            <w:rPr>
              <w:b w:val="0"/>
              <w:bCs/>
              <w:sz w:val="40"/>
              <w:szCs w:val="28"/>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TOC \o "1-1" \h \u </w:instrText>
          </w:r>
          <w:r>
            <w:rPr>
              <w:rFonts w:hint="eastAsia" w:ascii="宋体" w:hAnsi="宋体" w:eastAsia="宋体" w:cs="宋体"/>
              <w:sz w:val="30"/>
              <w:szCs w:val="30"/>
              <w:highlight w:val="none"/>
            </w:rPr>
            <w:fldChar w:fldCharType="separate"/>
          </w:r>
          <w:r>
            <w:rPr>
              <w:rFonts w:hint="eastAsia" w:ascii="宋体" w:hAnsi="宋体" w:eastAsia="宋体" w:cs="宋体"/>
              <w:b w:val="0"/>
              <w:bCs/>
              <w:sz w:val="40"/>
              <w:szCs w:val="44"/>
              <w:highlight w:val="none"/>
            </w:rPr>
            <w:fldChar w:fldCharType="begin"/>
          </w:r>
          <w:r>
            <w:rPr>
              <w:rFonts w:hint="eastAsia" w:ascii="宋体" w:hAnsi="宋体" w:eastAsia="宋体" w:cs="宋体"/>
              <w:b w:val="0"/>
              <w:bCs/>
              <w:sz w:val="40"/>
              <w:szCs w:val="44"/>
              <w:highlight w:val="none"/>
            </w:rPr>
            <w:instrText xml:space="preserve"> HYPERLINK \l _Toc19308 </w:instrText>
          </w:r>
          <w:r>
            <w:rPr>
              <w:rFonts w:hint="eastAsia" w:ascii="宋体" w:hAnsi="宋体" w:eastAsia="宋体" w:cs="宋体"/>
              <w:b w:val="0"/>
              <w:bCs/>
              <w:sz w:val="40"/>
              <w:szCs w:val="44"/>
              <w:highlight w:val="none"/>
            </w:rPr>
            <w:fldChar w:fldCharType="separate"/>
          </w:r>
          <w:r>
            <w:rPr>
              <w:rFonts w:hint="eastAsia" w:ascii="宋体" w:hAnsi="宋体"/>
              <w:b w:val="0"/>
              <w:bCs/>
              <w:sz w:val="40"/>
              <w:szCs w:val="44"/>
              <w:highlight w:val="none"/>
              <w:lang w:val="zh-CN"/>
            </w:rPr>
            <w:t>第一篇 报价邀请函</w:t>
          </w:r>
          <w:r>
            <w:rPr>
              <w:b w:val="0"/>
              <w:bCs/>
              <w:sz w:val="40"/>
              <w:szCs w:val="28"/>
            </w:rPr>
            <w:tab/>
          </w:r>
          <w:r>
            <w:rPr>
              <w:b w:val="0"/>
              <w:bCs/>
              <w:sz w:val="40"/>
              <w:szCs w:val="28"/>
            </w:rPr>
            <w:fldChar w:fldCharType="begin"/>
          </w:r>
          <w:r>
            <w:rPr>
              <w:b w:val="0"/>
              <w:bCs/>
              <w:sz w:val="40"/>
              <w:szCs w:val="28"/>
            </w:rPr>
            <w:instrText xml:space="preserve"> PAGEREF _Toc19308 \h </w:instrText>
          </w:r>
          <w:r>
            <w:rPr>
              <w:b w:val="0"/>
              <w:bCs/>
              <w:sz w:val="40"/>
              <w:szCs w:val="28"/>
            </w:rPr>
            <w:fldChar w:fldCharType="separate"/>
          </w:r>
          <w:r>
            <w:rPr>
              <w:b w:val="0"/>
              <w:bCs/>
              <w:sz w:val="40"/>
              <w:szCs w:val="28"/>
            </w:rPr>
            <w:t>3</w:t>
          </w:r>
          <w:r>
            <w:rPr>
              <w:b w:val="0"/>
              <w:bCs/>
              <w:sz w:val="40"/>
              <w:szCs w:val="28"/>
            </w:rPr>
            <w:fldChar w:fldCharType="end"/>
          </w:r>
          <w:r>
            <w:rPr>
              <w:rFonts w:hint="eastAsia" w:ascii="宋体" w:hAnsi="宋体" w:eastAsia="宋体" w:cs="宋体"/>
              <w:b w:val="0"/>
              <w:bCs/>
              <w:sz w:val="40"/>
              <w:szCs w:val="44"/>
              <w:highlight w:val="none"/>
            </w:rPr>
            <w:fldChar w:fldCharType="end"/>
          </w:r>
        </w:p>
        <w:p w14:paraId="62DA8F5A">
          <w:pPr>
            <w:pStyle w:val="14"/>
            <w:tabs>
              <w:tab w:val="right" w:leader="dot" w:pos="9638"/>
              <w:tab w:val="clear" w:pos="1260"/>
              <w:tab w:val="clear" w:pos="8722"/>
            </w:tabs>
            <w:rPr>
              <w:b w:val="0"/>
              <w:bCs/>
              <w:sz w:val="40"/>
              <w:szCs w:val="28"/>
            </w:rPr>
          </w:pPr>
          <w:r>
            <w:rPr>
              <w:rFonts w:hint="eastAsia" w:ascii="宋体" w:hAnsi="宋体" w:eastAsia="宋体" w:cs="宋体"/>
              <w:b w:val="0"/>
              <w:bCs/>
              <w:sz w:val="40"/>
              <w:szCs w:val="44"/>
              <w:highlight w:val="none"/>
            </w:rPr>
            <w:fldChar w:fldCharType="begin"/>
          </w:r>
          <w:r>
            <w:rPr>
              <w:rFonts w:hint="eastAsia" w:ascii="宋体" w:hAnsi="宋体" w:eastAsia="宋体" w:cs="宋体"/>
              <w:b w:val="0"/>
              <w:bCs/>
              <w:sz w:val="40"/>
              <w:szCs w:val="44"/>
              <w:highlight w:val="none"/>
            </w:rPr>
            <w:instrText xml:space="preserve"> HYPERLINK \l _Toc13987 </w:instrText>
          </w:r>
          <w:r>
            <w:rPr>
              <w:rFonts w:hint="eastAsia" w:ascii="宋体" w:hAnsi="宋体" w:eastAsia="宋体" w:cs="宋体"/>
              <w:b w:val="0"/>
              <w:bCs/>
              <w:sz w:val="40"/>
              <w:szCs w:val="44"/>
              <w:highlight w:val="none"/>
            </w:rPr>
            <w:fldChar w:fldCharType="separate"/>
          </w:r>
          <w:r>
            <w:rPr>
              <w:rFonts w:hint="eastAsia" w:ascii="宋体" w:hAnsi="宋体" w:eastAsia="宋体"/>
              <w:b w:val="0"/>
              <w:bCs/>
              <w:sz w:val="40"/>
              <w:szCs w:val="44"/>
              <w:highlight w:val="none"/>
              <w:lang w:val="zh-CN"/>
            </w:rPr>
            <w:t>第二篇 资产转让信息公告</w:t>
          </w:r>
          <w:r>
            <w:rPr>
              <w:b w:val="0"/>
              <w:bCs/>
              <w:sz w:val="40"/>
              <w:szCs w:val="28"/>
            </w:rPr>
            <w:tab/>
          </w:r>
          <w:r>
            <w:rPr>
              <w:b w:val="0"/>
              <w:bCs/>
              <w:sz w:val="40"/>
              <w:szCs w:val="28"/>
            </w:rPr>
            <w:fldChar w:fldCharType="begin"/>
          </w:r>
          <w:r>
            <w:rPr>
              <w:b w:val="0"/>
              <w:bCs/>
              <w:sz w:val="40"/>
              <w:szCs w:val="28"/>
            </w:rPr>
            <w:instrText xml:space="preserve"> PAGEREF _Toc13987 \h </w:instrText>
          </w:r>
          <w:r>
            <w:rPr>
              <w:b w:val="0"/>
              <w:bCs/>
              <w:sz w:val="40"/>
              <w:szCs w:val="28"/>
            </w:rPr>
            <w:fldChar w:fldCharType="separate"/>
          </w:r>
          <w:r>
            <w:rPr>
              <w:b w:val="0"/>
              <w:bCs/>
              <w:sz w:val="40"/>
              <w:szCs w:val="28"/>
            </w:rPr>
            <w:t>4</w:t>
          </w:r>
          <w:r>
            <w:rPr>
              <w:b w:val="0"/>
              <w:bCs/>
              <w:sz w:val="40"/>
              <w:szCs w:val="28"/>
            </w:rPr>
            <w:fldChar w:fldCharType="end"/>
          </w:r>
          <w:r>
            <w:rPr>
              <w:rFonts w:hint="eastAsia" w:ascii="宋体" w:hAnsi="宋体" w:eastAsia="宋体" w:cs="宋体"/>
              <w:b w:val="0"/>
              <w:bCs/>
              <w:sz w:val="40"/>
              <w:szCs w:val="44"/>
              <w:highlight w:val="none"/>
            </w:rPr>
            <w:fldChar w:fldCharType="end"/>
          </w:r>
        </w:p>
        <w:p w14:paraId="7A9EB368">
          <w:pPr>
            <w:pStyle w:val="14"/>
            <w:tabs>
              <w:tab w:val="right" w:leader="dot" w:pos="9638"/>
              <w:tab w:val="clear" w:pos="1260"/>
              <w:tab w:val="clear" w:pos="8722"/>
            </w:tabs>
            <w:rPr>
              <w:b w:val="0"/>
              <w:bCs/>
              <w:sz w:val="40"/>
              <w:szCs w:val="28"/>
            </w:rPr>
          </w:pPr>
          <w:r>
            <w:rPr>
              <w:rFonts w:hint="eastAsia" w:ascii="宋体" w:hAnsi="宋体" w:eastAsia="宋体" w:cs="宋体"/>
              <w:b w:val="0"/>
              <w:bCs/>
              <w:sz w:val="40"/>
              <w:szCs w:val="44"/>
              <w:highlight w:val="none"/>
            </w:rPr>
            <w:fldChar w:fldCharType="begin"/>
          </w:r>
          <w:r>
            <w:rPr>
              <w:rFonts w:hint="eastAsia" w:ascii="宋体" w:hAnsi="宋体" w:eastAsia="宋体" w:cs="宋体"/>
              <w:b w:val="0"/>
              <w:bCs/>
              <w:sz w:val="40"/>
              <w:szCs w:val="44"/>
              <w:highlight w:val="none"/>
            </w:rPr>
            <w:instrText xml:space="preserve"> HYPERLINK \l _Toc6426 </w:instrText>
          </w:r>
          <w:r>
            <w:rPr>
              <w:rFonts w:hint="eastAsia" w:ascii="宋体" w:hAnsi="宋体" w:eastAsia="宋体" w:cs="宋体"/>
              <w:b w:val="0"/>
              <w:bCs/>
              <w:sz w:val="40"/>
              <w:szCs w:val="44"/>
              <w:highlight w:val="none"/>
            </w:rPr>
            <w:fldChar w:fldCharType="separate"/>
          </w:r>
          <w:r>
            <w:rPr>
              <w:rFonts w:hint="eastAsia" w:ascii="宋体" w:hAnsi="宋体"/>
              <w:b w:val="0"/>
              <w:bCs/>
              <w:sz w:val="40"/>
              <w:szCs w:val="60"/>
              <w:highlight w:val="none"/>
              <w:lang w:val="zh-CN"/>
            </w:rPr>
            <w:t>第</w:t>
          </w:r>
          <w:r>
            <w:rPr>
              <w:rFonts w:hint="eastAsia" w:ascii="宋体" w:hAnsi="宋体"/>
              <w:b w:val="0"/>
              <w:bCs/>
              <w:sz w:val="40"/>
              <w:szCs w:val="60"/>
              <w:highlight w:val="none"/>
              <w:lang w:val="en-US" w:eastAsia="zh-CN"/>
            </w:rPr>
            <w:t>三</w:t>
          </w:r>
          <w:r>
            <w:rPr>
              <w:rFonts w:hint="eastAsia" w:ascii="宋体" w:hAnsi="宋体"/>
              <w:b w:val="0"/>
              <w:bCs/>
              <w:sz w:val="40"/>
              <w:szCs w:val="60"/>
              <w:highlight w:val="none"/>
              <w:lang w:val="zh-CN"/>
            </w:rPr>
            <w:t>篇 合同条款</w:t>
          </w:r>
          <w:r>
            <w:rPr>
              <w:b w:val="0"/>
              <w:bCs/>
              <w:sz w:val="40"/>
              <w:szCs w:val="28"/>
            </w:rPr>
            <w:tab/>
          </w:r>
          <w:r>
            <w:rPr>
              <w:b w:val="0"/>
              <w:bCs/>
              <w:sz w:val="40"/>
              <w:szCs w:val="28"/>
            </w:rPr>
            <w:fldChar w:fldCharType="begin"/>
          </w:r>
          <w:r>
            <w:rPr>
              <w:b w:val="0"/>
              <w:bCs/>
              <w:sz w:val="40"/>
              <w:szCs w:val="28"/>
            </w:rPr>
            <w:instrText xml:space="preserve"> PAGEREF _Toc6426 \h </w:instrText>
          </w:r>
          <w:r>
            <w:rPr>
              <w:b w:val="0"/>
              <w:bCs/>
              <w:sz w:val="40"/>
              <w:szCs w:val="28"/>
            </w:rPr>
            <w:fldChar w:fldCharType="separate"/>
          </w:r>
          <w:r>
            <w:rPr>
              <w:b w:val="0"/>
              <w:bCs/>
              <w:sz w:val="40"/>
              <w:szCs w:val="28"/>
            </w:rPr>
            <w:t>9</w:t>
          </w:r>
          <w:r>
            <w:rPr>
              <w:b w:val="0"/>
              <w:bCs/>
              <w:sz w:val="40"/>
              <w:szCs w:val="28"/>
            </w:rPr>
            <w:fldChar w:fldCharType="end"/>
          </w:r>
          <w:r>
            <w:rPr>
              <w:rFonts w:hint="eastAsia" w:ascii="宋体" w:hAnsi="宋体" w:eastAsia="宋体" w:cs="宋体"/>
              <w:b w:val="0"/>
              <w:bCs/>
              <w:sz w:val="40"/>
              <w:szCs w:val="44"/>
              <w:highlight w:val="none"/>
            </w:rPr>
            <w:fldChar w:fldCharType="end"/>
          </w:r>
        </w:p>
        <w:p w14:paraId="59F9773E">
          <w:pPr>
            <w:pStyle w:val="14"/>
            <w:tabs>
              <w:tab w:val="right" w:leader="dot" w:pos="9638"/>
              <w:tab w:val="clear" w:pos="1260"/>
              <w:tab w:val="clear" w:pos="8722"/>
            </w:tabs>
          </w:pPr>
          <w:r>
            <w:rPr>
              <w:rFonts w:hint="eastAsia" w:ascii="宋体" w:hAnsi="宋体" w:eastAsia="宋体" w:cs="宋体"/>
              <w:b w:val="0"/>
              <w:bCs/>
              <w:sz w:val="40"/>
              <w:szCs w:val="44"/>
              <w:highlight w:val="none"/>
            </w:rPr>
            <w:fldChar w:fldCharType="begin"/>
          </w:r>
          <w:r>
            <w:rPr>
              <w:rFonts w:hint="eastAsia" w:ascii="宋体" w:hAnsi="宋体" w:eastAsia="宋体" w:cs="宋体"/>
              <w:b w:val="0"/>
              <w:bCs/>
              <w:sz w:val="40"/>
              <w:szCs w:val="44"/>
              <w:highlight w:val="none"/>
            </w:rPr>
            <w:instrText xml:space="preserve"> HYPERLINK \l _Toc3283 </w:instrText>
          </w:r>
          <w:r>
            <w:rPr>
              <w:rFonts w:hint="eastAsia" w:ascii="宋体" w:hAnsi="宋体" w:eastAsia="宋体" w:cs="宋体"/>
              <w:b w:val="0"/>
              <w:bCs/>
              <w:sz w:val="40"/>
              <w:szCs w:val="44"/>
              <w:highlight w:val="none"/>
            </w:rPr>
            <w:fldChar w:fldCharType="separate"/>
          </w:r>
          <w:r>
            <w:rPr>
              <w:rFonts w:hint="eastAsia" w:ascii="宋体" w:hAnsi="宋体"/>
              <w:b w:val="0"/>
              <w:bCs/>
              <w:sz w:val="40"/>
              <w:szCs w:val="44"/>
              <w:highlight w:val="none"/>
              <w:lang w:val="zh-CN"/>
            </w:rPr>
            <w:t>第</w:t>
          </w:r>
          <w:r>
            <w:rPr>
              <w:rFonts w:hint="eastAsia" w:ascii="宋体" w:hAnsi="宋体"/>
              <w:b w:val="0"/>
              <w:bCs/>
              <w:sz w:val="40"/>
              <w:szCs w:val="44"/>
              <w:highlight w:val="none"/>
              <w:lang w:val="en-US" w:eastAsia="zh-CN"/>
            </w:rPr>
            <w:t>四</w:t>
          </w:r>
          <w:r>
            <w:rPr>
              <w:rFonts w:hint="eastAsia" w:ascii="宋体" w:hAnsi="宋体"/>
              <w:b w:val="0"/>
              <w:bCs/>
              <w:sz w:val="40"/>
              <w:szCs w:val="44"/>
              <w:highlight w:val="none"/>
              <w:lang w:val="zh-CN"/>
            </w:rPr>
            <w:t xml:space="preserve">篇 </w:t>
          </w:r>
          <w:r>
            <w:rPr>
              <w:rFonts w:hint="eastAsia"/>
              <w:b w:val="0"/>
              <w:bCs/>
              <w:sz w:val="40"/>
              <w:szCs w:val="28"/>
              <w:lang w:val="zh-CN"/>
            </w:rPr>
            <w:t>报价文件的组成</w:t>
          </w:r>
          <w:r>
            <w:rPr>
              <w:b w:val="0"/>
              <w:bCs/>
              <w:sz w:val="40"/>
              <w:szCs w:val="28"/>
            </w:rPr>
            <w:tab/>
          </w:r>
          <w:r>
            <w:rPr>
              <w:b w:val="0"/>
              <w:bCs/>
              <w:sz w:val="40"/>
              <w:szCs w:val="28"/>
            </w:rPr>
            <w:fldChar w:fldCharType="begin"/>
          </w:r>
          <w:r>
            <w:rPr>
              <w:b w:val="0"/>
              <w:bCs/>
              <w:sz w:val="40"/>
              <w:szCs w:val="28"/>
            </w:rPr>
            <w:instrText xml:space="preserve"> PAGEREF _Toc3283 \h </w:instrText>
          </w:r>
          <w:r>
            <w:rPr>
              <w:b w:val="0"/>
              <w:bCs/>
              <w:sz w:val="40"/>
              <w:szCs w:val="28"/>
            </w:rPr>
            <w:fldChar w:fldCharType="separate"/>
          </w:r>
          <w:r>
            <w:rPr>
              <w:b w:val="0"/>
              <w:bCs/>
              <w:sz w:val="40"/>
              <w:szCs w:val="28"/>
            </w:rPr>
            <w:t>10</w:t>
          </w:r>
          <w:r>
            <w:rPr>
              <w:b w:val="0"/>
              <w:bCs/>
              <w:sz w:val="40"/>
              <w:szCs w:val="28"/>
            </w:rPr>
            <w:fldChar w:fldCharType="end"/>
          </w:r>
          <w:r>
            <w:rPr>
              <w:rFonts w:hint="eastAsia" w:ascii="宋体" w:hAnsi="宋体" w:eastAsia="宋体" w:cs="宋体"/>
              <w:b w:val="0"/>
              <w:bCs/>
              <w:sz w:val="40"/>
              <w:szCs w:val="44"/>
              <w:highlight w:val="none"/>
            </w:rPr>
            <w:fldChar w:fldCharType="end"/>
          </w:r>
        </w:p>
        <w:p w14:paraId="05905E16">
          <w:pPr>
            <w:pStyle w:val="8"/>
            <w:spacing w:line="720" w:lineRule="auto"/>
            <w:rPr>
              <w:rFonts w:hint="default" w:ascii="Times New Roman" w:hAnsi="Times New Roman" w:eastAsia="宋体" w:cs="Times New Roman"/>
              <w:sz w:val="24"/>
              <w:szCs w:val="32"/>
              <w:highlight w:val="none"/>
              <w:lang w:val="en-US" w:eastAsia="zh-CN" w:bidi="ar-SA"/>
            </w:rPr>
          </w:pPr>
          <w:r>
            <w:rPr>
              <w:rFonts w:hint="eastAsia" w:ascii="宋体" w:hAnsi="宋体" w:eastAsia="宋体" w:cs="宋体"/>
              <w:szCs w:val="30"/>
              <w:highlight w:val="none"/>
            </w:rPr>
            <w:fldChar w:fldCharType="end"/>
          </w:r>
        </w:p>
      </w:sdtContent>
    </w:sdt>
    <w:p w14:paraId="06D890AE">
      <w:pPr>
        <w:pStyle w:val="8"/>
        <w:rPr>
          <w:rFonts w:hint="default" w:ascii="Times New Roman" w:hAnsi="Times New Roman" w:eastAsia="宋体" w:cs="Times New Roman"/>
          <w:sz w:val="24"/>
          <w:szCs w:val="32"/>
          <w:highlight w:val="none"/>
          <w:lang w:val="zh-CN" w:eastAsia="zh-CN" w:bidi="ar-SA"/>
        </w:rPr>
      </w:pPr>
    </w:p>
    <w:p w14:paraId="7C6D3429">
      <w:pPr>
        <w:pStyle w:val="15"/>
        <w:spacing w:before="0" w:after="0" w:line="312" w:lineRule="auto"/>
        <w:ind w:left="158"/>
        <w:rPr>
          <w:rFonts w:asciiTheme="minorEastAsia" w:hAnsiTheme="minorEastAsia" w:eastAsiaTheme="minorEastAsia"/>
          <w:bCs/>
          <w:color w:val="auto"/>
          <w:szCs w:val="21"/>
          <w:highlight w:val="none"/>
          <w:lang w:val="zh-CN"/>
        </w:rPr>
      </w:pPr>
    </w:p>
    <w:p w14:paraId="6770E0A1">
      <w:pPr>
        <w:rPr>
          <w:rFonts w:asciiTheme="minorEastAsia" w:hAnsiTheme="minorEastAsia" w:eastAsiaTheme="minorEastAsia"/>
          <w:bCs/>
          <w:color w:val="auto"/>
          <w:szCs w:val="21"/>
          <w:highlight w:val="none"/>
          <w:lang w:val="zh-CN"/>
        </w:rPr>
      </w:pPr>
    </w:p>
    <w:p w14:paraId="07689457">
      <w:pPr>
        <w:pStyle w:val="7"/>
        <w:rPr>
          <w:rFonts w:hint="eastAsia"/>
          <w:lang w:val="zh-CN"/>
        </w:rPr>
      </w:pPr>
    </w:p>
    <w:p w14:paraId="5FEDB421">
      <w:pPr>
        <w:rPr>
          <w:rFonts w:hint="eastAsia" w:ascii="宋体" w:hAnsi="宋体"/>
          <w:color w:val="auto"/>
          <w:sz w:val="30"/>
          <w:szCs w:val="30"/>
          <w:highlight w:val="none"/>
          <w:lang w:val="zh-CN"/>
        </w:rPr>
      </w:pPr>
      <w:bookmarkStart w:id="1" w:name="_Toc2241"/>
      <w:r>
        <w:rPr>
          <w:rFonts w:hint="eastAsia" w:ascii="宋体" w:hAnsi="宋体"/>
          <w:color w:val="auto"/>
          <w:sz w:val="30"/>
          <w:szCs w:val="30"/>
          <w:highlight w:val="none"/>
          <w:lang w:val="zh-CN"/>
        </w:rPr>
        <w:br w:type="page"/>
      </w:r>
    </w:p>
    <w:p w14:paraId="578371B4">
      <w:pPr>
        <w:pStyle w:val="18"/>
        <w:spacing w:before="0" w:after="0" w:line="360" w:lineRule="auto"/>
        <w:rPr>
          <w:rFonts w:ascii="宋体" w:hAnsi="宋体"/>
          <w:color w:val="auto"/>
          <w:highlight w:val="none"/>
          <w:lang w:val="zh-CN"/>
        </w:rPr>
      </w:pPr>
      <w:bookmarkStart w:id="2" w:name="_Toc19308"/>
      <w:r>
        <w:rPr>
          <w:rFonts w:hint="eastAsia" w:ascii="宋体" w:hAnsi="宋体"/>
          <w:color w:val="auto"/>
          <w:sz w:val="30"/>
          <w:szCs w:val="30"/>
          <w:highlight w:val="none"/>
          <w:lang w:val="zh-CN"/>
        </w:rPr>
        <w:t>第一篇 报价邀请函</w:t>
      </w:r>
      <w:bookmarkEnd w:id="1"/>
      <w:bookmarkEnd w:id="2"/>
    </w:p>
    <w:p w14:paraId="34F1BDD7">
      <w:pPr>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我公司的</w:t>
      </w:r>
      <w:r>
        <w:rPr>
          <w:rFonts w:hint="default" w:ascii="Times New Roman" w:hAnsi="Times New Roman" w:cs="Times New Roman"/>
          <w:highlight w:val="none"/>
          <w:u w:val="single"/>
        </w:rPr>
        <w:t>“</w:t>
      </w:r>
      <w:r>
        <w:rPr>
          <w:rFonts w:hint="eastAsia"/>
          <w:highlight w:val="none"/>
          <w:u w:val="single"/>
        </w:rPr>
        <w:t>拟转让一批资产设备项目</w:t>
      </w:r>
      <w:r>
        <w:rPr>
          <w:rFonts w:hint="default" w:ascii="Times New Roman" w:hAnsi="Times New Roman" w:cs="Times New Roman"/>
          <w:highlight w:val="none"/>
          <w:u w:val="single"/>
        </w:rPr>
        <w:t>”</w:t>
      </w:r>
      <w:r>
        <w:rPr>
          <w:rFonts w:hint="default" w:ascii="Times New Roman" w:hAnsi="Times New Roman" w:cs="Times New Roman"/>
          <w:highlight w:val="none"/>
        </w:rPr>
        <w:t>正式开展，现邀请贵司参与本项目的询价。具体信息如下：</w:t>
      </w:r>
    </w:p>
    <w:p w14:paraId="17A5E6C4">
      <w:pPr>
        <w:spacing w:line="360" w:lineRule="auto"/>
        <w:ind w:firstLine="371" w:firstLineChars="177"/>
        <w:rPr>
          <w:rFonts w:hint="eastAsia" w:ascii="Times New Roman"/>
          <w:lang w:val="en-US" w:eastAsia="zh-CN"/>
        </w:rPr>
      </w:pPr>
      <w:r>
        <w:rPr>
          <w:rFonts w:hint="eastAsia" w:cs="Times New Roman"/>
          <w:highlight w:val="none"/>
          <w:lang w:val="en-US" w:eastAsia="zh-CN"/>
        </w:rPr>
        <w:t>一</w:t>
      </w:r>
      <w:r>
        <w:rPr>
          <w:rFonts w:hint="default" w:ascii="Times New Roman" w:hAnsi="Times New Roman" w:cs="Times New Roman"/>
          <w:highlight w:val="none"/>
        </w:rPr>
        <w:t>、项目名称：</w:t>
      </w:r>
      <w:r>
        <w:rPr>
          <w:rFonts w:hint="default" w:ascii="Times New Roman" w:hAnsi="Times New Roman" w:eastAsia="宋体" w:cs="Times New Roman"/>
          <w:b w:val="0"/>
          <w:bCs w:val="0"/>
          <w:sz w:val="21"/>
          <w:szCs w:val="24"/>
          <w:highlight w:val="none"/>
          <w:u w:val="none"/>
        </w:rPr>
        <w:t>东莞市水务环境投资控股集团供水有限公司拟转让一批资产设备项目</w:t>
      </w:r>
    </w:p>
    <w:p w14:paraId="1B379737">
      <w:pPr>
        <w:spacing w:line="360" w:lineRule="auto"/>
        <w:ind w:firstLine="371" w:firstLineChars="177"/>
        <w:rPr>
          <w:rFonts w:hint="default"/>
          <w:lang w:eastAsia="zh-CN"/>
        </w:rPr>
      </w:pPr>
      <w:r>
        <w:rPr>
          <w:rFonts w:hint="eastAsia"/>
          <w:lang w:val="en-US" w:eastAsia="zh-CN"/>
        </w:rPr>
        <w:t>二</w:t>
      </w:r>
      <w:r>
        <w:rPr>
          <w:rFonts w:ascii="Times New Roman"/>
        </w:rPr>
        <w:t>、</w:t>
      </w:r>
      <w:r>
        <w:rPr>
          <w:rFonts w:hint="eastAsia"/>
          <w:lang w:val="en-US" w:eastAsia="zh-CN"/>
        </w:rPr>
        <w:t>转让底价</w:t>
      </w:r>
      <w:r>
        <w:rPr>
          <w:rFonts w:ascii="Times New Roman"/>
        </w:rPr>
        <w:t>：</w:t>
      </w:r>
      <w:bookmarkStart w:id="3" w:name="_Hlk40436243"/>
      <w:r>
        <w:rPr>
          <w:rFonts w:hint="eastAsia" w:ascii="宋体" w:hAnsi="宋体"/>
          <w:color w:val="auto"/>
          <w:sz w:val="24"/>
          <w:highlight w:val="none"/>
          <w:lang w:val="en-US" w:eastAsia="zh-CN"/>
        </w:rPr>
        <w:t>40489元</w:t>
      </w:r>
      <w:r>
        <w:rPr>
          <w:rFonts w:hint="eastAsia" w:ascii="Times New Roman"/>
          <w:b/>
          <w:bCs/>
          <w:color w:val="auto"/>
        </w:rPr>
        <w:t>（大写</w:t>
      </w:r>
      <w:r>
        <w:rPr>
          <w:rFonts w:hint="eastAsia"/>
          <w:b/>
          <w:bCs/>
          <w:color w:val="auto"/>
          <w:lang w:val="en-US" w:eastAsia="zh-CN"/>
        </w:rPr>
        <w:t>人民币肆万零肆佰捌拾玖元整</w:t>
      </w:r>
      <w:r>
        <w:rPr>
          <w:rFonts w:hint="eastAsia" w:ascii="Times New Roman"/>
          <w:b/>
          <w:bCs/>
          <w:color w:val="auto"/>
        </w:rPr>
        <w:t>）</w:t>
      </w:r>
      <w:r>
        <w:rPr>
          <w:rFonts w:ascii="Times New Roman"/>
          <w:b/>
          <w:bCs/>
          <w:color w:val="auto"/>
        </w:rPr>
        <w:t>。</w:t>
      </w:r>
      <w:bookmarkEnd w:id="3"/>
    </w:p>
    <w:p w14:paraId="04C15A9E">
      <w:pPr>
        <w:spacing w:line="360" w:lineRule="auto"/>
        <w:ind w:firstLine="371" w:firstLineChars="177"/>
        <w:rPr>
          <w:rFonts w:hint="default" w:ascii="Times New Roman" w:hAnsi="Times New Roman" w:cs="Times New Roman"/>
          <w:highlight w:val="none"/>
        </w:rPr>
      </w:pPr>
      <w:r>
        <w:rPr>
          <w:rFonts w:hint="eastAsia" w:cs="Times New Roman"/>
          <w:highlight w:val="none"/>
          <w:lang w:val="en-US" w:eastAsia="zh-CN"/>
        </w:rPr>
        <w:t>三</w:t>
      </w:r>
      <w:r>
        <w:rPr>
          <w:rFonts w:hint="default" w:ascii="Times New Roman" w:hAnsi="Times New Roman" w:cs="Times New Roman"/>
          <w:highlight w:val="none"/>
        </w:rPr>
        <w:t>、</w:t>
      </w:r>
      <w:r>
        <w:rPr>
          <w:rFonts w:hint="eastAsia" w:cs="Times New Roman"/>
          <w:highlight w:val="none"/>
          <w:lang w:val="en-US" w:eastAsia="zh-CN"/>
        </w:rPr>
        <w:t>转让</w:t>
      </w:r>
      <w:r>
        <w:rPr>
          <w:rFonts w:hint="default" w:ascii="Times New Roman" w:hAnsi="Times New Roman" w:cs="Times New Roman"/>
          <w:highlight w:val="none"/>
        </w:rPr>
        <w:t>内容：</w:t>
      </w:r>
      <w:r>
        <w:rPr>
          <w:rFonts w:hint="eastAsia"/>
          <w:color w:val="auto"/>
          <w:sz w:val="24"/>
          <w:highlight w:val="none"/>
          <w:lang w:eastAsia="zh-CN"/>
        </w:rPr>
        <w:t>东莞市水务环境投资控股集团供水有限公司拟</w:t>
      </w:r>
      <w:r>
        <w:rPr>
          <w:rFonts w:hint="eastAsia"/>
          <w:color w:val="auto"/>
          <w:sz w:val="24"/>
          <w:highlight w:val="none"/>
          <w:lang w:val="en-US" w:eastAsia="zh-CN"/>
        </w:rPr>
        <w:t>转让</w:t>
      </w:r>
      <w:r>
        <w:rPr>
          <w:rFonts w:hint="eastAsia"/>
          <w:color w:val="auto"/>
          <w:sz w:val="24"/>
          <w:highlight w:val="none"/>
          <w:lang w:eastAsia="zh-CN"/>
        </w:rPr>
        <w:t>一批资产设备，共计</w:t>
      </w:r>
      <w:r>
        <w:rPr>
          <w:rFonts w:hint="eastAsia"/>
          <w:color w:val="auto"/>
          <w:sz w:val="24"/>
          <w:highlight w:val="none"/>
          <w:lang w:val="en-US" w:eastAsia="zh-CN"/>
        </w:rPr>
        <w:t>18项</w:t>
      </w:r>
      <w:r>
        <w:rPr>
          <w:rFonts w:hint="eastAsia"/>
          <w:color w:val="auto"/>
          <w:sz w:val="24"/>
          <w:highlight w:val="none"/>
          <w:lang w:eastAsia="zh-CN"/>
        </w:rPr>
        <w:t>（具体包含</w:t>
      </w:r>
      <w:r>
        <w:rPr>
          <w:rFonts w:hint="eastAsia"/>
          <w:color w:val="auto"/>
          <w:sz w:val="24"/>
          <w:highlight w:val="none"/>
          <w:lang w:val="en-US" w:eastAsia="zh-CN"/>
        </w:rPr>
        <w:t>电梯、停车系统、泵配电机、空调、空气能热水器等设备</w:t>
      </w:r>
      <w:r>
        <w:rPr>
          <w:rFonts w:hint="eastAsia"/>
          <w:color w:val="auto"/>
          <w:sz w:val="24"/>
          <w:highlight w:val="none"/>
          <w:lang w:eastAsia="zh-CN"/>
        </w:rPr>
        <w:t>）</w:t>
      </w:r>
      <w:r>
        <w:rPr>
          <w:rFonts w:hint="default" w:ascii="Times New Roman" w:hAnsi="Times New Roman" w:cs="Times New Roman"/>
          <w:highlight w:val="none"/>
        </w:rPr>
        <w:t>。</w:t>
      </w:r>
    </w:p>
    <w:p w14:paraId="25E3D93F">
      <w:pPr>
        <w:spacing w:line="360" w:lineRule="auto"/>
        <w:ind w:firstLine="371" w:firstLineChars="177"/>
        <w:rPr>
          <w:rFonts w:hint="default" w:ascii="Times New Roman" w:hAnsi="Times New Roman" w:cs="Times New Roman"/>
          <w:highlight w:val="none"/>
        </w:rPr>
      </w:pPr>
      <w:r>
        <w:rPr>
          <w:rFonts w:hint="eastAsia" w:cs="Times New Roman"/>
          <w:highlight w:val="none"/>
          <w:lang w:val="en-US" w:eastAsia="zh-CN"/>
        </w:rPr>
        <w:t>四</w:t>
      </w:r>
      <w:r>
        <w:rPr>
          <w:rFonts w:hint="default" w:ascii="Times New Roman" w:hAnsi="Times New Roman" w:cs="Times New Roman"/>
          <w:highlight w:val="none"/>
        </w:rPr>
        <w:t>、成交原则：</w:t>
      </w:r>
    </w:p>
    <w:p w14:paraId="4B5411E1">
      <w:pPr>
        <w:spacing w:line="360" w:lineRule="auto"/>
        <w:ind w:firstLine="371" w:firstLineChars="177"/>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一）</w:t>
      </w:r>
      <w:r>
        <w:rPr>
          <w:rFonts w:hint="eastAsia" w:ascii="Times New Roman" w:hAnsi="Times New Roman" w:eastAsia="宋体" w:cs="Times New Roman"/>
          <w:highlight w:val="none"/>
        </w:rPr>
        <w:t>信息披露期满后，如征集到一家符合条件的意向受让方，则按</w:t>
      </w:r>
      <w:r>
        <w:rPr>
          <w:rFonts w:hint="eastAsia" w:ascii="Times New Roman" w:hAnsi="Times New Roman" w:eastAsia="宋体" w:cs="Times New Roman"/>
          <w:highlight w:val="none"/>
          <w:lang w:val="en-US" w:eastAsia="zh-CN"/>
        </w:rPr>
        <w:t>转让</w:t>
      </w:r>
      <w:r>
        <w:rPr>
          <w:rFonts w:hint="eastAsia" w:cs="Times New Roman"/>
          <w:highlight w:val="none"/>
          <w:lang w:val="en-US" w:eastAsia="zh-CN"/>
        </w:rPr>
        <w:t>底</w:t>
      </w:r>
      <w:r>
        <w:rPr>
          <w:rFonts w:hint="eastAsia" w:ascii="Times New Roman" w:hAnsi="Times New Roman" w:eastAsia="宋体" w:cs="Times New Roman"/>
          <w:highlight w:val="none"/>
        </w:rPr>
        <w:t>价与该意向受让方报价孰高原则直接签约。</w:t>
      </w:r>
    </w:p>
    <w:p w14:paraId="0D387CF5">
      <w:pPr>
        <w:spacing w:line="360" w:lineRule="auto"/>
        <w:ind w:firstLine="371" w:firstLineChars="177"/>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二）</w:t>
      </w:r>
      <w:r>
        <w:rPr>
          <w:rFonts w:hint="eastAsia" w:ascii="Times New Roman" w:hAnsi="Times New Roman" w:eastAsia="宋体" w:cs="Times New Roman"/>
          <w:highlight w:val="none"/>
        </w:rPr>
        <w:t xml:space="preserve">信息披露期满后，如征集到两家及以上符合条件的意向受让方，则采取意向受让方报价孰高原则直接签约。 </w:t>
      </w:r>
      <w:r>
        <w:rPr>
          <w:rFonts w:hint="eastAsia" w:ascii="宋体" w:hAnsi="宋体"/>
          <w:color w:val="auto"/>
          <w:sz w:val="24"/>
          <w:highlight w:val="none"/>
        </w:rPr>
        <w:t xml:space="preserve"> </w:t>
      </w:r>
    </w:p>
    <w:p w14:paraId="03876A90">
      <w:pPr>
        <w:spacing w:line="360" w:lineRule="auto"/>
        <w:ind w:firstLine="371" w:firstLineChars="177"/>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五</w:t>
      </w:r>
      <w:r>
        <w:rPr>
          <w:rFonts w:hint="eastAsia" w:ascii="Times New Roman" w:hAnsi="Times New Roman" w:eastAsia="宋体" w:cs="Times New Roman"/>
          <w:highlight w:val="none"/>
        </w:rPr>
        <w:t>、报价文件递交截止时间：</w:t>
      </w:r>
      <w:bookmarkStart w:id="4" w:name="_Hlk27138379"/>
      <w:r>
        <w:rPr>
          <w:rFonts w:hint="eastAsia" w:ascii="Times New Roman" w:hAnsi="Times New Roman" w:eastAsia="宋体" w:cs="Times New Roman"/>
          <w:highlight w:val="none"/>
          <w:lang w:eastAsia="zh-CN"/>
        </w:rPr>
        <w:t>202</w:t>
      </w:r>
      <w:r>
        <w:rPr>
          <w:rFonts w:hint="eastAsia" w:ascii="Times New Roman" w:hAnsi="Times New Roman" w:eastAsia="宋体" w:cs="Times New Roman"/>
          <w:highlight w:val="none"/>
          <w:lang w:val="en-US" w:eastAsia="zh-CN"/>
        </w:rPr>
        <w:t>6</w:t>
      </w:r>
      <w:r>
        <w:rPr>
          <w:rFonts w:hint="eastAsia" w:ascii="Times New Roman" w:hAnsi="Times New Roman" w:eastAsia="宋体" w:cs="Times New Roman"/>
          <w:highlight w:val="none"/>
        </w:rPr>
        <w:t>年</w:t>
      </w:r>
      <w:r>
        <w:rPr>
          <w:rFonts w:hint="eastAsia" w:ascii="Times New Roman" w:hAnsi="Times New Roman" w:eastAsia="宋体" w:cs="Times New Roman"/>
          <w:highlight w:val="none"/>
          <w:lang w:val="en-US" w:eastAsia="zh-CN"/>
        </w:rPr>
        <w:t>4月7日17</w:t>
      </w:r>
      <w:r>
        <w:rPr>
          <w:rFonts w:hint="eastAsia" w:ascii="Times New Roman" w:hAnsi="Times New Roman" w:eastAsia="宋体" w:cs="Times New Roman"/>
          <w:highlight w:val="none"/>
        </w:rPr>
        <w:t>时</w:t>
      </w:r>
      <w:bookmarkEnd w:id="4"/>
      <w:r>
        <w:rPr>
          <w:rFonts w:hint="eastAsia" w:ascii="Times New Roman" w:hAnsi="Times New Roman" w:eastAsia="宋体" w:cs="Times New Roman"/>
          <w:highlight w:val="none"/>
          <w:lang w:val="en-US" w:eastAsia="zh-CN"/>
        </w:rPr>
        <w:t>00分</w:t>
      </w:r>
      <w:r>
        <w:rPr>
          <w:rFonts w:hint="eastAsia" w:ascii="Times New Roman" w:hAnsi="Times New Roman" w:eastAsia="宋体" w:cs="Times New Roman"/>
          <w:highlight w:val="none"/>
        </w:rPr>
        <w:t>。</w:t>
      </w:r>
    </w:p>
    <w:p w14:paraId="20F29D48">
      <w:pPr>
        <w:spacing w:line="360" w:lineRule="auto"/>
        <w:ind w:firstLine="371" w:firstLineChars="177"/>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六</w:t>
      </w:r>
      <w:r>
        <w:rPr>
          <w:rFonts w:hint="eastAsia" w:ascii="Times New Roman" w:hAnsi="Times New Roman" w:eastAsia="宋体" w:cs="Times New Roman"/>
          <w:highlight w:val="none"/>
        </w:rPr>
        <w:t>、报价文件递交地点：</w:t>
      </w:r>
      <w:r>
        <w:rPr>
          <w:rFonts w:hint="eastAsia" w:ascii="Times New Roman" w:hAnsi="Times New Roman" w:eastAsia="宋体" w:cs="Times New Roman"/>
          <w:highlight w:val="none"/>
          <w:lang w:val="en-US" w:eastAsia="zh-CN"/>
        </w:rPr>
        <w:t>东莞市</w:t>
      </w:r>
      <w:r>
        <w:rPr>
          <w:rFonts w:hint="eastAsia" w:ascii="Times New Roman" w:hAnsi="Times New Roman" w:eastAsia="宋体" w:cs="Times New Roman"/>
          <w:highlight w:val="none"/>
        </w:rPr>
        <w:t>南城街道宏北路16号水业大厦B塔</w:t>
      </w:r>
      <w:r>
        <w:rPr>
          <w:rFonts w:hint="eastAsia" w:ascii="Times New Roman" w:hAnsi="Times New Roman" w:eastAsia="宋体" w:cs="Times New Roman"/>
          <w:highlight w:val="none"/>
          <w:lang w:val="en-US" w:eastAsia="zh-CN"/>
        </w:rPr>
        <w:t>15楼1511室</w:t>
      </w:r>
      <w:r>
        <w:rPr>
          <w:rFonts w:hint="eastAsia" w:ascii="Times New Roman" w:hAnsi="Times New Roman" w:eastAsia="宋体" w:cs="Times New Roman"/>
          <w:highlight w:val="none"/>
        </w:rPr>
        <w:t>。</w:t>
      </w:r>
    </w:p>
    <w:p w14:paraId="3E7AA860">
      <w:pPr>
        <w:spacing w:line="360" w:lineRule="auto"/>
        <w:ind w:firstLine="371" w:firstLineChars="177"/>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七、报价文件开封时间：2026年4月8日10时00分。</w:t>
      </w:r>
    </w:p>
    <w:p w14:paraId="29E7A9DF">
      <w:pPr>
        <w:spacing w:line="360" w:lineRule="auto"/>
        <w:ind w:firstLine="371" w:firstLineChars="177"/>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八、报价文件开封地点：东莞市</w:t>
      </w:r>
      <w:r>
        <w:rPr>
          <w:rFonts w:hint="eastAsia" w:ascii="Times New Roman" w:hAnsi="Times New Roman" w:eastAsia="宋体" w:cs="Times New Roman"/>
          <w:highlight w:val="none"/>
        </w:rPr>
        <w:t>南城街道宏北路16号水业大厦B塔</w:t>
      </w:r>
      <w:r>
        <w:rPr>
          <w:rFonts w:hint="eastAsia" w:ascii="Times New Roman" w:hAnsi="Times New Roman" w:eastAsia="宋体" w:cs="Times New Roman"/>
          <w:highlight w:val="none"/>
          <w:lang w:val="en-US" w:eastAsia="zh-CN"/>
        </w:rPr>
        <w:t>15楼1511室。</w:t>
      </w:r>
    </w:p>
    <w:p w14:paraId="1775E167">
      <w:pPr>
        <w:spacing w:line="360" w:lineRule="auto"/>
        <w:ind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九</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转让方</w:t>
      </w:r>
      <w:r>
        <w:rPr>
          <w:rFonts w:hint="eastAsia" w:ascii="宋体" w:hAnsi="宋体" w:eastAsia="宋体" w:cs="宋体"/>
          <w:color w:val="000000" w:themeColor="text1"/>
          <w:highlight w:val="none"/>
          <w14:textFill>
            <w14:solidFill>
              <w14:schemeClr w14:val="tx1"/>
            </w14:solidFill>
          </w14:textFill>
        </w:rPr>
        <w:t>联系方式</w:t>
      </w:r>
    </w:p>
    <w:p w14:paraId="6BC8F7FF">
      <w:pPr>
        <w:spacing w:line="360" w:lineRule="auto"/>
        <w:ind w:left="0" w:leftChars="0" w:firstLine="371" w:firstLineChars="177"/>
        <w:rPr>
          <w:rFonts w:hint="eastAsia" w:ascii="宋体" w:hAnsi="宋体" w:eastAsia="宋体" w:cs="宋体"/>
          <w:color w:val="000000" w:themeColor="text1"/>
          <w:highlight w:val="none"/>
          <w:lang w:val="en-US" w:eastAsia="zh-CN"/>
          <w14:textFill>
            <w14:solidFill>
              <w14:schemeClr w14:val="tx1"/>
            </w14:solidFill>
          </w14:textFill>
        </w:rPr>
      </w:pPr>
      <w:bookmarkStart w:id="5" w:name="_Hlk27138405"/>
      <w:r>
        <w:rPr>
          <w:rFonts w:hint="eastAsia" w:ascii="宋体" w:hAnsi="宋体" w:eastAsia="宋体" w:cs="宋体"/>
          <w:color w:val="000000" w:themeColor="text1"/>
          <w:highlight w:val="none"/>
          <w14:textFill>
            <w14:solidFill>
              <w14:schemeClr w14:val="tx1"/>
            </w14:solidFill>
          </w14:textFill>
        </w:rPr>
        <w:t>联系人：</w:t>
      </w:r>
      <w:r>
        <w:rPr>
          <w:rFonts w:hint="eastAsia" w:ascii="宋体" w:hAnsi="宋体" w:cs="宋体"/>
          <w:color w:val="000000" w:themeColor="text1"/>
          <w:highlight w:val="none"/>
          <w:lang w:val="en-US" w:eastAsia="zh-CN"/>
          <w14:textFill>
            <w14:solidFill>
              <w14:schemeClr w14:val="tx1"/>
            </w14:solidFill>
          </w14:textFill>
        </w:rPr>
        <w:t>邹</w:t>
      </w:r>
      <w:r>
        <w:rPr>
          <w:rFonts w:hint="eastAsia" w:ascii="宋体" w:hAnsi="宋体" w:eastAsia="宋体" w:cs="宋体"/>
          <w:color w:val="000000" w:themeColor="text1"/>
          <w:highlight w:val="none"/>
          <w:lang w:val="en-US" w:eastAsia="zh-CN"/>
          <w14:textFill>
            <w14:solidFill>
              <w14:schemeClr w14:val="tx1"/>
            </w14:solidFill>
          </w14:textFill>
        </w:rPr>
        <w:t>先生</w:t>
      </w:r>
    </w:p>
    <w:p w14:paraId="3F8FE7C8">
      <w:pPr>
        <w:ind w:firstLine="371" w:firstLineChars="177"/>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w:t>
      </w:r>
      <w:r>
        <w:rPr>
          <w:rFonts w:hint="eastAsia" w:ascii="宋体" w:hAnsi="宋体" w:cs="宋体"/>
          <w:color w:val="000000" w:themeColor="text1"/>
          <w:highlight w:val="none"/>
          <w:lang w:val="en-US" w:eastAsia="zh-CN"/>
          <w14:textFill>
            <w14:solidFill>
              <w14:schemeClr w14:val="tx1"/>
            </w14:solidFill>
          </w14:textFill>
        </w:rPr>
        <w:t>18929228516</w:t>
      </w:r>
    </w:p>
    <w:p w14:paraId="215F35C9">
      <w:pPr>
        <w:spacing w:line="360" w:lineRule="auto"/>
        <w:ind w:left="0" w:leftChars="0" w:firstLine="371" w:firstLineChars="177"/>
        <w:rPr>
          <w:rFonts w:hint="eastAsia" w:ascii="宋体" w:hAnsi="宋体" w:eastAsia="宋体" w:cs="宋体"/>
          <w:color w:val="000000" w:themeColor="text1"/>
          <w:highlight w:val="none"/>
          <w14:textFill>
            <w14:solidFill>
              <w14:schemeClr w14:val="tx1"/>
            </w14:solidFill>
          </w14:textFill>
        </w:rPr>
      </w:pPr>
      <w:bookmarkStart w:id="34" w:name="_GoBack"/>
      <w:bookmarkEnd w:id="34"/>
      <w:r>
        <w:rPr>
          <w:rFonts w:hint="eastAsia" w:ascii="宋体" w:hAnsi="宋体" w:eastAsia="宋体" w:cs="宋体"/>
          <w:color w:val="000000" w:themeColor="text1"/>
          <w:highlight w:val="none"/>
          <w14:textFill>
            <w14:solidFill>
              <w14:schemeClr w14:val="tx1"/>
            </w14:solidFill>
          </w14:textFill>
        </w:rPr>
        <w:t>联系地址：</w:t>
      </w:r>
      <w:bookmarkEnd w:id="5"/>
      <w:r>
        <w:rPr>
          <w:rFonts w:hint="eastAsia" w:ascii="Times New Roman" w:hAnsi="Times New Roman" w:eastAsia="宋体" w:cs="Times New Roman"/>
          <w:highlight w:val="none"/>
          <w:lang w:val="en-US" w:eastAsia="zh-CN"/>
        </w:rPr>
        <w:t>东莞市</w:t>
      </w:r>
      <w:r>
        <w:rPr>
          <w:rFonts w:hint="eastAsia" w:ascii="Times New Roman" w:hAnsi="Times New Roman" w:eastAsia="宋体" w:cs="Times New Roman"/>
          <w:highlight w:val="none"/>
        </w:rPr>
        <w:t>南城街道宏北路16号水业大厦B塔</w:t>
      </w:r>
      <w:r>
        <w:rPr>
          <w:rFonts w:hint="eastAsia" w:ascii="Times New Roman" w:hAnsi="Times New Roman" w:eastAsia="宋体" w:cs="Times New Roman"/>
          <w:highlight w:val="none"/>
          <w:lang w:val="en-US" w:eastAsia="zh-CN"/>
        </w:rPr>
        <w:t>15楼</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东莞市水务环境投资控股集团供水有限公司</w:t>
      </w:r>
      <w:r>
        <w:rPr>
          <w:rFonts w:hint="eastAsia" w:ascii="宋体" w:hAnsi="宋体" w:eastAsia="宋体" w:cs="宋体"/>
          <w:color w:val="000000" w:themeColor="text1"/>
          <w:highlight w:val="none"/>
          <w14:textFill>
            <w14:solidFill>
              <w14:schemeClr w14:val="tx1"/>
            </w14:solidFill>
          </w14:textFill>
        </w:rPr>
        <w:t>）。</w:t>
      </w:r>
    </w:p>
    <w:p w14:paraId="20A472BC">
      <w:pPr>
        <w:rPr>
          <w:rFonts w:hint="default" w:ascii="Times New Roman" w:hAnsi="Times New Roman" w:cs="Times New Roman"/>
          <w:color w:val="000000" w:themeColor="text1"/>
          <w:highlight w:val="none"/>
          <w14:textFill>
            <w14:solidFill>
              <w14:schemeClr w14:val="tx1"/>
            </w14:solidFill>
          </w14:textFill>
        </w:rPr>
      </w:pPr>
    </w:p>
    <w:p w14:paraId="63D4D5FC">
      <w:pPr>
        <w:rPr>
          <w:rFonts w:hint="default" w:ascii="Times New Roman" w:hAnsi="Times New Roman" w:cs="Times New Roman"/>
          <w:color w:val="000000" w:themeColor="text1"/>
          <w:highlight w:val="none"/>
          <w14:textFill>
            <w14:solidFill>
              <w14:schemeClr w14:val="tx1"/>
            </w14:solidFill>
          </w14:textFill>
        </w:rPr>
      </w:pPr>
    </w:p>
    <w:p w14:paraId="7FB2F070">
      <w:pPr>
        <w:spacing w:line="360" w:lineRule="auto"/>
        <w:ind w:left="743" w:leftChars="354" w:firstLine="4410" w:firstLineChars="2100"/>
        <w:rPr>
          <w:rFonts w:hint="default" w:ascii="Times New Roman" w:hAnsi="Times New Roman" w:eastAsia="宋体" w:cs="Times New Roman"/>
          <w:b w:val="0"/>
          <w:bCs w:val="0"/>
          <w:sz w:val="21"/>
          <w:szCs w:val="24"/>
          <w:highlight w:val="none"/>
          <w:u w:val="none"/>
        </w:rPr>
      </w:pPr>
      <w:bookmarkStart w:id="6" w:name="_Hlk27138410"/>
      <w:r>
        <w:rPr>
          <w:rFonts w:hint="default" w:ascii="Times New Roman" w:hAnsi="Times New Roman" w:eastAsia="宋体" w:cs="Times New Roman"/>
          <w:b w:val="0"/>
          <w:bCs w:val="0"/>
          <w:sz w:val="21"/>
          <w:szCs w:val="24"/>
          <w:highlight w:val="none"/>
          <w:u w:val="none"/>
        </w:rPr>
        <w:t>东莞市水务环境投资控股集团供水有限公司</w:t>
      </w:r>
    </w:p>
    <w:p w14:paraId="7BFADE46">
      <w:pPr>
        <w:spacing w:line="360" w:lineRule="auto"/>
        <w:ind w:left="743" w:leftChars="354" w:firstLine="5460" w:firstLineChars="26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202</w:t>
      </w:r>
      <w:r>
        <w:rPr>
          <w:rFonts w:hint="eastAsia"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14:textFill>
            <w14:solidFill>
              <w14:schemeClr w14:val="tx1"/>
            </w14:solidFill>
          </w14:textFill>
        </w:rPr>
        <w:t>年</w:t>
      </w:r>
      <w:r>
        <w:rPr>
          <w:rFonts w:hint="eastAsia" w:cs="Times New Roman"/>
          <w:color w:val="000000" w:themeColor="text1"/>
          <w:highlight w:val="none"/>
          <w:lang w:val="en-US" w:eastAsia="zh-CN"/>
          <w14:textFill>
            <w14:solidFill>
              <w14:schemeClr w14:val="tx1"/>
            </w14:solidFill>
          </w14:textFill>
        </w:rPr>
        <w:t>3</w:t>
      </w:r>
      <w:r>
        <w:rPr>
          <w:rFonts w:hint="eastAsia" w:ascii="Times New Roman" w:cs="Times New Roman"/>
          <w:color w:val="000000" w:themeColor="text1"/>
          <w:highlight w:val="none"/>
          <w:lang w:val="en-US" w:eastAsia="zh-CN"/>
          <w14:textFill>
            <w14:solidFill>
              <w14:schemeClr w14:val="tx1"/>
            </w14:solidFill>
          </w14:textFill>
        </w:rPr>
        <w:t>月</w:t>
      </w:r>
      <w:r>
        <w:rPr>
          <w:rFonts w:hint="eastAsia" w:cs="Times New Roman"/>
          <w:color w:val="000000" w:themeColor="text1"/>
          <w:highlight w:val="none"/>
          <w:lang w:val="en-US" w:eastAsia="zh-CN"/>
          <w14:textFill>
            <w14:solidFill>
              <w14:schemeClr w14:val="tx1"/>
            </w14:solidFill>
          </w14:textFill>
        </w:rPr>
        <w:t>30</w:t>
      </w:r>
      <w:r>
        <w:rPr>
          <w:rFonts w:hint="eastAsia" w:ascii="Times New Roman" w:cs="Times New Roman"/>
          <w:color w:val="000000" w:themeColor="text1"/>
          <w:highlight w:val="none"/>
          <w:lang w:val="en-US" w:eastAsia="zh-CN"/>
          <w14:textFill>
            <w14:solidFill>
              <w14:schemeClr w14:val="tx1"/>
            </w14:solidFill>
          </w14:textFill>
        </w:rPr>
        <w:t>日</w:t>
      </w:r>
    </w:p>
    <w:bookmarkEnd w:id="6"/>
    <w:p w14:paraId="7F926710">
      <w:pPr>
        <w:jc w:val="center"/>
        <w:rPr>
          <w:rFonts w:hint="eastAsia" w:ascii="宋体" w:hAnsi="宋体"/>
          <w:color w:val="auto"/>
          <w:sz w:val="30"/>
          <w:szCs w:val="30"/>
          <w:highlight w:val="none"/>
          <w:lang w:val="zh-CN"/>
        </w:rPr>
      </w:pPr>
      <w:bookmarkStart w:id="7" w:name="_Toc15511"/>
    </w:p>
    <w:p w14:paraId="25A68230">
      <w:pPr>
        <w:jc w:val="center"/>
        <w:rPr>
          <w:rFonts w:hint="eastAsia" w:ascii="宋体" w:hAnsi="宋体"/>
          <w:color w:val="auto"/>
          <w:sz w:val="30"/>
          <w:szCs w:val="30"/>
          <w:highlight w:val="none"/>
          <w:lang w:val="zh-CN"/>
        </w:rPr>
      </w:pPr>
    </w:p>
    <w:p w14:paraId="1FA66E42">
      <w:pPr>
        <w:jc w:val="center"/>
        <w:rPr>
          <w:rFonts w:hint="eastAsia" w:ascii="宋体" w:hAnsi="宋体"/>
          <w:color w:val="auto"/>
          <w:sz w:val="30"/>
          <w:szCs w:val="30"/>
          <w:highlight w:val="none"/>
          <w:lang w:val="zh-CN"/>
        </w:rPr>
      </w:pPr>
    </w:p>
    <w:p w14:paraId="172FC7C5">
      <w:pPr>
        <w:jc w:val="center"/>
        <w:rPr>
          <w:rFonts w:hint="eastAsia" w:ascii="宋体" w:hAnsi="宋体"/>
          <w:color w:val="auto"/>
          <w:sz w:val="30"/>
          <w:szCs w:val="30"/>
          <w:highlight w:val="none"/>
          <w:lang w:val="zh-CN"/>
        </w:rPr>
      </w:pPr>
    </w:p>
    <w:p w14:paraId="37D648D2">
      <w:pPr>
        <w:jc w:val="center"/>
        <w:rPr>
          <w:rFonts w:hint="eastAsia" w:ascii="宋体" w:hAnsi="宋体"/>
          <w:color w:val="auto"/>
          <w:sz w:val="30"/>
          <w:szCs w:val="30"/>
          <w:highlight w:val="none"/>
          <w:lang w:val="zh-CN"/>
        </w:rPr>
      </w:pPr>
    </w:p>
    <w:p w14:paraId="552CC9E2">
      <w:pPr>
        <w:jc w:val="center"/>
        <w:rPr>
          <w:rFonts w:hint="eastAsia" w:ascii="宋体" w:hAnsi="宋体"/>
          <w:color w:val="auto"/>
          <w:sz w:val="30"/>
          <w:szCs w:val="30"/>
          <w:highlight w:val="none"/>
          <w:lang w:val="zh-CN"/>
        </w:rPr>
      </w:pPr>
    </w:p>
    <w:p w14:paraId="43C00058">
      <w:pPr>
        <w:jc w:val="center"/>
        <w:rPr>
          <w:rFonts w:hint="eastAsia" w:ascii="宋体" w:hAnsi="宋体"/>
          <w:color w:val="auto"/>
          <w:sz w:val="30"/>
          <w:szCs w:val="30"/>
          <w:highlight w:val="none"/>
          <w:lang w:val="zh-CN"/>
        </w:rPr>
      </w:pPr>
    </w:p>
    <w:p w14:paraId="2688D707">
      <w:pPr>
        <w:jc w:val="center"/>
        <w:rPr>
          <w:rFonts w:hint="eastAsia" w:ascii="宋体" w:hAnsi="宋体"/>
          <w:color w:val="auto"/>
          <w:sz w:val="30"/>
          <w:szCs w:val="30"/>
          <w:highlight w:val="none"/>
          <w:lang w:val="zh-CN"/>
        </w:rPr>
      </w:pPr>
    </w:p>
    <w:p w14:paraId="5873B229">
      <w:pPr>
        <w:jc w:val="center"/>
        <w:rPr>
          <w:rFonts w:hint="eastAsia" w:ascii="宋体" w:hAnsi="宋体"/>
          <w:color w:val="auto"/>
          <w:sz w:val="30"/>
          <w:szCs w:val="30"/>
          <w:highlight w:val="none"/>
          <w:lang w:val="zh-CN"/>
        </w:rPr>
      </w:pPr>
    </w:p>
    <w:p w14:paraId="76CAF709">
      <w:pPr>
        <w:jc w:val="center"/>
        <w:rPr>
          <w:rFonts w:hint="eastAsia" w:ascii="宋体" w:hAnsi="宋体"/>
          <w:color w:val="auto"/>
          <w:sz w:val="30"/>
          <w:szCs w:val="30"/>
          <w:highlight w:val="none"/>
          <w:lang w:val="zh-CN"/>
        </w:rPr>
      </w:pPr>
    </w:p>
    <w:p w14:paraId="1B1EC08C">
      <w:pPr>
        <w:jc w:val="center"/>
        <w:rPr>
          <w:rFonts w:hint="eastAsia" w:ascii="宋体" w:hAnsi="宋体"/>
          <w:color w:val="auto"/>
          <w:sz w:val="30"/>
          <w:szCs w:val="30"/>
          <w:highlight w:val="none"/>
          <w:lang w:val="zh-CN"/>
        </w:rPr>
      </w:pPr>
    </w:p>
    <w:p w14:paraId="71F3964A">
      <w:pPr>
        <w:pStyle w:val="18"/>
        <w:spacing w:before="0" w:after="0" w:line="360" w:lineRule="auto"/>
        <w:rPr>
          <w:rFonts w:hint="eastAsia" w:ascii="宋体" w:hAnsi="宋体" w:eastAsia="宋体"/>
          <w:color w:val="auto"/>
          <w:sz w:val="30"/>
          <w:szCs w:val="30"/>
          <w:highlight w:val="none"/>
          <w:lang w:val="zh-CN"/>
        </w:rPr>
      </w:pPr>
      <w:bookmarkStart w:id="8" w:name="_Toc13987"/>
      <w:r>
        <w:rPr>
          <w:rFonts w:hint="eastAsia" w:ascii="宋体" w:hAnsi="宋体" w:eastAsia="宋体"/>
          <w:color w:val="auto"/>
          <w:sz w:val="30"/>
          <w:szCs w:val="30"/>
          <w:highlight w:val="none"/>
          <w:lang w:val="zh-CN"/>
        </w:rPr>
        <w:t xml:space="preserve">第二篇 </w:t>
      </w:r>
      <w:bookmarkEnd w:id="7"/>
      <w:r>
        <w:rPr>
          <w:rFonts w:hint="eastAsia" w:ascii="宋体" w:hAnsi="宋体" w:eastAsia="宋体"/>
          <w:color w:val="auto"/>
          <w:sz w:val="30"/>
          <w:szCs w:val="30"/>
          <w:highlight w:val="none"/>
          <w:lang w:val="zh-CN"/>
        </w:rPr>
        <w:t>资产转让信息公告</w:t>
      </w:r>
      <w:bookmarkEnd w:id="8"/>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39"/>
        <w:gridCol w:w="1589"/>
        <w:gridCol w:w="1962"/>
        <w:gridCol w:w="1774"/>
        <w:gridCol w:w="1820"/>
      </w:tblGrid>
      <w:tr w14:paraId="1CBC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522" w:type="dxa"/>
            <w:gridSpan w:val="6"/>
            <w:vAlign w:val="center"/>
          </w:tcPr>
          <w:p w14:paraId="7E2030DC">
            <w:pPr>
              <w:jc w:val="center"/>
              <w:rPr>
                <w:rFonts w:ascii="宋体" w:hAnsi="宋体"/>
                <w:color w:val="auto"/>
                <w:sz w:val="24"/>
                <w:highlight w:val="none"/>
              </w:rPr>
            </w:pPr>
            <w:r>
              <w:rPr>
                <w:rFonts w:hint="eastAsia" w:ascii="宋体" w:hAnsi="宋体"/>
                <w:b/>
                <w:color w:val="auto"/>
                <w:sz w:val="28"/>
                <w:szCs w:val="28"/>
                <w:highlight w:val="none"/>
              </w:rPr>
              <w:t>一、标的基本情况</w:t>
            </w:r>
          </w:p>
        </w:tc>
      </w:tr>
      <w:tr w14:paraId="6779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8" w:type="dxa"/>
            <w:vMerge w:val="restart"/>
            <w:shd w:val="clear" w:color="auto" w:fill="E6E6E6"/>
            <w:vAlign w:val="center"/>
          </w:tcPr>
          <w:p w14:paraId="13A8B85D">
            <w:pPr>
              <w:jc w:val="center"/>
              <w:rPr>
                <w:rFonts w:ascii="宋体" w:hAnsi="宋体"/>
                <w:b/>
                <w:color w:val="auto"/>
                <w:kern w:val="0"/>
                <w:sz w:val="24"/>
                <w:highlight w:val="none"/>
              </w:rPr>
            </w:pPr>
            <w:r>
              <w:rPr>
                <w:rFonts w:hint="eastAsia" w:ascii="宋体" w:hAnsi="宋体"/>
                <w:b/>
                <w:color w:val="auto"/>
                <w:kern w:val="0"/>
                <w:sz w:val="24"/>
                <w:highlight w:val="none"/>
              </w:rPr>
              <w:t>项目基本</w:t>
            </w:r>
          </w:p>
          <w:p w14:paraId="684D3865">
            <w:pPr>
              <w:jc w:val="center"/>
              <w:rPr>
                <w:rFonts w:ascii="宋体" w:hAnsi="宋体"/>
                <w:b/>
                <w:color w:val="auto"/>
                <w:sz w:val="24"/>
                <w:highlight w:val="none"/>
              </w:rPr>
            </w:pPr>
            <w:r>
              <w:rPr>
                <w:rFonts w:hint="eastAsia" w:ascii="宋体" w:hAnsi="宋体"/>
                <w:b/>
                <w:color w:val="auto"/>
                <w:kern w:val="0"/>
                <w:sz w:val="24"/>
                <w:highlight w:val="none"/>
              </w:rPr>
              <w:t>信息</w:t>
            </w:r>
          </w:p>
        </w:tc>
        <w:tc>
          <w:tcPr>
            <w:tcW w:w="1628" w:type="dxa"/>
            <w:gridSpan w:val="2"/>
            <w:shd w:val="clear" w:color="auto" w:fill="E6E6E6"/>
            <w:vAlign w:val="center"/>
          </w:tcPr>
          <w:p w14:paraId="0996C76F">
            <w:pPr>
              <w:wordWrap w:val="0"/>
              <w:jc w:val="center"/>
              <w:rPr>
                <w:rFonts w:ascii="宋体" w:hAnsi="宋体"/>
                <w:color w:val="auto"/>
                <w:sz w:val="24"/>
                <w:highlight w:val="none"/>
              </w:rPr>
            </w:pPr>
            <w:r>
              <w:rPr>
                <w:rFonts w:hint="eastAsia" w:ascii="宋体" w:hAnsi="宋体"/>
                <w:color w:val="auto"/>
                <w:sz w:val="24"/>
                <w:highlight w:val="none"/>
              </w:rPr>
              <w:t>标的名称</w:t>
            </w:r>
          </w:p>
        </w:tc>
        <w:tc>
          <w:tcPr>
            <w:tcW w:w="5556" w:type="dxa"/>
            <w:gridSpan w:val="3"/>
            <w:vAlign w:val="center"/>
          </w:tcPr>
          <w:p w14:paraId="5068D3BB">
            <w:pPr>
              <w:wordWrap w:val="0"/>
              <w:jc w:val="left"/>
              <w:rPr>
                <w:rFonts w:hint="eastAsia" w:ascii="宋体" w:hAnsi="宋体"/>
                <w:color w:val="auto"/>
                <w:sz w:val="24"/>
                <w:highlight w:val="none"/>
                <w:lang w:val="en-US" w:eastAsia="zh-CN"/>
              </w:rPr>
            </w:pPr>
            <w:r>
              <w:rPr>
                <w:rFonts w:hint="eastAsia"/>
                <w:color w:val="auto"/>
                <w:sz w:val="24"/>
                <w:highlight w:val="none"/>
                <w:lang w:eastAsia="zh-CN"/>
              </w:rPr>
              <w:t>东莞市水务环境投资控股集团供水有限公司拟资产处置涉及的一批</w:t>
            </w:r>
            <w:r>
              <w:rPr>
                <w:rFonts w:hint="eastAsia"/>
                <w:color w:val="auto"/>
                <w:sz w:val="24"/>
                <w:highlight w:val="none"/>
                <w:lang w:val="en-US" w:eastAsia="zh-CN"/>
              </w:rPr>
              <w:t>报废固定</w:t>
            </w:r>
            <w:r>
              <w:rPr>
                <w:rFonts w:hint="eastAsia"/>
                <w:color w:val="auto"/>
                <w:sz w:val="24"/>
                <w:highlight w:val="none"/>
                <w:lang w:eastAsia="zh-CN"/>
              </w:rPr>
              <w:t>资产</w:t>
            </w:r>
          </w:p>
        </w:tc>
      </w:tr>
      <w:tr w14:paraId="5CA7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8" w:type="dxa"/>
            <w:vMerge w:val="continue"/>
            <w:shd w:val="clear" w:color="auto" w:fill="E6E6E6"/>
            <w:vAlign w:val="center"/>
          </w:tcPr>
          <w:p w14:paraId="7FC612A6">
            <w:pPr>
              <w:jc w:val="left"/>
              <w:rPr>
                <w:rFonts w:ascii="宋体" w:hAnsi="宋体"/>
                <w:b/>
                <w:color w:val="auto"/>
                <w:sz w:val="24"/>
                <w:highlight w:val="none"/>
              </w:rPr>
            </w:pPr>
          </w:p>
        </w:tc>
        <w:tc>
          <w:tcPr>
            <w:tcW w:w="1628" w:type="dxa"/>
            <w:gridSpan w:val="2"/>
            <w:shd w:val="clear" w:color="auto" w:fill="E6E6E6"/>
            <w:vAlign w:val="center"/>
          </w:tcPr>
          <w:p w14:paraId="1DDB4FA5">
            <w:pPr>
              <w:wordWrap w:val="0"/>
              <w:jc w:val="center"/>
              <w:rPr>
                <w:rFonts w:ascii="宋体" w:hAnsi="宋体"/>
                <w:color w:val="auto"/>
                <w:sz w:val="24"/>
                <w:highlight w:val="none"/>
              </w:rPr>
            </w:pPr>
            <w:r>
              <w:rPr>
                <w:rFonts w:hint="eastAsia" w:ascii="宋体" w:hAnsi="宋体"/>
                <w:color w:val="auto"/>
                <w:sz w:val="24"/>
                <w:highlight w:val="none"/>
              </w:rPr>
              <w:t>资产类型</w:t>
            </w:r>
          </w:p>
        </w:tc>
        <w:tc>
          <w:tcPr>
            <w:tcW w:w="5556" w:type="dxa"/>
            <w:gridSpan w:val="3"/>
            <w:vAlign w:val="center"/>
          </w:tcPr>
          <w:p w14:paraId="4187F557">
            <w:pPr>
              <w:wordWrap w:val="0"/>
              <w:jc w:val="left"/>
              <w:rPr>
                <w:rFonts w:ascii="宋体" w:hAnsi="宋体"/>
                <w:color w:val="auto"/>
                <w:sz w:val="24"/>
                <w:highlight w:val="none"/>
              </w:rPr>
            </w:pPr>
            <w:r>
              <w:rPr>
                <w:rFonts w:hint="eastAsia" w:ascii="宋体" w:hAnsi="宋体"/>
                <w:color w:val="auto"/>
                <w:sz w:val="24"/>
                <w:highlight w:val="none"/>
              </w:rPr>
              <w:t xml:space="preserve">□土地使用权 □机械设备 □在建工程  □存货  </w:t>
            </w:r>
          </w:p>
          <w:p w14:paraId="7C207A75">
            <w:pPr>
              <w:wordWrap w:val="0"/>
              <w:jc w:val="left"/>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 xml:space="preserve">废旧物资   □商标     □专利      □产成品/原材料      □企业房产 □机动车    </w:t>
            </w:r>
            <w:r>
              <w:rPr>
                <w:rFonts w:hint="eastAsia" w:ascii="宋体" w:hAnsi="宋体"/>
                <w:color w:val="auto"/>
                <w:sz w:val="24"/>
                <w:highlight w:val="none"/>
                <w:lang w:eastAsia="zh-CN"/>
              </w:rPr>
              <w:t>☑</w:t>
            </w:r>
            <w:r>
              <w:rPr>
                <w:rFonts w:hint="eastAsia" w:ascii="宋体" w:hAnsi="宋体"/>
                <w:color w:val="auto"/>
                <w:sz w:val="24"/>
                <w:highlight w:val="none"/>
              </w:rPr>
              <w:t xml:space="preserve">其他 </w:t>
            </w:r>
          </w:p>
        </w:tc>
      </w:tr>
      <w:tr w14:paraId="6F2D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8" w:type="dxa"/>
            <w:vMerge w:val="continue"/>
            <w:shd w:val="clear" w:color="auto" w:fill="E6E6E6"/>
            <w:vAlign w:val="center"/>
          </w:tcPr>
          <w:p w14:paraId="43C70501">
            <w:pPr>
              <w:jc w:val="left"/>
              <w:rPr>
                <w:rFonts w:ascii="宋体" w:hAnsi="宋体"/>
                <w:b/>
                <w:color w:val="auto"/>
                <w:sz w:val="24"/>
                <w:highlight w:val="none"/>
              </w:rPr>
            </w:pPr>
          </w:p>
        </w:tc>
        <w:tc>
          <w:tcPr>
            <w:tcW w:w="1628" w:type="dxa"/>
            <w:gridSpan w:val="2"/>
            <w:shd w:val="clear" w:color="auto" w:fill="E6E6E6"/>
            <w:vAlign w:val="center"/>
          </w:tcPr>
          <w:p w14:paraId="6F0D472D">
            <w:pPr>
              <w:wordWrap w:val="0"/>
              <w:jc w:val="center"/>
              <w:rPr>
                <w:rFonts w:ascii="宋体" w:hAnsi="宋体"/>
                <w:color w:val="auto"/>
                <w:sz w:val="24"/>
                <w:highlight w:val="none"/>
              </w:rPr>
            </w:pPr>
            <w:r>
              <w:rPr>
                <w:rFonts w:hint="eastAsia" w:ascii="宋体" w:hAnsi="宋体"/>
                <w:color w:val="auto"/>
                <w:sz w:val="24"/>
                <w:highlight w:val="none"/>
              </w:rPr>
              <w:t>转让底价</w:t>
            </w:r>
          </w:p>
        </w:tc>
        <w:tc>
          <w:tcPr>
            <w:tcW w:w="5556" w:type="dxa"/>
            <w:gridSpan w:val="3"/>
            <w:vAlign w:val="center"/>
          </w:tcPr>
          <w:p w14:paraId="603FE507">
            <w:pPr>
              <w:wordWrap w:val="0"/>
              <w:jc w:val="lef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40489元</w:t>
            </w:r>
          </w:p>
        </w:tc>
      </w:tr>
      <w:tr w14:paraId="34A0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8" w:type="dxa"/>
            <w:vMerge w:val="continue"/>
            <w:shd w:val="clear" w:color="auto" w:fill="E6E6E6"/>
            <w:vAlign w:val="center"/>
          </w:tcPr>
          <w:p w14:paraId="5E57DB3C">
            <w:pPr>
              <w:jc w:val="left"/>
              <w:rPr>
                <w:rFonts w:ascii="宋体" w:hAnsi="宋体"/>
                <w:b/>
                <w:color w:val="auto"/>
                <w:sz w:val="24"/>
                <w:highlight w:val="none"/>
              </w:rPr>
            </w:pPr>
          </w:p>
        </w:tc>
        <w:tc>
          <w:tcPr>
            <w:tcW w:w="1628" w:type="dxa"/>
            <w:gridSpan w:val="2"/>
            <w:shd w:val="clear" w:color="auto" w:fill="E6E6E6"/>
            <w:vAlign w:val="center"/>
          </w:tcPr>
          <w:p w14:paraId="7CD4AFBE">
            <w:pPr>
              <w:wordWrap w:val="0"/>
              <w:jc w:val="center"/>
              <w:rPr>
                <w:rFonts w:ascii="宋体" w:hAnsi="宋体"/>
                <w:color w:val="auto"/>
                <w:sz w:val="24"/>
                <w:highlight w:val="none"/>
              </w:rPr>
            </w:pPr>
            <w:r>
              <w:rPr>
                <w:rFonts w:hint="eastAsia" w:ascii="宋体" w:hAnsi="宋体"/>
                <w:color w:val="auto"/>
                <w:sz w:val="24"/>
                <w:highlight w:val="none"/>
              </w:rPr>
              <w:t>资产属性</w:t>
            </w:r>
          </w:p>
          <w:p w14:paraId="0C6B349E">
            <w:pPr>
              <w:wordWrap w:val="0"/>
              <w:jc w:val="center"/>
              <w:rPr>
                <w:rFonts w:ascii="宋体" w:hAnsi="宋体"/>
                <w:color w:val="auto"/>
                <w:sz w:val="24"/>
                <w:highlight w:val="none"/>
              </w:rPr>
            </w:pPr>
            <w:r>
              <w:rPr>
                <w:rFonts w:hint="eastAsia" w:ascii="宋体" w:hAnsi="宋体"/>
                <w:color w:val="auto"/>
                <w:sz w:val="24"/>
                <w:highlight w:val="none"/>
              </w:rPr>
              <w:t>（资产来源）</w:t>
            </w:r>
          </w:p>
        </w:tc>
        <w:tc>
          <w:tcPr>
            <w:tcW w:w="5556" w:type="dxa"/>
            <w:gridSpan w:val="3"/>
            <w:vAlign w:val="center"/>
          </w:tcPr>
          <w:p w14:paraId="0EF7A8C6">
            <w:pPr>
              <w:wordWrap w:val="0"/>
              <w:jc w:val="left"/>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 xml:space="preserve">企业实物资产  □行政事业单位实物资产 </w:t>
            </w:r>
          </w:p>
          <w:p w14:paraId="6C4092C5">
            <w:pPr>
              <w:wordWrap w:val="0"/>
              <w:jc w:val="left"/>
              <w:rPr>
                <w:rFonts w:ascii="宋体" w:hAnsi="宋体"/>
                <w:color w:val="auto"/>
                <w:sz w:val="24"/>
                <w:highlight w:val="none"/>
              </w:rPr>
            </w:pPr>
            <w:r>
              <w:rPr>
                <w:rFonts w:hint="eastAsia" w:ascii="宋体" w:hAnsi="宋体"/>
                <w:color w:val="auto"/>
                <w:sz w:val="24"/>
                <w:highlight w:val="none"/>
              </w:rPr>
              <w:t>□其他机构</w:t>
            </w:r>
          </w:p>
        </w:tc>
      </w:tr>
      <w:tr w14:paraId="311B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38" w:type="dxa"/>
            <w:vMerge w:val="continue"/>
            <w:shd w:val="clear" w:color="auto" w:fill="E6E6E6"/>
            <w:vAlign w:val="center"/>
          </w:tcPr>
          <w:p w14:paraId="59BCF3CE">
            <w:pPr>
              <w:jc w:val="left"/>
              <w:rPr>
                <w:rFonts w:ascii="宋体" w:hAnsi="宋体"/>
                <w:b/>
                <w:color w:val="auto"/>
                <w:sz w:val="24"/>
                <w:highlight w:val="none"/>
              </w:rPr>
            </w:pPr>
          </w:p>
        </w:tc>
        <w:tc>
          <w:tcPr>
            <w:tcW w:w="1628" w:type="dxa"/>
            <w:gridSpan w:val="2"/>
            <w:shd w:val="clear" w:color="auto" w:fill="E6E6E6"/>
            <w:vAlign w:val="center"/>
          </w:tcPr>
          <w:p w14:paraId="2F7C6799">
            <w:pPr>
              <w:tabs>
                <w:tab w:val="center" w:pos="598"/>
              </w:tabs>
              <w:wordWrap w:val="0"/>
              <w:jc w:val="center"/>
              <w:rPr>
                <w:rFonts w:ascii="宋体" w:hAnsi="宋体"/>
                <w:color w:val="auto"/>
                <w:sz w:val="24"/>
                <w:highlight w:val="none"/>
              </w:rPr>
            </w:pPr>
            <w:r>
              <w:rPr>
                <w:rFonts w:hint="eastAsia" w:ascii="宋体" w:hAnsi="宋体"/>
                <w:color w:val="auto"/>
                <w:sz w:val="24"/>
                <w:highlight w:val="none"/>
              </w:rPr>
              <w:t>资产概述</w:t>
            </w:r>
          </w:p>
        </w:tc>
        <w:tc>
          <w:tcPr>
            <w:tcW w:w="5556" w:type="dxa"/>
            <w:gridSpan w:val="3"/>
            <w:vAlign w:val="center"/>
          </w:tcPr>
          <w:p w14:paraId="7AB0A72E">
            <w:pPr>
              <w:wordWrap w:val="0"/>
              <w:jc w:val="left"/>
              <w:rPr>
                <w:rFonts w:ascii="宋体" w:hAnsi="宋体"/>
                <w:color w:val="auto"/>
                <w:sz w:val="24"/>
                <w:highlight w:val="none"/>
              </w:rPr>
            </w:pPr>
            <w:r>
              <w:rPr>
                <w:rFonts w:hint="eastAsia"/>
                <w:color w:val="auto"/>
                <w:sz w:val="24"/>
                <w:highlight w:val="none"/>
                <w:lang w:eastAsia="zh-CN"/>
              </w:rPr>
              <w:t>东莞市水务环境投资控股集团供水有限公司拟</w:t>
            </w:r>
            <w:r>
              <w:rPr>
                <w:rFonts w:hint="eastAsia"/>
                <w:color w:val="auto"/>
                <w:sz w:val="24"/>
                <w:highlight w:val="none"/>
                <w:lang w:val="en-US" w:eastAsia="zh-CN"/>
              </w:rPr>
              <w:t>转让</w:t>
            </w:r>
            <w:r>
              <w:rPr>
                <w:rFonts w:hint="eastAsia"/>
                <w:color w:val="auto"/>
                <w:sz w:val="24"/>
                <w:highlight w:val="none"/>
                <w:lang w:eastAsia="zh-CN"/>
              </w:rPr>
              <w:t>一批资产设备，共计</w:t>
            </w:r>
            <w:r>
              <w:rPr>
                <w:rFonts w:hint="eastAsia"/>
                <w:color w:val="auto"/>
                <w:sz w:val="24"/>
                <w:highlight w:val="none"/>
                <w:lang w:val="en-US" w:eastAsia="zh-CN"/>
              </w:rPr>
              <w:t>18项</w:t>
            </w:r>
            <w:r>
              <w:rPr>
                <w:rFonts w:hint="eastAsia"/>
                <w:color w:val="auto"/>
                <w:sz w:val="24"/>
                <w:highlight w:val="none"/>
                <w:lang w:eastAsia="zh-CN"/>
              </w:rPr>
              <w:t>（具体包含</w:t>
            </w:r>
            <w:r>
              <w:rPr>
                <w:rFonts w:hint="eastAsia"/>
                <w:color w:val="auto"/>
                <w:sz w:val="24"/>
                <w:highlight w:val="none"/>
                <w:lang w:val="en-US" w:eastAsia="zh-CN"/>
              </w:rPr>
              <w:t>电梯、停车系统、泵配电机、空调、空气能热水器等设备</w:t>
            </w:r>
            <w:r>
              <w:rPr>
                <w:rFonts w:hint="eastAsia"/>
                <w:color w:val="auto"/>
                <w:sz w:val="24"/>
                <w:highlight w:val="none"/>
                <w:lang w:eastAsia="zh-CN"/>
              </w:rPr>
              <w:t>），资产概况详见本合同附件《</w:t>
            </w:r>
            <w:r>
              <w:rPr>
                <w:rFonts w:hint="eastAsia"/>
                <w:color w:val="auto"/>
                <w:sz w:val="24"/>
                <w:highlight w:val="none"/>
                <w:lang w:val="en-US" w:eastAsia="zh-CN"/>
              </w:rPr>
              <w:t>资产交易清单</w:t>
            </w:r>
            <w:r>
              <w:rPr>
                <w:rFonts w:hint="eastAsia"/>
                <w:color w:val="auto"/>
                <w:sz w:val="24"/>
                <w:highlight w:val="none"/>
                <w:lang w:eastAsia="zh-CN"/>
              </w:rPr>
              <w:t>》。转让标的以整体方式转让，不作分拆。转让方持有的标的资产按现状转让，转让标的须由受让方进行提货清运。资产交易合同不因交易标的质量、数量、性能等误差而变更、解除或终止，交易价款不因交易标的质量、数量、性能等误差作调整。资产设备按保存现状转让交易和交付</w:t>
            </w:r>
            <w:r>
              <w:rPr>
                <w:rFonts w:hint="eastAsia" w:ascii="宋体" w:hAnsi="宋体" w:eastAsia="宋体" w:cs="Times New Roman"/>
                <w:color w:val="auto"/>
                <w:sz w:val="24"/>
                <w:highlight w:val="none"/>
                <w:lang w:val="en-US" w:eastAsia="zh-CN"/>
              </w:rPr>
              <w:t>。</w:t>
            </w:r>
          </w:p>
        </w:tc>
      </w:tr>
      <w:tr w14:paraId="4D70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22" w:type="dxa"/>
            <w:gridSpan w:val="6"/>
            <w:shd w:val="clear" w:color="auto" w:fill="E6E6E6"/>
            <w:vAlign w:val="center"/>
          </w:tcPr>
          <w:p w14:paraId="6A6A9768">
            <w:pPr>
              <w:wordWrap w:val="0"/>
              <w:jc w:val="center"/>
              <w:rPr>
                <w:rFonts w:ascii="宋体" w:hAnsi="宋体"/>
                <w:color w:val="auto"/>
                <w:sz w:val="24"/>
                <w:highlight w:val="none"/>
              </w:rPr>
            </w:pPr>
            <w:r>
              <w:rPr>
                <w:rFonts w:hint="eastAsia" w:ascii="宋体" w:hAnsi="宋体"/>
                <w:b/>
                <w:color w:val="auto"/>
                <w:sz w:val="24"/>
                <w:highlight w:val="none"/>
              </w:rPr>
              <w:t>标的具体信息</w:t>
            </w:r>
            <w:r>
              <w:rPr>
                <w:rFonts w:hint="eastAsia" w:ascii="宋体" w:hAnsi="宋体"/>
                <w:b/>
                <w:color w:val="auto"/>
                <w:sz w:val="18"/>
                <w:highlight w:val="none"/>
              </w:rPr>
              <w:t>(根据标的类型选填）</w:t>
            </w:r>
          </w:p>
        </w:tc>
      </w:tr>
      <w:tr w14:paraId="4CD7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22" w:type="dxa"/>
            <w:gridSpan w:val="6"/>
            <w:vAlign w:val="center"/>
          </w:tcPr>
          <w:p w14:paraId="4B730A06">
            <w:pPr>
              <w:jc w:val="center"/>
              <w:rPr>
                <w:rFonts w:ascii="宋体" w:hAnsi="宋体"/>
                <w:b/>
                <w:color w:val="auto"/>
                <w:sz w:val="24"/>
                <w:highlight w:val="none"/>
              </w:rPr>
            </w:pPr>
            <w:r>
              <w:rPr>
                <w:rFonts w:hint="eastAsia" w:ascii="仿宋" w:hAnsi="仿宋" w:eastAsia="仿宋" w:cs="仿宋"/>
                <w:b/>
                <w:color w:val="auto"/>
                <w:sz w:val="24"/>
                <w:highlight w:val="none"/>
              </w:rPr>
              <w:t>标的为</w:t>
            </w:r>
            <w:r>
              <w:rPr>
                <w:rFonts w:hint="eastAsia" w:ascii="仿宋" w:hAnsi="仿宋" w:eastAsia="仿宋" w:cs="仿宋"/>
                <w:b/>
                <w:color w:val="auto"/>
                <w:sz w:val="24"/>
                <w:highlight w:val="none"/>
                <w:lang w:eastAsia="zh-CN"/>
              </w:rPr>
              <w:t>设备（</w:t>
            </w:r>
            <w:r>
              <w:rPr>
                <w:rFonts w:hint="eastAsia" w:ascii="仿宋" w:hAnsi="仿宋" w:eastAsia="仿宋" w:cs="仿宋"/>
                <w:b/>
                <w:color w:val="auto"/>
                <w:sz w:val="24"/>
                <w:highlight w:val="none"/>
                <w:lang w:val="en-US" w:eastAsia="zh-CN"/>
              </w:rPr>
              <w:t>详见</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资产交易清单</w:t>
            </w:r>
            <w:r>
              <w:rPr>
                <w:rFonts w:hint="eastAsia" w:ascii="仿宋" w:hAnsi="仿宋" w:eastAsia="仿宋" w:cs="仿宋"/>
                <w:b/>
                <w:color w:val="auto"/>
                <w:sz w:val="24"/>
                <w:highlight w:val="none"/>
                <w:lang w:eastAsia="zh-CN"/>
              </w:rPr>
              <w:t>》</w:t>
            </w:r>
          </w:p>
        </w:tc>
      </w:tr>
      <w:tr w14:paraId="0936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7" w:type="dxa"/>
            <w:gridSpan w:val="2"/>
            <w:shd w:val="clear" w:color="auto" w:fill="E6E6E6"/>
            <w:vAlign w:val="center"/>
          </w:tcPr>
          <w:p w14:paraId="11802586">
            <w:pPr>
              <w:wordWrap w:val="0"/>
              <w:jc w:val="center"/>
              <w:rPr>
                <w:rFonts w:ascii="宋体" w:hAnsi="宋体"/>
                <w:color w:val="auto"/>
                <w:sz w:val="24"/>
                <w:highlight w:val="none"/>
              </w:rPr>
            </w:pPr>
            <w:r>
              <w:rPr>
                <w:rFonts w:hint="eastAsia" w:ascii="宋体" w:hAnsi="宋体"/>
                <w:color w:val="auto"/>
                <w:sz w:val="24"/>
                <w:highlight w:val="none"/>
              </w:rPr>
              <w:t>标的状态</w:t>
            </w:r>
          </w:p>
        </w:tc>
        <w:tc>
          <w:tcPr>
            <w:tcW w:w="3551" w:type="dxa"/>
            <w:gridSpan w:val="2"/>
            <w:shd w:val="clear" w:color="auto" w:fill="auto"/>
            <w:vAlign w:val="center"/>
          </w:tcPr>
          <w:p w14:paraId="4BE5DE09">
            <w:pPr>
              <w:jc w:val="center"/>
              <w:rPr>
                <w:rFonts w:ascii="宋体" w:hAnsi="宋体"/>
                <w:b/>
                <w:color w:val="auto"/>
                <w:sz w:val="24"/>
                <w:highlight w:val="none"/>
              </w:rPr>
            </w:pPr>
            <w:r>
              <w:rPr>
                <w:rFonts w:hint="eastAsia" w:ascii="宋体" w:hAnsi="宋体"/>
                <w:color w:val="auto"/>
                <w:sz w:val="24"/>
                <w:highlight w:val="none"/>
                <w:lang w:eastAsia="zh-CN"/>
              </w:rPr>
              <w:t>详见《</w:t>
            </w:r>
            <w:r>
              <w:rPr>
                <w:rFonts w:hint="eastAsia" w:ascii="宋体" w:hAnsi="宋体"/>
                <w:color w:val="auto"/>
                <w:sz w:val="24"/>
                <w:highlight w:val="none"/>
                <w:lang w:val="en-US" w:eastAsia="zh-CN"/>
              </w:rPr>
              <w:t>资产交易清单</w:t>
            </w:r>
            <w:r>
              <w:rPr>
                <w:rFonts w:hint="eastAsia" w:ascii="宋体" w:hAnsi="宋体"/>
                <w:color w:val="auto"/>
                <w:sz w:val="24"/>
                <w:highlight w:val="none"/>
                <w:lang w:eastAsia="zh-CN"/>
              </w:rPr>
              <w:t>》</w:t>
            </w:r>
          </w:p>
        </w:tc>
        <w:tc>
          <w:tcPr>
            <w:tcW w:w="1774" w:type="dxa"/>
            <w:shd w:val="clear" w:color="auto" w:fill="E6E6E6"/>
            <w:vAlign w:val="center"/>
          </w:tcPr>
          <w:p w14:paraId="028D0049">
            <w:pPr>
              <w:jc w:val="center"/>
              <w:rPr>
                <w:rFonts w:ascii="宋体" w:hAnsi="宋体"/>
                <w:color w:val="auto"/>
                <w:sz w:val="24"/>
                <w:highlight w:val="none"/>
              </w:rPr>
            </w:pPr>
            <w:r>
              <w:rPr>
                <w:rFonts w:hint="eastAsia" w:ascii="宋体" w:hAnsi="宋体"/>
                <w:color w:val="auto"/>
                <w:sz w:val="24"/>
                <w:highlight w:val="none"/>
              </w:rPr>
              <w:t>生产厂家</w:t>
            </w:r>
          </w:p>
        </w:tc>
        <w:tc>
          <w:tcPr>
            <w:tcW w:w="1820" w:type="dxa"/>
            <w:vAlign w:val="center"/>
          </w:tcPr>
          <w:p w14:paraId="6061A7C9">
            <w:pPr>
              <w:jc w:val="center"/>
              <w:rPr>
                <w:rFonts w:hint="eastAsia" w:ascii="宋体" w:hAnsi="宋体" w:eastAsia="宋体"/>
                <w:b/>
                <w:color w:val="auto"/>
                <w:sz w:val="24"/>
                <w:highlight w:val="none"/>
                <w:lang w:eastAsia="zh-CN"/>
              </w:rPr>
            </w:pPr>
            <w:r>
              <w:rPr>
                <w:rFonts w:hint="eastAsia" w:ascii="宋体" w:hAnsi="宋体" w:cs="Times New Roman"/>
                <w:color w:val="auto"/>
                <w:spacing w:val="0"/>
                <w:w w:val="100"/>
                <w:position w:val="0"/>
                <w:sz w:val="24"/>
                <w:szCs w:val="20"/>
                <w:highlight w:val="none"/>
                <w:lang w:val="en-US" w:eastAsia="zh-CN"/>
              </w:rPr>
              <w:t>/</w:t>
            </w:r>
          </w:p>
        </w:tc>
      </w:tr>
      <w:tr w14:paraId="239A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7" w:type="dxa"/>
            <w:gridSpan w:val="2"/>
            <w:shd w:val="clear" w:color="auto" w:fill="E6E6E6"/>
            <w:vAlign w:val="center"/>
          </w:tcPr>
          <w:p w14:paraId="0B310DCE">
            <w:pPr>
              <w:wordWrap w:val="0"/>
              <w:jc w:val="center"/>
              <w:rPr>
                <w:rFonts w:ascii="宋体" w:hAnsi="宋体"/>
                <w:color w:val="auto"/>
                <w:sz w:val="24"/>
                <w:highlight w:val="none"/>
              </w:rPr>
            </w:pPr>
            <w:r>
              <w:rPr>
                <w:rFonts w:hint="eastAsia" w:ascii="宋体" w:hAnsi="宋体"/>
                <w:color w:val="auto"/>
                <w:sz w:val="24"/>
                <w:highlight w:val="none"/>
              </w:rPr>
              <w:t>规格型号</w:t>
            </w:r>
          </w:p>
        </w:tc>
        <w:tc>
          <w:tcPr>
            <w:tcW w:w="3551" w:type="dxa"/>
            <w:gridSpan w:val="2"/>
            <w:shd w:val="clear" w:color="auto" w:fill="auto"/>
            <w:vAlign w:val="center"/>
          </w:tcPr>
          <w:p w14:paraId="60613D63">
            <w:pPr>
              <w:jc w:val="center"/>
              <w:rPr>
                <w:rFonts w:ascii="宋体" w:hAnsi="宋体"/>
                <w:b/>
                <w:color w:val="auto"/>
                <w:sz w:val="24"/>
                <w:highlight w:val="none"/>
              </w:rPr>
            </w:pPr>
            <w:r>
              <w:rPr>
                <w:rFonts w:hint="eastAsia" w:ascii="宋体" w:hAnsi="宋体"/>
                <w:color w:val="auto"/>
                <w:sz w:val="24"/>
                <w:highlight w:val="none"/>
                <w:lang w:eastAsia="zh-CN"/>
              </w:rPr>
              <w:t>详见《</w:t>
            </w:r>
            <w:r>
              <w:rPr>
                <w:rFonts w:hint="eastAsia" w:ascii="宋体" w:hAnsi="宋体"/>
                <w:color w:val="auto"/>
                <w:sz w:val="24"/>
                <w:highlight w:val="none"/>
                <w:lang w:val="en-US" w:eastAsia="zh-CN"/>
              </w:rPr>
              <w:t>资产交易清单</w:t>
            </w:r>
            <w:r>
              <w:rPr>
                <w:rFonts w:hint="eastAsia" w:ascii="宋体" w:hAnsi="宋体"/>
                <w:color w:val="auto"/>
                <w:sz w:val="24"/>
                <w:highlight w:val="none"/>
                <w:lang w:eastAsia="zh-CN"/>
              </w:rPr>
              <w:t>》</w:t>
            </w:r>
          </w:p>
        </w:tc>
        <w:tc>
          <w:tcPr>
            <w:tcW w:w="1774" w:type="dxa"/>
            <w:shd w:val="clear" w:color="auto" w:fill="E6E6E6"/>
            <w:vAlign w:val="center"/>
          </w:tcPr>
          <w:p w14:paraId="59312EC8">
            <w:pPr>
              <w:jc w:val="center"/>
              <w:rPr>
                <w:rFonts w:ascii="宋体" w:hAnsi="宋体"/>
                <w:color w:val="auto"/>
                <w:sz w:val="24"/>
                <w:highlight w:val="none"/>
              </w:rPr>
            </w:pPr>
            <w:r>
              <w:rPr>
                <w:rFonts w:hint="eastAsia" w:ascii="宋体" w:hAnsi="宋体"/>
                <w:color w:val="auto"/>
                <w:sz w:val="24"/>
                <w:highlight w:val="none"/>
              </w:rPr>
              <w:t>数量</w:t>
            </w:r>
          </w:p>
        </w:tc>
        <w:tc>
          <w:tcPr>
            <w:tcW w:w="1820" w:type="dxa"/>
            <w:vAlign w:val="center"/>
          </w:tcPr>
          <w:p w14:paraId="4318116C">
            <w:pPr>
              <w:jc w:val="center"/>
              <w:rPr>
                <w:rFonts w:hint="eastAsia" w:ascii="宋体" w:hAnsi="宋体" w:eastAsia="宋体"/>
                <w:b/>
                <w:color w:val="auto"/>
                <w:sz w:val="24"/>
                <w:highlight w:val="none"/>
                <w:lang w:eastAsia="zh-CN"/>
              </w:rPr>
            </w:pPr>
            <w:r>
              <w:rPr>
                <w:rFonts w:hint="eastAsia" w:ascii="宋体" w:hAnsi="宋体"/>
                <w:color w:val="auto"/>
                <w:sz w:val="24"/>
                <w:highlight w:val="none"/>
                <w:lang w:eastAsia="zh-CN"/>
              </w:rPr>
              <w:t>详见《</w:t>
            </w:r>
            <w:r>
              <w:rPr>
                <w:rFonts w:hint="eastAsia" w:ascii="宋体" w:hAnsi="宋体"/>
                <w:color w:val="auto"/>
                <w:sz w:val="24"/>
                <w:highlight w:val="none"/>
                <w:lang w:val="en-US" w:eastAsia="zh-CN"/>
              </w:rPr>
              <w:t>资产交易清单</w:t>
            </w:r>
            <w:r>
              <w:rPr>
                <w:rFonts w:hint="eastAsia" w:ascii="宋体" w:hAnsi="宋体"/>
                <w:color w:val="auto"/>
                <w:sz w:val="24"/>
                <w:highlight w:val="none"/>
                <w:lang w:eastAsia="zh-CN"/>
              </w:rPr>
              <w:t>》</w:t>
            </w:r>
          </w:p>
        </w:tc>
      </w:tr>
      <w:tr w14:paraId="4E61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7" w:type="dxa"/>
            <w:gridSpan w:val="2"/>
            <w:shd w:val="clear" w:color="auto" w:fill="E6E6E6"/>
            <w:vAlign w:val="center"/>
          </w:tcPr>
          <w:p w14:paraId="7D4EEC00">
            <w:pPr>
              <w:wordWrap w:val="0"/>
              <w:jc w:val="center"/>
              <w:rPr>
                <w:rFonts w:ascii="宋体" w:hAnsi="宋体"/>
                <w:color w:val="auto"/>
                <w:sz w:val="24"/>
                <w:highlight w:val="none"/>
              </w:rPr>
            </w:pPr>
            <w:r>
              <w:rPr>
                <w:rFonts w:hint="eastAsia" w:ascii="宋体" w:hAnsi="宋体"/>
                <w:color w:val="auto"/>
                <w:sz w:val="24"/>
                <w:highlight w:val="none"/>
              </w:rPr>
              <w:t>购置日期</w:t>
            </w:r>
          </w:p>
        </w:tc>
        <w:tc>
          <w:tcPr>
            <w:tcW w:w="3551" w:type="dxa"/>
            <w:gridSpan w:val="2"/>
            <w:shd w:val="clear" w:color="auto" w:fill="auto"/>
            <w:vAlign w:val="center"/>
          </w:tcPr>
          <w:p w14:paraId="03442938">
            <w:pPr>
              <w:jc w:val="center"/>
              <w:rPr>
                <w:rFonts w:ascii="宋体" w:hAnsi="宋体"/>
                <w:b/>
                <w:color w:val="auto"/>
                <w:sz w:val="24"/>
                <w:highlight w:val="none"/>
              </w:rPr>
            </w:pPr>
            <w:r>
              <w:rPr>
                <w:rFonts w:hint="eastAsia" w:ascii="宋体" w:hAnsi="宋体" w:cs="Times New Roman"/>
                <w:color w:val="auto"/>
                <w:spacing w:val="0"/>
                <w:w w:val="100"/>
                <w:position w:val="0"/>
                <w:sz w:val="24"/>
                <w:szCs w:val="20"/>
                <w:highlight w:val="none"/>
                <w:lang w:val="en-US" w:eastAsia="zh-CN"/>
              </w:rPr>
              <w:t>/</w:t>
            </w:r>
          </w:p>
        </w:tc>
        <w:tc>
          <w:tcPr>
            <w:tcW w:w="1774" w:type="dxa"/>
            <w:shd w:val="clear" w:color="auto" w:fill="E6E6E6"/>
            <w:vAlign w:val="center"/>
          </w:tcPr>
          <w:p w14:paraId="1569B0B0">
            <w:pPr>
              <w:wordWrap w:val="0"/>
              <w:jc w:val="center"/>
              <w:rPr>
                <w:rFonts w:ascii="宋体" w:hAnsi="宋体"/>
                <w:color w:val="auto"/>
                <w:sz w:val="24"/>
                <w:highlight w:val="none"/>
              </w:rPr>
            </w:pPr>
            <w:r>
              <w:rPr>
                <w:rFonts w:hint="eastAsia" w:ascii="宋体" w:hAnsi="宋体"/>
                <w:color w:val="auto"/>
                <w:sz w:val="24"/>
                <w:highlight w:val="none"/>
              </w:rPr>
              <w:t>成新率</w:t>
            </w:r>
          </w:p>
        </w:tc>
        <w:tc>
          <w:tcPr>
            <w:tcW w:w="1820" w:type="dxa"/>
            <w:vAlign w:val="center"/>
          </w:tcPr>
          <w:p w14:paraId="6087AA21">
            <w:pPr>
              <w:wordWrap w:val="0"/>
              <w:jc w:val="center"/>
              <w:rPr>
                <w:rFonts w:ascii="宋体" w:hAnsi="宋体"/>
                <w:color w:val="auto"/>
                <w:sz w:val="24"/>
                <w:highlight w:val="none"/>
              </w:rPr>
            </w:pPr>
            <w:r>
              <w:rPr>
                <w:rFonts w:hint="eastAsia" w:ascii="宋体" w:hAnsi="宋体" w:cs="Times New Roman"/>
                <w:color w:val="auto"/>
                <w:spacing w:val="0"/>
                <w:w w:val="100"/>
                <w:position w:val="0"/>
                <w:sz w:val="24"/>
                <w:szCs w:val="20"/>
                <w:highlight w:val="none"/>
                <w:lang w:val="en-US" w:eastAsia="zh-CN"/>
              </w:rPr>
              <w:t>/</w:t>
            </w:r>
          </w:p>
        </w:tc>
      </w:tr>
    </w:tbl>
    <w:p w14:paraId="5CF78A65">
      <w:pPr>
        <w:jc w:val="center"/>
        <w:rPr>
          <w:rFonts w:ascii="宋体" w:hAnsi="宋体"/>
          <w:b/>
          <w:color w:val="auto"/>
          <w:sz w:val="32"/>
          <w:highlight w:val="none"/>
        </w:rPr>
      </w:pPr>
      <w:r>
        <w:rPr>
          <w:rFonts w:hint="eastAsia" w:ascii="宋体" w:hAnsi="宋体"/>
          <w:b/>
          <w:color w:val="auto"/>
          <w:sz w:val="24"/>
          <w:highlight w:val="none"/>
        </w:rPr>
        <w:br w:type="page"/>
      </w:r>
      <w:r>
        <w:rPr>
          <w:rFonts w:hint="eastAsia" w:ascii="宋体" w:hAnsi="宋体"/>
          <w:b/>
          <w:color w:val="auto"/>
          <w:sz w:val="28"/>
          <w:szCs w:val="28"/>
          <w:highlight w:val="none"/>
        </w:rPr>
        <w:t>二、交易条件</w:t>
      </w:r>
    </w:p>
    <w:tbl>
      <w:tblPr>
        <w:tblStyle w:val="20"/>
        <w:tblW w:w="85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21"/>
        <w:gridCol w:w="916"/>
        <w:gridCol w:w="165"/>
        <w:gridCol w:w="389"/>
        <w:gridCol w:w="3225"/>
        <w:gridCol w:w="3045"/>
      </w:tblGrid>
      <w:tr w14:paraId="0CEEC6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737" w:type="dxa"/>
            <w:gridSpan w:val="2"/>
            <w:tcBorders>
              <w:right w:val="single" w:color="auto" w:sz="4" w:space="0"/>
            </w:tcBorders>
            <w:shd w:val="clear" w:color="auto" w:fill="E6E6E6"/>
            <w:vAlign w:val="center"/>
          </w:tcPr>
          <w:p w14:paraId="326A3FA4">
            <w:pPr>
              <w:jc w:val="center"/>
              <w:rPr>
                <w:rFonts w:ascii="宋体" w:hAnsi="宋体"/>
                <w:b/>
                <w:color w:val="auto"/>
                <w:sz w:val="24"/>
                <w:highlight w:val="none"/>
              </w:rPr>
            </w:pPr>
            <w:r>
              <w:rPr>
                <w:rFonts w:hint="eastAsia" w:ascii="宋体" w:hAnsi="宋体"/>
                <w:b/>
                <w:color w:val="auto"/>
                <w:sz w:val="24"/>
                <w:highlight w:val="none"/>
              </w:rPr>
              <w:t>公告期</w:t>
            </w:r>
          </w:p>
        </w:tc>
        <w:tc>
          <w:tcPr>
            <w:tcW w:w="6824" w:type="dxa"/>
            <w:gridSpan w:val="4"/>
            <w:tcBorders>
              <w:left w:val="single" w:color="auto" w:sz="4" w:space="0"/>
            </w:tcBorders>
            <w:vAlign w:val="center"/>
          </w:tcPr>
          <w:p w14:paraId="448D530A">
            <w:pPr>
              <w:wordWrap w:val="0"/>
              <w:jc w:val="left"/>
              <w:rPr>
                <w:rFonts w:ascii="宋体" w:hAnsi="宋体"/>
                <w:color w:val="auto"/>
                <w:sz w:val="24"/>
                <w:highlight w:val="none"/>
              </w:rPr>
            </w:pPr>
            <w:r>
              <w:rPr>
                <w:rFonts w:hint="eastAsia" w:ascii="宋体" w:hAnsi="宋体"/>
                <w:color w:val="auto"/>
                <w:sz w:val="24"/>
                <w:highlight w:val="none"/>
              </w:rPr>
              <w:t>自公告之日起</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rPr>
              <w:t xml:space="preserve"> </w:t>
            </w:r>
            <w:r>
              <w:rPr>
                <w:rFonts w:hint="eastAsia" w:ascii="宋体" w:hAnsi="宋体"/>
                <w:color w:val="auto"/>
                <w:sz w:val="24"/>
                <w:highlight w:val="none"/>
              </w:rPr>
              <w:t>个工作日。</w:t>
            </w:r>
          </w:p>
        </w:tc>
      </w:tr>
      <w:tr w14:paraId="4462B8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737" w:type="dxa"/>
            <w:gridSpan w:val="2"/>
            <w:tcBorders>
              <w:right w:val="single" w:color="auto" w:sz="4" w:space="0"/>
            </w:tcBorders>
            <w:shd w:val="clear" w:color="auto" w:fill="E6E6E6"/>
            <w:vAlign w:val="center"/>
          </w:tcPr>
          <w:p w14:paraId="289E74C0">
            <w:pPr>
              <w:jc w:val="center"/>
              <w:rPr>
                <w:rFonts w:ascii="宋体" w:hAnsi="宋体"/>
                <w:b/>
                <w:color w:val="auto"/>
                <w:sz w:val="24"/>
                <w:highlight w:val="none"/>
              </w:rPr>
            </w:pPr>
            <w:r>
              <w:rPr>
                <w:rFonts w:hint="eastAsia" w:ascii="宋体" w:hAnsi="宋体"/>
                <w:b/>
                <w:color w:val="auto"/>
                <w:sz w:val="24"/>
                <w:highlight w:val="none"/>
              </w:rPr>
              <w:t>信息公告期满后，如未征集到符合条件的意向受让方</w:t>
            </w:r>
          </w:p>
        </w:tc>
        <w:tc>
          <w:tcPr>
            <w:tcW w:w="6824" w:type="dxa"/>
            <w:gridSpan w:val="4"/>
            <w:tcBorders>
              <w:left w:val="single" w:color="auto" w:sz="4" w:space="0"/>
            </w:tcBorders>
            <w:vAlign w:val="center"/>
          </w:tcPr>
          <w:p w14:paraId="19712E7C">
            <w:pPr>
              <w:textAlignment w:val="baseline"/>
              <w:rPr>
                <w:rFonts w:hint="default" w:ascii="宋体" w:hAnsi="宋体"/>
                <w:color w:val="auto"/>
                <w:sz w:val="24"/>
                <w:highlight w:val="none"/>
                <w:lang w:val="en-US"/>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A</w:t>
            </w:r>
          </w:p>
          <w:p w14:paraId="3D6D977B">
            <w:pPr>
              <w:textAlignment w:val="baseline"/>
              <w:rPr>
                <w:rFonts w:ascii="宋体" w:hAnsi="宋体"/>
                <w:color w:val="auto"/>
                <w:sz w:val="24"/>
                <w:highlight w:val="none"/>
              </w:rPr>
            </w:pPr>
            <w:r>
              <w:rPr>
                <w:rFonts w:hint="eastAsia" w:ascii="宋体" w:hAnsi="宋体"/>
                <w:color w:val="auto"/>
                <w:sz w:val="24"/>
                <w:highlight w:val="none"/>
              </w:rPr>
              <w:t>A、信息发布终结。</w:t>
            </w:r>
          </w:p>
          <w:p w14:paraId="5BF36CB2">
            <w:pPr>
              <w:textAlignment w:val="baseline"/>
              <w:rPr>
                <w:rFonts w:ascii="宋体" w:hAnsi="宋体"/>
                <w:color w:val="auto"/>
                <w:sz w:val="24"/>
                <w:highlight w:val="none"/>
              </w:rPr>
            </w:pPr>
            <w:r>
              <w:rPr>
                <w:rFonts w:hint="eastAsia" w:ascii="宋体" w:hAnsi="宋体"/>
                <w:color w:val="auto"/>
                <w:sz w:val="24"/>
                <w:highlight w:val="none"/>
              </w:rPr>
              <w:t>B、延长信息发布（</w:t>
            </w:r>
            <w:r>
              <w:rPr>
                <w:rFonts w:hint="eastAsia" w:ascii="宋体" w:hAnsi="宋体"/>
                <w:color w:val="auto"/>
                <w:sz w:val="24"/>
                <w:highlight w:val="none"/>
                <w:u w:val="single"/>
              </w:rPr>
              <w:t>两选其一</w:t>
            </w:r>
            <w:r>
              <w:rPr>
                <w:rFonts w:hint="eastAsia" w:ascii="宋体" w:hAnsi="宋体"/>
                <w:color w:val="auto"/>
                <w:sz w:val="24"/>
                <w:highlight w:val="none"/>
              </w:rPr>
              <w:t>）：</w:t>
            </w:r>
          </w:p>
          <w:p w14:paraId="4D72C602">
            <w:pPr>
              <w:ind w:firstLine="360" w:firstLineChars="150"/>
              <w:textAlignment w:val="baseline"/>
              <w:rPr>
                <w:rFonts w:ascii="宋体" w:hAnsi="宋体"/>
                <w:color w:val="auto"/>
                <w:sz w:val="24"/>
                <w:highlight w:val="none"/>
              </w:rPr>
            </w:pPr>
            <w:r>
              <w:rPr>
                <w:rFonts w:hint="eastAsia" w:ascii="宋体" w:hAnsi="宋体"/>
                <w:color w:val="auto"/>
                <w:sz w:val="24"/>
                <w:highlight w:val="none"/>
              </w:rPr>
              <w:t>□不变更</w:t>
            </w:r>
            <w:r>
              <w:rPr>
                <w:rFonts w:hint="eastAsia" w:ascii="宋体" w:hAnsi="宋体"/>
                <w:color w:val="auto"/>
                <w:sz w:val="24"/>
                <w:highlight w:val="none"/>
                <w:lang w:val="en-US" w:eastAsia="zh-CN"/>
              </w:rPr>
              <w:t>转让</w:t>
            </w:r>
            <w:r>
              <w:rPr>
                <w:rFonts w:hint="eastAsia" w:ascii="宋体" w:hAnsi="宋体"/>
                <w:color w:val="auto"/>
                <w:sz w:val="24"/>
                <w:highlight w:val="none"/>
              </w:rPr>
              <w:t>条件，按照</w:t>
            </w:r>
            <w:r>
              <w:rPr>
                <w:rFonts w:hint="eastAsia" w:ascii="宋体" w:hAnsi="宋体"/>
                <w:color w:val="auto"/>
                <w:sz w:val="24"/>
                <w:highlight w:val="none"/>
                <w:u w:val="single"/>
              </w:rPr>
              <w:t xml:space="preserve">      </w:t>
            </w:r>
            <w:r>
              <w:rPr>
                <w:rFonts w:hint="eastAsia" w:ascii="宋体" w:hAnsi="宋体"/>
                <w:color w:val="auto"/>
                <w:sz w:val="24"/>
                <w:highlight w:val="none"/>
              </w:rPr>
              <w:t>个工作日为一个周期延长，直至征集到意向受让方，不超过首次信息公告之日起的12个月。</w:t>
            </w:r>
          </w:p>
          <w:p w14:paraId="7C42CDB3">
            <w:pPr>
              <w:ind w:firstLine="360" w:firstLineChars="150"/>
              <w:textAlignment w:val="baseline"/>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不变更</w:t>
            </w:r>
            <w:r>
              <w:rPr>
                <w:rFonts w:hint="eastAsia" w:ascii="宋体" w:hAnsi="宋体"/>
                <w:color w:val="auto"/>
                <w:sz w:val="24"/>
                <w:highlight w:val="none"/>
                <w:lang w:val="en-US" w:eastAsia="zh-CN"/>
              </w:rPr>
              <w:t>转让</w:t>
            </w:r>
            <w:r>
              <w:rPr>
                <w:rFonts w:hint="eastAsia" w:ascii="宋体" w:hAnsi="宋体"/>
                <w:color w:val="auto"/>
                <w:sz w:val="24"/>
                <w:highlight w:val="none"/>
              </w:rPr>
              <w:t>条件，按照</w:t>
            </w:r>
            <w:r>
              <w:rPr>
                <w:rFonts w:hint="eastAsia" w:ascii="宋体" w:hAnsi="宋体"/>
                <w:color w:val="auto"/>
                <w:sz w:val="24"/>
                <w:highlight w:val="none"/>
                <w:u w:val="single"/>
              </w:rPr>
              <w:t xml:space="preserve">   </w:t>
            </w:r>
            <w:r>
              <w:rPr>
                <w:rFonts w:hint="eastAsia" w:ascii="宋体" w:hAnsi="宋体"/>
                <w:color w:val="auto"/>
                <w:sz w:val="24"/>
                <w:highlight w:val="none"/>
              </w:rPr>
              <w:t>个工作日为一个周期延长，最多延长</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个周期，不超过首次信息公告之日起的12个月。 </w:t>
            </w:r>
          </w:p>
          <w:p w14:paraId="32B68AF2">
            <w:pPr>
              <w:wordWrap w:val="0"/>
              <w:jc w:val="left"/>
              <w:rPr>
                <w:rFonts w:ascii="宋体" w:hAnsi="宋体"/>
                <w:color w:val="auto"/>
                <w:sz w:val="24"/>
                <w:highlight w:val="none"/>
              </w:rPr>
            </w:pPr>
            <w:r>
              <w:rPr>
                <w:rFonts w:hint="eastAsia" w:ascii="宋体" w:hAnsi="宋体"/>
                <w:color w:val="auto"/>
                <w:sz w:val="24"/>
                <w:highlight w:val="none"/>
              </w:rPr>
              <w:t>C、变更公告内容,重新</w:t>
            </w:r>
            <w:r>
              <w:rPr>
                <w:rFonts w:hint="eastAsia" w:ascii="宋体" w:hAnsi="宋体"/>
                <w:color w:val="auto"/>
                <w:sz w:val="24"/>
                <w:highlight w:val="none"/>
                <w:lang w:val="en-US" w:eastAsia="zh-CN"/>
              </w:rPr>
              <w:t>转让</w:t>
            </w:r>
            <w:r>
              <w:rPr>
                <w:rFonts w:hint="eastAsia" w:ascii="宋体" w:hAnsi="宋体"/>
                <w:color w:val="auto"/>
                <w:sz w:val="24"/>
                <w:highlight w:val="none"/>
              </w:rPr>
              <w:t>。</w:t>
            </w:r>
          </w:p>
        </w:tc>
      </w:tr>
      <w:tr w14:paraId="2B8F11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1" w:hRule="atLeast"/>
          <w:jc w:val="center"/>
        </w:trPr>
        <w:tc>
          <w:tcPr>
            <w:tcW w:w="1737" w:type="dxa"/>
            <w:gridSpan w:val="2"/>
            <w:vMerge w:val="restart"/>
            <w:tcBorders>
              <w:right w:val="single" w:color="auto" w:sz="4" w:space="0"/>
            </w:tcBorders>
            <w:shd w:val="clear" w:color="auto" w:fill="E6E6E6"/>
            <w:vAlign w:val="center"/>
          </w:tcPr>
          <w:p w14:paraId="62C8FFFB">
            <w:pPr>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成交规则</w:t>
            </w:r>
          </w:p>
        </w:tc>
        <w:tc>
          <w:tcPr>
            <w:tcW w:w="3779" w:type="dxa"/>
            <w:gridSpan w:val="3"/>
            <w:tcBorders>
              <w:top w:val="single" w:color="auto" w:sz="4" w:space="0"/>
              <w:left w:val="single" w:color="auto" w:sz="4" w:space="0"/>
              <w:right w:val="single" w:color="auto" w:sz="4" w:space="0"/>
            </w:tcBorders>
            <w:vAlign w:val="center"/>
          </w:tcPr>
          <w:p w14:paraId="47FDA21E">
            <w:pPr>
              <w:rPr>
                <w:rFonts w:ascii="宋体" w:hAnsi="宋体"/>
                <w:color w:val="auto"/>
                <w:sz w:val="24"/>
                <w:highlight w:val="none"/>
              </w:rPr>
            </w:pPr>
            <w:r>
              <w:rPr>
                <w:rFonts w:hint="eastAsia" w:ascii="宋体" w:hAnsi="宋体"/>
                <w:b/>
                <w:color w:val="auto"/>
                <w:kern w:val="0"/>
                <w:sz w:val="24"/>
                <w:highlight w:val="none"/>
              </w:rPr>
              <w:t>信息披露期满后，如征集到一家符合条件的意向受让方，则采取</w:t>
            </w:r>
          </w:p>
        </w:tc>
        <w:tc>
          <w:tcPr>
            <w:tcW w:w="3045" w:type="dxa"/>
            <w:tcBorders>
              <w:top w:val="single" w:color="auto" w:sz="4" w:space="0"/>
              <w:left w:val="single" w:color="auto" w:sz="4" w:space="0"/>
              <w:bottom w:val="single" w:color="auto" w:sz="4" w:space="0"/>
            </w:tcBorders>
            <w:vAlign w:val="center"/>
          </w:tcPr>
          <w:p w14:paraId="757ECA64">
            <w:pPr>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按</w:t>
            </w:r>
            <w:r>
              <w:rPr>
                <w:rFonts w:hint="eastAsia" w:ascii="宋体" w:hAnsi="宋体"/>
                <w:color w:val="auto"/>
                <w:sz w:val="24"/>
                <w:highlight w:val="none"/>
                <w:lang w:val="en-US" w:eastAsia="zh-CN"/>
              </w:rPr>
              <w:t>转让底</w:t>
            </w:r>
            <w:r>
              <w:rPr>
                <w:rFonts w:hint="eastAsia" w:ascii="宋体" w:hAnsi="宋体"/>
                <w:color w:val="auto"/>
                <w:sz w:val="24"/>
                <w:highlight w:val="none"/>
              </w:rPr>
              <w:t>价与该意向受让方报价孰高原则直接签约。</w:t>
            </w:r>
          </w:p>
        </w:tc>
      </w:tr>
      <w:tr w14:paraId="08FF0E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737" w:type="dxa"/>
            <w:gridSpan w:val="2"/>
            <w:vMerge w:val="continue"/>
            <w:tcBorders>
              <w:right w:val="single" w:color="auto" w:sz="4" w:space="0"/>
            </w:tcBorders>
            <w:shd w:val="clear" w:color="auto" w:fill="E6E6E6"/>
            <w:vAlign w:val="center"/>
          </w:tcPr>
          <w:p w14:paraId="37BE7318">
            <w:pPr>
              <w:jc w:val="center"/>
              <w:rPr>
                <w:rFonts w:ascii="宋体" w:hAnsi="宋体"/>
                <w:b/>
                <w:color w:val="auto"/>
                <w:sz w:val="24"/>
                <w:highlight w:val="none"/>
              </w:rPr>
            </w:pPr>
          </w:p>
        </w:tc>
        <w:tc>
          <w:tcPr>
            <w:tcW w:w="3779" w:type="dxa"/>
            <w:gridSpan w:val="3"/>
            <w:tcBorders>
              <w:left w:val="single" w:color="auto" w:sz="4" w:space="0"/>
              <w:right w:val="single" w:color="auto" w:sz="4" w:space="0"/>
            </w:tcBorders>
            <w:vAlign w:val="center"/>
          </w:tcPr>
          <w:p w14:paraId="34F04C8D">
            <w:pPr>
              <w:rPr>
                <w:rFonts w:ascii="宋体" w:hAnsi="宋体"/>
                <w:color w:val="auto"/>
                <w:sz w:val="24"/>
                <w:highlight w:val="none"/>
              </w:rPr>
            </w:pPr>
            <w:r>
              <w:rPr>
                <w:rFonts w:hint="eastAsia" w:ascii="宋体" w:hAnsi="宋体"/>
                <w:b/>
                <w:color w:val="auto"/>
                <w:kern w:val="0"/>
                <w:sz w:val="24"/>
                <w:highlight w:val="none"/>
              </w:rPr>
              <w:t>信息披露期满后，如征集到两家及以上符合条件的意向受让方，则采取</w:t>
            </w:r>
          </w:p>
        </w:tc>
        <w:tc>
          <w:tcPr>
            <w:tcW w:w="3045" w:type="dxa"/>
            <w:tcBorders>
              <w:top w:val="single" w:color="auto" w:sz="4" w:space="0"/>
              <w:left w:val="single" w:color="auto" w:sz="4" w:space="0"/>
            </w:tcBorders>
            <w:vAlign w:val="center"/>
          </w:tcPr>
          <w:p w14:paraId="2C2BCA6A">
            <w:pPr>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 xml:space="preserve">A.网络竞价-多次报价   </w:t>
            </w:r>
          </w:p>
          <w:p w14:paraId="695D8F63">
            <w:pPr>
              <w:rPr>
                <w:rFonts w:ascii="宋体" w:hAnsi="宋体"/>
                <w:color w:val="auto"/>
                <w:sz w:val="24"/>
                <w:highlight w:val="none"/>
              </w:rPr>
            </w:pPr>
            <w:r>
              <w:rPr>
                <w:rFonts w:hint="eastAsia" w:ascii="宋体" w:hAnsi="宋体"/>
                <w:color w:val="auto"/>
                <w:sz w:val="24"/>
                <w:highlight w:val="none"/>
              </w:rPr>
              <w:t xml:space="preserve">□B.网络竞价-一次报价   </w:t>
            </w:r>
          </w:p>
          <w:p w14:paraId="6CEA3799">
            <w:pPr>
              <w:rPr>
                <w:rFonts w:ascii="宋体" w:hAnsi="宋体"/>
                <w:color w:val="auto"/>
                <w:sz w:val="24"/>
                <w:highlight w:val="none"/>
              </w:rPr>
            </w:pPr>
            <w:r>
              <w:rPr>
                <w:rFonts w:hint="eastAsia" w:ascii="宋体" w:hAnsi="宋体"/>
                <w:color w:val="auto"/>
                <w:sz w:val="24"/>
                <w:highlight w:val="none"/>
              </w:rPr>
              <w:t>□C.拍卖</w:t>
            </w:r>
          </w:p>
          <w:p w14:paraId="632395B8">
            <w:pPr>
              <w:rPr>
                <w:rFonts w:ascii="宋体" w:hAnsi="宋体"/>
                <w:color w:val="auto"/>
                <w:sz w:val="24"/>
                <w:highlight w:val="none"/>
              </w:rPr>
            </w:pPr>
            <w:r>
              <w:rPr>
                <w:rFonts w:hint="eastAsia" w:ascii="宋体" w:hAnsi="宋体"/>
                <w:color w:val="auto"/>
                <w:sz w:val="24"/>
                <w:highlight w:val="none"/>
              </w:rPr>
              <w:t>□D.招投标</w:t>
            </w:r>
          </w:p>
          <w:p w14:paraId="5D529174">
            <w:pPr>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 xml:space="preserve">E.意向受让方报价孰高原则直接签约。  </w:t>
            </w:r>
          </w:p>
        </w:tc>
      </w:tr>
      <w:tr w14:paraId="7AF780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737" w:type="dxa"/>
            <w:gridSpan w:val="2"/>
            <w:tcBorders>
              <w:right w:val="single" w:color="auto" w:sz="4" w:space="0"/>
            </w:tcBorders>
            <w:shd w:val="clear" w:color="auto" w:fill="E6E6E6"/>
            <w:vAlign w:val="center"/>
          </w:tcPr>
          <w:p w14:paraId="4FC0FDFA">
            <w:pPr>
              <w:jc w:val="center"/>
              <w:rPr>
                <w:rFonts w:ascii="宋体" w:hAnsi="宋体"/>
                <w:b/>
                <w:color w:val="auto"/>
                <w:sz w:val="24"/>
                <w:highlight w:val="none"/>
              </w:rPr>
            </w:pPr>
            <w:r>
              <w:rPr>
                <w:rFonts w:hint="eastAsia" w:ascii="宋体" w:hAnsi="宋体"/>
                <w:b/>
                <w:color w:val="auto"/>
                <w:sz w:val="24"/>
                <w:highlight w:val="none"/>
              </w:rPr>
              <w:t>价款支付方式</w:t>
            </w:r>
          </w:p>
        </w:tc>
        <w:tc>
          <w:tcPr>
            <w:tcW w:w="6824" w:type="dxa"/>
            <w:gridSpan w:val="4"/>
            <w:tcBorders>
              <w:left w:val="single" w:color="auto" w:sz="4" w:space="0"/>
            </w:tcBorders>
            <w:vAlign w:val="center"/>
          </w:tcPr>
          <w:p w14:paraId="349C1777">
            <w:pPr>
              <w:wordWrap w:val="0"/>
              <w:jc w:val="left"/>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shd w:val="clear" w:color="auto" w:fill="FFFFFF"/>
              </w:rPr>
              <w:t xml:space="preserve">一次性支付   </w:t>
            </w:r>
            <w:r>
              <w:rPr>
                <w:rFonts w:hint="eastAsia" w:ascii="宋体" w:hAnsi="宋体"/>
                <w:color w:val="auto"/>
                <w:sz w:val="24"/>
                <w:highlight w:val="none"/>
              </w:rPr>
              <w:t>□分期支付</w:t>
            </w:r>
          </w:p>
          <w:p w14:paraId="1162E62F">
            <w:pPr>
              <w:wordWrap w:val="0"/>
              <w:jc w:val="left"/>
              <w:rPr>
                <w:rFonts w:ascii="宋体" w:hAnsi="宋体"/>
                <w:color w:val="auto"/>
                <w:sz w:val="24"/>
                <w:highlight w:val="none"/>
                <w:u w:val="single"/>
              </w:rPr>
            </w:pPr>
            <w:r>
              <w:rPr>
                <w:rFonts w:hint="eastAsia" w:ascii="宋体" w:hAnsi="宋体"/>
                <w:color w:val="auto"/>
                <w:sz w:val="24"/>
                <w:highlight w:val="none"/>
              </w:rPr>
              <w:t>价款支付要求：</w:t>
            </w:r>
            <w:r>
              <w:rPr>
                <w:rFonts w:hint="eastAsia" w:ascii="宋体" w:hAnsi="宋体"/>
                <w:color w:val="auto"/>
                <w:sz w:val="24"/>
                <w:highlight w:val="none"/>
                <w:u w:val="single"/>
              </w:rPr>
              <w:t>受让方应在合同生效之日起5个工作日内付清全部交易价款。</w:t>
            </w:r>
            <w:r>
              <w:rPr>
                <w:rFonts w:ascii="宋体" w:hAnsi="宋体"/>
                <w:color w:val="auto"/>
                <w:sz w:val="24"/>
                <w:highlight w:val="none"/>
                <w:u w:val="single"/>
              </w:rPr>
              <w:t xml:space="preserve"> </w:t>
            </w:r>
          </w:p>
        </w:tc>
      </w:tr>
      <w:tr w14:paraId="5D53E5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737" w:type="dxa"/>
            <w:gridSpan w:val="2"/>
            <w:tcBorders>
              <w:bottom w:val="single" w:color="auto" w:sz="4" w:space="0"/>
              <w:right w:val="single" w:color="auto" w:sz="4" w:space="0"/>
            </w:tcBorders>
            <w:shd w:val="clear" w:color="auto" w:fill="E6E6E6"/>
            <w:vAlign w:val="center"/>
          </w:tcPr>
          <w:p w14:paraId="74FC1906">
            <w:pPr>
              <w:jc w:val="center"/>
              <w:rPr>
                <w:rFonts w:ascii="宋体" w:hAnsi="宋体"/>
                <w:b/>
                <w:color w:val="auto"/>
                <w:sz w:val="24"/>
                <w:highlight w:val="none"/>
              </w:rPr>
            </w:pPr>
            <w:r>
              <w:rPr>
                <w:rFonts w:hint="eastAsia" w:ascii="宋体" w:hAnsi="宋体"/>
                <w:b/>
                <w:color w:val="auto"/>
                <w:sz w:val="24"/>
                <w:highlight w:val="none"/>
              </w:rPr>
              <w:t>重大事项及其他披露内容</w:t>
            </w:r>
          </w:p>
        </w:tc>
        <w:tc>
          <w:tcPr>
            <w:tcW w:w="6824" w:type="dxa"/>
            <w:gridSpan w:val="4"/>
            <w:tcBorders>
              <w:left w:val="single" w:color="auto" w:sz="4" w:space="0"/>
              <w:bottom w:val="single" w:color="auto" w:sz="4" w:space="0"/>
            </w:tcBorders>
            <w:vAlign w:val="center"/>
          </w:tcPr>
          <w:p w14:paraId="1552D7D2">
            <w:pPr>
              <w:numPr>
                <w:ilvl w:val="0"/>
                <w:numId w:val="1"/>
              </w:numPr>
              <w:wordWrap w:val="0"/>
              <w:jc w:val="left"/>
              <w:rPr>
                <w:rFonts w:hint="eastAsia" w:ascii="宋体" w:hAnsi="宋体" w:eastAsia="宋体" w:cs="Times New Roman"/>
                <w:color w:val="auto"/>
                <w:sz w:val="24"/>
                <w:highlight w:val="none"/>
                <w:shd w:val="clear" w:color="auto" w:fill="FFFFFF"/>
              </w:rPr>
            </w:pPr>
            <w:r>
              <w:rPr>
                <w:rFonts w:hint="eastAsia" w:ascii="宋体" w:hAnsi="宋体" w:eastAsia="宋体" w:cs="Times New Roman"/>
                <w:color w:val="auto"/>
                <w:sz w:val="24"/>
                <w:highlight w:val="none"/>
                <w:shd w:val="clear" w:color="auto" w:fill="FFFFFF"/>
              </w:rPr>
              <w:t>本项目转让标的以整体方式转让，不作分拆。转让方持有的标的资产按现状转让，转让标的须由受让方进行提货清运。资产交易合同不因交易标的</w:t>
            </w:r>
            <w:r>
              <w:rPr>
                <w:rFonts w:hint="eastAsia" w:ascii="宋体" w:hAnsi="宋体" w:eastAsia="宋体" w:cs="Times New Roman"/>
                <w:b w:val="0"/>
                <w:bCs w:val="0"/>
                <w:color w:val="auto"/>
                <w:sz w:val="24"/>
                <w:highlight w:val="none"/>
                <w:shd w:val="clear" w:color="auto" w:fill="FFFFFF"/>
              </w:rPr>
              <w:t>质量、数量、性能</w:t>
            </w:r>
            <w:r>
              <w:rPr>
                <w:rFonts w:hint="eastAsia" w:ascii="宋体" w:hAnsi="宋体" w:eastAsia="宋体" w:cs="Times New Roman"/>
                <w:color w:val="auto"/>
                <w:sz w:val="24"/>
                <w:highlight w:val="none"/>
                <w:shd w:val="clear" w:color="auto" w:fill="FFFFFF"/>
              </w:rPr>
              <w:t>等误差而变更、解除或终止，交易价款不因交易标的</w:t>
            </w:r>
            <w:r>
              <w:rPr>
                <w:rFonts w:hint="eastAsia" w:ascii="宋体" w:hAnsi="宋体" w:eastAsia="宋体" w:cs="Times New Roman"/>
                <w:b w:val="0"/>
                <w:bCs w:val="0"/>
                <w:color w:val="auto"/>
                <w:sz w:val="24"/>
                <w:highlight w:val="none"/>
                <w:shd w:val="clear" w:color="auto" w:fill="FFFFFF"/>
              </w:rPr>
              <w:t>质量、数量、性能</w:t>
            </w:r>
            <w:r>
              <w:rPr>
                <w:rFonts w:hint="eastAsia" w:ascii="宋体" w:hAnsi="宋体" w:eastAsia="宋体" w:cs="Times New Roman"/>
                <w:color w:val="auto"/>
                <w:sz w:val="24"/>
                <w:highlight w:val="none"/>
                <w:shd w:val="clear" w:color="auto" w:fill="FFFFFF"/>
              </w:rPr>
              <w:t>等误差作调整。</w:t>
            </w:r>
          </w:p>
          <w:p w14:paraId="5A5EA1FC">
            <w:pPr>
              <w:numPr>
                <w:ilvl w:val="0"/>
                <w:numId w:val="1"/>
              </w:numPr>
              <w:rPr>
                <w:rFonts w:hint="eastAsia" w:ascii="宋体" w:hAnsi="宋体" w:eastAsia="宋体" w:cs="Times New Roman"/>
                <w:color w:val="auto"/>
                <w:sz w:val="24"/>
                <w:highlight w:val="none"/>
                <w:shd w:val="clear" w:color="auto" w:fill="FFFFFF"/>
              </w:rPr>
            </w:pPr>
            <w:r>
              <w:rPr>
                <w:rFonts w:hint="eastAsia" w:ascii="宋体" w:hAnsi="宋体" w:eastAsia="宋体" w:cs="Times New Roman"/>
                <w:color w:val="auto"/>
                <w:sz w:val="24"/>
                <w:highlight w:val="none"/>
                <w:shd w:val="clear" w:color="auto" w:fill="FFFFFF"/>
              </w:rPr>
              <w:t>本次交易的资产转让范围以</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资产交易清单</w:t>
            </w:r>
            <w:r>
              <w:rPr>
                <w:rFonts w:hint="eastAsia" w:ascii="宋体" w:hAnsi="宋体"/>
                <w:color w:val="auto"/>
                <w:sz w:val="24"/>
                <w:highlight w:val="none"/>
                <w:lang w:eastAsia="zh-CN"/>
              </w:rPr>
              <w:t>》</w:t>
            </w:r>
            <w:r>
              <w:rPr>
                <w:rFonts w:hint="eastAsia" w:ascii="宋体" w:hAnsi="宋体" w:eastAsia="宋体" w:cs="Times New Roman"/>
                <w:color w:val="auto"/>
                <w:sz w:val="24"/>
                <w:highlight w:val="none"/>
                <w:shd w:val="clear" w:color="auto" w:fill="FFFFFF"/>
              </w:rPr>
              <w:t>为准，按现场存放现状转让。交易标的评估报告仅供参考，交易合同不因交易标的质量、数量、性能等误差而变更、解除或终止，交易价款不因交易标的质量、数量、性能等误差作调整。</w:t>
            </w:r>
          </w:p>
          <w:p w14:paraId="46B7255F">
            <w:pPr>
              <w:numPr>
                <w:ilvl w:val="0"/>
                <w:numId w:val="1"/>
              </w:numPr>
              <w:rPr>
                <w:rFonts w:hint="eastAsia" w:ascii="宋体" w:hAnsi="宋体" w:eastAsia="宋体" w:cs="Times New Roman"/>
                <w:color w:val="auto"/>
                <w:sz w:val="24"/>
                <w:highlight w:val="none"/>
                <w:shd w:val="clear" w:color="auto" w:fill="FFFFFF"/>
              </w:rPr>
            </w:pPr>
            <w:r>
              <w:rPr>
                <w:rFonts w:hint="eastAsia" w:ascii="宋体" w:hAnsi="宋体" w:eastAsia="宋体" w:cs="Times New Roman"/>
                <w:color w:val="auto"/>
                <w:sz w:val="24"/>
                <w:highlight w:val="none"/>
                <w:shd w:val="clear" w:color="auto" w:fill="FFFFFF"/>
              </w:rPr>
              <w:t>本次转让标的因存在存放时间长、装卸转运等情况，可能出现折损等，标的数量、规格、品质等以现场看样为准，标的资产以存放的现状进行转让、移交。</w:t>
            </w:r>
          </w:p>
          <w:p w14:paraId="54DE59B7">
            <w:pPr>
              <w:numPr>
                <w:ilvl w:val="0"/>
                <w:numId w:val="1"/>
              </w:numPr>
              <w:rPr>
                <w:rFonts w:hint="eastAsia" w:ascii="宋体" w:hAnsi="宋体" w:eastAsia="宋体" w:cs="Times New Roman"/>
                <w:color w:val="auto"/>
                <w:sz w:val="24"/>
                <w:highlight w:val="none"/>
                <w:shd w:val="clear" w:color="auto" w:fill="FFFFFF"/>
              </w:rPr>
            </w:pPr>
            <w:r>
              <w:rPr>
                <w:rFonts w:hint="eastAsia" w:ascii="宋体" w:hAnsi="宋体" w:eastAsia="宋体" w:cs="Times New Roman"/>
                <w:color w:val="auto"/>
                <w:sz w:val="24"/>
                <w:highlight w:val="none"/>
                <w:shd w:val="clear" w:color="auto" w:fill="FFFFFF"/>
              </w:rPr>
              <w:t>意向受让方可在信息公告期间预约查阅转让标的的相关信息材料或在信息公告期内联系预约看样（联系电话：</w:t>
            </w:r>
            <w:r>
              <w:rPr>
                <w:rFonts w:hint="eastAsia" w:ascii="宋体" w:hAnsi="宋体" w:cs="Times New Roman"/>
                <w:color w:val="auto"/>
                <w:sz w:val="24"/>
                <w:highlight w:val="none"/>
                <w:shd w:val="clear" w:color="auto" w:fill="FFFFFF"/>
                <w:lang w:val="en-US" w:eastAsia="zh-CN"/>
              </w:rPr>
              <w:t>18929228516 邹生</w:t>
            </w:r>
            <w:r>
              <w:rPr>
                <w:rFonts w:hint="eastAsia" w:ascii="宋体" w:hAnsi="宋体" w:eastAsia="宋体" w:cs="Times New Roman"/>
                <w:color w:val="auto"/>
                <w:sz w:val="24"/>
                <w:highlight w:val="none"/>
                <w:shd w:val="clear" w:color="auto" w:fill="FFFFFF"/>
              </w:rPr>
              <w:t>）</w:t>
            </w:r>
            <w:r>
              <w:rPr>
                <w:rFonts w:hint="eastAsia" w:ascii="宋体" w:hAnsi="宋体" w:eastAsia="宋体" w:cs="Times New Roman"/>
                <w:i w:val="0"/>
                <w:iCs w:val="0"/>
                <w:caps w:val="0"/>
                <w:color w:val="auto"/>
                <w:spacing w:val="0"/>
                <w:sz w:val="24"/>
                <w:szCs w:val="20"/>
                <w:highlight w:val="none"/>
                <w:shd w:val="clear" w:color="auto" w:fill="FFFFFF"/>
                <w:lang w:eastAsia="zh-CN"/>
              </w:rPr>
              <w:t>。</w:t>
            </w:r>
            <w:r>
              <w:rPr>
                <w:rFonts w:hint="eastAsia" w:ascii="宋体" w:hAnsi="宋体" w:eastAsia="宋体" w:cs="Times New Roman"/>
                <w:color w:val="auto"/>
                <w:sz w:val="24"/>
                <w:highlight w:val="none"/>
                <w:shd w:val="clear" w:color="auto" w:fill="FFFFFF"/>
              </w:rPr>
              <w:t>意向受让方应自行对转让标的进行尽职调查，并承担由此而产生的一切法律风险。一旦签订《资产交易合同》视作受让方对实际资产与资产评估报告存在的差异无异议。受让方承诺对交易标的有关状况（包括但不限于：产权、用途、结构、数量、质量、性能、功能、拆卸、运输、处置等）及实际情况已作充分的了解，对受让交易标的后可能发生的费用和存在的风险已进行了独立的调查、分析和评估。受让方受让交易标的后，不得以上述交易标的状况及其他相关情况与其受让前所知悉的情况不符等情形为由而要求解除交易合同或退回转让价款、索要赔偿。</w:t>
            </w:r>
            <w:r>
              <w:rPr>
                <w:rFonts w:hint="eastAsia" w:ascii="宋体" w:hAnsi="宋体" w:eastAsia="宋体" w:cs="Times New Roman"/>
                <w:color w:val="auto"/>
                <w:sz w:val="24"/>
                <w:highlight w:val="none"/>
                <w:shd w:val="clear" w:color="auto" w:fill="FFFFFF"/>
              </w:rPr>
              <w:br w:type="textWrapping"/>
            </w:r>
            <w:r>
              <w:rPr>
                <w:rFonts w:hint="eastAsia" w:ascii="宋体" w:hAnsi="宋体" w:cs="Times New Roman"/>
                <w:color w:val="auto"/>
                <w:sz w:val="24"/>
                <w:highlight w:val="none"/>
                <w:shd w:val="clear" w:color="auto" w:fill="FFFFFF"/>
                <w:lang w:val="en-US" w:eastAsia="zh-CN"/>
              </w:rPr>
              <w:t>5</w:t>
            </w:r>
            <w:r>
              <w:rPr>
                <w:rFonts w:hint="eastAsia" w:ascii="宋体" w:hAnsi="宋体" w:eastAsia="宋体" w:cs="Times New Roman"/>
                <w:color w:val="auto"/>
                <w:sz w:val="24"/>
                <w:highlight w:val="none"/>
                <w:shd w:val="clear" w:color="auto" w:fill="FFFFFF"/>
                <w:lang w:val="en-US" w:eastAsia="zh-CN"/>
              </w:rPr>
              <w:t>.</w:t>
            </w:r>
            <w:r>
              <w:rPr>
                <w:rFonts w:hint="eastAsia" w:ascii="宋体" w:hAnsi="宋体" w:eastAsia="宋体" w:cs="Times New Roman"/>
                <w:color w:val="auto"/>
                <w:sz w:val="24"/>
                <w:highlight w:val="none"/>
                <w:shd w:val="clear" w:color="auto" w:fill="FFFFFF"/>
              </w:rPr>
              <w:t>交易标的的装卸运输</w:t>
            </w:r>
            <w:r>
              <w:rPr>
                <w:rFonts w:hint="eastAsia" w:ascii="宋体" w:hAnsi="宋体" w:eastAsia="宋体" w:cs="Times New Roman"/>
                <w:color w:val="auto"/>
                <w:sz w:val="24"/>
                <w:highlight w:val="none"/>
                <w:shd w:val="clear" w:color="auto" w:fill="FFFFFF"/>
                <w:lang w:eastAsia="zh-CN"/>
              </w:rPr>
              <w:t>、</w:t>
            </w:r>
            <w:r>
              <w:rPr>
                <w:rFonts w:hint="eastAsia" w:ascii="宋体" w:hAnsi="宋体" w:eastAsia="宋体" w:cs="Times New Roman"/>
                <w:color w:val="auto"/>
                <w:sz w:val="24"/>
                <w:highlight w:val="none"/>
                <w:shd w:val="clear" w:color="auto" w:fill="FFFFFF"/>
              </w:rPr>
              <w:t>清运</w:t>
            </w:r>
            <w:r>
              <w:rPr>
                <w:rFonts w:hint="eastAsia" w:ascii="宋体" w:hAnsi="宋体" w:eastAsia="宋体" w:cs="Times New Roman"/>
                <w:color w:val="auto"/>
                <w:sz w:val="24"/>
                <w:highlight w:val="none"/>
                <w:shd w:val="clear" w:color="auto" w:fill="FFFFFF"/>
                <w:lang w:eastAsia="zh-CN"/>
              </w:rPr>
              <w:t>、</w:t>
            </w:r>
            <w:r>
              <w:rPr>
                <w:rFonts w:hint="eastAsia" w:ascii="宋体" w:hAnsi="宋体" w:eastAsia="宋体" w:cs="Times New Roman"/>
                <w:color w:val="auto"/>
                <w:sz w:val="24"/>
                <w:highlight w:val="none"/>
                <w:shd w:val="clear" w:color="auto" w:fill="FFFFFF"/>
                <w:lang w:val="en-US" w:eastAsia="zh-CN"/>
              </w:rPr>
              <w:t>报废处置等工作</w:t>
            </w:r>
            <w:r>
              <w:rPr>
                <w:rFonts w:hint="eastAsia" w:ascii="宋体" w:hAnsi="宋体" w:eastAsia="宋体" w:cs="Times New Roman"/>
                <w:color w:val="auto"/>
                <w:sz w:val="24"/>
                <w:highlight w:val="none"/>
                <w:shd w:val="clear" w:color="auto" w:fill="FFFFFF"/>
              </w:rPr>
              <w:t>由受让方自行解决并承担因此产生的所有费用和责任。受让方为完成本次交易，包括但不限于拆除、清理、装卸运输、人工、水电气等方面的费用支出均由受让方承担，如：人工费、安全防护、文明施工措施费、垃圾清运费、保险费、开办费、技术措施费、风险费、税金、临时雇员费用、《资产交易合同》实施过程中的应预见和不可预见费用等完成《资产交易合同》规定责任和义务、达到《资产交易合同》目的的一切费用。转让方对交易标的的质量、功能、价值、安全性能等不提供任何保证；受让方接收交易标的后其处置、使用等任何行为的所有后果、责任由受让方自行承担，与转让方无关，受让方无权因此向转让方提出任何要求。</w:t>
            </w:r>
          </w:p>
          <w:p w14:paraId="3ED03FFD">
            <w:pPr>
              <w:rPr>
                <w:rFonts w:hint="eastAsia" w:ascii="宋体" w:hAnsi="宋体" w:eastAsia="宋体" w:cs="Times New Roman"/>
                <w:color w:val="auto"/>
                <w:sz w:val="24"/>
                <w:highlight w:val="none"/>
                <w:shd w:val="clear" w:color="auto" w:fill="FFFFFF"/>
              </w:rPr>
            </w:pPr>
            <w:r>
              <w:rPr>
                <w:rFonts w:hint="eastAsia" w:ascii="宋体" w:hAnsi="宋体" w:cs="Times New Roman"/>
                <w:color w:val="auto"/>
                <w:sz w:val="24"/>
                <w:highlight w:val="none"/>
                <w:shd w:val="clear" w:color="auto" w:fill="FFFFFF"/>
                <w:lang w:val="en-US" w:eastAsia="zh-CN"/>
              </w:rPr>
              <w:t>6</w:t>
            </w:r>
            <w:r>
              <w:rPr>
                <w:rFonts w:hint="eastAsia" w:ascii="宋体" w:hAnsi="宋体" w:eastAsia="宋体" w:cs="Times New Roman"/>
                <w:color w:val="auto"/>
                <w:sz w:val="24"/>
                <w:highlight w:val="none"/>
                <w:shd w:val="clear" w:color="auto" w:fill="FFFFFF"/>
                <w:lang w:val="en-US" w:eastAsia="zh-CN"/>
              </w:rPr>
              <w:t>.</w:t>
            </w:r>
            <w:r>
              <w:rPr>
                <w:rFonts w:hint="eastAsia" w:ascii="宋体" w:hAnsi="宋体" w:eastAsia="宋体" w:cs="Times New Roman"/>
                <w:color w:val="auto"/>
                <w:sz w:val="24"/>
                <w:highlight w:val="none"/>
                <w:shd w:val="clear" w:color="auto" w:fill="FFFFFF"/>
              </w:rPr>
              <w:t>在受让方付清交易价款之前，交易标的的所有权仍属转让方所有，受让方不得办理交易标的的变更或拆运有关手续，受让方也不得以未付款的交易标的设定抵押。</w:t>
            </w:r>
            <w:r>
              <w:rPr>
                <w:rFonts w:hint="eastAsia" w:ascii="宋体" w:hAnsi="宋体" w:eastAsia="宋体" w:cs="Times New Roman"/>
                <w:color w:val="auto"/>
                <w:sz w:val="24"/>
                <w:highlight w:val="none"/>
                <w:shd w:val="clear" w:color="auto" w:fill="FFFFFF"/>
              </w:rPr>
              <w:br w:type="textWrapping"/>
            </w:r>
            <w:r>
              <w:rPr>
                <w:rFonts w:hint="eastAsia" w:ascii="宋体" w:hAnsi="宋体" w:cs="Times New Roman"/>
                <w:color w:val="auto"/>
                <w:sz w:val="24"/>
                <w:highlight w:val="none"/>
                <w:shd w:val="clear" w:color="auto" w:fill="FFFFFF"/>
                <w:lang w:val="en-US" w:eastAsia="zh-CN"/>
              </w:rPr>
              <w:t>7</w:t>
            </w:r>
            <w:r>
              <w:rPr>
                <w:rFonts w:hint="eastAsia" w:ascii="宋体" w:hAnsi="宋体" w:eastAsia="宋体" w:cs="Times New Roman"/>
                <w:color w:val="auto"/>
                <w:sz w:val="24"/>
                <w:highlight w:val="none"/>
                <w:shd w:val="clear" w:color="auto" w:fill="FFFFFF"/>
                <w:lang w:val="en-US" w:eastAsia="zh-CN"/>
              </w:rPr>
              <w:t>.</w:t>
            </w:r>
            <w:r>
              <w:rPr>
                <w:rFonts w:hint="eastAsia" w:ascii="宋体" w:hAnsi="宋体" w:eastAsia="宋体" w:cs="Times New Roman"/>
                <w:color w:val="auto"/>
                <w:sz w:val="24"/>
                <w:highlight w:val="none"/>
                <w:shd w:val="clear" w:color="auto" w:fill="FFFFFF"/>
              </w:rPr>
              <w:t>交易标的按现状进行转让和移交，转让方不保证交易标的的质量、数量、性能等，不承担瑕疵担保责任。意向受让方一旦报名申请参与交易，即视为认可交易标的之现状，并对自己的交易行为承担法律责任，不得以任何理由拒收交易标的或拒付交易价款，否则受让方自行承担全部损失及赔偿责任。</w:t>
            </w:r>
          </w:p>
          <w:p w14:paraId="08FD01AF">
            <w:pPr>
              <w:rPr>
                <w:rFonts w:hint="eastAsia" w:ascii="宋体" w:hAnsi="宋体" w:eastAsia="宋体" w:cs="Times New Roman"/>
                <w:color w:val="auto"/>
                <w:sz w:val="24"/>
                <w:highlight w:val="none"/>
                <w:shd w:val="clear" w:color="auto" w:fill="FFFFFF"/>
              </w:rPr>
            </w:pPr>
            <w:r>
              <w:rPr>
                <w:rFonts w:hint="eastAsia" w:ascii="宋体" w:hAnsi="宋体" w:eastAsia="宋体" w:cs="Times New Roman"/>
                <w:color w:val="auto"/>
                <w:sz w:val="24"/>
                <w:highlight w:val="none"/>
                <w:shd w:val="clear" w:color="auto" w:fill="FFFFFF"/>
                <w:lang w:val="en-US" w:eastAsia="zh-CN"/>
              </w:rPr>
              <w:t>8.</w:t>
            </w:r>
            <w:r>
              <w:rPr>
                <w:rFonts w:hint="eastAsia" w:ascii="宋体" w:hAnsi="宋体" w:eastAsia="宋体" w:cs="Times New Roman"/>
                <w:color w:val="auto"/>
                <w:sz w:val="24"/>
                <w:highlight w:val="none"/>
                <w:shd w:val="clear" w:color="auto" w:fill="FFFFFF"/>
              </w:rPr>
              <w:t>其他未尽事项详见</w:t>
            </w:r>
            <w:r>
              <w:rPr>
                <w:rFonts w:hint="eastAsia" w:ascii="宋体" w:hAnsi="宋体" w:eastAsia="宋体" w:cs="Times New Roman"/>
                <w:color w:val="auto"/>
                <w:sz w:val="24"/>
                <w:highlight w:val="none"/>
                <w:shd w:val="clear" w:color="auto" w:fill="FFFFFF"/>
                <w:lang w:val="en-US" w:eastAsia="zh-CN"/>
              </w:rPr>
              <w:t>深圳市鹏信资产评估土地房产估价有限公司出具《资产评估报告》(鹏信资估报字[2025]第F481号)、</w:t>
            </w:r>
            <w:r>
              <w:rPr>
                <w:rFonts w:hint="eastAsia" w:ascii="宋体" w:hAnsi="宋体" w:eastAsia="宋体" w:cs="Times New Roman"/>
                <w:color w:val="auto"/>
                <w:sz w:val="24"/>
                <w:highlight w:val="none"/>
                <w:shd w:val="clear" w:color="auto" w:fill="FFFFFF"/>
              </w:rPr>
              <w:t>《资产交易合同》范本。</w:t>
            </w:r>
          </w:p>
          <w:p w14:paraId="6F0E637E">
            <w:pPr>
              <w:wordWrap w:val="0"/>
              <w:jc w:val="left"/>
              <w:rPr>
                <w:rFonts w:ascii="宋体" w:hAnsi="宋体"/>
                <w:color w:val="auto"/>
                <w:sz w:val="24"/>
                <w:highlight w:val="none"/>
              </w:rPr>
            </w:pPr>
            <w:r>
              <w:rPr>
                <w:rFonts w:hint="eastAsia" w:ascii="宋体" w:hAnsi="宋体"/>
                <w:b/>
                <w:color w:val="auto"/>
                <w:sz w:val="24"/>
                <w:highlight w:val="none"/>
                <w:shd w:val="clear" w:color="auto" w:fill="FFFFFF"/>
              </w:rPr>
              <w:t>特别提示</w:t>
            </w:r>
            <w:r>
              <w:rPr>
                <w:rFonts w:hint="eastAsia" w:ascii="宋体" w:hAnsi="宋体"/>
                <w:color w:val="auto"/>
                <w:sz w:val="24"/>
                <w:highlight w:val="none"/>
                <w:shd w:val="clear" w:color="auto" w:fill="FFFFFF"/>
              </w:rPr>
              <w:t>：转让方根据既有档案材料、相关中介报告等对标的资产现状进行尽可能谨慎、周全的描述，但这种描述和相关材料并不构成对意向受让方的任何承诺和保证，只是对意向受让方了解标的资产现状的提示和简介。意向受让方参与交易视为已自行或委托专业机构进行了充分详尽的尽职调查，对标的资产的真实情况进行了充分细致的了解。</w:t>
            </w:r>
          </w:p>
        </w:tc>
      </w:tr>
      <w:tr w14:paraId="19AF13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8561" w:type="dxa"/>
            <w:gridSpan w:val="6"/>
            <w:tcBorders>
              <w:top w:val="single" w:color="auto" w:sz="4" w:space="0"/>
              <w:bottom w:val="single" w:color="auto" w:sz="4" w:space="0"/>
            </w:tcBorders>
            <w:shd w:val="clear" w:color="auto" w:fill="E6E6E6"/>
            <w:vAlign w:val="center"/>
          </w:tcPr>
          <w:p w14:paraId="0880245C">
            <w:pPr>
              <w:wordWrap w:val="0"/>
              <w:jc w:val="center"/>
              <w:rPr>
                <w:rFonts w:ascii="宋体" w:hAnsi="宋体"/>
                <w:color w:val="auto"/>
                <w:sz w:val="24"/>
                <w:highlight w:val="none"/>
              </w:rPr>
            </w:pPr>
            <w:r>
              <w:rPr>
                <w:rFonts w:hint="eastAsia" w:ascii="宋体" w:hAnsi="宋体"/>
                <w:b/>
                <w:color w:val="auto"/>
                <w:sz w:val="24"/>
                <w:highlight w:val="none"/>
              </w:rPr>
              <w:t>与转让相关的其他条件</w:t>
            </w:r>
          </w:p>
        </w:tc>
      </w:tr>
      <w:tr w14:paraId="32B4ED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3" w:hRule="atLeast"/>
          <w:jc w:val="center"/>
        </w:trPr>
        <w:tc>
          <w:tcPr>
            <w:tcW w:w="821" w:type="dxa"/>
            <w:tcBorders>
              <w:top w:val="single" w:color="auto" w:sz="4" w:space="0"/>
              <w:bottom w:val="single" w:color="auto" w:sz="4" w:space="0"/>
              <w:right w:val="single" w:color="auto" w:sz="4" w:space="0"/>
            </w:tcBorders>
            <w:shd w:val="clear" w:color="auto" w:fill="E6E6E6"/>
            <w:vAlign w:val="center"/>
          </w:tcPr>
          <w:p w14:paraId="32CE80D6">
            <w:pPr>
              <w:jc w:val="center"/>
              <w:rPr>
                <w:rFonts w:ascii="宋体" w:hAnsi="宋体"/>
                <w:b/>
                <w:color w:val="auto"/>
                <w:kern w:val="0"/>
                <w:sz w:val="24"/>
                <w:highlight w:val="none"/>
              </w:rPr>
            </w:pPr>
          </w:p>
          <w:p w14:paraId="23D25186">
            <w:pPr>
              <w:jc w:val="center"/>
              <w:rPr>
                <w:rFonts w:ascii="宋体" w:hAnsi="宋体"/>
                <w:b/>
                <w:color w:val="auto"/>
                <w:kern w:val="0"/>
                <w:sz w:val="24"/>
                <w:highlight w:val="none"/>
              </w:rPr>
            </w:pPr>
          </w:p>
          <w:p w14:paraId="0F6477FD">
            <w:pPr>
              <w:jc w:val="center"/>
              <w:rPr>
                <w:rFonts w:ascii="宋体" w:hAnsi="宋体"/>
                <w:b/>
                <w:color w:val="auto"/>
                <w:kern w:val="0"/>
                <w:sz w:val="24"/>
                <w:highlight w:val="none"/>
              </w:rPr>
            </w:pPr>
            <w:r>
              <w:rPr>
                <w:rFonts w:hint="eastAsia" w:ascii="宋体" w:hAnsi="宋体"/>
                <w:b/>
                <w:color w:val="auto"/>
                <w:kern w:val="0"/>
                <w:sz w:val="24"/>
                <w:highlight w:val="none"/>
              </w:rPr>
              <w:t>受让</w:t>
            </w:r>
          </w:p>
          <w:p w14:paraId="3CC64D8B">
            <w:pPr>
              <w:jc w:val="center"/>
              <w:rPr>
                <w:rFonts w:ascii="宋体" w:hAnsi="宋体"/>
                <w:b/>
                <w:color w:val="auto"/>
                <w:kern w:val="0"/>
                <w:sz w:val="24"/>
                <w:highlight w:val="none"/>
              </w:rPr>
            </w:pPr>
            <w:r>
              <w:rPr>
                <w:rFonts w:hint="eastAsia" w:ascii="宋体" w:hAnsi="宋体"/>
                <w:b/>
                <w:color w:val="auto"/>
                <w:kern w:val="0"/>
                <w:sz w:val="24"/>
                <w:highlight w:val="none"/>
              </w:rPr>
              <w:t>须知</w:t>
            </w:r>
          </w:p>
        </w:tc>
        <w:tc>
          <w:tcPr>
            <w:tcW w:w="7740" w:type="dxa"/>
            <w:gridSpan w:val="5"/>
            <w:tcBorders>
              <w:top w:val="single" w:color="auto" w:sz="4" w:space="0"/>
              <w:left w:val="single" w:color="auto" w:sz="4" w:space="0"/>
              <w:bottom w:val="single" w:color="auto" w:sz="4" w:space="0"/>
            </w:tcBorders>
            <w:vAlign w:val="center"/>
          </w:tcPr>
          <w:p w14:paraId="5A6FAD59">
            <w:pPr>
              <w:numPr>
                <w:ilvl w:val="0"/>
                <w:numId w:val="2"/>
              </w:numP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意向受让方须在转让信息公告期截止之日17:00前</w:t>
            </w:r>
            <w:r>
              <w:rPr>
                <w:rFonts w:hint="eastAsia" w:ascii="宋体" w:hAnsi="宋体"/>
                <w:color w:val="auto"/>
                <w:sz w:val="24"/>
                <w:highlight w:val="none"/>
                <w:shd w:val="clear" w:color="auto" w:fill="FFFFFF"/>
                <w:lang w:val="en-US" w:eastAsia="zh-CN"/>
              </w:rPr>
              <w:t>向</w:t>
            </w:r>
            <w:r>
              <w:rPr>
                <w:rFonts w:hint="eastAsia"/>
                <w:color w:val="auto"/>
                <w:sz w:val="24"/>
                <w:highlight w:val="none"/>
                <w:lang w:eastAsia="zh-CN"/>
              </w:rPr>
              <w:t>东莞市水务环境投资控股集团供水有限公司</w:t>
            </w:r>
            <w:r>
              <w:rPr>
                <w:rFonts w:hint="eastAsia"/>
                <w:color w:val="auto"/>
                <w:sz w:val="24"/>
                <w:highlight w:val="none"/>
                <w:lang w:val="en-US" w:eastAsia="zh-CN"/>
              </w:rPr>
              <w:t>提交《报价文件》及相关附件，</w:t>
            </w:r>
            <w:r>
              <w:rPr>
                <w:rFonts w:hint="eastAsia" w:ascii="宋体" w:hAnsi="宋体" w:eastAsia="宋体" w:cs="宋体"/>
                <w:color w:val="000000" w:themeColor="text1"/>
                <w:highlight w:val="none"/>
                <w14:textFill>
                  <w14:solidFill>
                    <w14:schemeClr w14:val="tx1"/>
                  </w14:solidFill>
                </w14:textFill>
              </w:rPr>
              <w:t>报价文件递交地点：</w:t>
            </w:r>
            <w:r>
              <w:rPr>
                <w:rFonts w:hint="eastAsia"/>
                <w:color w:val="auto"/>
                <w:sz w:val="24"/>
                <w:highlight w:val="none"/>
                <w:lang w:eastAsia="zh-CN"/>
              </w:rPr>
              <w:t>东莞市水务环境投资控股集团供水有限公司</w:t>
            </w:r>
            <w:r>
              <w:rPr>
                <w:rFonts w:hint="eastAsia"/>
                <w:color w:val="auto"/>
                <w:sz w:val="24"/>
                <w:highlight w:val="none"/>
                <w:lang w:val="en-US" w:eastAsia="zh-CN"/>
              </w:rPr>
              <w:t>办公室</w:t>
            </w:r>
            <w:r>
              <w:rPr>
                <w:rFonts w:hint="eastAsia" w:ascii="宋体" w:hAnsi="宋体" w:eastAsia="宋体" w:cs="宋体"/>
                <w:color w:val="000000" w:themeColor="text1"/>
                <w:highlight w:val="none"/>
                <w14:textFill>
                  <w14:solidFill>
                    <w14:schemeClr w14:val="tx1"/>
                  </w14:solidFill>
                </w14:textFill>
              </w:rPr>
              <w:t>。</w:t>
            </w:r>
          </w:p>
          <w:p w14:paraId="275FCD5E">
            <w:pPr>
              <w:numPr>
                <w:ilvl w:val="0"/>
                <w:numId w:val="2"/>
              </w:numP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意向受让方在信息公告期内向</w:t>
            </w:r>
            <w:r>
              <w:rPr>
                <w:rFonts w:hint="eastAsia"/>
                <w:color w:val="auto"/>
                <w:sz w:val="24"/>
                <w:highlight w:val="none"/>
                <w:lang w:eastAsia="zh-CN"/>
              </w:rPr>
              <w:t>东莞市水务环境投资控股集团供水有限公司</w:t>
            </w:r>
            <w:r>
              <w:rPr>
                <w:rFonts w:hint="eastAsia" w:ascii="宋体" w:hAnsi="宋体"/>
                <w:color w:val="auto"/>
                <w:sz w:val="24"/>
                <w:highlight w:val="none"/>
                <w:shd w:val="clear" w:color="auto" w:fill="FFFFFF"/>
              </w:rPr>
              <w:t>提交《</w:t>
            </w:r>
            <w:r>
              <w:rPr>
                <w:rFonts w:hint="eastAsia"/>
                <w:color w:val="auto"/>
                <w:sz w:val="24"/>
                <w:highlight w:val="none"/>
                <w:lang w:val="en-US" w:eastAsia="zh-CN"/>
              </w:rPr>
              <w:t>报价文件</w:t>
            </w:r>
            <w:r>
              <w:rPr>
                <w:rFonts w:hint="eastAsia" w:ascii="宋体" w:hAnsi="宋体"/>
                <w:color w:val="auto"/>
                <w:sz w:val="24"/>
                <w:highlight w:val="none"/>
                <w:shd w:val="clear" w:color="auto" w:fill="FFFFFF"/>
              </w:rPr>
              <w:t>》及其附件材料的行为，是对交易条件和转让底价的认可和接受。</w:t>
            </w:r>
          </w:p>
          <w:p w14:paraId="2364A965">
            <w:pPr>
              <w:rPr>
                <w:rFonts w:hint="eastAsia" w:ascii="宋体" w:hAnsi="宋体" w:eastAsia="宋体"/>
                <w:color w:val="auto"/>
                <w:sz w:val="24"/>
                <w:highlight w:val="none"/>
              </w:rPr>
            </w:pPr>
            <w:r>
              <w:rPr>
                <w:rFonts w:hint="eastAsia" w:ascii="宋体" w:hAnsi="宋体"/>
                <w:color w:val="auto"/>
                <w:sz w:val="24"/>
                <w:highlight w:val="none"/>
                <w:shd w:val="clear" w:color="auto" w:fill="FFFFFF"/>
              </w:rPr>
              <w:t>2.</w:t>
            </w:r>
            <w:r>
              <w:rPr>
                <w:rFonts w:hint="eastAsia" w:ascii="宋体" w:hAnsi="宋体"/>
                <w:color w:val="auto"/>
                <w:sz w:val="24"/>
                <w:highlight w:val="none"/>
              </w:rPr>
              <w:t>意向受让方需在信息公告期截止之日17:00前，向</w:t>
            </w:r>
            <w:r>
              <w:rPr>
                <w:rFonts w:hint="eastAsia"/>
                <w:color w:val="auto"/>
                <w:sz w:val="24"/>
                <w:highlight w:val="none"/>
                <w:lang w:eastAsia="zh-CN"/>
              </w:rPr>
              <w:t>东莞市水务环境投资控股集团供水有限公司</w:t>
            </w:r>
            <w:r>
              <w:rPr>
                <w:rFonts w:hint="eastAsia" w:ascii="宋体" w:hAnsi="宋体"/>
                <w:color w:val="auto"/>
                <w:sz w:val="24"/>
                <w:highlight w:val="none"/>
              </w:rPr>
              <w:t>账户交纳交易保证金</w:t>
            </w:r>
            <w:r>
              <w:rPr>
                <w:rFonts w:hint="eastAsia" w:ascii="宋体" w:hAnsi="宋体"/>
                <w:color w:val="auto"/>
                <w:sz w:val="24"/>
                <w:highlight w:val="none"/>
                <w:lang w:val="en-US" w:eastAsia="zh-CN"/>
              </w:rPr>
              <w:t>1.2万元</w:t>
            </w:r>
            <w:r>
              <w:rPr>
                <w:rFonts w:hint="eastAsia" w:ascii="宋体" w:hAnsi="宋体" w:eastAsia="宋体"/>
                <w:color w:val="auto"/>
                <w:sz w:val="24"/>
                <w:highlight w:val="none"/>
                <w:lang w:val="en-US" w:eastAsia="zh-CN"/>
              </w:rPr>
              <w:t>（户名：东莞市水务环境投资控股集团供水有限公司，账号：44001778808059999998，开户行：建设银行东莞市分行营业部）。</w:t>
            </w:r>
          </w:p>
          <w:p w14:paraId="618E4634">
            <w:pPr>
              <w:rPr>
                <w:rFonts w:ascii="宋体" w:hAnsi="宋体"/>
                <w:color w:val="auto"/>
                <w:sz w:val="24"/>
                <w:highlight w:val="none"/>
              </w:rPr>
            </w:pPr>
            <w:r>
              <w:rPr>
                <w:rFonts w:hint="eastAsia" w:ascii="宋体" w:hAnsi="宋体"/>
                <w:color w:val="auto"/>
                <w:sz w:val="24"/>
                <w:highlight w:val="none"/>
              </w:rPr>
              <w:t>2.1意向受让方若违反资产交易相关法规政策或交易规则的，保证金不予退回。意向受让方被确定为受让方后，保证金按照相关约定自动转为资产交易价款。意向受让方未能成为受让方的，保证金在交易活动结束之日或受让方确定之日起五个工作日内一次性无息原路返还。</w:t>
            </w:r>
          </w:p>
          <w:p w14:paraId="2BEB0CBA">
            <w:pPr>
              <w:rPr>
                <w:rFonts w:ascii="宋体" w:hAnsi="宋体"/>
                <w:color w:val="auto"/>
                <w:sz w:val="24"/>
                <w:highlight w:val="none"/>
              </w:rPr>
            </w:pPr>
            <w:r>
              <w:rPr>
                <w:rFonts w:hint="eastAsia" w:ascii="宋体" w:hAnsi="宋体"/>
                <w:color w:val="auto"/>
                <w:sz w:val="24"/>
                <w:highlight w:val="none"/>
              </w:rPr>
              <w:t>2.2本项目保证金或交易价款不接受现金、现金汇款、托收支票、银行汇票等付款方式，意向受让方应通过汇款、转账方式转入</w:t>
            </w:r>
            <w:r>
              <w:rPr>
                <w:rFonts w:hint="eastAsia"/>
                <w:color w:val="auto"/>
                <w:sz w:val="24"/>
                <w:highlight w:val="none"/>
                <w:lang w:eastAsia="zh-CN"/>
              </w:rPr>
              <w:t>东莞市水务环境投资控股集团供水有限公司</w:t>
            </w:r>
            <w:r>
              <w:rPr>
                <w:rFonts w:hint="eastAsia" w:ascii="宋体" w:hAnsi="宋体"/>
                <w:color w:val="auto"/>
                <w:sz w:val="24"/>
                <w:highlight w:val="none"/>
              </w:rPr>
              <w:t>账户，并在付款凭证备注栏中注明“项目编号+资金用途”。</w:t>
            </w:r>
          </w:p>
          <w:p w14:paraId="1C1436E5">
            <w:pPr>
              <w:rPr>
                <w:rFonts w:ascii="宋体" w:hAnsi="宋体"/>
                <w:color w:val="auto"/>
                <w:sz w:val="24"/>
                <w:highlight w:val="none"/>
                <w:shd w:val="clear" w:color="auto" w:fill="FFFFFF"/>
              </w:rPr>
            </w:pPr>
            <w:r>
              <w:rPr>
                <w:rFonts w:hint="eastAsia" w:ascii="宋体" w:hAnsi="宋体"/>
                <w:b/>
                <w:bCs w:val="0"/>
                <w:color w:val="auto"/>
                <w:sz w:val="24"/>
                <w:highlight w:val="none"/>
                <w:shd w:val="clear" w:color="auto" w:fill="FFFFFF"/>
                <w:lang w:val="en-US" w:eastAsia="zh-CN"/>
              </w:rPr>
              <w:t>3</w:t>
            </w:r>
            <w:r>
              <w:rPr>
                <w:rFonts w:hint="eastAsia" w:ascii="宋体" w:hAnsi="宋体"/>
                <w:b/>
                <w:bCs w:val="0"/>
                <w:color w:val="auto"/>
                <w:sz w:val="24"/>
                <w:highlight w:val="none"/>
                <w:shd w:val="clear" w:color="auto" w:fill="FFFFFF"/>
              </w:rPr>
              <w:t>.本公告所称意向受让方是指有购买标的资产意向并向</w:t>
            </w:r>
            <w:r>
              <w:rPr>
                <w:rFonts w:hint="eastAsia"/>
                <w:b/>
                <w:bCs w:val="0"/>
                <w:color w:val="auto"/>
                <w:sz w:val="24"/>
                <w:highlight w:val="none"/>
                <w:lang w:eastAsia="zh-CN"/>
              </w:rPr>
              <w:t>东莞市水务环境投资控股集团供水有限公司</w:t>
            </w:r>
            <w:r>
              <w:rPr>
                <w:rFonts w:hint="eastAsia" w:ascii="宋体" w:hAnsi="宋体"/>
                <w:b/>
                <w:bCs w:val="0"/>
                <w:color w:val="auto"/>
                <w:sz w:val="24"/>
                <w:highlight w:val="none"/>
                <w:shd w:val="clear" w:color="auto" w:fill="FFFFFF"/>
              </w:rPr>
              <w:t>提交</w:t>
            </w:r>
            <w:r>
              <w:rPr>
                <w:rFonts w:hint="eastAsia"/>
                <w:b/>
                <w:bCs w:val="0"/>
                <w:color w:val="auto"/>
                <w:sz w:val="24"/>
                <w:highlight w:val="none"/>
                <w:lang w:val="en-US" w:eastAsia="zh-CN"/>
              </w:rPr>
              <w:t>《报价文件》及相关附件</w:t>
            </w:r>
            <w:r>
              <w:rPr>
                <w:rFonts w:hint="eastAsia" w:ascii="宋体" w:hAnsi="宋体"/>
                <w:b/>
                <w:bCs w:val="0"/>
                <w:color w:val="auto"/>
                <w:sz w:val="24"/>
                <w:highlight w:val="none"/>
                <w:shd w:val="clear" w:color="auto" w:fill="FFFFFF"/>
              </w:rPr>
              <w:t>的自然人、法人或非法人组织。本公告所称</w:t>
            </w:r>
            <w:r>
              <w:rPr>
                <w:rFonts w:hint="eastAsia" w:ascii="宋体" w:hAnsi="宋体"/>
                <w:b/>
                <w:bCs/>
                <w:color w:val="auto"/>
                <w:sz w:val="24"/>
                <w:highlight w:val="none"/>
                <w:lang w:val="en-US" w:eastAsia="zh-CN"/>
              </w:rPr>
              <w:t>转让</w:t>
            </w:r>
            <w:r>
              <w:rPr>
                <w:rFonts w:hint="eastAsia" w:ascii="宋体" w:hAnsi="宋体"/>
                <w:b/>
                <w:bCs/>
                <w:color w:val="auto"/>
                <w:sz w:val="24"/>
                <w:highlight w:val="none"/>
                <w:shd w:val="clear" w:color="auto" w:fill="FFFFFF"/>
              </w:rPr>
              <w:t>起</w:t>
            </w:r>
            <w:r>
              <w:rPr>
                <w:rFonts w:hint="eastAsia" w:ascii="宋体" w:hAnsi="宋体"/>
                <w:b/>
                <w:bCs w:val="0"/>
                <w:color w:val="auto"/>
                <w:sz w:val="24"/>
                <w:highlight w:val="none"/>
                <w:shd w:val="clear" w:color="auto" w:fill="FFFFFF"/>
              </w:rPr>
              <w:t>始、截止日期即为本项目信息公告起始、截止日期。</w:t>
            </w:r>
          </w:p>
        </w:tc>
      </w:tr>
      <w:tr w14:paraId="56F760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821" w:type="dxa"/>
            <w:tcBorders>
              <w:bottom w:val="single" w:color="auto" w:sz="4" w:space="0"/>
              <w:right w:val="single" w:color="auto" w:sz="4" w:space="0"/>
            </w:tcBorders>
            <w:shd w:val="clear" w:color="auto" w:fill="E6E6E6"/>
            <w:vAlign w:val="center"/>
          </w:tcPr>
          <w:p w14:paraId="46E1C573">
            <w:pPr>
              <w:jc w:val="center"/>
              <w:rPr>
                <w:rFonts w:ascii="宋体" w:hAnsi="宋体"/>
                <w:b/>
                <w:color w:val="auto"/>
                <w:sz w:val="24"/>
                <w:highlight w:val="none"/>
              </w:rPr>
            </w:pPr>
            <w:r>
              <w:rPr>
                <w:rFonts w:hint="eastAsia" w:ascii="宋体" w:hAnsi="宋体"/>
                <w:b/>
                <w:color w:val="auto"/>
                <w:sz w:val="24"/>
                <w:highlight w:val="none"/>
              </w:rPr>
              <w:t>与转让相关的其他条件</w:t>
            </w:r>
          </w:p>
        </w:tc>
        <w:tc>
          <w:tcPr>
            <w:tcW w:w="7740" w:type="dxa"/>
            <w:gridSpan w:val="5"/>
            <w:tcBorders>
              <w:left w:val="single" w:color="auto" w:sz="4" w:space="0"/>
              <w:bottom w:val="single" w:color="auto" w:sz="4" w:space="0"/>
            </w:tcBorders>
            <w:vAlign w:val="center"/>
          </w:tcPr>
          <w:p w14:paraId="5D74A15C">
            <w:pPr>
              <w:widowControl/>
              <w:pBdr>
                <w:top w:val="none" w:color="auto" w:sz="0" w:space="0"/>
                <w:left w:val="none" w:color="auto" w:sz="0" w:space="0"/>
                <w:bottom w:val="none" w:color="auto" w:sz="0" w:space="0"/>
                <w:right w:val="none" w:color="auto" w:sz="0" w:space="0"/>
              </w:pBdr>
              <w:shd w:val="clear" w:fill="FFFFFF"/>
              <w:jc w:val="left"/>
              <w:rPr>
                <w:rFonts w:hint="eastAsia" w:asciiTheme="minorEastAsia" w:hAnsiTheme="minorEastAsia" w:eastAsiaTheme="minorEastAsia" w:cstheme="minorEastAsia"/>
                <w:color w:val="auto"/>
                <w:sz w:val="24"/>
                <w:highlight w:val="none"/>
                <w:shd w:val="clear" w:color="auto" w:fill="FFFFFF"/>
                <w:lang w:val="en-US" w:eastAsia="zh-CN"/>
              </w:rPr>
            </w:pPr>
            <w:r>
              <w:rPr>
                <w:rFonts w:hint="eastAsia" w:ascii="宋体" w:hAnsi="宋体"/>
                <w:color w:val="auto"/>
                <w:sz w:val="24"/>
                <w:highlight w:val="none"/>
                <w:lang w:val="en-US" w:eastAsia="zh-CN"/>
              </w:rPr>
              <w:t>1.</w:t>
            </w:r>
            <w:r>
              <w:rPr>
                <w:rFonts w:ascii="宋体" w:hAnsi="宋体"/>
                <w:color w:val="auto"/>
                <w:sz w:val="24"/>
                <w:highlight w:val="none"/>
              </w:rPr>
              <w:t>意向受让</w:t>
            </w:r>
            <w:r>
              <w:rPr>
                <w:rFonts w:hint="eastAsia" w:ascii="宋体" w:hAnsi="宋体"/>
                <w:color w:val="auto"/>
                <w:sz w:val="24"/>
                <w:highlight w:val="none"/>
              </w:rPr>
              <w:t>方一旦提交</w:t>
            </w:r>
            <w:r>
              <w:rPr>
                <w:rFonts w:hint="eastAsia" w:ascii="宋体" w:hAnsi="宋体" w:eastAsia="宋体"/>
                <w:color w:val="auto"/>
                <w:sz w:val="24"/>
                <w:highlight w:val="none"/>
                <w:lang w:val="en-US" w:eastAsia="zh-CN"/>
              </w:rPr>
              <w:t>《报价文件》及相关附件</w:t>
            </w:r>
            <w:r>
              <w:rPr>
                <w:rFonts w:hint="eastAsia" w:ascii="宋体" w:hAnsi="宋体"/>
                <w:color w:val="auto"/>
                <w:sz w:val="24"/>
                <w:highlight w:val="none"/>
              </w:rPr>
              <w:t>，视为接受</w:t>
            </w:r>
            <w:r>
              <w:rPr>
                <w:rFonts w:ascii="宋体" w:hAnsi="宋体"/>
                <w:color w:val="auto"/>
                <w:sz w:val="24"/>
                <w:highlight w:val="none"/>
              </w:rPr>
              <w:t>转让方</w:t>
            </w:r>
            <w:r>
              <w:rPr>
                <w:rFonts w:hint="eastAsia" w:ascii="宋体" w:hAnsi="宋体"/>
                <w:color w:val="auto"/>
                <w:sz w:val="24"/>
                <w:highlight w:val="none"/>
              </w:rPr>
              <w:t>已拟定的资产</w:t>
            </w:r>
            <w:r>
              <w:rPr>
                <w:rFonts w:ascii="宋体" w:hAnsi="宋体"/>
                <w:color w:val="auto"/>
                <w:sz w:val="24"/>
                <w:highlight w:val="none"/>
              </w:rPr>
              <w:t>交易合同等</w:t>
            </w:r>
            <w:r>
              <w:rPr>
                <w:rFonts w:hint="eastAsia" w:ascii="宋体" w:hAnsi="宋体"/>
                <w:color w:val="auto"/>
                <w:sz w:val="24"/>
                <w:highlight w:val="none"/>
              </w:rPr>
              <w:t>文本</w:t>
            </w:r>
            <w:r>
              <w:rPr>
                <w:rFonts w:ascii="宋体" w:hAnsi="宋体"/>
                <w:color w:val="auto"/>
                <w:sz w:val="24"/>
                <w:highlight w:val="none"/>
              </w:rPr>
              <w:t>，成为受让方后无条件与转让方签署</w:t>
            </w:r>
            <w:r>
              <w:rPr>
                <w:rFonts w:hint="eastAsia" w:ascii="宋体" w:hAnsi="宋体"/>
                <w:color w:val="auto"/>
                <w:sz w:val="24"/>
                <w:highlight w:val="none"/>
              </w:rPr>
              <w:t>《资产</w:t>
            </w:r>
            <w:r>
              <w:rPr>
                <w:rFonts w:ascii="宋体" w:hAnsi="宋体"/>
                <w:color w:val="auto"/>
                <w:sz w:val="24"/>
                <w:highlight w:val="none"/>
              </w:rPr>
              <w:t>交易合同</w:t>
            </w:r>
            <w:r>
              <w:rPr>
                <w:rFonts w:hint="eastAsia" w:ascii="宋体" w:hAnsi="宋体"/>
                <w:color w:val="auto"/>
                <w:sz w:val="24"/>
                <w:highlight w:val="none"/>
              </w:rPr>
              <w:t>》。</w:t>
            </w:r>
          </w:p>
          <w:p w14:paraId="54A3E40E">
            <w:pPr>
              <w:widowControl/>
              <w:pBdr>
                <w:top w:val="none" w:color="auto" w:sz="0" w:space="0"/>
                <w:left w:val="none" w:color="auto" w:sz="0" w:space="0"/>
                <w:bottom w:val="none" w:color="auto" w:sz="0" w:space="0"/>
                <w:right w:val="none" w:color="auto" w:sz="0" w:space="0"/>
              </w:pBdr>
              <w:shd w:val="clear" w:fill="FFFFFF"/>
              <w:jc w:val="left"/>
              <w:rPr>
                <w:rFonts w:hint="eastAsia"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color w:val="auto"/>
                <w:sz w:val="24"/>
                <w:highlight w:val="none"/>
                <w:shd w:val="clear" w:color="auto" w:fill="FFFFFF"/>
                <w:lang w:val="en-US" w:eastAsia="zh-CN"/>
              </w:rPr>
              <w:t>2.</w:t>
            </w:r>
            <w:r>
              <w:rPr>
                <w:rFonts w:hint="eastAsia" w:asciiTheme="minorEastAsia" w:hAnsiTheme="minorEastAsia" w:eastAsiaTheme="minorEastAsia" w:cstheme="minorEastAsia"/>
                <w:color w:val="auto"/>
                <w:sz w:val="24"/>
                <w:highlight w:val="none"/>
                <w:shd w:val="clear" w:color="auto" w:fill="FFFFFF"/>
              </w:rPr>
              <w:t>受让方须</w:t>
            </w:r>
            <w:r>
              <w:rPr>
                <w:rFonts w:hint="eastAsia" w:asciiTheme="minorEastAsia" w:hAnsiTheme="minorEastAsia" w:eastAsiaTheme="minorEastAsia" w:cstheme="minorEastAsia"/>
                <w:color w:val="auto"/>
                <w:sz w:val="24"/>
                <w:highlight w:val="none"/>
                <w:shd w:val="clear" w:color="auto" w:fill="FFFFFF"/>
                <w:lang w:val="en-US" w:eastAsia="zh-CN"/>
              </w:rPr>
              <w:t>严格</w:t>
            </w:r>
            <w:r>
              <w:rPr>
                <w:rFonts w:hint="eastAsia" w:asciiTheme="minorEastAsia" w:hAnsiTheme="minorEastAsia" w:eastAsiaTheme="minorEastAsia" w:cstheme="minorEastAsia"/>
                <w:color w:val="auto"/>
                <w:sz w:val="24"/>
                <w:highlight w:val="none"/>
                <w:shd w:val="clear" w:color="auto" w:fill="FFFFFF"/>
              </w:rPr>
              <w:t>按照交易合同的约定履行相应义务。</w:t>
            </w:r>
            <w:r>
              <w:rPr>
                <w:rFonts w:hint="eastAsia" w:asciiTheme="minorEastAsia" w:hAnsiTheme="minorEastAsia" w:eastAsiaTheme="minorEastAsia" w:cstheme="minorEastAsia"/>
                <w:color w:val="auto"/>
                <w:sz w:val="24"/>
                <w:highlight w:val="none"/>
                <w:shd w:val="clear" w:color="auto" w:fill="FFFFFF"/>
                <w:lang w:val="en-US" w:eastAsia="zh-CN"/>
              </w:rPr>
              <w:t>受让方须完全理解并接受东莞市水务环境投资控股集团有限公司网站发布的本转让标的转让信息公告所披露的内容。</w:t>
            </w:r>
          </w:p>
          <w:p w14:paraId="3083AE56">
            <w:pPr>
              <w:widowControl/>
              <w:pBdr>
                <w:top w:val="none" w:color="auto" w:sz="0" w:space="0"/>
                <w:left w:val="none" w:color="auto" w:sz="0" w:space="0"/>
                <w:bottom w:val="none" w:color="auto" w:sz="0" w:space="0"/>
                <w:right w:val="none" w:color="auto" w:sz="0" w:space="0"/>
              </w:pBdr>
              <w:shd w:val="clear" w:fill="FFFFFF"/>
              <w:wordWrap/>
              <w:jc w:val="left"/>
              <w:rPr>
                <w:rFonts w:hint="eastAsia"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color w:val="auto"/>
                <w:sz w:val="24"/>
                <w:highlight w:val="none"/>
                <w:shd w:val="clear" w:color="auto" w:fill="FFFFFF"/>
                <w:lang w:val="en-US" w:eastAsia="zh-CN"/>
              </w:rPr>
              <w:t>3.</w:t>
            </w:r>
            <w:r>
              <w:rPr>
                <w:rFonts w:hint="eastAsia" w:asciiTheme="minorEastAsia" w:hAnsiTheme="minorEastAsia" w:eastAsiaTheme="minorEastAsia" w:cstheme="minorEastAsia"/>
                <w:color w:val="auto"/>
                <w:sz w:val="24"/>
                <w:szCs w:val="20"/>
                <w:highlight w:val="none"/>
                <w:shd w:val="clear" w:color="auto" w:fill="FFFFFF"/>
              </w:rPr>
              <w:t>受让方交纳的交易保证金按约定转为交易价款的一部分。</w:t>
            </w:r>
          </w:p>
          <w:p w14:paraId="0E01C0C6">
            <w:pPr>
              <w:widowControl/>
              <w:pBdr>
                <w:top w:val="none" w:color="auto" w:sz="0" w:space="0"/>
                <w:left w:val="none" w:color="auto" w:sz="0" w:space="0"/>
                <w:bottom w:val="none" w:color="auto" w:sz="0" w:space="0"/>
                <w:right w:val="none" w:color="auto" w:sz="0" w:space="0"/>
              </w:pBdr>
              <w:shd w:val="clear" w:fill="FFFFFF"/>
              <w:wordWrap/>
              <w:jc w:val="left"/>
              <w:rPr>
                <w:rFonts w:hint="eastAsia" w:asciiTheme="minorEastAsia" w:hAnsiTheme="minorEastAsia" w:eastAsiaTheme="minorEastAsia" w:cstheme="minorEastAsia"/>
                <w:color w:val="auto"/>
                <w:sz w:val="24"/>
                <w:szCs w:val="20"/>
                <w:highlight w:val="none"/>
                <w:shd w:val="clear" w:color="auto" w:fill="FFFFFF"/>
              </w:rPr>
            </w:pPr>
            <w:r>
              <w:rPr>
                <w:rFonts w:hint="eastAsia" w:asciiTheme="minorEastAsia" w:hAnsiTheme="minorEastAsia" w:eastAsiaTheme="minorEastAsia" w:cstheme="minorEastAsia"/>
                <w:color w:val="auto"/>
                <w:sz w:val="24"/>
                <w:szCs w:val="20"/>
                <w:highlight w:val="none"/>
                <w:shd w:val="clear" w:color="auto" w:fill="FFFFFF"/>
                <w:lang w:val="en-US" w:eastAsia="zh-CN"/>
              </w:rPr>
              <w:t>4.</w:t>
            </w:r>
            <w:r>
              <w:rPr>
                <w:rFonts w:hint="eastAsia" w:asciiTheme="minorEastAsia" w:hAnsiTheme="minorEastAsia" w:eastAsiaTheme="minorEastAsia" w:cstheme="minorEastAsia"/>
                <w:color w:val="auto"/>
                <w:sz w:val="24"/>
                <w:highlight w:val="none"/>
                <w:shd w:val="clear" w:color="auto" w:fill="FFFFFF"/>
              </w:rPr>
              <w:t>受让方应在</w:t>
            </w:r>
            <w:r>
              <w:rPr>
                <w:rFonts w:hint="eastAsia" w:asciiTheme="minorEastAsia" w:hAnsiTheme="minorEastAsia" w:eastAsiaTheme="minorEastAsia" w:cstheme="minorEastAsia"/>
                <w:color w:val="auto"/>
                <w:sz w:val="24"/>
                <w:szCs w:val="20"/>
                <w:highlight w:val="none"/>
                <w:shd w:val="clear" w:color="auto" w:fill="FFFFFF"/>
                <w:lang w:val="en-US" w:eastAsia="zh-CN"/>
              </w:rPr>
              <w:t>合同生效</w:t>
            </w:r>
            <w:r>
              <w:rPr>
                <w:rFonts w:hint="eastAsia" w:asciiTheme="minorEastAsia" w:hAnsiTheme="minorEastAsia" w:eastAsiaTheme="minorEastAsia" w:cstheme="minorEastAsia"/>
                <w:color w:val="auto"/>
                <w:sz w:val="24"/>
                <w:highlight w:val="none"/>
                <w:shd w:val="clear" w:color="auto" w:fill="FFFFFF"/>
              </w:rPr>
              <w:t>之日起</w:t>
            </w:r>
            <w:r>
              <w:rPr>
                <w:rFonts w:hint="eastAsia" w:asciiTheme="minorEastAsia" w:hAnsiTheme="minorEastAsia" w:eastAsiaTheme="minorEastAsia" w:cstheme="minorEastAsia"/>
                <w:color w:val="auto"/>
                <w:sz w:val="24"/>
                <w:highlight w:val="none"/>
                <w:u w:val="none"/>
                <w:shd w:val="clear" w:color="auto" w:fill="FFFFFF"/>
                <w:lang w:val="en-US" w:eastAsia="zh-CN"/>
              </w:rPr>
              <w:t>5</w:t>
            </w:r>
            <w:r>
              <w:rPr>
                <w:rFonts w:hint="eastAsia" w:asciiTheme="minorEastAsia" w:hAnsiTheme="minorEastAsia" w:eastAsiaTheme="minorEastAsia" w:cstheme="minorEastAsia"/>
                <w:color w:val="auto"/>
                <w:sz w:val="24"/>
                <w:highlight w:val="none"/>
                <w:shd w:val="clear" w:color="auto" w:fill="FFFFFF"/>
              </w:rPr>
              <w:t>个工作日内付清全部交易价款。</w:t>
            </w:r>
            <w:r>
              <w:rPr>
                <w:rFonts w:hint="eastAsia" w:asciiTheme="minorEastAsia" w:hAnsiTheme="minorEastAsia" w:eastAsiaTheme="minorEastAsia" w:cstheme="minorEastAsia"/>
                <w:color w:val="auto"/>
                <w:sz w:val="24"/>
                <w:szCs w:val="20"/>
                <w:highlight w:val="none"/>
                <w:shd w:val="clear" w:color="auto" w:fill="FFFFFF"/>
              </w:rPr>
              <w:br w:type="textWrapping"/>
            </w:r>
            <w:r>
              <w:rPr>
                <w:rFonts w:hint="eastAsia" w:asciiTheme="minorEastAsia" w:hAnsiTheme="minorEastAsia" w:eastAsiaTheme="minorEastAsia" w:cstheme="minorEastAsia"/>
                <w:color w:val="auto"/>
                <w:sz w:val="24"/>
                <w:szCs w:val="20"/>
                <w:highlight w:val="none"/>
                <w:shd w:val="clear" w:color="auto" w:fill="FFFFFF"/>
                <w:lang w:val="en-US" w:eastAsia="zh-CN"/>
              </w:rPr>
              <w:t>5.交易双方进行标的资产及相关权属证明文件或技术资料（如有）的交接。</w:t>
            </w:r>
            <w:r>
              <w:rPr>
                <w:rFonts w:hint="eastAsia" w:asciiTheme="minorEastAsia" w:hAnsiTheme="minorEastAsia" w:eastAsiaTheme="minorEastAsia" w:cstheme="minorEastAsia"/>
                <w:color w:val="auto"/>
                <w:sz w:val="24"/>
                <w:szCs w:val="20"/>
                <w:highlight w:val="none"/>
                <w:shd w:val="clear" w:color="auto" w:fill="FFFFFF"/>
              </w:rPr>
              <w:t>自受让方</w:t>
            </w:r>
            <w:r>
              <w:rPr>
                <w:rFonts w:hint="eastAsia" w:asciiTheme="minorEastAsia" w:hAnsiTheme="minorEastAsia" w:eastAsiaTheme="minorEastAsia" w:cstheme="minorEastAsia"/>
                <w:color w:val="auto"/>
                <w:sz w:val="24"/>
                <w:szCs w:val="20"/>
                <w:highlight w:val="none"/>
                <w:shd w:val="clear" w:color="auto" w:fill="FFFFFF"/>
                <w:lang w:val="en-US" w:eastAsia="zh-CN"/>
              </w:rPr>
              <w:t>接收交易标的之日起</w:t>
            </w:r>
            <w:r>
              <w:rPr>
                <w:rFonts w:hint="eastAsia" w:asciiTheme="minorEastAsia" w:hAnsiTheme="minorEastAsia" w:eastAsiaTheme="minorEastAsia" w:cstheme="minorEastAsia"/>
                <w:color w:val="auto"/>
                <w:sz w:val="24"/>
                <w:szCs w:val="20"/>
                <w:highlight w:val="none"/>
                <w:shd w:val="clear" w:color="auto" w:fill="FFFFFF"/>
              </w:rPr>
              <w:t>，受让资产的所有权及风险转移至受让方，包括但不限于安全、治安、环保责任以及标的资产的保管、损坏、灭失风险等由受让方自行承担。受让资产按现状（包括看样时交易标的现状、数量和瑕疵状况现状）进行转让和移交。</w:t>
            </w:r>
          </w:p>
          <w:p w14:paraId="2DDD0E30">
            <w:pPr>
              <w:widowControl/>
              <w:pBdr>
                <w:top w:val="none" w:color="auto" w:sz="0" w:space="0"/>
                <w:left w:val="none" w:color="auto" w:sz="0" w:space="0"/>
                <w:bottom w:val="none" w:color="auto" w:sz="0" w:space="0"/>
                <w:right w:val="none" w:color="auto" w:sz="0" w:space="0"/>
              </w:pBdr>
              <w:shd w:val="clear" w:fill="FFFFFF"/>
              <w:wordWrap/>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shd w:val="clear" w:color="auto" w:fill="FFFFFF"/>
                <w:lang w:val="en-US" w:eastAsia="zh-CN"/>
              </w:rPr>
              <w:t>6.</w:t>
            </w:r>
            <w:r>
              <w:rPr>
                <w:rFonts w:hint="eastAsia" w:asciiTheme="minorEastAsia" w:hAnsiTheme="minorEastAsia" w:eastAsiaTheme="minorEastAsia" w:cstheme="minorEastAsia"/>
                <w:color w:val="auto"/>
                <w:sz w:val="24"/>
                <w:szCs w:val="20"/>
                <w:highlight w:val="none"/>
                <w:shd w:val="clear" w:color="auto" w:fill="FFFFFF"/>
              </w:rPr>
              <w:t>受让方在《资产交易合同》签订的同时须与转让方签订《</w:t>
            </w:r>
            <w:r>
              <w:rPr>
                <w:rFonts w:hint="eastAsia" w:asciiTheme="minorEastAsia" w:hAnsiTheme="minorEastAsia" w:eastAsiaTheme="minorEastAsia" w:cstheme="minorEastAsia"/>
                <w:color w:val="auto"/>
                <w:sz w:val="24"/>
                <w:szCs w:val="20"/>
                <w:highlight w:val="none"/>
                <w:shd w:val="clear" w:color="auto" w:fill="FFFFFF"/>
                <w:lang w:val="en-US" w:eastAsia="zh-CN"/>
              </w:rPr>
              <w:t>安全协议书</w:t>
            </w:r>
            <w:r>
              <w:rPr>
                <w:rFonts w:hint="eastAsia" w:asciiTheme="minorEastAsia" w:hAnsiTheme="minorEastAsia" w:eastAsiaTheme="minorEastAsia" w:cstheme="minorEastAsia"/>
                <w:color w:val="auto"/>
                <w:sz w:val="24"/>
                <w:szCs w:val="20"/>
                <w:highlight w:val="none"/>
                <w:shd w:val="clear" w:color="auto" w:fill="FFFFFF"/>
              </w:rPr>
              <w:t>》，</w:t>
            </w:r>
            <w:r>
              <w:rPr>
                <w:rFonts w:hint="eastAsia" w:asciiTheme="minorEastAsia" w:hAnsiTheme="minorEastAsia" w:eastAsiaTheme="minorEastAsia" w:cstheme="minorEastAsia"/>
                <w:color w:val="auto"/>
                <w:sz w:val="24"/>
                <w:szCs w:val="24"/>
                <w:highlight w:val="none"/>
              </w:rPr>
              <w:t>在《资产交易合同》签订且生效之日起5个工作日内向转让方指定账户划入</w:t>
            </w:r>
            <w:r>
              <w:rPr>
                <w:rFonts w:hint="eastAsia" w:asciiTheme="minorEastAsia" w:hAnsiTheme="minorEastAsia" w:eastAsiaTheme="minorEastAsia" w:cstheme="minorEastAsia"/>
                <w:color w:val="auto"/>
                <w:sz w:val="24"/>
                <w:szCs w:val="24"/>
                <w:highlight w:val="none"/>
                <w:lang w:val="en-US" w:eastAsia="zh-CN"/>
              </w:rPr>
              <w:t>拆卸清运安全</w:t>
            </w:r>
            <w:r>
              <w:rPr>
                <w:rFonts w:hint="eastAsia" w:asciiTheme="minorEastAsia" w:hAnsiTheme="minorEastAsia" w:eastAsiaTheme="minorEastAsia" w:cstheme="minorEastAsia"/>
                <w:color w:val="auto"/>
                <w:sz w:val="24"/>
                <w:szCs w:val="24"/>
                <w:highlight w:val="none"/>
              </w:rPr>
              <w:t>保证金人民币</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万元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转让方出具收据</w:t>
            </w:r>
            <w:r>
              <w:rPr>
                <w:rFonts w:hint="eastAsia" w:asciiTheme="minorEastAsia" w:hAnsiTheme="minorEastAsia" w:eastAsiaTheme="minorEastAsia" w:cstheme="minorEastAsia"/>
                <w:color w:val="auto"/>
                <w:sz w:val="24"/>
                <w:szCs w:val="24"/>
                <w:highlight w:val="none"/>
              </w:rPr>
              <w:t>。受让方在</w:t>
            </w:r>
            <w:r>
              <w:rPr>
                <w:rFonts w:hint="eastAsia" w:asciiTheme="minorEastAsia" w:hAnsiTheme="minorEastAsia" w:eastAsiaTheme="minorEastAsia" w:cstheme="minorEastAsia"/>
                <w:color w:val="auto"/>
                <w:sz w:val="24"/>
                <w:szCs w:val="24"/>
                <w:highlight w:val="none"/>
                <w:lang w:val="en-US" w:eastAsia="zh-CN"/>
              </w:rPr>
              <w:t>缴纳拆卸清运安全</w:t>
            </w:r>
            <w:r>
              <w:rPr>
                <w:rFonts w:hint="eastAsia" w:asciiTheme="minorEastAsia" w:hAnsiTheme="minorEastAsia" w:eastAsiaTheme="minorEastAsia" w:cstheme="minorEastAsia"/>
                <w:color w:val="auto"/>
                <w:sz w:val="24"/>
                <w:szCs w:val="24"/>
                <w:highlight w:val="none"/>
              </w:rPr>
              <w:t>保证金</w:t>
            </w:r>
            <w:r>
              <w:rPr>
                <w:rFonts w:hint="eastAsia" w:asciiTheme="minorEastAsia" w:hAnsiTheme="minorEastAsia" w:eastAsiaTheme="minorEastAsia" w:cstheme="minorEastAsia"/>
                <w:color w:val="auto"/>
                <w:sz w:val="24"/>
                <w:szCs w:val="24"/>
                <w:highlight w:val="none"/>
                <w:lang w:val="en-US" w:eastAsia="zh-CN"/>
              </w:rPr>
              <w:t>后</w:t>
            </w:r>
            <w:r>
              <w:rPr>
                <w:rFonts w:hint="eastAsia" w:asciiTheme="minorEastAsia" w:hAnsiTheme="minorEastAsia" w:eastAsiaTheme="minorEastAsia" w:cstheme="minorEastAsia"/>
                <w:color w:val="auto"/>
                <w:sz w:val="24"/>
                <w:szCs w:val="24"/>
                <w:highlight w:val="none"/>
              </w:rPr>
              <w:t>并</w:t>
            </w:r>
            <w:r>
              <w:rPr>
                <w:rFonts w:hint="eastAsia" w:asciiTheme="minorEastAsia" w:hAnsiTheme="minorEastAsia" w:eastAsiaTheme="minorEastAsia" w:cstheme="minorEastAsia"/>
                <w:color w:val="auto"/>
                <w:sz w:val="24"/>
                <w:szCs w:val="24"/>
                <w:highlight w:val="none"/>
                <w:lang w:val="en-US" w:eastAsia="zh-CN"/>
              </w:rPr>
              <w:t>经</w:t>
            </w:r>
            <w:r>
              <w:rPr>
                <w:rFonts w:hint="eastAsia" w:asciiTheme="minorEastAsia" w:hAnsiTheme="minorEastAsia" w:eastAsiaTheme="minorEastAsia" w:cstheme="minorEastAsia"/>
                <w:color w:val="auto"/>
                <w:sz w:val="24"/>
                <w:szCs w:val="24"/>
                <w:highlight w:val="none"/>
              </w:rPr>
              <w:t>转让方同意后方可进入现场</w:t>
            </w:r>
            <w:r>
              <w:rPr>
                <w:rFonts w:hint="eastAsia" w:asciiTheme="minorEastAsia" w:hAnsiTheme="minorEastAsia" w:eastAsiaTheme="minorEastAsia" w:cstheme="minorEastAsia"/>
                <w:color w:val="auto"/>
                <w:sz w:val="24"/>
                <w:szCs w:val="24"/>
                <w:highlight w:val="none"/>
                <w:lang w:val="en-US" w:eastAsia="zh-CN"/>
              </w:rPr>
              <w:t>提货、清运</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拆卸清运安全</w:t>
            </w:r>
            <w:r>
              <w:rPr>
                <w:rFonts w:hint="eastAsia" w:asciiTheme="minorEastAsia" w:hAnsiTheme="minorEastAsia" w:eastAsiaTheme="minorEastAsia" w:cstheme="minorEastAsia"/>
                <w:color w:val="auto"/>
                <w:sz w:val="24"/>
                <w:szCs w:val="24"/>
                <w:highlight w:val="none"/>
              </w:rPr>
              <w:t>保证金在受让方按合同和安全协议完全履约经转让方验收合格</w:t>
            </w:r>
            <w:r>
              <w:rPr>
                <w:rFonts w:hint="eastAsia" w:asciiTheme="minorEastAsia" w:hAnsiTheme="minorEastAsia" w:eastAsiaTheme="minorEastAsia" w:cstheme="minorEastAsia"/>
                <w:i w:val="0"/>
                <w:iCs w:val="0"/>
                <w:caps w:val="0"/>
                <w:color w:val="auto"/>
                <w:spacing w:val="0"/>
                <w:sz w:val="24"/>
                <w:szCs w:val="24"/>
                <w:highlight w:val="none"/>
                <w:shd w:val="clear"/>
              </w:rPr>
              <w:t>并提供符合转让方要求的请款</w:t>
            </w:r>
            <w:r>
              <w:rPr>
                <w:rFonts w:hint="eastAsia" w:asciiTheme="minorEastAsia" w:hAnsiTheme="minorEastAsia" w:eastAsiaTheme="minorEastAsia" w:cstheme="minorEastAsia"/>
                <w:i w:val="0"/>
                <w:iCs w:val="0"/>
                <w:caps w:val="0"/>
                <w:color w:val="auto"/>
                <w:spacing w:val="0"/>
                <w:sz w:val="24"/>
                <w:szCs w:val="24"/>
                <w:highlight w:val="none"/>
                <w:shd w:val="clear"/>
                <w:lang w:val="en-US" w:eastAsia="zh-CN"/>
              </w:rPr>
              <w:t>申请书和保证金收据</w:t>
            </w:r>
            <w:r>
              <w:rPr>
                <w:rFonts w:hint="eastAsia" w:asciiTheme="minorEastAsia" w:hAnsiTheme="minorEastAsia" w:eastAsiaTheme="minorEastAsia" w:cstheme="minorEastAsia"/>
                <w:color w:val="auto"/>
                <w:sz w:val="24"/>
                <w:szCs w:val="24"/>
                <w:highlight w:val="none"/>
              </w:rPr>
              <w:t>后次日起</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个工作日内由转让方无息原路退还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0"/>
                <w:highlight w:val="none"/>
                <w:shd w:val="clear" w:color="auto" w:fill="FFFFFF"/>
              </w:rPr>
              <w:t>受让方</w:t>
            </w:r>
            <w:r>
              <w:rPr>
                <w:rFonts w:hint="eastAsia" w:asciiTheme="minorEastAsia" w:hAnsiTheme="minorEastAsia" w:eastAsiaTheme="minorEastAsia" w:cstheme="minorEastAsia"/>
                <w:color w:val="auto"/>
                <w:sz w:val="24"/>
                <w:szCs w:val="24"/>
                <w:highlight w:val="none"/>
                <w:lang w:val="en-US" w:eastAsia="zh-CN"/>
              </w:rPr>
              <w:t>必须切实严格遵守安全生产、环境保护、消防等法律法规或地方政府部门的相关规定，确保交易标的清运离场等工作安全、有序、如期完成。</w:t>
            </w:r>
            <w:r>
              <w:rPr>
                <w:rFonts w:hint="eastAsia" w:asciiTheme="minorEastAsia" w:hAnsiTheme="minorEastAsia" w:eastAsiaTheme="minorEastAsia" w:cstheme="minorEastAsia"/>
                <w:color w:val="auto"/>
                <w:sz w:val="24"/>
                <w:szCs w:val="20"/>
                <w:highlight w:val="none"/>
                <w:shd w:val="clear" w:color="auto" w:fill="FFFFFF"/>
              </w:rPr>
              <w:t>受让方</w:t>
            </w:r>
            <w:r>
              <w:rPr>
                <w:rFonts w:hint="eastAsia" w:asciiTheme="minorEastAsia" w:hAnsiTheme="minorEastAsia" w:eastAsiaTheme="minorEastAsia" w:cstheme="minorEastAsia"/>
                <w:color w:val="auto"/>
                <w:sz w:val="24"/>
                <w:szCs w:val="24"/>
                <w:highlight w:val="none"/>
                <w:lang w:val="en-US" w:eastAsia="zh-CN"/>
              </w:rPr>
              <w:t>在提货清运作业期间产生的人身或财产损害事故或环保事故的，均由</w:t>
            </w:r>
            <w:r>
              <w:rPr>
                <w:rFonts w:hint="eastAsia" w:asciiTheme="minorEastAsia" w:hAnsiTheme="minorEastAsia" w:eastAsiaTheme="minorEastAsia" w:cstheme="minorEastAsia"/>
                <w:color w:val="auto"/>
                <w:sz w:val="24"/>
                <w:szCs w:val="20"/>
                <w:highlight w:val="none"/>
                <w:shd w:val="clear" w:color="auto" w:fill="FFFFFF"/>
              </w:rPr>
              <w:t>受让方</w:t>
            </w:r>
            <w:r>
              <w:rPr>
                <w:rFonts w:hint="eastAsia" w:asciiTheme="minorEastAsia" w:hAnsiTheme="minorEastAsia" w:eastAsiaTheme="minorEastAsia" w:cstheme="minorEastAsia"/>
                <w:color w:val="auto"/>
                <w:sz w:val="24"/>
                <w:szCs w:val="24"/>
                <w:highlight w:val="none"/>
                <w:lang w:val="en-US" w:eastAsia="zh-CN"/>
              </w:rPr>
              <w:t>承担相应的损害赔偿责任和法律责任。</w:t>
            </w:r>
          </w:p>
          <w:p w14:paraId="11C5318B">
            <w:pPr>
              <w:wordWrap w:val="0"/>
              <w:jc w:val="left"/>
              <w:rPr>
                <w:rFonts w:hint="eastAsia" w:asciiTheme="minorEastAsia" w:hAnsiTheme="minorEastAsia" w:eastAsiaTheme="minorEastAsia" w:cstheme="minorEastAsia"/>
                <w:color w:val="auto"/>
                <w:sz w:val="24"/>
                <w:szCs w:val="24"/>
                <w:highlight w:val="none"/>
              </w:rPr>
            </w:pPr>
            <w:r>
              <w:rPr>
                <w:rFonts w:hint="eastAsia" w:ascii="宋体" w:hAnsi="宋体" w:eastAsiaTheme="minorEastAsia"/>
                <w:color w:val="auto"/>
                <w:sz w:val="24"/>
                <w:highlight w:val="none"/>
                <w:lang w:val="en-US" w:eastAsia="zh-CN"/>
              </w:rPr>
              <w:t>8.</w:t>
            </w:r>
            <w:r>
              <w:rPr>
                <w:rFonts w:hint="eastAsia" w:asciiTheme="minorEastAsia" w:hAnsiTheme="minorEastAsia" w:eastAsiaTheme="minorEastAsia" w:cstheme="minorEastAsia"/>
                <w:color w:val="auto"/>
                <w:sz w:val="24"/>
                <w:szCs w:val="24"/>
                <w:highlight w:val="none"/>
              </w:rPr>
              <w:t>受让方在</w:t>
            </w:r>
            <w:r>
              <w:rPr>
                <w:rFonts w:hint="eastAsia" w:asciiTheme="minorEastAsia" w:hAnsiTheme="minorEastAsia" w:eastAsiaTheme="minorEastAsia" w:cstheme="minorEastAsia"/>
                <w:color w:val="auto"/>
                <w:sz w:val="24"/>
                <w:szCs w:val="24"/>
                <w:highlight w:val="none"/>
                <w:lang w:val="en-US" w:eastAsia="zh-CN"/>
              </w:rPr>
              <w:t>提货清运作业</w:t>
            </w:r>
            <w:r>
              <w:rPr>
                <w:rFonts w:hint="eastAsia" w:asciiTheme="minorEastAsia" w:hAnsiTheme="minorEastAsia" w:eastAsiaTheme="minorEastAsia" w:cstheme="minorEastAsia"/>
                <w:color w:val="auto"/>
                <w:sz w:val="24"/>
                <w:szCs w:val="24"/>
                <w:highlight w:val="none"/>
              </w:rPr>
              <w:t>期间转让方不提供施工所需水电及办公场所，转让方协调受让方水电的使用，相关费用由受让方承担。</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受让方不得以</w:t>
            </w:r>
            <w:r>
              <w:rPr>
                <w:rFonts w:hint="eastAsia" w:asciiTheme="minorEastAsia" w:hAnsiTheme="minorEastAsia" w:eastAsiaTheme="minorEastAsia" w:cstheme="minorEastAsia"/>
                <w:color w:val="auto"/>
                <w:sz w:val="24"/>
                <w:szCs w:val="24"/>
                <w:highlight w:val="none"/>
                <w:lang w:val="en-US" w:eastAsia="zh-CN"/>
              </w:rPr>
              <w:t>交易</w:t>
            </w:r>
            <w:r>
              <w:rPr>
                <w:rFonts w:hint="eastAsia" w:asciiTheme="minorEastAsia" w:hAnsiTheme="minorEastAsia" w:eastAsiaTheme="minorEastAsia" w:cstheme="minorEastAsia"/>
                <w:color w:val="auto"/>
                <w:sz w:val="24"/>
                <w:szCs w:val="24"/>
                <w:highlight w:val="none"/>
              </w:rPr>
              <w:t>成本过高、交易标的存在瑕疵或误差、</w:t>
            </w:r>
            <w:r>
              <w:rPr>
                <w:rFonts w:hint="eastAsia" w:asciiTheme="minorEastAsia" w:hAnsiTheme="minorEastAsia" w:eastAsiaTheme="minorEastAsia" w:cstheme="minorEastAsia"/>
                <w:color w:val="auto"/>
                <w:sz w:val="24"/>
                <w:szCs w:val="24"/>
                <w:highlight w:val="none"/>
                <w:lang w:val="en-US" w:eastAsia="zh-CN"/>
              </w:rPr>
              <w:t>交易标的价值行情波动造成损失</w:t>
            </w:r>
            <w:r>
              <w:rPr>
                <w:rFonts w:hint="eastAsia" w:asciiTheme="minorEastAsia" w:hAnsiTheme="minorEastAsia" w:eastAsiaTheme="minorEastAsia" w:cstheme="minorEastAsia"/>
                <w:color w:val="auto"/>
                <w:sz w:val="24"/>
                <w:szCs w:val="24"/>
                <w:highlight w:val="none"/>
              </w:rPr>
              <w:t>为由</w:t>
            </w:r>
            <w:r>
              <w:rPr>
                <w:rFonts w:hint="eastAsia" w:asciiTheme="minorEastAsia" w:hAnsiTheme="minorEastAsia" w:eastAsiaTheme="minorEastAsia" w:cstheme="minorEastAsia"/>
                <w:color w:val="auto"/>
                <w:sz w:val="24"/>
                <w:szCs w:val="24"/>
                <w:highlight w:val="none"/>
                <w:lang w:val="en-US" w:eastAsia="zh-CN"/>
              </w:rPr>
              <w:t>向转让方</w:t>
            </w:r>
            <w:r>
              <w:rPr>
                <w:rFonts w:hint="eastAsia" w:asciiTheme="minorEastAsia" w:hAnsiTheme="minorEastAsia" w:eastAsiaTheme="minorEastAsia" w:cstheme="minorEastAsia"/>
                <w:color w:val="auto"/>
                <w:sz w:val="24"/>
                <w:szCs w:val="24"/>
                <w:highlight w:val="none"/>
              </w:rPr>
              <w:t>要求终止</w:t>
            </w:r>
            <w:r>
              <w:rPr>
                <w:rFonts w:hint="eastAsia" w:asciiTheme="minorEastAsia" w:hAnsiTheme="minorEastAsia" w:eastAsiaTheme="minorEastAsia" w:cstheme="minorEastAsia"/>
                <w:color w:val="auto"/>
                <w:sz w:val="24"/>
                <w:szCs w:val="24"/>
                <w:highlight w:val="none"/>
                <w:lang w:val="en-US" w:eastAsia="zh-CN"/>
              </w:rPr>
              <w:t>交易</w:t>
            </w:r>
            <w:r>
              <w:rPr>
                <w:rFonts w:hint="eastAsia" w:asciiTheme="minorEastAsia" w:hAnsiTheme="minorEastAsia" w:eastAsiaTheme="minorEastAsia" w:cstheme="minorEastAsia"/>
                <w:color w:val="auto"/>
                <w:sz w:val="24"/>
                <w:szCs w:val="24"/>
                <w:highlight w:val="none"/>
              </w:rPr>
              <w:t>、退款或要求赔偿</w:t>
            </w:r>
            <w:r>
              <w:rPr>
                <w:rFonts w:hint="eastAsia" w:asciiTheme="minorEastAsia" w:hAnsiTheme="minorEastAsia" w:eastAsiaTheme="minorEastAsia" w:cstheme="minorEastAsia"/>
                <w:color w:val="auto"/>
                <w:sz w:val="24"/>
                <w:szCs w:val="24"/>
                <w:highlight w:val="none"/>
                <w:lang w:val="en-US" w:eastAsia="zh-CN"/>
              </w:rPr>
              <w:t>等</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鉴于本次转让的交易标的以现场实际数量现状为准，参与本次交易即视为意向受让方已通过现场勘察并对交易标的范围、数量、质量、用途、处置要求等现状有清晰明确的了解，对交易标的有准确的价值评估。一经交易成交，本项目不因交易标的数量、质量、用途和现状而变更、解除或终止交易合同，受让价款和受让条件不因上述因素作调整。</w:t>
            </w:r>
          </w:p>
          <w:p w14:paraId="4CBB1943">
            <w:pPr>
              <w:wordWrap w:val="0"/>
              <w:jc w:val="left"/>
              <w:rPr>
                <w:rFonts w:ascii="宋体" w:hAnsi="宋体"/>
                <w:color w:val="auto"/>
                <w:sz w:val="24"/>
                <w:highlight w:val="none"/>
              </w:rPr>
            </w:pPr>
            <w:r>
              <w:rPr>
                <w:rFonts w:hint="eastAsia" w:ascii="宋体" w:hAnsi="宋体" w:eastAsiaTheme="minorEastAsia"/>
                <w:color w:val="auto"/>
                <w:sz w:val="24"/>
                <w:highlight w:val="none"/>
                <w:lang w:val="en-US" w:eastAsia="zh-CN"/>
              </w:rPr>
              <w:t>12.</w:t>
            </w:r>
            <w:r>
              <w:rPr>
                <w:rFonts w:hint="eastAsia" w:asciiTheme="minorEastAsia" w:hAnsiTheme="minorEastAsia" w:eastAsiaTheme="minorEastAsia" w:cstheme="minorEastAsia"/>
                <w:color w:val="auto"/>
                <w:sz w:val="24"/>
                <w:szCs w:val="24"/>
                <w:highlight w:val="none"/>
              </w:rPr>
              <w:t>因受让方或受让方聘请的施工单位或施工单位聘请的施工人员的原因（包含但不限于未遵守安全生产技术规范及安全防护措施等原因）导致自身或第三方人身或财产损害，由受让方承担一切责任及经济赔偿，与转让方无关。</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其他要求：</w:t>
            </w:r>
            <w:r>
              <w:rPr>
                <w:rFonts w:hint="eastAsia" w:asciiTheme="minorEastAsia" w:hAnsiTheme="minorEastAsia" w:eastAsiaTheme="minorEastAsia" w:cstheme="minorEastAsia"/>
                <w:color w:val="auto"/>
                <w:sz w:val="24"/>
                <w:szCs w:val="24"/>
                <w:highlight w:val="none"/>
                <w:lang w:val="en-US" w:eastAsia="zh-CN"/>
              </w:rPr>
              <w:t>施工</w:t>
            </w:r>
            <w:r>
              <w:rPr>
                <w:rFonts w:hint="eastAsia" w:asciiTheme="minorEastAsia" w:hAnsiTheme="minorEastAsia" w:eastAsiaTheme="minorEastAsia" w:cstheme="minorEastAsia"/>
                <w:color w:val="auto"/>
                <w:sz w:val="24"/>
                <w:szCs w:val="24"/>
                <w:highlight w:val="none"/>
              </w:rPr>
              <w:t>作业时，受让方须保证转让方其他的</w:t>
            </w:r>
            <w:r>
              <w:rPr>
                <w:rFonts w:hint="eastAsia" w:asciiTheme="minorEastAsia" w:hAnsiTheme="minorEastAsia" w:eastAsiaTheme="minorEastAsia" w:cstheme="minorEastAsia"/>
                <w:color w:val="auto"/>
                <w:sz w:val="24"/>
                <w:szCs w:val="24"/>
                <w:highlight w:val="none"/>
                <w:lang w:val="en-US" w:eastAsia="zh-CN"/>
              </w:rPr>
              <w:t>财产物资的</w:t>
            </w:r>
            <w:r>
              <w:rPr>
                <w:rFonts w:hint="eastAsia" w:asciiTheme="minorEastAsia" w:hAnsiTheme="minorEastAsia" w:eastAsiaTheme="minorEastAsia" w:cstheme="minorEastAsia"/>
                <w:color w:val="auto"/>
                <w:sz w:val="24"/>
                <w:szCs w:val="24"/>
                <w:highlight w:val="none"/>
              </w:rPr>
              <w:t>完整及安全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如造成损坏的受让方须承担赔偿责任和修复责任；</w:t>
            </w:r>
            <w:r>
              <w:rPr>
                <w:rFonts w:hint="eastAsia" w:asciiTheme="minorEastAsia" w:hAnsiTheme="minorEastAsia" w:eastAsiaTheme="minorEastAsia" w:cstheme="minorEastAsia"/>
                <w:color w:val="auto"/>
                <w:sz w:val="24"/>
                <w:szCs w:val="24"/>
                <w:highlight w:val="none"/>
              </w:rPr>
              <w:t>受让方及其聘请的施工单位使用的所有施工机械、车辆及起重等特种设备，必须经国家有关部门检验合格并取得合格证书，方可进入转让方现场使用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施工作业时使用特种设备的特殊工种人员必须持证上岗。</w:t>
            </w:r>
          </w:p>
        </w:tc>
      </w:tr>
      <w:tr w14:paraId="786429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8561" w:type="dxa"/>
            <w:gridSpan w:val="6"/>
            <w:tcBorders>
              <w:bottom w:val="single" w:color="auto" w:sz="4" w:space="0"/>
            </w:tcBorders>
            <w:shd w:val="clear" w:color="auto" w:fill="E6E6E6"/>
            <w:vAlign w:val="center"/>
          </w:tcPr>
          <w:p w14:paraId="0DC61000">
            <w:pPr>
              <w:wordWrap w:val="0"/>
              <w:jc w:val="center"/>
              <w:rPr>
                <w:rFonts w:ascii="宋体" w:hAnsi="宋体"/>
                <w:color w:val="auto"/>
                <w:sz w:val="24"/>
                <w:highlight w:val="none"/>
              </w:rPr>
            </w:pPr>
            <w:r>
              <w:rPr>
                <w:rFonts w:hint="eastAsia" w:ascii="宋体" w:hAnsi="宋体"/>
                <w:b/>
                <w:color w:val="auto"/>
                <w:sz w:val="24"/>
                <w:highlight w:val="none"/>
              </w:rPr>
              <w:t>受让资格</w:t>
            </w:r>
          </w:p>
        </w:tc>
      </w:tr>
      <w:tr w14:paraId="61A09B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2291" w:type="dxa"/>
            <w:gridSpan w:val="4"/>
            <w:tcBorders>
              <w:top w:val="single" w:color="auto" w:sz="4" w:space="0"/>
              <w:right w:val="single" w:color="auto" w:sz="4" w:space="0"/>
            </w:tcBorders>
            <w:shd w:val="clear" w:color="auto" w:fill="E6E6E6"/>
            <w:vAlign w:val="center"/>
          </w:tcPr>
          <w:p w14:paraId="32F4315F">
            <w:pPr>
              <w:jc w:val="center"/>
              <w:rPr>
                <w:rFonts w:ascii="宋体" w:hAnsi="宋体"/>
                <w:b/>
                <w:color w:val="auto"/>
                <w:sz w:val="24"/>
                <w:highlight w:val="none"/>
              </w:rPr>
            </w:pPr>
            <w:r>
              <w:rPr>
                <w:rFonts w:hint="eastAsia" w:ascii="宋体" w:hAnsi="宋体"/>
                <w:b/>
                <w:color w:val="auto"/>
                <w:sz w:val="24"/>
                <w:highlight w:val="none"/>
              </w:rPr>
              <w:t>受让方资格条件</w:t>
            </w:r>
          </w:p>
        </w:tc>
        <w:tc>
          <w:tcPr>
            <w:tcW w:w="6270" w:type="dxa"/>
            <w:gridSpan w:val="2"/>
            <w:tcBorders>
              <w:top w:val="single" w:color="auto" w:sz="4" w:space="0"/>
              <w:left w:val="single" w:color="auto" w:sz="4" w:space="0"/>
            </w:tcBorders>
            <w:vAlign w:val="center"/>
          </w:tcPr>
          <w:p w14:paraId="0D3131DD">
            <w:pPr>
              <w:wordWrap w:val="0"/>
              <w:jc w:val="left"/>
              <w:rPr>
                <w:rFonts w:ascii="宋体" w:hAnsi="宋体"/>
                <w:color w:val="auto"/>
                <w:sz w:val="24"/>
                <w:highlight w:val="none"/>
              </w:rPr>
            </w:pPr>
            <w:r>
              <w:rPr>
                <w:rFonts w:hint="eastAsia" w:ascii="宋体" w:hAnsi="宋体"/>
                <w:color w:val="auto"/>
                <w:sz w:val="24"/>
                <w:highlight w:val="none"/>
              </w:rPr>
              <w:t>符合法律法规的相关规定。</w:t>
            </w:r>
          </w:p>
        </w:tc>
      </w:tr>
      <w:tr w14:paraId="161AF7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2291" w:type="dxa"/>
            <w:gridSpan w:val="4"/>
            <w:tcBorders>
              <w:right w:val="single" w:color="auto" w:sz="4" w:space="0"/>
            </w:tcBorders>
            <w:shd w:val="clear" w:color="auto" w:fill="E6E6E6"/>
            <w:vAlign w:val="center"/>
          </w:tcPr>
          <w:p w14:paraId="30F3BF45">
            <w:pPr>
              <w:jc w:val="center"/>
              <w:rPr>
                <w:rFonts w:ascii="宋体" w:hAnsi="宋体"/>
                <w:b/>
                <w:color w:val="auto"/>
                <w:sz w:val="24"/>
                <w:highlight w:val="none"/>
              </w:rPr>
            </w:pPr>
            <w:r>
              <w:rPr>
                <w:rFonts w:hint="eastAsia" w:ascii="宋体" w:hAnsi="宋体"/>
                <w:b/>
                <w:color w:val="auto"/>
                <w:sz w:val="24"/>
                <w:highlight w:val="none"/>
              </w:rPr>
              <w:t>是否允许联合受让</w:t>
            </w:r>
          </w:p>
        </w:tc>
        <w:tc>
          <w:tcPr>
            <w:tcW w:w="6270" w:type="dxa"/>
            <w:gridSpan w:val="2"/>
            <w:tcBorders>
              <w:left w:val="single" w:color="auto" w:sz="4" w:space="0"/>
            </w:tcBorders>
            <w:shd w:val="clear" w:color="auto" w:fill="auto"/>
            <w:vAlign w:val="center"/>
          </w:tcPr>
          <w:p w14:paraId="41F2505D">
            <w:pPr>
              <w:wordWrap w:val="0"/>
              <w:jc w:val="left"/>
              <w:rPr>
                <w:rFonts w:ascii="宋体" w:hAnsi="宋体"/>
                <w:color w:val="auto"/>
                <w:sz w:val="24"/>
                <w:highlight w:val="none"/>
              </w:rPr>
            </w:pPr>
            <w:r>
              <w:rPr>
                <w:rFonts w:hint="eastAsia" w:ascii="宋体" w:hAnsi="宋体"/>
                <w:color w:val="auto"/>
                <w:sz w:val="24"/>
                <w:highlight w:val="none"/>
              </w:rPr>
              <w:t xml:space="preserve">□是        </w:t>
            </w:r>
            <w:r>
              <w:rPr>
                <w:rFonts w:hint="eastAsia" w:ascii="宋体" w:hAnsi="宋体"/>
                <w:color w:val="auto"/>
                <w:sz w:val="24"/>
                <w:highlight w:val="none"/>
                <w:lang w:eastAsia="zh-CN"/>
              </w:rPr>
              <w:t>☑</w:t>
            </w:r>
            <w:r>
              <w:rPr>
                <w:rFonts w:hint="eastAsia" w:ascii="宋体" w:hAnsi="宋体"/>
                <w:color w:val="auto"/>
                <w:sz w:val="24"/>
                <w:highlight w:val="none"/>
              </w:rPr>
              <w:t>否</w:t>
            </w:r>
          </w:p>
        </w:tc>
      </w:tr>
      <w:tr w14:paraId="76E7A2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8561" w:type="dxa"/>
            <w:gridSpan w:val="6"/>
            <w:shd w:val="clear" w:color="auto" w:fill="E6E6E6"/>
            <w:vAlign w:val="center"/>
          </w:tcPr>
          <w:p w14:paraId="6E38815A">
            <w:pPr>
              <w:wordWrap w:val="0"/>
              <w:jc w:val="center"/>
              <w:rPr>
                <w:rFonts w:ascii="宋体" w:hAnsi="宋体"/>
                <w:color w:val="auto"/>
                <w:sz w:val="24"/>
                <w:highlight w:val="none"/>
              </w:rPr>
            </w:pPr>
            <w:r>
              <w:rPr>
                <w:rFonts w:hint="eastAsia" w:ascii="宋体" w:hAnsi="宋体"/>
                <w:b/>
                <w:color w:val="auto"/>
                <w:sz w:val="24"/>
                <w:highlight w:val="none"/>
              </w:rPr>
              <w:t>保证金交纳规则</w:t>
            </w:r>
          </w:p>
        </w:tc>
      </w:tr>
      <w:tr w14:paraId="0BC13C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902" w:type="dxa"/>
            <w:gridSpan w:val="3"/>
            <w:vMerge w:val="restart"/>
            <w:tcBorders>
              <w:top w:val="single" w:color="auto" w:sz="4" w:space="0"/>
              <w:right w:val="single" w:color="auto" w:sz="4" w:space="0"/>
            </w:tcBorders>
            <w:shd w:val="clear" w:color="auto" w:fill="E6E6E6"/>
            <w:vAlign w:val="center"/>
          </w:tcPr>
          <w:p w14:paraId="7123012F">
            <w:pPr>
              <w:jc w:val="center"/>
              <w:rPr>
                <w:rFonts w:ascii="宋体" w:hAnsi="宋体"/>
                <w:b/>
                <w:color w:val="auto"/>
                <w:kern w:val="0"/>
                <w:sz w:val="24"/>
                <w:highlight w:val="none"/>
              </w:rPr>
            </w:pPr>
            <w:r>
              <w:rPr>
                <w:rFonts w:hint="eastAsia" w:ascii="宋体" w:hAnsi="宋体"/>
                <w:b/>
                <w:color w:val="auto"/>
                <w:kern w:val="0"/>
                <w:sz w:val="24"/>
                <w:highlight w:val="none"/>
              </w:rPr>
              <w:t>保证金</w:t>
            </w:r>
          </w:p>
        </w:tc>
        <w:tc>
          <w:tcPr>
            <w:tcW w:w="6659" w:type="dxa"/>
            <w:gridSpan w:val="3"/>
            <w:tcBorders>
              <w:top w:val="single" w:color="auto" w:sz="4" w:space="0"/>
              <w:left w:val="single" w:color="auto" w:sz="4" w:space="0"/>
              <w:bottom w:val="single" w:color="auto" w:sz="4" w:space="0"/>
            </w:tcBorders>
            <w:vAlign w:val="center"/>
          </w:tcPr>
          <w:p w14:paraId="02CE97A1">
            <w:pPr>
              <w:pStyle w:val="58"/>
              <w:ind w:left="360" w:hanging="360" w:hangingChars="150"/>
              <w:rPr>
                <w:rFonts w:ascii="宋体" w:hAnsi="宋体"/>
                <w:color w:val="auto"/>
                <w:highlight w:val="none"/>
              </w:rPr>
            </w:pPr>
            <w:r>
              <w:rPr>
                <w:rFonts w:hint="eastAsia" w:ascii="宋体" w:hAnsi="宋体"/>
                <w:color w:val="auto"/>
                <w:highlight w:val="none"/>
              </w:rPr>
              <w:t>是</w:t>
            </w:r>
            <w:r>
              <w:rPr>
                <w:rFonts w:hint="eastAsia" w:ascii="宋体" w:hAnsi="宋体"/>
                <w:color w:val="auto"/>
                <w:highlight w:val="none"/>
                <w:lang w:eastAsia="zh-CN"/>
              </w:rPr>
              <w:t>☑</w:t>
            </w:r>
            <w:r>
              <w:rPr>
                <w:rFonts w:hint="eastAsia" w:ascii="宋体" w:hAnsi="宋体"/>
                <w:color w:val="auto"/>
                <w:highlight w:val="none"/>
              </w:rPr>
              <w:t xml:space="preserve"> </w:t>
            </w:r>
          </w:p>
          <w:p w14:paraId="01203072">
            <w:pPr>
              <w:pStyle w:val="58"/>
              <w:ind w:left="360" w:hanging="360" w:hangingChars="150"/>
              <w:rPr>
                <w:rFonts w:ascii="宋体" w:hAnsi="宋体"/>
                <w:color w:val="auto"/>
                <w:highlight w:val="none"/>
              </w:rPr>
            </w:pPr>
            <w:r>
              <w:rPr>
                <w:rFonts w:hint="eastAsia" w:ascii="宋体" w:hAnsi="宋体"/>
                <w:color w:val="auto"/>
                <w:highlight w:val="none"/>
              </w:rPr>
              <w:t>否□</w:t>
            </w:r>
          </w:p>
        </w:tc>
      </w:tr>
      <w:tr w14:paraId="02EADE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902" w:type="dxa"/>
            <w:gridSpan w:val="3"/>
            <w:vMerge w:val="continue"/>
            <w:tcBorders>
              <w:right w:val="single" w:color="auto" w:sz="4" w:space="0"/>
            </w:tcBorders>
            <w:shd w:val="clear" w:color="auto" w:fill="E6E6E6"/>
            <w:vAlign w:val="center"/>
          </w:tcPr>
          <w:p w14:paraId="56FA133E">
            <w:pPr>
              <w:rPr>
                <w:rFonts w:ascii="宋体" w:hAnsi="宋体"/>
                <w:b/>
                <w:color w:val="auto"/>
                <w:kern w:val="0"/>
                <w:sz w:val="24"/>
                <w:highlight w:val="none"/>
              </w:rPr>
            </w:pPr>
          </w:p>
        </w:tc>
        <w:tc>
          <w:tcPr>
            <w:tcW w:w="6659" w:type="dxa"/>
            <w:gridSpan w:val="3"/>
            <w:tcBorders>
              <w:top w:val="single" w:color="auto" w:sz="4" w:space="0"/>
              <w:left w:val="single" w:color="auto" w:sz="4" w:space="0"/>
            </w:tcBorders>
            <w:vAlign w:val="center"/>
          </w:tcPr>
          <w:p w14:paraId="23F811C4">
            <w:pPr>
              <w:pStyle w:val="58"/>
              <w:rPr>
                <w:rFonts w:ascii="宋体" w:hAnsi="宋体"/>
                <w:b/>
                <w:color w:val="auto"/>
                <w:kern w:val="0"/>
                <w:highlight w:val="none"/>
              </w:rPr>
            </w:pP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1.2</w:t>
            </w:r>
            <w:r>
              <w:rPr>
                <w:rFonts w:hint="eastAsia" w:ascii="宋体" w:hAnsi="宋体"/>
                <w:color w:val="auto"/>
                <w:highlight w:val="none"/>
                <w:u w:val="single"/>
              </w:rPr>
              <w:t xml:space="preserve"> </w:t>
            </w:r>
            <w:r>
              <w:rPr>
                <w:rFonts w:hint="eastAsia" w:ascii="宋体" w:hAnsi="宋体"/>
                <w:color w:val="auto"/>
                <w:highlight w:val="none"/>
              </w:rPr>
              <w:t>万元</w:t>
            </w:r>
          </w:p>
        </w:tc>
      </w:tr>
      <w:tr w14:paraId="1B099A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902" w:type="dxa"/>
            <w:gridSpan w:val="3"/>
            <w:tcBorders>
              <w:right w:val="single" w:color="auto" w:sz="4" w:space="0"/>
            </w:tcBorders>
            <w:shd w:val="clear" w:color="auto" w:fill="E6E6E6"/>
            <w:vAlign w:val="center"/>
          </w:tcPr>
          <w:p w14:paraId="4D5B90D3">
            <w:pPr>
              <w:jc w:val="center"/>
              <w:rPr>
                <w:rFonts w:ascii="宋体" w:hAnsi="宋体"/>
                <w:b/>
                <w:color w:val="auto"/>
                <w:sz w:val="24"/>
                <w:highlight w:val="none"/>
              </w:rPr>
            </w:pPr>
            <w:r>
              <w:rPr>
                <w:rFonts w:hint="eastAsia" w:ascii="宋体" w:hAnsi="宋体"/>
                <w:b/>
                <w:color w:val="auto"/>
                <w:sz w:val="24"/>
                <w:highlight w:val="none"/>
              </w:rPr>
              <w:t>交纳截止时间要求</w:t>
            </w:r>
          </w:p>
        </w:tc>
        <w:tc>
          <w:tcPr>
            <w:tcW w:w="6659" w:type="dxa"/>
            <w:gridSpan w:val="3"/>
            <w:tcBorders>
              <w:left w:val="single" w:color="auto" w:sz="4" w:space="0"/>
            </w:tcBorders>
            <w:vAlign w:val="center"/>
          </w:tcPr>
          <w:p w14:paraId="25ACA657">
            <w:pPr>
              <w:pStyle w:val="42"/>
              <w:rPr>
                <w:rFonts w:hint="default" w:ascii="宋体" w:hAnsi="宋体"/>
                <w:color w:val="auto"/>
                <w:sz w:val="24"/>
                <w:highlight w:val="none"/>
              </w:rPr>
            </w:pPr>
            <w:r>
              <w:rPr>
                <w:rFonts w:hint="eastAsia" w:ascii="宋体" w:hAnsi="宋体"/>
                <w:color w:val="auto"/>
                <w:sz w:val="24"/>
                <w:highlight w:val="none"/>
                <w:lang w:eastAsia="zh-CN"/>
              </w:rPr>
              <w:t>☑</w:t>
            </w:r>
            <w:r>
              <w:rPr>
                <w:rFonts w:ascii="宋体" w:hAnsi="宋体"/>
                <w:color w:val="auto"/>
                <w:sz w:val="24"/>
                <w:highlight w:val="none"/>
              </w:rPr>
              <w:t>保证金：</w:t>
            </w:r>
          </w:p>
          <w:p w14:paraId="49011190">
            <w:pPr>
              <w:pStyle w:val="42"/>
              <w:wordWrap w:val="0"/>
              <w:jc w:val="left"/>
              <w:rPr>
                <w:rFonts w:hint="default"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lang w:eastAsia="zh-CN"/>
              </w:rPr>
              <w:t>☑</w:t>
            </w:r>
            <w:r>
              <w:rPr>
                <w:rFonts w:ascii="宋体" w:hAnsi="宋体"/>
                <w:color w:val="auto"/>
                <w:sz w:val="24"/>
                <w:highlight w:val="none"/>
              </w:rPr>
              <w:t xml:space="preserve">转让信息公告期截止之日17:00前缴纳 </w:t>
            </w:r>
          </w:p>
        </w:tc>
      </w:tr>
      <w:tr w14:paraId="1AF735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902" w:type="dxa"/>
            <w:gridSpan w:val="3"/>
            <w:tcBorders>
              <w:right w:val="single" w:color="auto" w:sz="4" w:space="0"/>
            </w:tcBorders>
            <w:shd w:val="clear" w:color="auto" w:fill="E6E6E6"/>
            <w:vAlign w:val="center"/>
          </w:tcPr>
          <w:p w14:paraId="3F22996D">
            <w:pPr>
              <w:jc w:val="center"/>
              <w:rPr>
                <w:rFonts w:ascii="宋体" w:hAnsi="宋体"/>
                <w:b/>
                <w:color w:val="auto"/>
                <w:sz w:val="24"/>
                <w:highlight w:val="none"/>
              </w:rPr>
            </w:pPr>
            <w:r>
              <w:rPr>
                <w:rFonts w:hint="eastAsia" w:ascii="宋体" w:hAnsi="宋体"/>
                <w:b/>
                <w:color w:val="auto"/>
                <w:sz w:val="24"/>
                <w:highlight w:val="none"/>
              </w:rPr>
              <w:t>保证金</w:t>
            </w:r>
          </w:p>
          <w:p w14:paraId="765B28B6">
            <w:pPr>
              <w:jc w:val="center"/>
              <w:rPr>
                <w:rFonts w:ascii="宋体" w:hAnsi="宋体"/>
                <w:b/>
                <w:color w:val="auto"/>
                <w:sz w:val="24"/>
                <w:highlight w:val="none"/>
              </w:rPr>
            </w:pPr>
            <w:r>
              <w:rPr>
                <w:rFonts w:hint="eastAsia" w:ascii="宋体" w:hAnsi="宋体"/>
                <w:b/>
                <w:color w:val="auto"/>
                <w:sz w:val="24"/>
                <w:highlight w:val="none"/>
              </w:rPr>
              <w:t>交纳方式</w:t>
            </w:r>
          </w:p>
        </w:tc>
        <w:tc>
          <w:tcPr>
            <w:tcW w:w="6659" w:type="dxa"/>
            <w:gridSpan w:val="3"/>
            <w:tcBorders>
              <w:left w:val="single" w:color="auto" w:sz="4" w:space="0"/>
            </w:tcBorders>
            <w:vAlign w:val="center"/>
          </w:tcPr>
          <w:p w14:paraId="0CACE543">
            <w:pPr>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w:t>
            </w:r>
            <w:r>
              <w:rPr>
                <w:rFonts w:hint="eastAsia" w:ascii="宋体" w:hAnsi="宋体"/>
                <w:color w:val="auto"/>
                <w:sz w:val="24"/>
                <w:highlight w:val="none"/>
              </w:rPr>
              <w:t xml:space="preserve"> 银行转账   </w:t>
            </w:r>
          </w:p>
          <w:p w14:paraId="273E746A">
            <w:pPr>
              <w:ind w:firstLine="240" w:firstLineChars="100"/>
              <w:rPr>
                <w:rFonts w:ascii="宋体" w:hAnsi="宋体"/>
                <w:color w:val="auto"/>
                <w:sz w:val="24"/>
                <w:highlight w:val="none"/>
              </w:rPr>
            </w:pPr>
            <w:r>
              <w:rPr>
                <w:rFonts w:hint="eastAsia" w:ascii="宋体" w:hAnsi="宋体"/>
                <w:color w:val="auto"/>
                <w:sz w:val="24"/>
                <w:highlight w:val="none"/>
              </w:rPr>
              <w:t>□其他</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327187F4">
            <w:pPr>
              <w:numPr>
                <w:ilvl w:val="0"/>
                <w:numId w:val="0"/>
              </w:numPr>
              <w:rPr>
                <w:rFonts w:hint="eastAsia" w:ascii="宋体" w:hAnsi="宋体" w:eastAsia="宋体"/>
                <w:color w:val="auto"/>
                <w:sz w:val="24"/>
                <w:highlight w:val="none"/>
                <w:lang w:val="en-US" w:eastAsia="zh-CN"/>
              </w:rPr>
            </w:pPr>
            <w:r>
              <w:rPr>
                <w:rFonts w:ascii="宋体" w:hAnsi="宋体" w:eastAsia="宋体" w:cs="Times New Roman"/>
                <w:color w:val="auto"/>
                <w:kern w:val="2"/>
                <w:sz w:val="24"/>
                <w:lang w:val="en-US" w:eastAsia="zh-CN" w:bidi="ar-SA"/>
              </w:rPr>
              <w:t>2.</w:t>
            </w:r>
            <w:r>
              <w:rPr>
                <w:rFonts w:hint="eastAsia" w:ascii="宋体" w:hAnsi="宋体" w:eastAsia="宋体"/>
                <w:color w:val="auto"/>
                <w:sz w:val="24"/>
                <w:highlight w:val="none"/>
                <w:lang w:val="en-US" w:eastAsia="zh-CN"/>
              </w:rPr>
              <w:t>账户名称：东莞市水务环境投资控股集团供水有限公司</w:t>
            </w:r>
          </w:p>
          <w:p w14:paraId="1B421AF0">
            <w:pPr>
              <w:ind w:firstLine="240" w:firstLineChars="100"/>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账号：2010020119000019888</w:t>
            </w:r>
          </w:p>
          <w:p w14:paraId="4E144BA9">
            <w:pPr>
              <w:ind w:firstLine="240" w:firstLineChars="1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开户行： 中国工商银行股份有限公司东莞城区支行</w:t>
            </w:r>
          </w:p>
          <w:p w14:paraId="105B73CB">
            <w:pPr>
              <w:rPr>
                <w:rFonts w:ascii="宋体" w:hAnsi="宋体"/>
                <w:color w:val="auto"/>
                <w:sz w:val="24"/>
                <w:highlight w:val="none"/>
              </w:rPr>
            </w:pPr>
            <w:r>
              <w:rPr>
                <w:rFonts w:hint="eastAsia" w:ascii="宋体" w:hAnsi="宋体"/>
                <w:color w:val="auto"/>
                <w:sz w:val="24"/>
                <w:highlight w:val="none"/>
              </w:rPr>
              <w:t>3.意向受让方应在付款凭证备注栏中注明“项目</w:t>
            </w:r>
            <w:r>
              <w:rPr>
                <w:rFonts w:hint="eastAsia" w:ascii="宋体" w:hAnsi="宋体"/>
                <w:color w:val="auto"/>
                <w:sz w:val="24"/>
                <w:highlight w:val="none"/>
                <w:lang w:val="en-US" w:eastAsia="zh-CN"/>
              </w:rPr>
              <w:t>名称</w:t>
            </w:r>
            <w:r>
              <w:rPr>
                <w:rFonts w:hint="eastAsia" w:ascii="宋体" w:hAnsi="宋体"/>
                <w:color w:val="auto"/>
                <w:sz w:val="24"/>
                <w:highlight w:val="none"/>
              </w:rPr>
              <w:t>+资金用途”。</w:t>
            </w:r>
          </w:p>
        </w:tc>
      </w:tr>
      <w:tr w14:paraId="5FB978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902" w:type="dxa"/>
            <w:gridSpan w:val="3"/>
            <w:tcBorders>
              <w:right w:val="single" w:color="auto" w:sz="4" w:space="0"/>
            </w:tcBorders>
            <w:shd w:val="clear" w:color="auto" w:fill="E6E6E6"/>
            <w:vAlign w:val="center"/>
          </w:tcPr>
          <w:p w14:paraId="01543623">
            <w:pPr>
              <w:jc w:val="center"/>
              <w:rPr>
                <w:rFonts w:ascii="宋体" w:hAnsi="宋体"/>
                <w:b/>
                <w:color w:val="auto"/>
                <w:sz w:val="24"/>
                <w:highlight w:val="none"/>
              </w:rPr>
            </w:pPr>
            <w:r>
              <w:rPr>
                <w:rFonts w:hint="eastAsia" w:ascii="宋体" w:hAnsi="宋体"/>
                <w:b/>
                <w:color w:val="auto"/>
                <w:sz w:val="24"/>
                <w:highlight w:val="none"/>
              </w:rPr>
              <w:t>处置方法</w:t>
            </w:r>
          </w:p>
        </w:tc>
        <w:tc>
          <w:tcPr>
            <w:tcW w:w="6659" w:type="dxa"/>
            <w:gridSpan w:val="3"/>
            <w:tcBorders>
              <w:left w:val="single" w:color="auto" w:sz="4" w:space="0"/>
            </w:tcBorders>
            <w:vAlign w:val="center"/>
          </w:tcPr>
          <w:p w14:paraId="54512E38">
            <w:pPr>
              <w:rPr>
                <w:rFonts w:ascii="宋体" w:hAnsi="宋体"/>
                <w:color w:val="auto"/>
                <w:sz w:val="24"/>
                <w:highlight w:val="none"/>
              </w:rPr>
            </w:pPr>
            <w:r>
              <w:rPr>
                <w:rFonts w:hint="eastAsia" w:ascii="宋体" w:hAnsi="宋体"/>
                <w:color w:val="auto"/>
                <w:sz w:val="24"/>
                <w:highlight w:val="none"/>
              </w:rPr>
              <w:t>若意向受让方未被确认为受让方的，在交易活动结束之日或受让方确定之日起5个工作日内，</w:t>
            </w:r>
            <w:r>
              <w:rPr>
                <w:rFonts w:hint="eastAsia" w:ascii="宋体" w:hAnsi="宋体" w:eastAsia="宋体"/>
                <w:color w:val="auto"/>
                <w:sz w:val="24"/>
                <w:highlight w:val="none"/>
                <w:lang w:val="en-US" w:eastAsia="zh-CN"/>
              </w:rPr>
              <w:t>东莞市水务环境投资控股集团供水有限公司</w:t>
            </w:r>
            <w:r>
              <w:rPr>
                <w:rFonts w:hint="eastAsia" w:ascii="宋体" w:hAnsi="宋体"/>
                <w:color w:val="auto"/>
                <w:sz w:val="24"/>
                <w:highlight w:val="none"/>
              </w:rPr>
              <w:t>按规定将保证金无息返还相关主体；若意向受让方被确定为受让方的，保证金按照相关约定转为交易价款。</w:t>
            </w:r>
          </w:p>
        </w:tc>
      </w:tr>
    </w:tbl>
    <w:p w14:paraId="1D0F4CF0">
      <w:pPr>
        <w:rPr>
          <w:rFonts w:hint="eastAsia"/>
          <w:lang w:val="zh-CN"/>
        </w:rPr>
      </w:pPr>
    </w:p>
    <w:p w14:paraId="119877C2">
      <w:pPr>
        <w:rPr>
          <w:rFonts w:hint="eastAsia"/>
          <w:lang w:val="zh-CN"/>
        </w:rPr>
      </w:pPr>
    </w:p>
    <w:p w14:paraId="0F0E274E">
      <w:pPr>
        <w:rPr>
          <w:lang w:val="zh-CN"/>
        </w:rPr>
      </w:pPr>
    </w:p>
    <w:p w14:paraId="03D05E06">
      <w:pPr>
        <w:rPr>
          <w:rFonts w:hint="eastAsia" w:ascii="宋体" w:hAnsi="宋体"/>
          <w:color w:val="auto"/>
          <w:sz w:val="44"/>
          <w:szCs w:val="44"/>
          <w:highlight w:val="none"/>
          <w:lang w:val="zh-CN"/>
        </w:rPr>
      </w:pPr>
      <w:bookmarkStart w:id="9" w:name="_Toc23728"/>
      <w:r>
        <w:rPr>
          <w:rFonts w:hint="eastAsia" w:ascii="宋体" w:hAnsi="宋体"/>
          <w:color w:val="auto"/>
          <w:sz w:val="44"/>
          <w:szCs w:val="44"/>
          <w:highlight w:val="none"/>
          <w:lang w:val="zh-CN"/>
        </w:rPr>
        <w:br w:type="page"/>
      </w:r>
    </w:p>
    <w:p w14:paraId="23BBC52A">
      <w:pPr>
        <w:pStyle w:val="18"/>
        <w:rPr>
          <w:rFonts w:ascii="宋体" w:hAnsi="宋体"/>
          <w:color w:val="auto"/>
          <w:sz w:val="44"/>
          <w:szCs w:val="44"/>
          <w:highlight w:val="none"/>
          <w:lang w:val="zh-CN"/>
        </w:rPr>
      </w:pPr>
      <w:bookmarkStart w:id="10" w:name="_Toc6426"/>
      <w:r>
        <w:rPr>
          <w:rFonts w:hint="eastAsia" w:ascii="宋体" w:hAnsi="宋体"/>
          <w:color w:val="auto"/>
          <w:sz w:val="44"/>
          <w:szCs w:val="44"/>
          <w:highlight w:val="none"/>
          <w:lang w:val="zh-CN"/>
        </w:rPr>
        <w:t>第</w:t>
      </w:r>
      <w:r>
        <w:rPr>
          <w:rFonts w:hint="eastAsia" w:ascii="宋体" w:hAnsi="宋体"/>
          <w:color w:val="auto"/>
          <w:sz w:val="44"/>
          <w:szCs w:val="44"/>
          <w:highlight w:val="none"/>
          <w:lang w:val="en-US" w:eastAsia="zh-CN"/>
        </w:rPr>
        <w:t>三</w:t>
      </w:r>
      <w:r>
        <w:rPr>
          <w:rFonts w:hint="eastAsia" w:ascii="宋体" w:hAnsi="宋体"/>
          <w:color w:val="auto"/>
          <w:sz w:val="44"/>
          <w:szCs w:val="44"/>
          <w:highlight w:val="none"/>
          <w:lang w:val="zh-CN"/>
        </w:rPr>
        <w:t>篇 合同条款</w:t>
      </w:r>
      <w:bookmarkEnd w:id="9"/>
      <w:bookmarkEnd w:id="10"/>
    </w:p>
    <w:p w14:paraId="15095D82">
      <w:pPr>
        <w:keepNext w:val="0"/>
        <w:keepLines w:val="0"/>
        <w:pageBreakBefore w:val="0"/>
        <w:kinsoku/>
        <w:wordWrap/>
        <w:overflowPunct/>
        <w:topLinePunct w:val="0"/>
        <w:autoSpaceDE/>
        <w:autoSpaceDN/>
        <w:bidi w:val="0"/>
        <w:adjustRightInd/>
        <w:snapToGrid/>
        <w:spacing w:before="312" w:beforeLines="100" w:after="312" w:afterLines="100"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合同编号：</w:t>
      </w:r>
    </w:p>
    <w:p w14:paraId="273558DC">
      <w:pPr>
        <w:keepNext w:val="0"/>
        <w:keepLines w:val="0"/>
        <w:pageBreakBefore w:val="0"/>
        <w:kinsoku/>
        <w:wordWrap/>
        <w:overflowPunct/>
        <w:topLinePunct w:val="0"/>
        <w:autoSpaceDE/>
        <w:autoSpaceDN/>
        <w:bidi w:val="0"/>
        <w:adjustRightInd/>
        <w:snapToGrid/>
        <w:spacing w:line="600" w:lineRule="exact"/>
        <w:ind w:left="-179" w:leftChars="-86" w:right="-512" w:rightChars="-244" w:hanging="2"/>
        <w:jc w:val="center"/>
        <w:textAlignment w:val="auto"/>
        <w:rPr>
          <w:rFonts w:hint="eastAsia" w:ascii="仿宋_GB2312" w:hAnsi="仿宋_GB2312" w:eastAsia="仿宋_GB2312" w:cs="仿宋_GB2312"/>
          <w:b/>
          <w:sz w:val="32"/>
          <w:szCs w:val="32"/>
        </w:rPr>
      </w:pPr>
      <w:r>
        <w:rPr>
          <w:rFonts w:hint="eastAsia" w:ascii="方正小标宋简体" w:hAnsi="方正小标宋简体" w:eastAsia="方正小标宋简体" w:cs="方正小标宋简体"/>
          <w:b w:val="0"/>
          <w:bCs/>
          <w:sz w:val="44"/>
          <w:szCs w:val="44"/>
          <w:lang w:val="en-US" w:eastAsia="zh-CN"/>
        </w:rPr>
        <w:t>资产交易合同</w:t>
      </w:r>
    </w:p>
    <w:p w14:paraId="6B7A6D02">
      <w:pPr>
        <w:keepNext w:val="0"/>
        <w:keepLines w:val="0"/>
        <w:pageBreakBefore w:val="0"/>
        <w:kinsoku/>
        <w:wordWrap/>
        <w:overflowPunct/>
        <w:topLinePunct w:val="0"/>
        <w:autoSpaceDE/>
        <w:autoSpaceDN/>
        <w:bidi w:val="0"/>
        <w:adjustRightInd/>
        <w:snapToGrid/>
        <w:spacing w:line="600" w:lineRule="exact"/>
        <w:ind w:left="-179" w:leftChars="-86" w:right="-512" w:rightChars="-244" w:hanging="2"/>
        <w:textAlignment w:val="auto"/>
        <w:rPr>
          <w:rFonts w:hint="eastAsia" w:ascii="仿宋_GB2312" w:hAnsi="仿宋_GB2312" w:eastAsia="仿宋_GB2312" w:cs="仿宋_GB2312"/>
          <w:b/>
          <w:sz w:val="32"/>
          <w:szCs w:val="32"/>
        </w:rPr>
      </w:pPr>
    </w:p>
    <w:p w14:paraId="7B20F0F9">
      <w:pPr>
        <w:keepNext w:val="0"/>
        <w:keepLines w:val="0"/>
        <w:pageBreakBefore w:val="0"/>
        <w:widowControl w:val="0"/>
        <w:kinsoku/>
        <w:wordWrap/>
        <w:overflowPunct/>
        <w:topLinePunct w:val="0"/>
        <w:autoSpaceDE/>
        <w:autoSpaceDN/>
        <w:bidi w:val="0"/>
        <w:adjustRightInd w:val="0"/>
        <w:snapToGrid w:val="0"/>
        <w:spacing w:line="600" w:lineRule="exact"/>
        <w:ind w:left="-179" w:leftChars="-86" w:right="-512" w:rightChars="-244" w:hanging="2"/>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甲方(</w:t>
      </w:r>
      <w:r>
        <w:rPr>
          <w:rFonts w:hint="eastAsia" w:ascii="仿宋_GB2312" w:hAnsi="仿宋_GB2312" w:eastAsia="仿宋_GB2312" w:cs="仿宋_GB2312"/>
          <w:b/>
          <w:sz w:val="32"/>
          <w:szCs w:val="32"/>
          <w:lang w:val="en-US" w:eastAsia="zh-CN"/>
        </w:rPr>
        <w:t>转</w:t>
      </w:r>
      <w:r>
        <w:rPr>
          <w:rFonts w:hint="eastAsia" w:ascii="仿宋_GB2312" w:hAnsi="仿宋_GB2312" w:eastAsia="仿宋_GB2312" w:cs="仿宋_GB2312"/>
          <w:b/>
          <w:sz w:val="32"/>
          <w:szCs w:val="32"/>
        </w:rPr>
        <w:t>让方): 东莞市水务环境投资控股集团供水有限公司</w:t>
      </w:r>
    </w:p>
    <w:p w14:paraId="0B2B3C94">
      <w:pPr>
        <w:keepNext w:val="0"/>
        <w:keepLines w:val="0"/>
        <w:pageBreakBefore w:val="0"/>
        <w:widowControl w:val="0"/>
        <w:kinsoku/>
        <w:wordWrap/>
        <w:overflowPunct/>
        <w:topLinePunct w:val="0"/>
        <w:autoSpaceDE/>
        <w:autoSpaceDN/>
        <w:bidi w:val="0"/>
        <w:adjustRightInd w:val="0"/>
        <w:snapToGrid w:val="0"/>
        <w:spacing w:line="600" w:lineRule="exact"/>
        <w:ind w:left="-179" w:leftChars="-86" w:right="-512" w:rightChars="-244" w:hanging="2"/>
        <w:textAlignment w:val="auto"/>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地址:东莞市</w:t>
      </w:r>
      <w:r>
        <w:rPr>
          <w:rFonts w:hint="eastAsia" w:ascii="仿宋_GB2312" w:hAnsi="仿宋_GB2312" w:eastAsia="仿宋_GB2312" w:cs="仿宋_GB2312"/>
          <w:b/>
          <w:sz w:val="32"/>
          <w:szCs w:val="32"/>
          <w:lang w:val="en-US" w:eastAsia="zh-CN"/>
        </w:rPr>
        <w:t>莞城街道莞龙路141号</w:t>
      </w:r>
    </w:p>
    <w:p w14:paraId="100DC2E9">
      <w:pPr>
        <w:keepNext w:val="0"/>
        <w:keepLines w:val="0"/>
        <w:pageBreakBefore w:val="0"/>
        <w:widowControl w:val="0"/>
        <w:kinsoku/>
        <w:wordWrap/>
        <w:overflowPunct/>
        <w:topLinePunct w:val="0"/>
        <w:autoSpaceDE/>
        <w:autoSpaceDN/>
        <w:bidi w:val="0"/>
        <w:adjustRightInd w:val="0"/>
        <w:snapToGrid w:val="0"/>
        <w:spacing w:line="600" w:lineRule="exact"/>
        <w:ind w:left="-179" w:leftChars="-86" w:right="-512" w:rightChars="-244" w:hanging="2"/>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乙方(受让方): </w:t>
      </w:r>
    </w:p>
    <w:p w14:paraId="3CEAC132">
      <w:pPr>
        <w:keepNext w:val="0"/>
        <w:keepLines w:val="0"/>
        <w:pageBreakBefore w:val="0"/>
        <w:widowControl w:val="0"/>
        <w:kinsoku/>
        <w:wordWrap/>
        <w:overflowPunct/>
        <w:topLinePunct w:val="0"/>
        <w:autoSpaceDE/>
        <w:autoSpaceDN/>
        <w:bidi w:val="0"/>
        <w:adjustRightInd w:val="0"/>
        <w:snapToGrid w:val="0"/>
        <w:spacing w:line="600" w:lineRule="exact"/>
        <w:ind w:left="-179" w:leftChars="-86" w:right="-512" w:rightChars="-244" w:hanging="2"/>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地址: </w:t>
      </w:r>
    </w:p>
    <w:p w14:paraId="3FB860C2">
      <w:pPr>
        <w:keepNext w:val="0"/>
        <w:keepLines w:val="0"/>
        <w:pageBreakBefore w:val="0"/>
        <w:widowControl w:val="0"/>
        <w:kinsoku/>
        <w:wordWrap/>
        <w:overflowPunct/>
        <w:topLinePunct w:val="0"/>
        <w:autoSpaceDE/>
        <w:autoSpaceDN/>
        <w:bidi w:val="0"/>
        <w:adjustRightInd w:val="0"/>
        <w:snapToGrid w:val="0"/>
        <w:spacing w:line="600" w:lineRule="exact"/>
        <w:ind w:left="-179" w:leftChars="-86" w:right="-512" w:rightChars="-244" w:hanging="2"/>
        <w:jc w:val="left"/>
        <w:textAlignment w:val="auto"/>
        <w:rPr>
          <w:rFonts w:hint="eastAsia" w:ascii="方正小标宋简体" w:hAnsi="方正小标宋简体" w:eastAsia="方正小标宋简体" w:cs="方正小标宋简体"/>
          <w:b/>
          <w:sz w:val="32"/>
          <w:szCs w:val="32"/>
        </w:rPr>
      </w:pPr>
    </w:p>
    <w:p w14:paraId="2CCD004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根据《中华人民共和国民法典》和资产转让《企业国有资产交易监督管理办法》等相关法律、法规、规章的规定，甲、乙双方遵循自愿、公平、诚实信用的原则订立本合同，以资共同遵守。</w:t>
      </w:r>
    </w:p>
    <w:p w14:paraId="33E95C7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鉴于：</w:t>
      </w:r>
    </w:p>
    <w:p w14:paraId="703AAE1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（一）转让标的基本情况：</w:t>
      </w:r>
      <w:r>
        <w:rPr>
          <w:rFonts w:hint="eastAsia" w:ascii="仿宋_GB2312" w:hAnsi="仿宋_GB2312" w:eastAsia="仿宋_GB2312" w:cs="仿宋_GB2312"/>
          <w:sz w:val="32"/>
          <w:szCs w:val="32"/>
          <w:lang w:eastAsia="zh-CN"/>
        </w:rPr>
        <w:t>东莞市水务环境投资控股集团供水有限公司拟</w:t>
      </w:r>
      <w:r>
        <w:rPr>
          <w:rFonts w:hint="eastAsia" w:ascii="仿宋_GB2312" w:hAnsi="仿宋_GB2312" w:eastAsia="仿宋_GB2312" w:cs="仿宋_GB2312"/>
          <w:sz w:val="32"/>
          <w:szCs w:val="32"/>
          <w:lang w:val="en-US" w:eastAsia="zh-CN"/>
        </w:rPr>
        <w:t>转让</w:t>
      </w:r>
      <w:r>
        <w:rPr>
          <w:rFonts w:hint="eastAsia" w:ascii="仿宋_GB2312" w:hAnsi="仿宋_GB2312" w:eastAsia="仿宋_GB2312" w:cs="仿宋_GB2312"/>
          <w:sz w:val="32"/>
          <w:szCs w:val="32"/>
          <w:lang w:eastAsia="zh-CN"/>
        </w:rPr>
        <w:t>一批资产设备，共计</w:t>
      </w:r>
      <w:r>
        <w:rPr>
          <w:rFonts w:hint="eastAsia" w:ascii="仿宋_GB2312" w:hAnsi="仿宋_GB2312" w:eastAsia="仿宋_GB2312" w:cs="仿宋_GB2312"/>
          <w:sz w:val="32"/>
          <w:szCs w:val="32"/>
          <w:lang w:val="en-US" w:eastAsia="zh-CN"/>
        </w:rPr>
        <w:t>18项</w:t>
      </w:r>
      <w:r>
        <w:rPr>
          <w:rFonts w:hint="eastAsia" w:ascii="仿宋_GB2312" w:hAnsi="仿宋_GB2312" w:eastAsia="仿宋_GB2312" w:cs="仿宋_GB2312"/>
          <w:sz w:val="32"/>
          <w:szCs w:val="32"/>
          <w:lang w:eastAsia="zh-CN"/>
        </w:rPr>
        <w:t>（具体包含</w:t>
      </w:r>
      <w:r>
        <w:rPr>
          <w:rFonts w:hint="eastAsia" w:ascii="仿宋_GB2312" w:hAnsi="仿宋_GB2312" w:eastAsia="仿宋_GB2312" w:cs="仿宋_GB2312"/>
          <w:sz w:val="32"/>
          <w:szCs w:val="32"/>
          <w:lang w:val="en-US" w:eastAsia="zh-CN"/>
        </w:rPr>
        <w:t>电梯、停车系统、泵配电机、空调、空气能热水器等设备</w:t>
      </w:r>
      <w:r>
        <w:rPr>
          <w:rFonts w:hint="eastAsia" w:ascii="仿宋_GB2312" w:hAnsi="仿宋_GB2312" w:eastAsia="仿宋_GB2312" w:cs="仿宋_GB2312"/>
          <w:sz w:val="32"/>
          <w:szCs w:val="32"/>
          <w:lang w:eastAsia="zh-CN"/>
        </w:rPr>
        <w:t>），资产概况详见本合同附件《</w:t>
      </w:r>
      <w:r>
        <w:rPr>
          <w:rFonts w:hint="eastAsia" w:ascii="仿宋_GB2312" w:hAnsi="仿宋_GB2312" w:eastAsia="仿宋_GB2312" w:cs="仿宋_GB2312"/>
          <w:sz w:val="32"/>
          <w:szCs w:val="32"/>
          <w:lang w:val="en-US" w:eastAsia="zh-CN"/>
        </w:rPr>
        <w:t>资产交易清单</w:t>
      </w:r>
      <w:r>
        <w:rPr>
          <w:rFonts w:hint="eastAsia" w:ascii="仿宋_GB2312" w:hAnsi="仿宋_GB2312" w:eastAsia="仿宋_GB2312" w:cs="仿宋_GB2312"/>
          <w:sz w:val="32"/>
          <w:szCs w:val="32"/>
          <w:lang w:eastAsia="zh-CN"/>
        </w:rPr>
        <w:t>》。</w:t>
      </w:r>
    </w:p>
    <w:p w14:paraId="36846CF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（二）甲方和乙方已按照有关规定办理交易的全部前置批准手续并拥有签订本合同的完整授权。</w:t>
      </w:r>
    </w:p>
    <w:p w14:paraId="71D829D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本次转让的交易标的以现场实际数量现状为准，参与本次交易即视为意向乙方已通过现场勘察并对交易标的范围、数量、质量、用途、处置要求等现状有清晰明确的了解，对交易标的有准确的价值评估。一经交易成交，本项目不因交易标的数量、质量、用途和现状而变更、解除或终止交易合同，受让价款和受让条件不因上述因素作调整。</w:t>
      </w:r>
    </w:p>
    <w:p w14:paraId="6AB711C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第一条  转让标的</w:t>
      </w:r>
    </w:p>
    <w:p w14:paraId="1432297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1.甲方持有的一批固定资产（详见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资产交易清单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）有偿转让给乙方。</w:t>
      </w:r>
    </w:p>
    <w:p w14:paraId="512098E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2.标的资产经有资质的深圳市鹏信资产评估土地房产估价有限公司评估，出具了以2025年10月23日为评估基准日的鹏信资估报字[2025]第F481号《资产评估报告》。</w:t>
      </w:r>
    </w:p>
    <w:p w14:paraId="498AB89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3.标的资产不存在上述《资产评估报告》中未予披露或遗漏的、可能影响评估结果，或对标的资产转让产生重大不利影响的任何事项。</w:t>
      </w:r>
    </w:p>
    <w:p w14:paraId="3DCA788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4.甲乙双方在甲方对上述标的资产享有所有权及《资产评估报告》评估结果的基础上达成本合同各项条款。</w:t>
      </w:r>
    </w:p>
    <w:p w14:paraId="2B84877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第二条  转让价格</w:t>
      </w:r>
    </w:p>
    <w:p w14:paraId="2BB4F86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甲方将上述标的以含税价格人民币***万元（大写人民币***元整）（税率3%，税额***元）转让给乙方。</w:t>
      </w:r>
    </w:p>
    <w:p w14:paraId="1CCE920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第三条  转让方式</w:t>
      </w:r>
    </w:p>
    <w:p w14:paraId="0BDBC33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上述资产经资产评估后，通过东莞市水务环境投资控股集团有限公司官方网站公开发布转让信息征集意向方，采用协议转让的方式实施交易，确定受让方和转让价格，签订资产交易合同。</w:t>
      </w:r>
    </w:p>
    <w:p w14:paraId="21432E6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highlight w:val="none"/>
          <w:lang w:val="en-US" w:eastAsia="zh-CN"/>
        </w:rPr>
        <w:t>第四条  交易价款的</w:t>
      </w:r>
      <w:r>
        <w:rPr>
          <w:rFonts w:hint="eastAsia" w:ascii="黑体" w:hAnsi="黑体" w:eastAsia="黑体" w:cs="黑体"/>
          <w:sz w:val="32"/>
          <w:szCs w:val="32"/>
        </w:rPr>
        <w:t>付款方式</w:t>
      </w:r>
    </w:p>
    <w:p w14:paraId="1D64323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1.交易价款按照下列方式支付：</w:t>
      </w:r>
    </w:p>
    <w:p w14:paraId="410CD37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（1）乙方向</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highlight w:val="none"/>
          <w:lang w:val="en-US" w:eastAsia="zh-CN"/>
        </w:rPr>
        <w:t>交纳的交易保证金人民币1.2万元（人民币壹万贰仟元整），并在甲方收讫之日起自动转为交易价款的一部分。若因乙方违反产权交易相关法规政策、交易规则及相关规定导致保证金被扣除，乙方应在保证金发生没收或扣收之日起5日内一次补足。</w:t>
      </w:r>
    </w:p>
    <w:p w14:paraId="3A970CE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（2）交易价款在扣除交易保证金后的余款人民币**万元（人民币***）应在本合同生效之日起5个工作日内一次付清（以银行到账时间为准）。</w:t>
      </w:r>
    </w:p>
    <w:p w14:paraId="096E157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账户名称：东莞市水务环境投资控股集团供水有限公司</w:t>
      </w:r>
    </w:p>
    <w:p w14:paraId="0C947D4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账号：2010020119000019888</w:t>
      </w:r>
    </w:p>
    <w:p w14:paraId="1D4514E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开户行： 中国工商银行股份有限公司东莞城区支行</w:t>
      </w:r>
    </w:p>
    <w:p w14:paraId="3CA4091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甲方应在收到转让价款</w:t>
      </w:r>
      <w:r>
        <w:rPr>
          <w:rFonts w:hint="eastAsia" w:ascii="仿宋_GB2312" w:hAnsi="仿宋_GB2312" w:eastAsia="仿宋_GB2312" w:cs="仿宋_GB2312"/>
          <w:sz w:val="32"/>
          <w:szCs w:val="32"/>
          <w:lang w:val="en-US" w:eastAsia="zh-CN"/>
        </w:rPr>
        <w:t>总额</w:t>
      </w:r>
      <w:r>
        <w:rPr>
          <w:rFonts w:hint="eastAsia" w:ascii="仿宋_GB2312" w:hAnsi="仿宋_GB2312" w:eastAsia="仿宋_GB2312" w:cs="仿宋_GB2312"/>
          <w:sz w:val="32"/>
          <w:szCs w:val="32"/>
        </w:rPr>
        <w:t>之日起15个工作日内向乙方开具等额合法有效的普通发票。</w:t>
      </w:r>
    </w:p>
    <w:p w14:paraId="768EA9D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黑体" w:hAnsi="黑体" w:eastAsia="黑体" w:cs="黑体"/>
          <w:sz w:val="32"/>
          <w:szCs w:val="32"/>
          <w:lang w:val="en-US"/>
        </w:rPr>
      </w:pPr>
      <w:r>
        <w:rPr>
          <w:rFonts w:hint="eastAsia" w:ascii="黑体" w:hAnsi="黑体" w:eastAsia="黑体" w:cs="黑体"/>
          <w:sz w:val="32"/>
          <w:szCs w:val="32"/>
          <w:highlight w:val="none"/>
          <w:lang w:val="en-US" w:eastAsia="zh-CN"/>
        </w:rPr>
        <w:t>第五条  转让标的的交接交割</w:t>
      </w:r>
    </w:p>
    <w:p w14:paraId="7D446EB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1.标的资产交割交接</w:t>
      </w:r>
    </w:p>
    <w:p w14:paraId="4FFCDB8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付清全部交易价款后，乙方须在收到甲方通知之日起5个工作日内与甲方办理交易标的接收手续，交易双方进行标的资产及相关权属证明文件或技术资料（如有）的交接，并共同签订移交接收确认文书。在双方签订移交接收确认文书前，标的资产的毁损、灭失风险由甲方承担。</w:t>
      </w:r>
    </w:p>
    <w:p w14:paraId="43A7B0B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转让标的物全部按现状移交，甲方对转让标的物包括但不限于安全性、质量、数量及可使用性等均不负担保责任；乙方不得以交易成本过高、交易标的存在瑕疵或误差、交易标的价值行情波动造成损失等任何理由向甲方要求终止交易、退款或要求赔偿等。</w:t>
      </w:r>
    </w:p>
    <w:p w14:paraId="47ACF04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 甲方除移交实物资产，还应移交标的资产相应的技术档案。并按照法律法规的规定办理使用变更登记（如有）。</w:t>
      </w:r>
    </w:p>
    <w:p w14:paraId="50DCD5A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乙方应按甲方公司管理规范规定办理交易标的现场移交接收看护手续，由乙方负责对交易标的进行看护和保管并承担所有费用，承担交易标的拆卸、防火、防损、防盗和灭失等相关的一切义务和责任；甲方或甲方授权监理机构有权对乙方的看护、保管和其提货清运离场全程进行安全和环保监督，乙方未获得甲方同意的，不得以任何理由对交易标的进行提货清运或处置。标的物交付后的收益与相关风险（包括但不限于毁损、灭失、贬值等风险）及清运或使用过程中的损害赔偿责任均自交付时起由乙方依法享有与承担，甲方不承担任何责任。乙方在提货清运作业期间甲方不提供施工所需水电及办公场所，甲方协调乙方水电的使用，相关费用由乙方承担。</w:t>
      </w:r>
    </w:p>
    <w:p w14:paraId="6225AE2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自乙方接收交易标的之日（即签订移交接收确认文书之日）起，受让资产的所有权及风险转移至乙方，包括但不限于安全、治安、环保责任以及标的资产的保管、损坏、灭失风险等由乙方自行承担。受让资产按现状（包括看样时交易标的现状、数量和瑕疵状况现状）进行转让和移交，甲方不保证交易标的品质，不承担瑕疵担保责任。交易双方共同签订移交接收确认文书，即视为转让方已履行完毕交付义务。乙方须在签订移交接收确认文书之日起15天内清运所有标的物，甲方予以协助与监督，但一切费用由乙方自行承担（含运输与吊装费用等）。乙方必须切实严格遵守安全生产、环境保护、消防等法律法规或地方政府部门的相关规定，确保交易标的清运离场等工作安全、有序、如期完成。乙方在提货清运作业期间产生的人身或财产损害事故或环保事故的，均由乙方承担相应的损害赔偿责任和法律责任。</w:t>
      </w:r>
    </w:p>
    <w:p w14:paraId="12A059F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1.5清运期间所产生的一切安全责任、法律责任及经济损失均由乙方自行负责，与甲方无关。</w:t>
      </w:r>
    </w:p>
    <w:p w14:paraId="22EDECF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1.6乙方在清运过程中如有破坏甲方现有建筑物及其它设施，甲方有权向乙方追偿因此所产生的损失。</w:t>
      </w:r>
    </w:p>
    <w:p w14:paraId="4F784233">
      <w:pPr>
        <w:keepNext w:val="0"/>
        <w:keepLines w:val="0"/>
        <w:pageBreakBefore w:val="0"/>
        <w:widowControl w:val="0"/>
        <w:kinsoku/>
        <w:wordWrap/>
        <w:overflowPunct/>
        <w:topLinePunct w:val="0"/>
        <w:autoSpaceDE/>
        <w:bidi w:val="0"/>
        <w:adjustRightInd w:val="0"/>
        <w:snapToGrid w:val="0"/>
        <w:spacing w:line="60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1.7其他要求：乙方应在拆除施工前编制《资产拆除施工方案》，明确施工流程、安全保障措施、现场管理细则等内容，提交甲方审核，经甲方书面确认同意后，方可进场开展拆除作业。施工作业时，乙方须保证甲方其他的财产物资的完整及安全，如造成损坏的乙方须承担赔偿责任和修复责任；乙方及其聘请的施工单位使用的所有施工机械、车辆及起重等特种设备，必须经国家有关部门检验合格并取得合格证书，方可进入甲方现场使用，施工作业时使用特种设备的特殊工种人员必须持证上岗。  </w:t>
      </w:r>
    </w:p>
    <w:p w14:paraId="04A9D7EE">
      <w:pPr>
        <w:keepNext w:val="0"/>
        <w:keepLines w:val="0"/>
        <w:pageBreakBefore w:val="0"/>
        <w:widowControl w:val="0"/>
        <w:kinsoku/>
        <w:wordWrap/>
        <w:overflowPunct/>
        <w:topLinePunct w:val="0"/>
        <w:autoSpaceDE/>
        <w:bidi w:val="0"/>
        <w:adjustRightInd w:val="0"/>
        <w:snapToGrid w:val="0"/>
        <w:spacing w:line="600" w:lineRule="atLeas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第六条  税收及费用的承担</w:t>
      </w:r>
    </w:p>
    <w:p w14:paraId="1E645AA1">
      <w:pPr>
        <w:keepNext w:val="0"/>
        <w:keepLines w:val="0"/>
        <w:pageBreakBefore w:val="0"/>
        <w:widowControl w:val="0"/>
        <w:kinsoku/>
        <w:wordWrap/>
        <w:overflowPunct/>
        <w:topLinePunct w:val="0"/>
        <w:autoSpaceDE/>
        <w:bidi w:val="0"/>
        <w:adjustRightInd w:val="0"/>
        <w:snapToGrid w:val="0"/>
        <w:spacing w:line="60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1.资产转让中涉及的一切法定税费（即由代表国家行使征税职责的国家各级税务机关、海关和财政机关征收的税费），除本协议另有约定外，按照国家有关法律法规规定缴纳。</w:t>
      </w:r>
    </w:p>
    <w:p w14:paraId="7EFD6E21">
      <w:pPr>
        <w:keepNext w:val="0"/>
        <w:keepLines w:val="0"/>
        <w:pageBreakBefore w:val="0"/>
        <w:widowControl w:val="0"/>
        <w:kinsoku/>
        <w:wordWrap/>
        <w:overflowPunct/>
        <w:topLinePunct w:val="0"/>
        <w:autoSpaceDE/>
        <w:bidi w:val="0"/>
        <w:adjustRightInd w:val="0"/>
        <w:snapToGrid w:val="0"/>
        <w:spacing w:line="600" w:lineRule="atLeas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2.标的转让过程中所涉及的一切费用均由乙方承担。转让价格为含税价格，甲方收到全部交易价款后，由甲方开具交易价款发票给乙方（发票税点：3%）。</w:t>
      </w:r>
    </w:p>
    <w:p w14:paraId="6A602B72">
      <w:pPr>
        <w:keepNext w:val="0"/>
        <w:keepLines w:val="0"/>
        <w:pageBreakBefore w:val="0"/>
        <w:widowControl w:val="0"/>
        <w:kinsoku/>
        <w:wordWrap/>
        <w:overflowPunct/>
        <w:topLinePunct w:val="0"/>
        <w:autoSpaceDE/>
        <w:bidi w:val="0"/>
        <w:adjustRightInd w:val="0"/>
        <w:snapToGrid w:val="0"/>
        <w:spacing w:line="600" w:lineRule="atLeas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第七条   甲、乙双方的承诺与保证</w:t>
      </w:r>
    </w:p>
    <w:p w14:paraId="46051EA1">
      <w:pPr>
        <w:keepNext w:val="0"/>
        <w:keepLines w:val="0"/>
        <w:pageBreakBefore w:val="0"/>
        <w:widowControl w:val="0"/>
        <w:kinsoku/>
        <w:wordWrap/>
        <w:overflowPunct/>
        <w:topLinePunct w:val="0"/>
        <w:autoSpaceDE/>
        <w:bidi w:val="0"/>
        <w:adjustRightInd w:val="0"/>
        <w:snapToGrid w:val="0"/>
        <w:spacing w:line="60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1.甲方承诺其对本合同项下的转让标的拥有合法、有效和完整的处分权。</w:t>
      </w:r>
    </w:p>
    <w:p w14:paraId="4BFF8B9C">
      <w:pPr>
        <w:keepNext w:val="0"/>
        <w:keepLines w:val="0"/>
        <w:pageBreakBefore w:val="0"/>
        <w:widowControl w:val="0"/>
        <w:numPr>
          <w:ilvl w:val="0"/>
          <w:numId w:val="0"/>
        </w:numPr>
        <w:pBdr>
          <w:top w:val="none" w:color="000000" w:sz="0" w:space="31"/>
          <w:left w:val="none" w:color="000000" w:sz="0" w:space="31"/>
          <w:bottom w:val="none" w:color="000000" w:sz="0" w:space="31"/>
          <w:right w:val="none" w:color="000000" w:sz="0" w:space="31"/>
        </w:pBdr>
        <w:shd w:val="solid" w:color="FFFFFF" w:fill="auto"/>
        <w:kinsoku/>
        <w:wordWrap/>
        <w:overflowPunct/>
        <w:topLinePunct w:val="0"/>
        <w:autoSpaceDE/>
        <w:autoSpaceDN w:val="0"/>
        <w:bidi w:val="0"/>
        <w:adjustRightInd w:val="0"/>
        <w:snapToGrid w:val="0"/>
        <w:spacing w:line="600" w:lineRule="atLeas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因本次交易标的可能涉及对特种设备（电梯）、电器设备（空调）、电气设备（泵配电机）等设备进行专业拆卸，乙方实施拆卸必须严格依照国家、行业的相关标准及操作规程，为防止乙方在拆卸清运过程中的不当操作对甲方或第三方的人身、财产造成损害，乙方在《资产交易合同》签订的同时须与甲方签订《安全协议书》，在《资产交易合同》签订且生效之日起5个工作日内向甲方指定账户（户名：东莞市水务环境投资控股集团供水有限公司，账号：44001778808059999998，开户行：建设银行东莞市分行营业部）划入拆卸清运安全保证金人民币</w:t>
      </w:r>
      <w:r>
        <w:rPr>
          <w:rFonts w:hint="default" w:ascii="仿宋_GB2312" w:hAnsi="仿宋_GB2312" w:eastAsia="仿宋_GB2312" w:cs="仿宋_GB2312"/>
          <w:sz w:val="32"/>
          <w:szCs w:val="32"/>
          <w:u w:val="single"/>
          <w:lang w:val="en-US" w:eastAsia="zh-CN"/>
        </w:rPr>
        <w:t xml:space="preserve"> 6 </w:t>
      </w:r>
      <w:r>
        <w:rPr>
          <w:rFonts w:hint="eastAsia" w:ascii="仿宋_GB2312" w:hAnsi="仿宋_GB2312" w:eastAsia="仿宋_GB2312" w:cs="仿宋_GB2312"/>
          <w:sz w:val="32"/>
          <w:szCs w:val="32"/>
          <w:lang w:val="en-US" w:eastAsia="zh-CN"/>
        </w:rPr>
        <w:t>万元，甲方在收到拆卸清运安全保证金后向乙方出具收据。乙方在缴纳拆卸清运安全保证金并经甲方同意后方可进入现场拆卸、清运和提货。在乙方按照合同和安全协议书完全履约经甲方验收合格（甲方在3日内书面确认验收合格）并提供符合转让方要求的请款资料（请款资料仅限拆卸清运安全保证金收据和请款申请书）后次日起15个工作日内由甲方无息原路退还，履行完毕验收标准为：乙方缴清所有交易款项以及拆卸清运搬离完毕且不对甲方或第三方的人身、财产造成损害。否则，甲方有权直接提取拆卸清运安全保证金用于赔偿因乙方拆卸清运不当造成的实际损失，多余部分退还乙方，不足部分甲方有权继续追偿。</w:t>
      </w:r>
    </w:p>
    <w:p w14:paraId="08A8CA0B">
      <w:pPr>
        <w:keepNext w:val="0"/>
        <w:keepLines w:val="0"/>
        <w:pageBreakBefore w:val="0"/>
        <w:widowControl w:val="0"/>
        <w:numPr>
          <w:ilvl w:val="0"/>
          <w:numId w:val="0"/>
        </w:numPr>
        <w:pBdr>
          <w:top w:val="none" w:color="000000" w:sz="0" w:space="31"/>
          <w:left w:val="none" w:color="000000" w:sz="0" w:space="31"/>
          <w:bottom w:val="none" w:color="000000" w:sz="0" w:space="31"/>
          <w:right w:val="none" w:color="000000" w:sz="0" w:space="31"/>
        </w:pBdr>
        <w:shd w:val="solid" w:color="FFFFFF" w:fill="auto"/>
        <w:kinsoku/>
        <w:wordWrap/>
        <w:overflowPunct/>
        <w:topLinePunct w:val="0"/>
        <w:autoSpaceDE/>
        <w:autoSpaceDN w:val="0"/>
        <w:bidi w:val="0"/>
        <w:adjustRightInd w:val="0"/>
        <w:snapToGrid w:val="0"/>
        <w:spacing w:line="60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3.乙方向甲方承诺拥有完全的权利能力和行为能力进行产权受让，无欺诈行为。</w:t>
      </w:r>
    </w:p>
    <w:p w14:paraId="5BCCC8F0">
      <w:pPr>
        <w:keepNext w:val="0"/>
        <w:keepLines w:val="0"/>
        <w:pageBreakBefore w:val="0"/>
        <w:widowControl w:val="0"/>
        <w:numPr>
          <w:ilvl w:val="0"/>
          <w:numId w:val="0"/>
        </w:numPr>
        <w:pBdr>
          <w:top w:val="none" w:color="000000" w:sz="0" w:space="31"/>
          <w:left w:val="none" w:color="000000" w:sz="0" w:space="31"/>
          <w:bottom w:val="none" w:color="000000" w:sz="0" w:space="31"/>
          <w:right w:val="none" w:color="000000" w:sz="0" w:space="31"/>
        </w:pBdr>
        <w:shd w:val="solid" w:color="FFFFFF" w:fill="auto"/>
        <w:kinsoku/>
        <w:wordWrap/>
        <w:overflowPunct/>
        <w:topLinePunct w:val="0"/>
        <w:autoSpaceDE/>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4.甲方保证转让标的未设置任何可能影响资产转让的担保或限制，或就转让标的上设置的可能影响标的资产转让的任何担保或限制，甲方已取得有关权利人的同意或认可。</w:t>
      </w:r>
    </w:p>
    <w:p w14:paraId="3C246C85">
      <w:pPr>
        <w:keepNext w:val="0"/>
        <w:keepLines w:val="0"/>
        <w:pageBreakBefore w:val="0"/>
        <w:widowControl w:val="0"/>
        <w:numPr>
          <w:ilvl w:val="0"/>
          <w:numId w:val="0"/>
        </w:numPr>
        <w:pBdr>
          <w:top w:val="none" w:color="000000" w:sz="0" w:space="31"/>
          <w:left w:val="none" w:color="000000" w:sz="0" w:space="31"/>
          <w:bottom w:val="none" w:color="000000" w:sz="0" w:space="31"/>
          <w:right w:val="none" w:color="000000" w:sz="0" w:space="31"/>
        </w:pBdr>
        <w:shd w:val="solid" w:color="FFFFFF" w:fill="auto"/>
        <w:kinsoku/>
        <w:wordWrap/>
        <w:overflowPunct/>
        <w:topLinePunct w:val="0"/>
        <w:autoSpaceDE/>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5.甲、乙双方均向对方保证签订本合同所需的包括但不限于授权、审批、公司内部决策等在内的一切手续均已合法有效完成。</w:t>
      </w:r>
    </w:p>
    <w:p w14:paraId="5B9B0F9F">
      <w:pPr>
        <w:keepNext w:val="0"/>
        <w:keepLines w:val="0"/>
        <w:pageBreakBefore w:val="0"/>
        <w:widowControl w:val="0"/>
        <w:numPr>
          <w:ilvl w:val="0"/>
          <w:numId w:val="0"/>
        </w:numPr>
        <w:pBdr>
          <w:top w:val="none" w:color="000000" w:sz="0" w:space="31"/>
          <w:left w:val="none" w:color="000000" w:sz="0" w:space="31"/>
          <w:bottom w:val="none" w:color="000000" w:sz="0" w:space="31"/>
          <w:right w:val="none" w:color="000000" w:sz="0" w:space="31"/>
        </w:pBdr>
        <w:shd w:val="solid" w:color="FFFFFF" w:fill="auto"/>
        <w:kinsoku/>
        <w:wordWrap/>
        <w:overflowPunct/>
        <w:topLinePunct w:val="0"/>
        <w:autoSpaceDE/>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6.未经对方事先书面许可，任何一方不得泄露本合同及附件中的内容，但依照国家有关规定要求披露的除外。</w:t>
      </w:r>
    </w:p>
    <w:p w14:paraId="6D0F56CC">
      <w:pPr>
        <w:keepNext w:val="0"/>
        <w:keepLines w:val="0"/>
        <w:pageBreakBefore w:val="0"/>
        <w:widowControl w:val="0"/>
        <w:numPr>
          <w:ilvl w:val="0"/>
          <w:numId w:val="0"/>
        </w:numPr>
        <w:pBdr>
          <w:top w:val="none" w:color="000000" w:sz="0" w:space="31"/>
          <w:left w:val="none" w:color="000000" w:sz="0" w:space="31"/>
          <w:bottom w:val="none" w:color="000000" w:sz="0" w:space="31"/>
          <w:right w:val="none" w:color="000000" w:sz="0" w:space="31"/>
        </w:pBdr>
        <w:shd w:val="solid" w:color="FFFFFF" w:fill="auto"/>
        <w:kinsoku/>
        <w:wordWrap/>
        <w:overflowPunct/>
        <w:topLinePunct w:val="0"/>
        <w:autoSpaceDE/>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7.乙方作为受让方，承诺知悉并按照包括但不限于东莞市水务环境投资控股集团有限公司官方网站发布的本转让标的转让信息公告的要求，履行受让方义务。</w:t>
      </w:r>
    </w:p>
    <w:p w14:paraId="34A0F76F">
      <w:pPr>
        <w:keepNext w:val="0"/>
        <w:keepLines w:val="0"/>
        <w:pageBreakBefore w:val="0"/>
        <w:widowControl w:val="0"/>
        <w:numPr>
          <w:ilvl w:val="0"/>
          <w:numId w:val="0"/>
        </w:numPr>
        <w:pBdr>
          <w:top w:val="none" w:color="000000" w:sz="0" w:space="31"/>
          <w:left w:val="none" w:color="000000" w:sz="0" w:space="31"/>
          <w:bottom w:val="none" w:color="000000" w:sz="0" w:space="31"/>
          <w:right w:val="none" w:color="000000" w:sz="0" w:space="31"/>
        </w:pBdr>
        <w:shd w:val="solid" w:color="FFFFFF" w:fill="auto"/>
        <w:kinsoku/>
        <w:wordWrap/>
        <w:overflowPunct/>
        <w:topLinePunct w:val="0"/>
        <w:autoSpaceDE/>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乙方作为受让方，已对交易标的进行了所有其认为必要和适当的独立的调查和分析，乙方所作出签订本合同受让交易标的的决定仅以其独立调查和分析为基础做出，不依赖于甲方、甲方人员所提供的信息和解释。</w:t>
      </w:r>
    </w:p>
    <w:p w14:paraId="60971A42">
      <w:pPr>
        <w:keepNext w:val="0"/>
        <w:keepLines w:val="0"/>
        <w:pageBreakBefore w:val="0"/>
        <w:widowControl w:val="0"/>
        <w:numPr>
          <w:ilvl w:val="0"/>
          <w:numId w:val="0"/>
        </w:numPr>
        <w:pBdr>
          <w:top w:val="none" w:color="000000" w:sz="0" w:space="31"/>
          <w:left w:val="none" w:color="000000" w:sz="0" w:space="31"/>
          <w:bottom w:val="none" w:color="000000" w:sz="0" w:space="31"/>
          <w:right w:val="none" w:color="000000" w:sz="0" w:space="31"/>
        </w:pBdr>
        <w:shd w:val="solid" w:color="FFFFFF" w:fill="auto"/>
        <w:kinsoku/>
        <w:wordWrap/>
        <w:overflowPunct/>
        <w:topLinePunct w:val="0"/>
        <w:autoSpaceDE/>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9.乙方作为受让方，承诺在本合同生效后，因法律法规、政策变化或非甲方原因而导致乙方不能全部或完全实现交易标的权利或预期价值的，自行承担所有相关的风险和损失。</w:t>
      </w:r>
    </w:p>
    <w:p w14:paraId="3CFAAC89">
      <w:pPr>
        <w:keepNext w:val="0"/>
        <w:keepLines w:val="0"/>
        <w:pageBreakBefore w:val="0"/>
        <w:widowControl w:val="0"/>
        <w:numPr>
          <w:ilvl w:val="0"/>
          <w:numId w:val="0"/>
        </w:numPr>
        <w:pBdr>
          <w:top w:val="none" w:color="000000" w:sz="0" w:space="31"/>
          <w:left w:val="none" w:color="000000" w:sz="0" w:space="31"/>
          <w:bottom w:val="none" w:color="000000" w:sz="0" w:space="31"/>
          <w:right w:val="none" w:color="000000" w:sz="0" w:space="31"/>
        </w:pBdr>
        <w:shd w:val="solid" w:color="FFFFFF" w:fill="auto"/>
        <w:kinsoku/>
        <w:wordWrap/>
        <w:overflowPunct/>
        <w:topLinePunct w:val="0"/>
        <w:autoSpaceDE/>
        <w:autoSpaceDN w:val="0"/>
        <w:bidi w:val="0"/>
        <w:adjustRightInd w:val="0"/>
        <w:snapToGrid w:val="0"/>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第八条  违约责任</w:t>
      </w:r>
    </w:p>
    <w:p w14:paraId="2A150792">
      <w:pPr>
        <w:keepNext w:val="0"/>
        <w:keepLines w:val="0"/>
        <w:pageBreakBefore w:val="0"/>
        <w:widowControl w:val="0"/>
        <w:numPr>
          <w:ilvl w:val="0"/>
          <w:numId w:val="0"/>
        </w:numPr>
        <w:pBdr>
          <w:top w:val="none" w:color="000000" w:sz="0" w:space="31"/>
          <w:left w:val="none" w:color="000000" w:sz="0" w:space="31"/>
          <w:bottom w:val="none" w:color="000000" w:sz="0" w:space="31"/>
          <w:right w:val="none" w:color="000000" w:sz="0" w:space="31"/>
        </w:pBdr>
        <w:shd w:val="solid" w:color="FFFFFF" w:fill="auto"/>
        <w:kinsoku/>
        <w:wordWrap/>
        <w:overflowPunct/>
        <w:topLinePunct w:val="0"/>
        <w:autoSpaceDE/>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本合同任何一方不履行或不完全履行本合同所规定的义务，或在本合同或与本合同有关的文件中向另一方作出的承诺与保证或提交的有关文件、资料或信息被证明为虚假、不准确、有遗漏或有误导，即构成违约。</w:t>
      </w:r>
    </w:p>
    <w:p w14:paraId="11776130">
      <w:pPr>
        <w:keepNext w:val="0"/>
        <w:keepLines w:val="0"/>
        <w:pageBreakBefore w:val="0"/>
        <w:widowControl w:val="0"/>
        <w:numPr>
          <w:ilvl w:val="0"/>
          <w:numId w:val="0"/>
        </w:numPr>
        <w:pBdr>
          <w:top w:val="none" w:color="000000" w:sz="0" w:space="31"/>
          <w:left w:val="none" w:color="000000" w:sz="0" w:space="31"/>
          <w:bottom w:val="none" w:color="000000" w:sz="0" w:space="31"/>
          <w:right w:val="none" w:color="000000" w:sz="0" w:space="31"/>
        </w:pBdr>
        <w:shd w:val="solid" w:color="FFFFFF" w:fill="auto"/>
        <w:kinsoku/>
        <w:wordWrap/>
        <w:overflowPunct/>
        <w:topLinePunct w:val="0"/>
        <w:autoSpaceDE/>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1.任何一方违约，守约方有权追究违约方违约责任，有权采取如下一种或多种措施以维护其权利：</w:t>
      </w:r>
    </w:p>
    <w:p w14:paraId="0D9A4354">
      <w:pPr>
        <w:keepNext w:val="0"/>
        <w:keepLines w:val="0"/>
        <w:pageBreakBefore w:val="0"/>
        <w:widowControl w:val="0"/>
        <w:numPr>
          <w:ilvl w:val="0"/>
          <w:numId w:val="0"/>
        </w:numPr>
        <w:pBdr>
          <w:top w:val="none" w:color="000000" w:sz="0" w:space="31"/>
          <w:left w:val="none" w:color="000000" w:sz="0" w:space="31"/>
          <w:bottom w:val="none" w:color="000000" w:sz="0" w:space="31"/>
          <w:right w:val="none" w:color="000000" w:sz="0" w:space="31"/>
        </w:pBdr>
        <w:shd w:val="solid" w:color="FFFFFF" w:fill="auto"/>
        <w:kinsoku/>
        <w:wordWrap/>
        <w:overflowPunct/>
        <w:topLinePunct w:val="0"/>
        <w:autoSpaceDE/>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（1）要求违约方实际履行；</w:t>
      </w:r>
    </w:p>
    <w:p w14:paraId="77BA1534">
      <w:pPr>
        <w:keepNext w:val="0"/>
        <w:keepLines w:val="0"/>
        <w:pageBreakBefore w:val="0"/>
        <w:widowControl w:val="0"/>
        <w:numPr>
          <w:ilvl w:val="0"/>
          <w:numId w:val="0"/>
        </w:numPr>
        <w:pBdr>
          <w:top w:val="none" w:color="000000" w:sz="0" w:space="31"/>
          <w:left w:val="none" w:color="000000" w:sz="0" w:space="31"/>
          <w:bottom w:val="none" w:color="000000" w:sz="0" w:space="31"/>
          <w:right w:val="none" w:color="000000" w:sz="0" w:space="31"/>
        </w:pBdr>
        <w:shd w:val="solid" w:color="FFFFFF" w:fill="auto"/>
        <w:kinsoku/>
        <w:wordWrap/>
        <w:overflowPunct/>
        <w:topLinePunct w:val="0"/>
        <w:autoSpaceDE/>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（2）暂停履行义务，待违约方违约情势消除后恢复履行；守约方根据此款规定暂停履行义务不构成守约方不履行或迟延履行义务；</w:t>
      </w:r>
    </w:p>
    <w:p w14:paraId="211D93DE">
      <w:pPr>
        <w:keepNext w:val="0"/>
        <w:keepLines w:val="0"/>
        <w:pageBreakBefore w:val="0"/>
        <w:widowControl w:val="0"/>
        <w:numPr>
          <w:ilvl w:val="0"/>
          <w:numId w:val="0"/>
        </w:numPr>
        <w:pBdr>
          <w:top w:val="none" w:color="000000" w:sz="0" w:space="31"/>
          <w:left w:val="none" w:color="000000" w:sz="0" w:space="31"/>
          <w:bottom w:val="none" w:color="000000" w:sz="0" w:space="31"/>
          <w:right w:val="none" w:color="000000" w:sz="0" w:space="31"/>
        </w:pBdr>
        <w:shd w:val="solid" w:color="FFFFFF" w:fill="auto"/>
        <w:kinsoku/>
        <w:wordWrap/>
        <w:overflowPunct/>
        <w:topLinePunct w:val="0"/>
        <w:autoSpaceDE/>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（3）要求违约方赔偿守约方因其违约行为而遭受的所有损失(包括为避免损失而支出的合理费用)；</w:t>
      </w:r>
    </w:p>
    <w:p w14:paraId="24DD34DB">
      <w:pPr>
        <w:keepNext w:val="0"/>
        <w:keepLines w:val="0"/>
        <w:pageBreakBefore w:val="0"/>
        <w:widowControl w:val="0"/>
        <w:numPr>
          <w:ilvl w:val="0"/>
          <w:numId w:val="0"/>
        </w:numPr>
        <w:pBdr>
          <w:top w:val="none" w:color="000000" w:sz="0" w:space="31"/>
          <w:left w:val="none" w:color="000000" w:sz="0" w:space="31"/>
          <w:bottom w:val="none" w:color="000000" w:sz="0" w:space="31"/>
          <w:right w:val="none" w:color="000000" w:sz="0" w:space="31"/>
        </w:pBdr>
        <w:shd w:val="solid" w:color="FFFFFF" w:fill="auto"/>
        <w:kinsoku/>
        <w:wordWrap/>
        <w:overflowPunct/>
        <w:topLinePunct w:val="0"/>
        <w:autoSpaceDE/>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（4）违约方因违反本合同所获得的利益应作为赔偿金支付给守约方；</w:t>
      </w:r>
    </w:p>
    <w:p w14:paraId="4F1C55A8">
      <w:pPr>
        <w:keepNext w:val="0"/>
        <w:keepLines w:val="0"/>
        <w:pageBreakBefore w:val="0"/>
        <w:widowControl w:val="0"/>
        <w:numPr>
          <w:ilvl w:val="0"/>
          <w:numId w:val="0"/>
        </w:numPr>
        <w:pBdr>
          <w:top w:val="none" w:color="000000" w:sz="0" w:space="31"/>
          <w:left w:val="none" w:color="000000" w:sz="0" w:space="31"/>
          <w:bottom w:val="none" w:color="000000" w:sz="0" w:space="31"/>
          <w:right w:val="none" w:color="000000" w:sz="0" w:space="31"/>
        </w:pBdr>
        <w:shd w:val="solid" w:color="FFFFFF" w:fill="auto"/>
        <w:kinsoku/>
        <w:wordWrap/>
        <w:overflowPunct/>
        <w:topLinePunct w:val="0"/>
        <w:autoSpaceDE/>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（5）法律法规或本合同规定的其他救济方式。</w:t>
      </w:r>
    </w:p>
    <w:p w14:paraId="72B52748">
      <w:pPr>
        <w:keepNext w:val="0"/>
        <w:keepLines w:val="0"/>
        <w:pageBreakBefore w:val="0"/>
        <w:widowControl w:val="0"/>
        <w:kinsoku/>
        <w:wordWrap/>
        <w:overflowPunct/>
        <w:topLinePunct w:val="0"/>
        <w:autoSpaceDE/>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未按合同约定期限支付交易价款的，应向甲方支付逾期付款违约金。违约金按照延迟支付期间应付价款的每日万分之五计算，累计不超过本合同交易缴款的20%。逾期付款超过（10）日，甲方有权要求乙方按照本合同交易价款的20%承担违约责任，并要求乙方承担甲方因此遭受的损失，甲方有权解除合同，取消乙方的交易资格，未交付的资产无需交付。</w:t>
      </w:r>
    </w:p>
    <w:p w14:paraId="53DC0C15">
      <w:pPr>
        <w:keepNext w:val="0"/>
        <w:keepLines w:val="0"/>
        <w:pageBreakBefore w:val="0"/>
        <w:widowControl w:val="0"/>
        <w:kinsoku/>
        <w:wordWrap/>
        <w:overflowPunct/>
        <w:topLinePunct w:val="0"/>
        <w:autoSpaceDE/>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甲方或乙方未按本合同约定办理交割转让标的的，守约方在发出书面催告后有权要求违约方按照本合同交易价款的20%向守约方支付违约金，并有权解除本合同。如违约金不足以弥补守约方损失的，守约方有权向违约方就有关事项追偿。</w:t>
      </w:r>
    </w:p>
    <w:p w14:paraId="53E545D1">
      <w:pPr>
        <w:keepNext w:val="0"/>
        <w:keepLines w:val="0"/>
        <w:pageBreakBefore w:val="0"/>
        <w:widowControl w:val="0"/>
        <w:kinsoku/>
        <w:wordWrap/>
        <w:overflowPunct/>
        <w:topLinePunct w:val="0"/>
        <w:autoSpaceDE/>
        <w:bidi w:val="0"/>
        <w:adjustRightInd w:val="0"/>
        <w:snapToGrid w:val="0"/>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第九条  合同的变更和解除</w:t>
      </w:r>
    </w:p>
    <w:p w14:paraId="6AAAA3B8">
      <w:pPr>
        <w:keepNext w:val="0"/>
        <w:keepLines w:val="0"/>
        <w:pageBreakBefore w:val="0"/>
        <w:widowControl w:val="0"/>
        <w:kinsoku/>
        <w:wordWrap/>
        <w:overflowPunct/>
        <w:topLinePunct w:val="0"/>
        <w:autoSpaceDE/>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发生下列情形的，可以变更或解除合同：</w:t>
      </w:r>
    </w:p>
    <w:p w14:paraId="2D2FA819">
      <w:pPr>
        <w:keepNext w:val="0"/>
        <w:keepLines w:val="0"/>
        <w:pageBreakBefore w:val="0"/>
        <w:widowControl w:val="0"/>
        <w:kinsoku/>
        <w:wordWrap/>
        <w:overflowPunct/>
        <w:topLinePunct w:val="0"/>
        <w:autoSpaceDE/>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1.因情况发生变化，双方当事人经过协商同意，且不损害国家和社会公共利益的。</w:t>
      </w:r>
    </w:p>
    <w:p w14:paraId="0A2F0EE5">
      <w:pPr>
        <w:keepNext w:val="0"/>
        <w:keepLines w:val="0"/>
        <w:pageBreakBefore w:val="0"/>
        <w:widowControl w:val="0"/>
        <w:kinsoku/>
        <w:wordWrap/>
        <w:overflowPunct/>
        <w:topLinePunct w:val="0"/>
        <w:autoSpaceDE/>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2.因不可抗力因素致使本合同的全部义务不能履行的。</w:t>
      </w:r>
    </w:p>
    <w:p w14:paraId="148968F3">
      <w:pPr>
        <w:keepNext w:val="0"/>
        <w:keepLines w:val="0"/>
        <w:pageBreakBefore w:val="0"/>
        <w:widowControl w:val="0"/>
        <w:kinsoku/>
        <w:wordWrap/>
        <w:overflowPunct/>
        <w:topLinePunct w:val="0"/>
        <w:autoSpaceDE/>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3.因一方当事人在合同约定的期限内，因故没有履行合同，另一方当事人予以认可的。</w:t>
      </w:r>
    </w:p>
    <w:p w14:paraId="7F8178F6">
      <w:pPr>
        <w:keepNext w:val="0"/>
        <w:keepLines w:val="0"/>
        <w:pageBreakBefore w:val="0"/>
        <w:widowControl w:val="0"/>
        <w:kinsoku/>
        <w:wordWrap/>
        <w:overflowPunct/>
        <w:topLinePunct w:val="0"/>
        <w:autoSpaceDE/>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4.因本合同中约定的变更或解除合同的情况出现的。</w:t>
      </w:r>
    </w:p>
    <w:p w14:paraId="08AF15A7">
      <w:pPr>
        <w:keepNext w:val="0"/>
        <w:keepLines w:val="0"/>
        <w:pageBreakBefore w:val="0"/>
        <w:widowControl w:val="0"/>
        <w:kinsoku/>
        <w:wordWrap/>
        <w:overflowPunct/>
        <w:topLinePunct w:val="0"/>
        <w:autoSpaceDE/>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5.其他法律法规规定的变更或解除情形出现的。</w:t>
      </w:r>
    </w:p>
    <w:p w14:paraId="17A5E148">
      <w:pPr>
        <w:keepNext w:val="0"/>
        <w:keepLines w:val="0"/>
        <w:pageBreakBefore w:val="0"/>
        <w:widowControl w:val="0"/>
        <w:kinsoku/>
        <w:wordWrap/>
        <w:overflowPunct/>
        <w:topLinePunct w:val="0"/>
        <w:autoSpaceDE/>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本合同需变更或解除，甲、乙双方必须签订变更或解除合同的协议。</w:t>
      </w:r>
    </w:p>
    <w:p w14:paraId="58C48B4B">
      <w:pPr>
        <w:keepNext w:val="0"/>
        <w:keepLines w:val="0"/>
        <w:pageBreakBefore w:val="0"/>
        <w:widowControl w:val="0"/>
        <w:kinsoku/>
        <w:wordWrap/>
        <w:overflowPunct/>
        <w:topLinePunct w:val="0"/>
        <w:autoSpaceDE/>
        <w:bidi w:val="0"/>
        <w:adjustRightInd w:val="0"/>
        <w:snapToGrid w:val="0"/>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第十条  争议的解决方式</w:t>
      </w:r>
    </w:p>
    <w:p w14:paraId="7B5FBA18">
      <w:pPr>
        <w:keepNext w:val="0"/>
        <w:keepLines w:val="0"/>
        <w:pageBreakBefore w:val="0"/>
        <w:widowControl w:val="0"/>
        <w:kinsoku/>
        <w:wordWrap/>
        <w:overflowPunct/>
        <w:topLinePunct w:val="0"/>
        <w:autoSpaceDE/>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本合同及资产交易中的行为均适用中华人民共和国法律。</w:t>
      </w:r>
    </w:p>
    <w:p w14:paraId="2C15B19C">
      <w:pPr>
        <w:keepNext w:val="0"/>
        <w:keepLines w:val="0"/>
        <w:pageBreakBefore w:val="0"/>
        <w:widowControl w:val="0"/>
        <w:kinsoku/>
        <w:wordWrap/>
        <w:overflowPunct/>
        <w:topLinePunct w:val="0"/>
        <w:autoSpaceDE/>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因本合同引起或者与本合同有关的任何争议，应由双方协商解决；协商解决不成的，依法向甲方所在地有管辖权的人民法院起诉。</w:t>
      </w:r>
    </w:p>
    <w:p w14:paraId="43B36116">
      <w:pPr>
        <w:keepNext w:val="0"/>
        <w:keepLines w:val="0"/>
        <w:pageBreakBefore w:val="0"/>
        <w:widowControl w:val="0"/>
        <w:kinsoku/>
        <w:wordWrap/>
        <w:overflowPunct/>
        <w:topLinePunct w:val="0"/>
        <w:autoSpaceDE/>
        <w:bidi w:val="0"/>
        <w:adjustRightInd w:val="0"/>
        <w:snapToGrid w:val="0"/>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第十一条 合同的生效</w:t>
      </w:r>
    </w:p>
    <w:p w14:paraId="5464DA43">
      <w:pPr>
        <w:keepNext w:val="0"/>
        <w:keepLines w:val="0"/>
        <w:pageBreakBefore w:val="0"/>
        <w:widowControl w:val="0"/>
        <w:kinsoku/>
        <w:wordWrap/>
        <w:overflowPunct/>
        <w:topLinePunct w:val="0"/>
        <w:autoSpaceDE/>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本合同自甲乙双方法定代表人签字并加盖公章之日起生效。</w:t>
      </w:r>
    </w:p>
    <w:p w14:paraId="0E81F0AA">
      <w:pPr>
        <w:keepNext w:val="0"/>
        <w:keepLines w:val="0"/>
        <w:pageBreakBefore w:val="0"/>
        <w:widowControl w:val="0"/>
        <w:kinsoku/>
        <w:wordWrap/>
        <w:overflowPunct/>
        <w:topLinePunct w:val="0"/>
        <w:autoSpaceDE/>
        <w:bidi w:val="0"/>
        <w:adjustRightInd w:val="0"/>
        <w:snapToGrid w:val="0"/>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第十二条  其他</w:t>
      </w:r>
    </w:p>
    <w:p w14:paraId="2E3F691B">
      <w:pPr>
        <w:keepNext w:val="0"/>
        <w:keepLines w:val="0"/>
        <w:pageBreakBefore w:val="0"/>
        <w:widowControl w:val="0"/>
        <w:kinsoku/>
        <w:wordWrap/>
        <w:overflowPunct/>
        <w:topLinePunct w:val="0"/>
        <w:autoSpaceDE/>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甲、乙双方对本合同内容补充应采用书面形式订立，本合同壹式贰份，甲方执壹份，乙方执壹份。</w:t>
      </w:r>
    </w:p>
    <w:p w14:paraId="7AE78955">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p>
    <w:p w14:paraId="6A8D8C1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1.资产交易清单</w:t>
      </w:r>
    </w:p>
    <w:p w14:paraId="24F71D98">
      <w:pPr>
        <w:pStyle w:val="3"/>
        <w:keepNext w:val="0"/>
        <w:keepLines w:val="0"/>
        <w:pageBreakBefore w:val="0"/>
        <w:widowControl w:val="0"/>
        <w:kinsoku/>
        <w:wordWrap/>
        <w:overflowPunct/>
        <w:topLinePunct w:val="0"/>
        <w:autoSpaceDE/>
        <w:bidi w:val="0"/>
        <w:adjustRightInd w:val="0"/>
        <w:snapToGrid w:val="0"/>
        <w:spacing w:line="600" w:lineRule="exact"/>
        <w:ind w:firstLine="1600" w:firstLineChars="500"/>
        <w:textAlignment w:val="auto"/>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2.资产评估报告</w:t>
      </w:r>
    </w:p>
    <w:p w14:paraId="5D5735B4">
      <w:pPr>
        <w:pStyle w:val="3"/>
        <w:keepNext w:val="0"/>
        <w:keepLines w:val="0"/>
        <w:pageBreakBefore w:val="0"/>
        <w:widowControl w:val="0"/>
        <w:kinsoku/>
        <w:wordWrap/>
        <w:overflowPunct/>
        <w:topLinePunct w:val="0"/>
        <w:autoSpaceDE/>
        <w:bidi w:val="0"/>
        <w:adjustRightInd w:val="0"/>
        <w:snapToGrid w:val="0"/>
        <w:spacing w:line="600" w:lineRule="exact"/>
        <w:ind w:firstLine="1600" w:firstLineChars="500"/>
        <w:textAlignment w:val="auto"/>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3.安全协议书</w:t>
      </w:r>
    </w:p>
    <w:p w14:paraId="60E08901">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439FDE51">
      <w:pPr>
        <w:pStyle w:val="9"/>
        <w:keepNext w:val="0"/>
        <w:keepLines w:val="0"/>
        <w:pageBreakBefore w:val="0"/>
        <w:kinsoku/>
        <w:wordWrap/>
        <w:overflowPunct/>
        <w:topLinePunct w:val="0"/>
        <w:autoSpaceDE/>
        <w:autoSpaceDN/>
        <w:bidi w:val="0"/>
        <w:adjustRightInd/>
        <w:snapToGrid/>
        <w:spacing w:line="600" w:lineRule="exact"/>
        <w:textAlignment w:val="auto"/>
      </w:pPr>
    </w:p>
    <w:p w14:paraId="5D12C82C">
      <w:pPr>
        <w:pStyle w:val="9"/>
        <w:keepNext w:val="0"/>
        <w:keepLines w:val="0"/>
        <w:pageBreakBefore w:val="0"/>
        <w:kinsoku/>
        <w:wordWrap/>
        <w:overflowPunct/>
        <w:topLinePunct w:val="0"/>
        <w:autoSpaceDE/>
        <w:autoSpaceDN/>
        <w:bidi w:val="0"/>
        <w:adjustRightInd/>
        <w:snapToGrid/>
        <w:spacing w:line="600" w:lineRule="exact"/>
        <w:textAlignment w:val="auto"/>
      </w:pPr>
    </w:p>
    <w:p w14:paraId="6AE31A59">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val="en-US" w:eastAsia="zh-CN"/>
        </w:rPr>
        <w:t>东莞市水务环境投资控股集团供水有限公司</w:t>
      </w:r>
    </w:p>
    <w:p w14:paraId="27D686A3">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/授权代表</w:t>
      </w:r>
      <w:r>
        <w:rPr>
          <w:rFonts w:hint="eastAsia" w:ascii="仿宋_GB2312" w:hAnsi="仿宋_GB2312" w:eastAsia="仿宋_GB2312" w:cs="仿宋_GB2312"/>
          <w:sz w:val="32"/>
          <w:szCs w:val="32"/>
        </w:rPr>
        <w:t>：</w:t>
      </w:r>
    </w:p>
    <w:p w14:paraId="5D978787">
      <w:pPr>
        <w:pStyle w:val="9"/>
        <w:keepNext w:val="0"/>
        <w:keepLines w:val="0"/>
        <w:pageBreakBefore w:val="0"/>
        <w:kinsoku/>
        <w:wordWrap/>
        <w:overflowPunct/>
        <w:topLinePunct w:val="0"/>
        <w:autoSpaceDE/>
        <w:autoSpaceDN/>
        <w:bidi w:val="0"/>
        <w:adjustRightInd/>
        <w:snapToGrid/>
        <w:spacing w:line="600" w:lineRule="exact"/>
        <w:textAlignment w:val="auto"/>
      </w:pPr>
    </w:p>
    <w:p w14:paraId="6D0D2EA0">
      <w:pPr>
        <w:pStyle w:val="9"/>
        <w:keepNext w:val="0"/>
        <w:keepLines w:val="0"/>
        <w:pageBreakBefore w:val="0"/>
        <w:kinsoku/>
        <w:wordWrap/>
        <w:overflowPunct/>
        <w:topLinePunct w:val="0"/>
        <w:autoSpaceDE/>
        <w:autoSpaceDN/>
        <w:bidi w:val="0"/>
        <w:adjustRightInd/>
        <w:snapToGrid/>
        <w:spacing w:line="600" w:lineRule="exact"/>
        <w:textAlignment w:val="auto"/>
      </w:pPr>
    </w:p>
    <w:p w14:paraId="7BD98340">
      <w:pPr>
        <w:pStyle w:val="9"/>
        <w:keepNext w:val="0"/>
        <w:keepLines w:val="0"/>
        <w:pageBreakBefore w:val="0"/>
        <w:kinsoku/>
        <w:wordWrap/>
        <w:overflowPunct/>
        <w:topLinePunct w:val="0"/>
        <w:autoSpaceDE/>
        <w:autoSpaceDN/>
        <w:bidi w:val="0"/>
        <w:adjustRightInd/>
        <w:snapToGrid/>
        <w:spacing w:line="600" w:lineRule="exact"/>
        <w:textAlignment w:val="auto"/>
      </w:pPr>
    </w:p>
    <w:p w14:paraId="29192BA1">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p>
    <w:p w14:paraId="12434F81">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/授权代表</w:t>
      </w:r>
      <w:r>
        <w:rPr>
          <w:rFonts w:hint="eastAsia" w:ascii="仿宋_GB2312" w:hAnsi="仿宋_GB2312" w:eastAsia="仿宋_GB2312" w:cs="仿宋_GB2312"/>
          <w:sz w:val="32"/>
          <w:szCs w:val="32"/>
        </w:rPr>
        <w:t>：</w:t>
      </w:r>
    </w:p>
    <w:p w14:paraId="374DE0C3">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4CF1FD4B">
      <w:pPr>
        <w:pStyle w:val="9"/>
        <w:keepNext w:val="0"/>
        <w:keepLines w:val="0"/>
        <w:pageBreakBefore w:val="0"/>
        <w:kinsoku/>
        <w:wordWrap/>
        <w:overflowPunct/>
        <w:topLinePunct w:val="0"/>
        <w:autoSpaceDE/>
        <w:autoSpaceDN/>
        <w:bidi w:val="0"/>
        <w:adjustRightInd/>
        <w:snapToGrid/>
        <w:spacing w:line="600" w:lineRule="exact"/>
        <w:textAlignment w:val="auto"/>
      </w:pPr>
    </w:p>
    <w:p w14:paraId="29FB49C3">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签订地点: 东莞市</w:t>
      </w:r>
    </w:p>
    <w:p w14:paraId="37BD6EC8">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签订时间:    年  月  日</w:t>
      </w:r>
    </w:p>
    <w:p w14:paraId="4E1C1A2E">
      <w:pPr>
        <w:jc w:val="center"/>
        <w:rPr>
          <w:rFonts w:hint="eastAsia" w:ascii="方正小标宋简体" w:hAnsi="方正小标宋简体" w:eastAsia="方正小标宋简体" w:cs="方正小标宋简体"/>
          <w:b/>
          <w:bCs/>
          <w:color w:val="auto"/>
          <w:sz w:val="44"/>
          <w:szCs w:val="44"/>
          <w:highlight w:val="none"/>
          <w:u w:val="single"/>
        </w:rPr>
      </w:pPr>
    </w:p>
    <w:p w14:paraId="2104ABE3">
      <w:pPr>
        <w:rPr>
          <w:rFonts w:hint="default" w:ascii="仿宋_GB2312" w:hAnsi="仿宋_GB2312" w:eastAsia="仿宋_GB2312" w:cs="仿宋_GB2312"/>
          <w:sz w:val="28"/>
          <w:szCs w:val="28"/>
          <w:lang w:val="en-US" w:eastAsia="zh-CN"/>
        </w:rPr>
      </w:pPr>
    </w:p>
    <w:p w14:paraId="57C29AAA">
      <w:pPr>
        <w:rPr>
          <w:highlight w:val="none"/>
        </w:rPr>
      </w:pPr>
    </w:p>
    <w:p w14:paraId="4B26128A">
      <w:pPr>
        <w:pStyle w:val="27"/>
        <w:rPr>
          <w:highlight w:val="none"/>
        </w:rPr>
      </w:pPr>
    </w:p>
    <w:p w14:paraId="5F39CBF6">
      <w:pPr>
        <w:pStyle w:val="27"/>
        <w:rPr>
          <w:highlight w:val="none"/>
        </w:rPr>
      </w:pPr>
    </w:p>
    <w:p w14:paraId="52802735">
      <w:pPr>
        <w:pStyle w:val="27"/>
        <w:rPr>
          <w:highlight w:val="none"/>
        </w:rPr>
      </w:pPr>
    </w:p>
    <w:p w14:paraId="300BAAE2">
      <w:pPr>
        <w:pStyle w:val="27"/>
        <w:rPr>
          <w:highlight w:val="none"/>
        </w:rPr>
      </w:pPr>
    </w:p>
    <w:p w14:paraId="5940933B">
      <w:pPr>
        <w:pStyle w:val="27"/>
        <w:rPr>
          <w:highlight w:val="none"/>
        </w:rPr>
      </w:pPr>
    </w:p>
    <w:p w14:paraId="07017229">
      <w:pPr>
        <w:pStyle w:val="27"/>
        <w:rPr>
          <w:highlight w:val="none"/>
        </w:rPr>
      </w:pPr>
    </w:p>
    <w:p w14:paraId="5CE9A4E3">
      <w:pPr>
        <w:pStyle w:val="27"/>
        <w:rPr>
          <w:highlight w:val="none"/>
        </w:rPr>
      </w:pPr>
    </w:p>
    <w:p w14:paraId="0969F10B">
      <w:pPr>
        <w:pStyle w:val="27"/>
        <w:rPr>
          <w:highlight w:val="none"/>
        </w:rPr>
      </w:pPr>
    </w:p>
    <w:p w14:paraId="306FC46B">
      <w:pPr>
        <w:pStyle w:val="27"/>
        <w:rPr>
          <w:highlight w:val="none"/>
        </w:rPr>
      </w:pPr>
    </w:p>
    <w:p w14:paraId="0101CF51">
      <w:pPr>
        <w:pStyle w:val="27"/>
        <w:rPr>
          <w:highlight w:val="none"/>
        </w:rPr>
      </w:pPr>
    </w:p>
    <w:p w14:paraId="26653190">
      <w:pPr>
        <w:pStyle w:val="27"/>
        <w:rPr>
          <w:highlight w:val="none"/>
        </w:rPr>
      </w:pPr>
    </w:p>
    <w:p w14:paraId="0F7D550C">
      <w:pPr>
        <w:pStyle w:val="27"/>
        <w:rPr>
          <w:highlight w:val="none"/>
        </w:rPr>
      </w:pPr>
    </w:p>
    <w:p w14:paraId="70ACB82E">
      <w:pPr>
        <w:autoSpaceDE w:val="0"/>
        <w:autoSpaceDN w:val="0"/>
        <w:adjustRightInd w:val="0"/>
        <w:snapToGrid w:val="0"/>
        <w:spacing w:line="580" w:lineRule="exact"/>
        <w:jc w:val="right"/>
        <w:rPr>
          <w:rFonts w:ascii="仿宋_GB2312" w:hAnsi="仿宋_GB2312" w:eastAsia="仿宋_GB2312" w:cs="仿宋_GB2312"/>
          <w:color w:val="auto"/>
          <w:szCs w:val="21"/>
          <w:highlight w:val="none"/>
        </w:rPr>
      </w:pPr>
    </w:p>
    <w:p w14:paraId="7697F5A0">
      <w:pPr>
        <w:autoSpaceDE w:val="0"/>
        <w:autoSpaceDN w:val="0"/>
        <w:adjustRightInd w:val="0"/>
        <w:snapToGrid w:val="0"/>
        <w:spacing w:line="580" w:lineRule="exact"/>
        <w:jc w:val="right"/>
        <w:rPr>
          <w:rFonts w:ascii="仿宋_GB2312" w:hAnsi="仿宋_GB2312" w:eastAsia="仿宋_GB2312" w:cs="仿宋_GB2312"/>
          <w:color w:val="auto"/>
          <w:szCs w:val="21"/>
          <w:highlight w:val="none"/>
        </w:rPr>
      </w:pPr>
    </w:p>
    <w:p w14:paraId="10C6E543">
      <w:pPr>
        <w:autoSpaceDE w:val="0"/>
        <w:autoSpaceDN w:val="0"/>
        <w:adjustRightInd w:val="0"/>
        <w:snapToGrid w:val="0"/>
        <w:spacing w:line="580" w:lineRule="exact"/>
        <w:jc w:val="right"/>
        <w:rPr>
          <w:rFonts w:ascii="仿宋_GB2312" w:hAnsi="仿宋_GB2312" w:eastAsia="仿宋_GB2312" w:cs="仿宋_GB2312"/>
          <w:color w:val="auto"/>
          <w:szCs w:val="21"/>
          <w:highlight w:val="none"/>
        </w:rPr>
      </w:pPr>
    </w:p>
    <w:p w14:paraId="21BFD62D">
      <w:pPr>
        <w:spacing w:line="580" w:lineRule="exact"/>
        <w:jc w:val="center"/>
        <w:rPr>
          <w:rFonts w:eastAsia="方正小标宋简体" w:cs="Times New Roman"/>
          <w:bCs/>
          <w:color w:val="000000"/>
          <w:sz w:val="44"/>
          <w:szCs w:val="44"/>
        </w:rPr>
      </w:pPr>
      <w:r>
        <w:rPr>
          <w:rFonts w:eastAsia="方正小标宋简体" w:cs="Times New Roman"/>
          <w:bCs/>
          <w:color w:val="000000"/>
          <w:sz w:val="44"/>
          <w:szCs w:val="44"/>
        </w:rPr>
        <w:t>阳光合作告知函</w:t>
      </w:r>
    </w:p>
    <w:p w14:paraId="0C475FE0">
      <w:pPr>
        <w:spacing w:line="560" w:lineRule="exact"/>
        <w:rPr>
          <w:rFonts w:hint="default" w:ascii="Times New Roman" w:hAnsi="Times New Roman" w:eastAsia="仿宋_GB2312" w:cs="Times New Roman"/>
          <w:b/>
          <w:bCs/>
          <w:sz w:val="32"/>
          <w:szCs w:val="32"/>
        </w:rPr>
      </w:pPr>
    </w:p>
    <w:p w14:paraId="222BF7F2">
      <w:pPr>
        <w:snapToGrid w:val="0"/>
        <w:spacing w:before="312" w:beforeLines="100" w:after="156" w:afterLines="50" w:line="600" w:lineRule="exact"/>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sz w:val="32"/>
          <w:szCs w:val="32"/>
        </w:rPr>
        <w:t>项目名称：</w:t>
      </w:r>
      <w:r>
        <w:rPr>
          <w:rFonts w:hint="eastAsia" w:ascii="仿宋_GB2312" w:eastAsia="仿宋_GB2312" w:cs="Times New Roman"/>
          <w:kern w:val="2"/>
          <w:sz w:val="32"/>
          <w:szCs w:val="32"/>
          <w:lang w:val="en-US" w:eastAsia="zh-CN" w:bidi="ar-SA"/>
        </w:rPr>
        <w:t>资产交易合同</w:t>
      </w:r>
      <w:r>
        <w:rPr>
          <w:rFonts w:hint="eastAsia" w:ascii="仿宋_GB2312" w:hAnsi="Times New Roman" w:cs="Times New Roman"/>
          <w:kern w:val="2"/>
          <w:sz w:val="32"/>
          <w:szCs w:val="32"/>
          <w:lang w:val="en-US" w:eastAsia="zh-CN" w:bidi="ar-SA"/>
        </w:rPr>
        <w:t xml:space="preserve">    </w:t>
      </w:r>
      <w:r>
        <w:rPr>
          <w:rFonts w:hint="default" w:ascii="Times New Roman" w:hAnsi="Times New Roman" w:eastAsia="仿宋_GB2312" w:cs="Times New Roman"/>
          <w:color w:val="auto"/>
          <w:sz w:val="32"/>
          <w:szCs w:val="32"/>
        </w:rPr>
        <w:t>（</w:t>
      </w:r>
      <w:r>
        <w:rPr>
          <w:rFonts w:hint="eastAsia" w:cs="Times New Roman"/>
          <w:color w:val="auto"/>
          <w:sz w:val="32"/>
          <w:szCs w:val="32"/>
          <w:lang w:val="en-US" w:eastAsia="zh-CN"/>
        </w:rPr>
        <w:t>合同</w:t>
      </w:r>
      <w:r>
        <w:rPr>
          <w:rFonts w:hint="default" w:ascii="Times New Roman" w:hAnsi="Times New Roman" w:eastAsia="仿宋_GB2312" w:cs="Times New Roman"/>
          <w:color w:val="auto"/>
          <w:sz w:val="32"/>
          <w:szCs w:val="32"/>
        </w:rPr>
        <w:t>编号：</w:t>
      </w:r>
      <w:r>
        <w:rPr>
          <w:rFonts w:hint="eastAsia" w:cs="Times New Roman"/>
          <w:color w:val="auto"/>
          <w:sz w:val="32"/>
          <w:szCs w:val="32"/>
          <w:lang w:val="en-US" w:eastAsia="zh-CN"/>
        </w:rPr>
        <w:t xml:space="preserve">          </w:t>
      </w:r>
      <w:r>
        <w:rPr>
          <w:rFonts w:hint="eastAsia" w:cs="Times New Roman"/>
          <w:color w:val="auto"/>
          <w:w w:val="100"/>
          <w:sz w:val="32"/>
          <w:lang w:val="en-US" w:eastAsia="zh-CN"/>
        </w:rPr>
        <w:t xml:space="preserve"> </w:t>
      </w:r>
      <w:r>
        <w:rPr>
          <w:rFonts w:hint="default" w:ascii="Times New Roman" w:hAnsi="Times New Roman" w:cs="Times New Roman"/>
          <w:color w:val="auto"/>
          <w:shd w:val="clear"/>
          <w:lang w:val="en-US" w:eastAsia="zh-CN"/>
        </w:rPr>
        <w:t xml:space="preserve"> </w:t>
      </w:r>
      <w:r>
        <w:rPr>
          <w:rFonts w:hint="default" w:ascii="Times New Roman" w:hAnsi="Times New Roman" w:eastAsia="仿宋_GB2312" w:cs="Times New Roman"/>
          <w:color w:val="auto"/>
          <w:sz w:val="32"/>
          <w:szCs w:val="32"/>
        </w:rPr>
        <w:t>）</w:t>
      </w:r>
    </w:p>
    <w:p w14:paraId="6335E69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仿宋_GB2312" w:hAnsi="Times New Roman" w:eastAsia="仿宋_GB2312"/>
          <w:color w:val="000000"/>
          <w:sz w:val="32"/>
          <w:szCs w:val="32"/>
          <w:u w:val="single"/>
        </w:rPr>
      </w:pPr>
      <w:r>
        <w:rPr>
          <w:rFonts w:hint="eastAsia" w:ascii="仿宋_GB2312" w:hAnsi="Times New Roman" w:eastAsia="仿宋_GB2312" w:cs="Times New Roman"/>
          <w:kern w:val="2"/>
          <w:sz w:val="32"/>
          <w:szCs w:val="32"/>
          <w:u w:val="single"/>
          <w:lang w:val="en-US" w:eastAsia="zh-CN" w:bidi="ar-SA"/>
        </w:rPr>
        <w:t>*******</w:t>
      </w:r>
      <w:r>
        <w:rPr>
          <w:rFonts w:hint="eastAsia" w:ascii="仿宋_GB2312" w:hAnsi="Times New Roman" w:eastAsia="仿宋_GB2312" w:cs="Times New Roman"/>
          <w:b w:val="0"/>
          <w:bCs w:val="0"/>
          <w:kern w:val="2"/>
          <w:sz w:val="32"/>
          <w:szCs w:val="32"/>
          <w:u w:val="none"/>
          <w:lang w:val="en-US" w:eastAsia="zh-CN" w:bidi="ar-SA"/>
        </w:rPr>
        <w:t>：</w:t>
      </w:r>
      <w:r>
        <w:rPr>
          <w:rFonts w:hint="eastAsia" w:ascii="仿宋_GB2312" w:hAnsi="Times New Roman" w:eastAsia="仿宋_GB2312"/>
          <w:b w:val="0"/>
          <w:bCs w:val="0"/>
          <w:color w:val="auto"/>
          <w:sz w:val="32"/>
          <w:szCs w:val="32"/>
          <w:u w:val="none"/>
        </w:rPr>
        <w:t xml:space="preserve">  </w:t>
      </w:r>
      <w:r>
        <w:rPr>
          <w:rFonts w:hint="eastAsia" w:ascii="仿宋_GB2312" w:hAnsi="Times New Roman" w:eastAsia="仿宋_GB2312"/>
          <w:color w:val="auto"/>
          <w:sz w:val="32"/>
          <w:szCs w:val="32"/>
        </w:rPr>
        <w:t xml:space="preserve">  </w:t>
      </w:r>
      <w:r>
        <w:rPr>
          <w:rFonts w:hint="eastAsia" w:ascii="仿宋_GB2312" w:hAnsi="Times New Roman" w:eastAsia="仿宋_GB2312"/>
          <w:color w:val="000000"/>
          <w:sz w:val="32"/>
          <w:szCs w:val="32"/>
        </w:rPr>
        <w:t xml:space="preserve">                   </w:t>
      </w:r>
    </w:p>
    <w:p w14:paraId="4F8C63A3">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为保证</w:t>
      </w:r>
      <w:r>
        <w:rPr>
          <w:rFonts w:hint="eastAsia" w:ascii="仿宋_GB2312" w:hAnsi="Times New Roman" w:eastAsia="仿宋_GB2312"/>
          <w:sz w:val="32"/>
          <w:szCs w:val="32"/>
          <w:lang w:val="en-US" w:eastAsia="zh-CN"/>
        </w:rPr>
        <w:t>我公司</w:t>
      </w:r>
      <w:r>
        <w:rPr>
          <w:rFonts w:hint="eastAsia" w:ascii="仿宋_GB2312" w:hAnsi="Times New Roman" w:eastAsia="仿宋_GB2312"/>
          <w:sz w:val="32"/>
          <w:szCs w:val="32"/>
        </w:rPr>
        <w:t>人员廉洁从业，规范和鼓励诚信交易行为，防止腐败和商业贿赂发生，推动双方建立阳光合作关系，现将我方推行阳光合作的相关管理规定函告如下：</w:t>
      </w:r>
    </w:p>
    <w:p w14:paraId="2DDAAE1C">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7DE691CB">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0A5038E1">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6BE29698">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358450B2">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2D72099D">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42B8C7F6">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财物</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），不得参加贵方提供的旅游或其他可能影响职务廉洁的活动；</w:t>
      </w:r>
    </w:p>
    <w:p w14:paraId="1A1819D4">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30712116">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2FB37A0E">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0DFCD40A">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1F224E68">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55CF6A8A">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1FAEEC03">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构成犯罪的，依法移送司法机关处置，并将调查结果及时向贵方反馈。</w:t>
      </w:r>
    </w:p>
    <w:p w14:paraId="1F647B47">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324FC5A4">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04BCBC01">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w:t>
      </w:r>
      <w:bookmarkStart w:id="11" w:name="OLE_LINK1"/>
      <w:r>
        <w:rPr>
          <w:rFonts w:hint="eastAsia" w:ascii="仿宋_GB2312" w:hAnsi="Times New Roman" w:eastAsia="仿宋_GB2312"/>
          <w:sz w:val="32"/>
          <w:szCs w:val="32"/>
        </w:rPr>
        <w:t>其他</w:t>
      </w:r>
    </w:p>
    <w:p w14:paraId="7108F29C">
      <w:pPr>
        <w:pStyle w:val="56"/>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bookmarkEnd w:id="11"/>
    <w:p w14:paraId="37828793">
      <w:pPr>
        <w:pStyle w:val="56"/>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（二）我方常设投诉举报受理部门及联系方式： </w:t>
      </w:r>
    </w:p>
    <w:p w14:paraId="21E3F865">
      <w:pPr>
        <w:pStyle w:val="56"/>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rPr>
        <w:t>1</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投诉举报受理部门：</w:t>
      </w:r>
      <w:r>
        <w:rPr>
          <w:rFonts w:hint="default" w:ascii="Times New Roman" w:hAnsi="Times New Roman" w:eastAsia="仿宋_GB2312"/>
          <w:sz w:val="32"/>
          <w:szCs w:val="32"/>
          <w:lang w:val="en-US" w:eastAsia="zh-CN"/>
        </w:rPr>
        <w:t>东莞市水务环境投资控股集团有限公司</w:t>
      </w:r>
      <w:r>
        <w:rPr>
          <w:rFonts w:hint="default" w:ascii="Times New Roman" w:hAnsi="Times New Roman" w:eastAsia="仿宋_GB2312"/>
          <w:sz w:val="32"/>
          <w:szCs w:val="32"/>
        </w:rPr>
        <w:t>纪检监察部；</w:t>
      </w:r>
    </w:p>
    <w:p w14:paraId="5E60E42F">
      <w:pPr>
        <w:pStyle w:val="56"/>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2</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eastAsia" w:ascii="Times New Roman" w:hAnsi="Times New Roman" w:eastAsia="仿宋_GB2312"/>
          <w:sz w:val="32"/>
          <w:szCs w:val="32"/>
        </w:rPr>
        <w:t>28823293</w:t>
      </w:r>
      <w:r>
        <w:rPr>
          <w:rFonts w:hint="default" w:ascii="Times New Roman" w:hAnsi="Times New Roman" w:eastAsia="仿宋_GB2312"/>
          <w:sz w:val="32"/>
          <w:szCs w:val="32"/>
        </w:rPr>
        <w:t>（</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一至</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五：</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default" w:ascii="Times New Roman" w:hAnsi="Times New Roman" w:eastAsia="仿宋_GB2312"/>
          <w:sz w:val="32"/>
          <w:szCs w:val="32"/>
        </w:rPr>
        <w:t>）；</w:t>
      </w:r>
    </w:p>
    <w:p w14:paraId="4C7840BD">
      <w:pPr>
        <w:pStyle w:val="56"/>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3</w:t>
      </w:r>
      <w:r>
        <w:rPr>
          <w:rFonts w:ascii="Times New Roman" w:hAnsi="Times New Roman" w:eastAsia="仿宋_GB2312"/>
          <w:b/>
          <w:bCs/>
          <w:sz w:val="32"/>
          <w:szCs w:val="32"/>
        </w:rPr>
        <w:t>.</w:t>
      </w:r>
      <w:r>
        <w:rPr>
          <w:rFonts w:hint="default" w:ascii="Times New Roman" w:hAnsi="Times New Roman" w:eastAsia="仿宋_GB2312"/>
          <w:b/>
          <w:bCs/>
          <w:sz w:val="32"/>
          <w:szCs w:val="32"/>
        </w:rPr>
        <w:t>联系地址：</w:t>
      </w:r>
      <w:r>
        <w:rPr>
          <w:rFonts w:hint="default" w:ascii="Times New Roman" w:hAnsi="Times New Roman" w:eastAsia="仿宋_GB2312" w:cs="Times New Roman"/>
          <w:sz w:val="32"/>
          <w:szCs w:val="32"/>
        </w:rPr>
        <w:t>东莞市东城街道育华路1号</w:t>
      </w:r>
      <w:r>
        <w:rPr>
          <w:rFonts w:hint="eastAsia" w:ascii="Times New Roman" w:hAnsi="Times New Roman" w:eastAsia="仿宋_GB2312"/>
          <w:sz w:val="32"/>
          <w:szCs w:val="32"/>
        </w:rPr>
        <w:t>；</w:t>
      </w:r>
    </w:p>
    <w:p w14:paraId="0143BCAB">
      <w:pPr>
        <w:pStyle w:val="56"/>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4</w:t>
      </w:r>
      <w:r>
        <w:rPr>
          <w:rFonts w:ascii="Times New Roman" w:hAnsi="Times New Roman" w:eastAsia="仿宋_GB2312"/>
          <w:b/>
          <w:bCs/>
          <w:sz w:val="32"/>
          <w:szCs w:val="32"/>
        </w:rPr>
        <w:t>.</w:t>
      </w:r>
      <w:r>
        <w:rPr>
          <w:rFonts w:hint="default" w:ascii="Times New Roman" w:hAnsi="Times New Roman" w:eastAsia="仿宋_GB2312"/>
          <w:b/>
          <w:bCs/>
          <w:sz w:val="32"/>
          <w:szCs w:val="32"/>
        </w:rPr>
        <w:t>邮编：</w:t>
      </w:r>
      <w:r>
        <w:rPr>
          <w:rFonts w:hint="eastAsia" w:ascii="Times New Roman" w:hAnsi="Times New Roman" w:eastAsia="仿宋_GB2312"/>
          <w:sz w:val="32"/>
          <w:szCs w:val="32"/>
        </w:rPr>
        <w:t>523000</w:t>
      </w:r>
      <w:r>
        <w:rPr>
          <w:rFonts w:hint="default" w:ascii="Times New Roman" w:hAnsi="Times New Roman" w:eastAsia="仿宋_GB2312"/>
          <w:sz w:val="32"/>
          <w:szCs w:val="32"/>
        </w:rPr>
        <w:t>。</w:t>
      </w:r>
    </w:p>
    <w:p w14:paraId="5A23E248">
      <w:pPr>
        <w:pStyle w:val="56"/>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让我们共同为建立健康、公平的商业秩序和实现双赢而努力</w:t>
      </w:r>
      <w:r>
        <w:rPr>
          <w:rFonts w:hint="default" w:ascii="Times New Roman" w:hAnsi="Times New Roman" w:eastAsia="仿宋_GB2312"/>
          <w:sz w:val="32"/>
          <w:szCs w:val="32"/>
          <w:lang w:val="en-US" w:eastAsia="zh-CN"/>
        </w:rPr>
        <w:t>。</w:t>
      </w:r>
    </w:p>
    <w:p w14:paraId="27DAA7B9">
      <w:pPr>
        <w:pStyle w:val="56"/>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特此致函</w:t>
      </w:r>
      <w:r>
        <w:rPr>
          <w:rFonts w:hint="default" w:ascii="Times New Roman" w:hAnsi="Times New Roman" w:eastAsia="仿宋_GB2312"/>
          <w:sz w:val="32"/>
          <w:szCs w:val="32"/>
          <w:lang w:eastAsia="zh-CN"/>
        </w:rPr>
        <w:t>。</w:t>
      </w:r>
    </w:p>
    <w:p w14:paraId="54C0E021">
      <w:pPr>
        <w:pStyle w:val="56"/>
        <w:snapToGrid w:val="0"/>
        <w:spacing w:line="580" w:lineRule="exact"/>
        <w:ind w:firstLine="640" w:firstLineChars="200"/>
        <w:rPr>
          <w:rFonts w:ascii="仿宋_GB2312" w:hAnsi="Times New Roman" w:eastAsia="仿宋_GB2312"/>
          <w:sz w:val="32"/>
          <w:szCs w:val="32"/>
        </w:rPr>
      </w:pPr>
    </w:p>
    <w:p w14:paraId="42806D24">
      <w:pPr>
        <w:pStyle w:val="56"/>
        <w:snapToGrid w:val="0"/>
        <w:spacing w:line="580" w:lineRule="exact"/>
        <w:ind w:firstLine="640" w:firstLineChars="200"/>
        <w:rPr>
          <w:rFonts w:ascii="仿宋_GB2312" w:hAnsi="Times New Roman" w:eastAsia="仿宋_GB2312"/>
          <w:sz w:val="32"/>
          <w:szCs w:val="32"/>
        </w:rPr>
      </w:pPr>
    </w:p>
    <w:p w14:paraId="49F8B17B">
      <w:pPr>
        <w:pStyle w:val="56"/>
        <w:wordWrap w:val="0"/>
        <w:snapToGrid w:val="0"/>
        <w:spacing w:line="580" w:lineRule="exact"/>
        <w:ind w:firstLine="0"/>
        <w:jc w:val="right"/>
        <w:rPr>
          <w:rFonts w:hint="default" w:ascii="仿宋_GB2312" w:hAnsi="Times New Roman" w:eastAsia="仿宋_GB2312"/>
          <w:sz w:val="32"/>
          <w:szCs w:val="32"/>
          <w:lang w:val="en-US"/>
        </w:rPr>
      </w:pPr>
      <w:r>
        <w:rPr>
          <w:rFonts w:hint="eastAsia" w:ascii="仿宋_GB2312" w:hAnsi="Times New Roman" w:eastAsia="仿宋_GB2312"/>
          <w:sz w:val="32"/>
          <w:szCs w:val="32"/>
        </w:rPr>
        <w:t xml:space="preserve"> </w:t>
      </w:r>
      <w:r>
        <w:rPr>
          <w:rFonts w:hint="eastAsia" w:ascii="仿宋_GB2312" w:hAnsi="Times New Roman" w:eastAsia="仿宋_GB2312"/>
          <w:sz w:val="32"/>
          <w:szCs w:val="32"/>
          <w:lang w:val="en-US" w:eastAsia="zh-CN"/>
        </w:rPr>
        <w:t>东莞市水务环境投资控股集团供水有限公司</w:t>
      </w:r>
    </w:p>
    <w:p w14:paraId="74BC21A9">
      <w:pPr>
        <w:pStyle w:val="56"/>
        <w:snapToGrid w:val="0"/>
        <w:spacing w:line="580" w:lineRule="exact"/>
        <w:ind w:firstLine="6080" w:firstLineChars="1900"/>
        <w:jc w:val="both"/>
        <w:rPr>
          <w:rFonts w:hint="eastAsia" w:ascii="仿宋_GB2312"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 xml:space="preserve">   </w:t>
      </w:r>
      <w:r>
        <w:rPr>
          <w:rFonts w:hint="eastAsia" w:ascii="仿宋_GB2312" w:hAnsi="Times New Roman" w:eastAsia="仿宋_GB2312"/>
          <w:sz w:val="32"/>
          <w:szCs w:val="32"/>
        </w:rPr>
        <w:t>日</w:t>
      </w:r>
      <w:bookmarkStart w:id="12" w:name="设计变更通知单"/>
      <w:bookmarkEnd w:id="12"/>
      <w:bookmarkStart w:id="13" w:name="现场签证通知单"/>
      <w:bookmarkEnd w:id="13"/>
    </w:p>
    <w:p w14:paraId="14DD30E6">
      <w:pPr>
        <w:pStyle w:val="56"/>
        <w:snapToGrid w:val="0"/>
        <w:spacing w:line="580" w:lineRule="exact"/>
        <w:ind w:firstLine="5932" w:firstLineChars="1854"/>
        <w:jc w:val="right"/>
        <w:rPr>
          <w:rFonts w:hint="eastAsia" w:ascii="仿宋_GB2312" w:hAnsi="Times New Roman" w:eastAsia="仿宋_GB2312"/>
          <w:sz w:val="32"/>
          <w:szCs w:val="32"/>
        </w:rPr>
      </w:pPr>
    </w:p>
    <w:p w14:paraId="7FDA40CA">
      <w:pPr>
        <w:pStyle w:val="56"/>
        <w:snapToGrid w:val="0"/>
        <w:spacing w:line="580" w:lineRule="exact"/>
        <w:ind w:firstLine="5932" w:firstLineChars="1854"/>
        <w:jc w:val="right"/>
        <w:rPr>
          <w:rFonts w:hint="eastAsia" w:ascii="仿宋_GB2312" w:hAnsi="Times New Roman" w:eastAsia="仿宋_GB2312"/>
          <w:sz w:val="32"/>
          <w:szCs w:val="32"/>
        </w:rPr>
      </w:pPr>
    </w:p>
    <w:p w14:paraId="218A1C0A">
      <w:pPr>
        <w:pStyle w:val="56"/>
        <w:snapToGrid w:val="0"/>
        <w:spacing w:line="580" w:lineRule="exact"/>
        <w:ind w:firstLine="5932" w:firstLineChars="1854"/>
        <w:jc w:val="right"/>
        <w:rPr>
          <w:rFonts w:hint="eastAsia" w:ascii="仿宋_GB2312" w:hAnsi="Times New Roman" w:eastAsia="仿宋_GB2312"/>
          <w:sz w:val="32"/>
          <w:szCs w:val="32"/>
        </w:rPr>
      </w:pPr>
    </w:p>
    <w:p w14:paraId="5542DA2F">
      <w:pPr>
        <w:pStyle w:val="56"/>
        <w:snapToGrid w:val="0"/>
        <w:spacing w:line="580" w:lineRule="exact"/>
        <w:ind w:firstLine="5932" w:firstLineChars="1854"/>
        <w:jc w:val="right"/>
        <w:rPr>
          <w:rFonts w:hint="eastAsia" w:ascii="仿宋_GB2312" w:hAnsi="Times New Roman" w:eastAsia="仿宋_GB2312"/>
          <w:sz w:val="32"/>
          <w:szCs w:val="32"/>
        </w:rPr>
      </w:pPr>
    </w:p>
    <w:p w14:paraId="35961ED5">
      <w:pPr>
        <w:pStyle w:val="56"/>
        <w:snapToGrid w:val="0"/>
        <w:spacing w:line="580" w:lineRule="exact"/>
        <w:ind w:firstLine="5932" w:firstLineChars="1854"/>
        <w:jc w:val="right"/>
        <w:rPr>
          <w:rFonts w:hint="eastAsia" w:ascii="仿宋_GB2312" w:hAnsi="Times New Roman" w:eastAsia="仿宋_GB2312"/>
          <w:sz w:val="32"/>
          <w:szCs w:val="32"/>
        </w:rPr>
      </w:pPr>
    </w:p>
    <w:p w14:paraId="2446492D">
      <w:pPr>
        <w:pStyle w:val="56"/>
        <w:snapToGrid w:val="0"/>
        <w:spacing w:line="580" w:lineRule="exact"/>
        <w:ind w:firstLine="5932" w:firstLineChars="1854"/>
        <w:jc w:val="right"/>
        <w:rPr>
          <w:rFonts w:hint="eastAsia" w:ascii="仿宋_GB2312" w:hAnsi="Times New Roman" w:eastAsia="仿宋_GB2312"/>
          <w:sz w:val="32"/>
          <w:szCs w:val="32"/>
        </w:rPr>
      </w:pPr>
    </w:p>
    <w:p w14:paraId="09E4B555">
      <w:pPr>
        <w:pStyle w:val="56"/>
        <w:snapToGrid w:val="0"/>
        <w:spacing w:line="580" w:lineRule="exact"/>
        <w:ind w:firstLine="5932" w:firstLineChars="1854"/>
        <w:jc w:val="right"/>
        <w:rPr>
          <w:rFonts w:hint="eastAsia" w:ascii="仿宋_GB2312" w:hAnsi="Times New Roman" w:eastAsia="仿宋_GB2312"/>
          <w:sz w:val="32"/>
          <w:szCs w:val="32"/>
        </w:rPr>
      </w:pPr>
    </w:p>
    <w:p w14:paraId="77D53618">
      <w:pPr>
        <w:pStyle w:val="56"/>
        <w:snapToGrid w:val="0"/>
        <w:spacing w:line="580" w:lineRule="exact"/>
        <w:ind w:firstLine="5932" w:firstLineChars="1854"/>
        <w:jc w:val="right"/>
        <w:rPr>
          <w:rFonts w:hint="eastAsia" w:ascii="仿宋_GB2312" w:hAnsi="Times New Roman" w:eastAsia="仿宋_GB2312"/>
          <w:sz w:val="32"/>
          <w:szCs w:val="32"/>
        </w:rPr>
      </w:pPr>
    </w:p>
    <w:p w14:paraId="6B2DC3F0">
      <w:pPr>
        <w:pStyle w:val="56"/>
        <w:snapToGrid w:val="0"/>
        <w:spacing w:line="580" w:lineRule="exact"/>
        <w:ind w:firstLine="5932" w:firstLineChars="1854"/>
        <w:jc w:val="right"/>
        <w:rPr>
          <w:rFonts w:hint="eastAsia" w:ascii="仿宋_GB2312" w:hAnsi="Times New Roman" w:eastAsia="仿宋_GB2312"/>
          <w:sz w:val="32"/>
          <w:szCs w:val="32"/>
        </w:rPr>
      </w:pPr>
    </w:p>
    <w:p w14:paraId="62B6F423">
      <w:pPr>
        <w:pStyle w:val="56"/>
        <w:snapToGrid w:val="0"/>
        <w:spacing w:line="580" w:lineRule="exact"/>
        <w:ind w:firstLine="5932" w:firstLineChars="1854"/>
        <w:jc w:val="right"/>
        <w:rPr>
          <w:rFonts w:hint="eastAsia" w:ascii="仿宋_GB2312" w:hAnsi="Times New Roman" w:eastAsia="仿宋_GB2312"/>
          <w:sz w:val="32"/>
          <w:szCs w:val="32"/>
        </w:rPr>
      </w:pPr>
    </w:p>
    <w:p w14:paraId="2F72C1F3">
      <w:pPr>
        <w:pStyle w:val="56"/>
        <w:snapToGrid w:val="0"/>
        <w:spacing w:line="580" w:lineRule="exact"/>
        <w:ind w:firstLine="5932" w:firstLineChars="1854"/>
        <w:jc w:val="right"/>
        <w:rPr>
          <w:rFonts w:hint="eastAsia" w:ascii="仿宋_GB2312" w:hAnsi="Times New Roman" w:eastAsia="仿宋_GB2312"/>
          <w:sz w:val="32"/>
          <w:szCs w:val="32"/>
        </w:rPr>
      </w:pPr>
    </w:p>
    <w:p w14:paraId="1914C64A">
      <w:pPr>
        <w:pStyle w:val="56"/>
        <w:snapToGrid w:val="0"/>
        <w:spacing w:line="580" w:lineRule="exact"/>
        <w:ind w:firstLine="5932" w:firstLineChars="1854"/>
        <w:jc w:val="right"/>
        <w:rPr>
          <w:rFonts w:hint="eastAsia" w:ascii="仿宋_GB2312" w:hAnsi="Times New Roman" w:eastAsia="仿宋_GB2312"/>
          <w:sz w:val="32"/>
          <w:szCs w:val="32"/>
        </w:rPr>
      </w:pPr>
    </w:p>
    <w:p w14:paraId="735EC067">
      <w:pPr>
        <w:pStyle w:val="56"/>
        <w:snapToGrid w:val="0"/>
        <w:spacing w:line="580" w:lineRule="exact"/>
        <w:ind w:firstLine="5932" w:firstLineChars="1854"/>
        <w:jc w:val="right"/>
        <w:rPr>
          <w:rFonts w:hint="eastAsia" w:ascii="仿宋_GB2312" w:hAnsi="Times New Roman" w:eastAsia="仿宋_GB2312"/>
          <w:sz w:val="32"/>
          <w:szCs w:val="32"/>
        </w:rPr>
      </w:pPr>
    </w:p>
    <w:p w14:paraId="0351853B">
      <w:pPr>
        <w:pStyle w:val="56"/>
        <w:snapToGrid w:val="0"/>
        <w:spacing w:line="580" w:lineRule="exact"/>
        <w:ind w:firstLine="5932" w:firstLineChars="1854"/>
        <w:jc w:val="right"/>
        <w:rPr>
          <w:rFonts w:hint="eastAsia" w:ascii="仿宋_GB2312" w:hAnsi="Times New Roman" w:eastAsia="仿宋_GB2312"/>
          <w:sz w:val="32"/>
          <w:szCs w:val="32"/>
        </w:rPr>
      </w:pPr>
    </w:p>
    <w:p w14:paraId="03BA8FD3">
      <w:pPr>
        <w:pStyle w:val="56"/>
        <w:snapToGrid w:val="0"/>
        <w:spacing w:line="580" w:lineRule="exact"/>
        <w:ind w:firstLine="5932" w:firstLineChars="1854"/>
        <w:jc w:val="right"/>
        <w:rPr>
          <w:rFonts w:hint="eastAsia" w:ascii="仿宋_GB2312" w:hAnsi="Times New Roman" w:eastAsia="仿宋_GB2312"/>
          <w:sz w:val="32"/>
          <w:szCs w:val="32"/>
        </w:rPr>
      </w:pPr>
    </w:p>
    <w:p w14:paraId="26E6E7ED">
      <w:pPr>
        <w:pStyle w:val="56"/>
        <w:snapToGrid w:val="0"/>
        <w:spacing w:line="580" w:lineRule="exact"/>
        <w:ind w:firstLine="5932" w:firstLineChars="1854"/>
        <w:jc w:val="right"/>
        <w:rPr>
          <w:rFonts w:hint="eastAsia" w:ascii="仿宋_GB2312" w:hAnsi="Times New Roman" w:eastAsia="仿宋_GB2312"/>
          <w:sz w:val="32"/>
          <w:szCs w:val="32"/>
        </w:rPr>
      </w:pPr>
    </w:p>
    <w:p w14:paraId="7D52CAC1">
      <w:pPr>
        <w:pStyle w:val="56"/>
        <w:snapToGrid w:val="0"/>
        <w:spacing w:line="580" w:lineRule="exact"/>
        <w:ind w:firstLine="5932" w:firstLineChars="1854"/>
        <w:jc w:val="right"/>
        <w:rPr>
          <w:rFonts w:hint="eastAsia" w:ascii="仿宋_GB2312" w:hAnsi="Times New Roman" w:eastAsia="仿宋_GB2312"/>
          <w:sz w:val="32"/>
          <w:szCs w:val="32"/>
        </w:rPr>
      </w:pPr>
    </w:p>
    <w:p w14:paraId="074A17FC">
      <w:pPr>
        <w:pStyle w:val="56"/>
        <w:snapToGrid w:val="0"/>
        <w:spacing w:line="580" w:lineRule="exact"/>
        <w:ind w:firstLine="0"/>
        <w:jc w:val="both"/>
        <w:rPr>
          <w:rFonts w:ascii="仿宋_GB2312" w:hAnsi="Times New Roman" w:eastAsia="仿宋_GB2312"/>
          <w:sz w:val="32"/>
          <w:szCs w:val="32"/>
        </w:rPr>
      </w:pPr>
    </w:p>
    <w:p w14:paraId="73770004">
      <w:pPr>
        <w:pStyle w:val="56"/>
        <w:snapToGrid w:val="0"/>
        <w:spacing w:line="580" w:lineRule="exact"/>
        <w:ind w:firstLine="0"/>
        <w:jc w:val="center"/>
        <w:rPr>
          <w:rFonts w:ascii="仿宋_GB2312" w:hAnsi="Times New Roman" w:eastAsia="仿宋_GB2312"/>
          <w:sz w:val="32"/>
          <w:szCs w:val="32"/>
        </w:rPr>
      </w:pPr>
    </w:p>
    <w:p w14:paraId="2B272E37">
      <w:pPr>
        <w:pStyle w:val="56"/>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4EBA0027">
      <w:pPr>
        <w:pStyle w:val="56"/>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0298D57C">
      <w:pPr>
        <w:pStyle w:val="56"/>
        <w:snapToGrid w:val="0"/>
        <w:spacing w:line="580" w:lineRule="exact"/>
        <w:ind w:firstLine="0"/>
        <w:jc w:val="center"/>
        <w:rPr>
          <w:rFonts w:hint="eastAsia" w:ascii="楷体_GB2312" w:hAnsi="Times New Roman" w:eastAsia="楷体_GB2312"/>
          <w:sz w:val="28"/>
          <w:szCs w:val="28"/>
          <w:lang w:val="zh-CN" w:eastAsia="zh-CN"/>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hint="eastAsia" w:ascii="楷体_GB2312" w:hAnsi="Times New Roman" w:eastAsia="楷体_GB2312"/>
          <w:sz w:val="28"/>
          <w:szCs w:val="28"/>
          <w:lang w:val="zh-CN"/>
        </w:rPr>
        <w:t>编号：</w:t>
      </w:r>
      <w:r>
        <w:rPr>
          <w:rFonts w:hint="eastAsia" w:ascii="楷体_GB2312" w:hAnsi="Times New Roman" w:eastAsia="楷体_GB2312" w:cs="Times New Roman"/>
          <w:w w:val="100"/>
          <w:sz w:val="28"/>
          <w:szCs w:val="28"/>
          <w:lang w:val="en-US" w:eastAsia="zh-CN"/>
        </w:rPr>
        <w:t xml:space="preserve"> </w:t>
      </w:r>
    </w:p>
    <w:p w14:paraId="09FD3F8C">
      <w:pPr>
        <w:autoSpaceDE w:val="0"/>
        <w:autoSpaceDN w:val="0"/>
        <w:adjustRightInd w:val="0"/>
        <w:spacing w:line="580" w:lineRule="exact"/>
        <w:ind w:firstLine="525" w:firstLineChars="250"/>
        <w:jc w:val="left"/>
        <w:rPr>
          <w:rFonts w:cs="Times New Roman"/>
          <w:kern w:val="0"/>
          <w:lang w:val="zh-CN"/>
        </w:rPr>
      </w:pPr>
      <w:r>
        <w:rPr>
          <w:rFonts w:cs="Times New Roman"/>
          <w:lang w:val="zh-CN"/>
        </w:rPr>
        <w:t>我单位于</w:t>
      </w:r>
      <w:r>
        <w:rPr>
          <w:rFonts w:cs="Times New Roman"/>
          <w:u w:val="single"/>
          <w:lang w:val="zh-CN"/>
        </w:rPr>
        <w:t xml:space="preserve">       </w:t>
      </w:r>
      <w:r>
        <w:rPr>
          <w:rFonts w:cs="Times New Roman"/>
          <w:lang w:val="zh-CN"/>
        </w:rPr>
        <w:t>年</w:t>
      </w:r>
      <w:r>
        <w:rPr>
          <w:rFonts w:cs="Times New Roman"/>
          <w:u w:val="single"/>
          <w:lang w:val="zh-CN"/>
        </w:rPr>
        <w:t xml:space="preserve">    </w:t>
      </w:r>
      <w:r>
        <w:rPr>
          <w:rFonts w:cs="Times New Roman"/>
          <w:lang w:val="zh-CN"/>
        </w:rPr>
        <w:t>月</w:t>
      </w:r>
      <w:r>
        <w:rPr>
          <w:rFonts w:cs="Times New Roman"/>
          <w:u w:val="single"/>
          <w:lang w:val="zh-CN"/>
        </w:rPr>
        <w:t xml:space="preserve">    </w:t>
      </w:r>
      <w:r>
        <w:rPr>
          <w:rFonts w:cs="Times New Roman"/>
          <w:lang w:val="zh-CN"/>
        </w:rPr>
        <w:t>日收到</w:t>
      </w:r>
      <w:r>
        <w:rPr>
          <w:rFonts w:hint="eastAsia" w:cs="Times New Roman"/>
          <w:u w:val="single"/>
          <w:lang w:val="en-US" w:eastAsia="zh-CN"/>
        </w:rPr>
        <w:t>东莞市水务环境投资控股集团供水有限公司</w:t>
      </w:r>
      <w:r>
        <w:rPr>
          <w:rFonts w:cs="Times New Roman"/>
          <w:lang w:val="zh-CN"/>
        </w:rPr>
        <w:t>的《阳光合作告知</w:t>
      </w:r>
      <w:r>
        <w:rPr>
          <w:rFonts w:cs="Times New Roman"/>
          <w:kern w:val="0"/>
          <w:lang w:val="zh-CN"/>
        </w:rPr>
        <w:t>函</w:t>
      </w:r>
      <w:r>
        <w:rPr>
          <w:rFonts w:cs="Times New Roman"/>
          <w:lang w:val="zh-CN"/>
        </w:rPr>
        <w:t>》</w:t>
      </w:r>
      <w:r>
        <w:rPr>
          <w:rFonts w:cs="Times New Roman"/>
          <w:kern w:val="0"/>
          <w:lang w:val="zh-CN"/>
        </w:rPr>
        <w:t>，承诺理解函告内容并告知相关人员严格执行其中规定。</w:t>
      </w:r>
    </w:p>
    <w:p w14:paraId="19B86C82">
      <w:pPr>
        <w:autoSpaceDE w:val="0"/>
        <w:autoSpaceDN w:val="0"/>
        <w:adjustRightInd w:val="0"/>
        <w:snapToGrid w:val="0"/>
        <w:spacing w:line="580" w:lineRule="exact"/>
        <w:jc w:val="left"/>
        <w:rPr>
          <w:rFonts w:cs="Times New Roman"/>
          <w:lang w:val="zh-CN"/>
        </w:rPr>
      </w:pPr>
    </w:p>
    <w:p w14:paraId="06C05C73">
      <w:pPr>
        <w:autoSpaceDE w:val="0"/>
        <w:autoSpaceDN w:val="0"/>
        <w:adjustRightInd w:val="0"/>
        <w:snapToGrid w:val="0"/>
        <w:spacing w:line="580" w:lineRule="exact"/>
        <w:jc w:val="right"/>
        <w:rPr>
          <w:rFonts w:hint="default" w:eastAsia="宋体"/>
          <w:u w:val="single"/>
          <w:lang w:val="en-US" w:eastAsia="zh-CN"/>
        </w:rPr>
      </w:pPr>
      <w:r>
        <w:rPr>
          <w:rFonts w:cs="Times New Roman"/>
          <w:lang w:val="zh-CN"/>
        </w:rPr>
        <w:t xml:space="preserve">            </w:t>
      </w:r>
      <w:r>
        <w:rPr>
          <w:rFonts w:ascii="Times New Roman" w:hAnsi="Times New Roman" w:cs="Times New Roman"/>
          <w:kern w:val="0"/>
          <w:lang w:val="zh-CN"/>
        </w:rPr>
        <w:t xml:space="preserve"> </w:t>
      </w:r>
      <w:r>
        <w:rPr>
          <w:rFonts w:hint="eastAsia" w:ascii="Times New Roman" w:hAnsi="Times New Roman" w:cs="Times New Roman"/>
          <w:kern w:val="0"/>
          <w:u w:val="single"/>
          <w:lang w:val="en-US" w:eastAsia="zh-CN"/>
        </w:rPr>
        <w:t xml:space="preserve"> </w:t>
      </w:r>
      <w:r>
        <w:rPr>
          <w:rFonts w:hint="eastAsia" w:cs="Times New Roman"/>
          <w:kern w:val="0"/>
          <w:u w:val="single"/>
          <w:lang w:val="en-US" w:eastAsia="zh-CN"/>
        </w:rPr>
        <w:t>***************</w:t>
      </w:r>
    </w:p>
    <w:p w14:paraId="31F2877D">
      <w:pPr>
        <w:wordWrap w:val="0"/>
        <w:autoSpaceDE w:val="0"/>
        <w:autoSpaceDN w:val="0"/>
        <w:adjustRightInd w:val="0"/>
        <w:snapToGrid w:val="0"/>
        <w:spacing w:line="580" w:lineRule="exact"/>
        <w:jc w:val="right"/>
        <w:rPr>
          <w:rFonts w:hint="default" w:eastAsia="仿宋_GB2312" w:cs="Times New Roman"/>
          <w:lang w:val="en-US" w:eastAsia="zh-CN"/>
        </w:rPr>
      </w:pPr>
      <w:r>
        <w:rPr>
          <w:rFonts w:cs="Times New Roman"/>
          <w:lang w:val="zh-CN"/>
        </w:rPr>
        <w:t>（盖章）</w:t>
      </w:r>
      <w:r>
        <w:rPr>
          <w:rFonts w:hint="eastAsia" w:cs="Times New Roman"/>
          <w:lang w:val="en-US" w:eastAsia="zh-CN"/>
        </w:rPr>
        <w:t xml:space="preserve">            </w:t>
      </w:r>
    </w:p>
    <w:p w14:paraId="56ED3F34">
      <w:pPr>
        <w:autoSpaceDE w:val="0"/>
        <w:autoSpaceDN w:val="0"/>
        <w:adjustRightInd w:val="0"/>
        <w:snapToGrid w:val="0"/>
        <w:spacing w:line="580" w:lineRule="exact"/>
        <w:jc w:val="left"/>
        <w:rPr>
          <w:rFonts w:cs="Times New Roman"/>
          <w:lang w:val="zh-CN"/>
        </w:rPr>
      </w:pPr>
    </w:p>
    <w:p w14:paraId="66534CA3">
      <w:pPr>
        <w:autoSpaceDE w:val="0"/>
        <w:autoSpaceDN w:val="0"/>
        <w:adjustRightInd w:val="0"/>
        <w:snapToGrid w:val="0"/>
        <w:spacing w:line="580" w:lineRule="exact"/>
        <w:ind w:right="1280" w:firstLine="3360" w:firstLineChars="1600"/>
        <w:rPr>
          <w:rFonts w:cs="Times New Roman"/>
        </w:rPr>
      </w:pPr>
      <w:r>
        <w:rPr>
          <w:rFonts w:hint="eastAsia" w:cs="Times New Roman"/>
        </w:rPr>
        <w:t xml:space="preserve"> </w:t>
      </w:r>
      <w:r>
        <w:rPr>
          <w:rFonts w:cs="Times New Roman"/>
        </w:rPr>
        <w:t xml:space="preserve">法定代表人：           </w:t>
      </w:r>
    </w:p>
    <w:p w14:paraId="1AA477B1">
      <w:pPr>
        <w:wordWrap w:val="0"/>
        <w:autoSpaceDE w:val="0"/>
        <w:autoSpaceDN w:val="0"/>
        <w:adjustRightInd w:val="0"/>
        <w:snapToGrid w:val="0"/>
        <w:spacing w:line="580" w:lineRule="exact"/>
        <w:jc w:val="right"/>
        <w:rPr>
          <w:rFonts w:cs="Times New Roman"/>
        </w:rPr>
      </w:pPr>
      <w:r>
        <w:rPr>
          <w:rFonts w:hint="eastAsia" w:cs="Times New Roman"/>
        </w:rPr>
        <w:t xml:space="preserve"> </w:t>
      </w:r>
    </w:p>
    <w:p w14:paraId="4AAD36A1">
      <w:pPr>
        <w:autoSpaceDE w:val="0"/>
        <w:autoSpaceDN w:val="0"/>
        <w:adjustRightInd w:val="0"/>
        <w:snapToGrid w:val="0"/>
        <w:spacing w:line="580" w:lineRule="exact"/>
        <w:jc w:val="right"/>
        <w:rPr>
          <w:rFonts w:cs="Times New Roman"/>
        </w:rPr>
      </w:pPr>
      <w:r>
        <w:rPr>
          <w:rFonts w:cs="Times New Roman"/>
        </w:rPr>
        <w:t>年    月    日</w:t>
      </w:r>
    </w:p>
    <w:p w14:paraId="06B2425E">
      <w:pPr>
        <w:pStyle w:val="3"/>
        <w:rPr>
          <w:rFonts w:ascii="仿宋_GB2312" w:hAnsi="仿宋_GB2312" w:eastAsia="仿宋_GB2312" w:cs="仿宋_GB2312"/>
          <w:color w:val="auto"/>
          <w:szCs w:val="21"/>
          <w:highlight w:val="none"/>
        </w:rPr>
      </w:pPr>
    </w:p>
    <w:p w14:paraId="330BFE47"/>
    <w:p w14:paraId="2C1ECDB6">
      <w:pPr>
        <w:pStyle w:val="18"/>
        <w:pageBreakBefore/>
        <w:ind w:firstLine="3120" w:firstLineChars="1036"/>
        <w:jc w:val="both"/>
        <w:rPr>
          <w:rFonts w:hint="eastAsia"/>
          <w:b/>
          <w:bCs/>
          <w:color w:val="auto"/>
          <w:sz w:val="30"/>
          <w:szCs w:val="30"/>
          <w:highlight w:val="none"/>
          <w:shd w:val="clear" w:color="auto" w:fill="FFFFFF"/>
        </w:rPr>
      </w:pPr>
      <w:bookmarkStart w:id="14" w:name="_Toc1352"/>
      <w:bookmarkStart w:id="15" w:name="_Toc3283"/>
      <w:r>
        <w:rPr>
          <w:rFonts w:hint="eastAsia" w:ascii="宋体" w:hAnsi="宋体"/>
          <w:color w:val="auto"/>
          <w:sz w:val="30"/>
          <w:szCs w:val="30"/>
          <w:highlight w:val="none"/>
          <w:lang w:val="zh-CN"/>
        </w:rPr>
        <w:t>第</w:t>
      </w:r>
      <w:r>
        <w:rPr>
          <w:rFonts w:hint="eastAsia" w:ascii="宋体" w:hAnsi="宋体"/>
          <w:color w:val="auto"/>
          <w:sz w:val="30"/>
          <w:szCs w:val="30"/>
          <w:highlight w:val="none"/>
          <w:lang w:val="en-US" w:eastAsia="zh-CN"/>
        </w:rPr>
        <w:t>四</w:t>
      </w:r>
      <w:r>
        <w:rPr>
          <w:rFonts w:hint="eastAsia" w:ascii="宋体" w:hAnsi="宋体"/>
          <w:color w:val="auto"/>
          <w:sz w:val="30"/>
          <w:szCs w:val="30"/>
          <w:highlight w:val="none"/>
          <w:lang w:val="zh-CN"/>
        </w:rPr>
        <w:t xml:space="preserve">篇 </w:t>
      </w:r>
      <w:bookmarkEnd w:id="14"/>
      <w:bookmarkStart w:id="16" w:name="_Toc50572123"/>
      <w:bookmarkStart w:id="17" w:name="_Toc51333928"/>
      <w:r>
        <w:rPr>
          <w:rFonts w:hint="eastAsia"/>
          <w:lang w:val="zh-CN"/>
        </w:rPr>
        <w:t>报价文件的组成</w:t>
      </w:r>
      <w:bookmarkEnd w:id="15"/>
    </w:p>
    <w:bookmarkEnd w:id="16"/>
    <w:bookmarkEnd w:id="17"/>
    <w:p w14:paraId="4F903406">
      <w:pPr>
        <w:rPr>
          <w:rFonts w:ascii="Times New Roman" w:hAnsi="Times New Roman" w:eastAsia="宋体"/>
          <w:b/>
          <w:color w:val="000000"/>
          <w:sz w:val="28"/>
          <w:szCs w:val="28"/>
          <w:highlight w:val="none"/>
        </w:rPr>
      </w:pPr>
      <w:bookmarkStart w:id="18" w:name="_Toc34746052"/>
      <w:bookmarkStart w:id="19" w:name="_Toc34752515"/>
      <w:bookmarkStart w:id="20" w:name="_Toc34746360"/>
      <w:bookmarkStart w:id="21" w:name="_Toc34745985"/>
      <w:bookmarkStart w:id="22" w:name="_Toc24461"/>
      <w:r>
        <w:rPr>
          <w:rFonts w:hint="default" w:ascii="Times New Roman" w:hAnsi="Times New Roman" w:eastAsia="宋体"/>
          <w:b/>
          <w:color w:val="000000"/>
          <w:sz w:val="28"/>
          <w:szCs w:val="28"/>
          <w:highlight w:val="none"/>
        </w:rPr>
        <w:t>1</w:t>
      </w:r>
      <w:r>
        <w:rPr>
          <w:rFonts w:hint="eastAsia" w:eastAsia="宋体"/>
          <w:b/>
          <w:color w:val="000000"/>
          <w:sz w:val="28"/>
          <w:szCs w:val="28"/>
          <w:highlight w:val="none"/>
          <w:lang w:eastAsia="zh-CN"/>
        </w:rPr>
        <w:t>.</w:t>
      </w:r>
      <w:r>
        <w:rPr>
          <w:rFonts w:hint="default" w:ascii="Times New Roman" w:hAnsi="Times New Roman" w:eastAsia="宋体"/>
          <w:b/>
          <w:color w:val="000000"/>
          <w:sz w:val="28"/>
          <w:szCs w:val="28"/>
          <w:highlight w:val="none"/>
        </w:rPr>
        <w:t>报价表</w:t>
      </w:r>
      <w:bookmarkEnd w:id="18"/>
      <w:bookmarkEnd w:id="19"/>
      <w:bookmarkEnd w:id="20"/>
      <w:bookmarkEnd w:id="21"/>
      <w:bookmarkEnd w:id="22"/>
    </w:p>
    <w:p w14:paraId="6D027370">
      <w:pPr>
        <w:spacing w:line="360" w:lineRule="auto"/>
        <w:ind w:firstLine="5040" w:firstLineChars="2400"/>
        <w:jc w:val="right"/>
        <w:rPr>
          <w:rFonts w:ascii="宋体" w:hAnsi="宋体"/>
          <w:color w:val="auto"/>
          <w:szCs w:val="21"/>
          <w:highlight w:val="none"/>
          <w:lang w:val="zh-CN"/>
        </w:rPr>
      </w:pPr>
    </w:p>
    <w:tbl>
      <w:tblPr>
        <w:tblStyle w:val="20"/>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8189"/>
      </w:tblGrid>
      <w:tr w14:paraId="712D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50" w:type="dxa"/>
            <w:vAlign w:val="center"/>
          </w:tcPr>
          <w:p w14:paraId="1133AF0F">
            <w:pPr>
              <w:jc w:val="center"/>
              <w:rPr>
                <w:rFonts w:ascii="宋体" w:hAnsi="宋体"/>
                <w:color w:val="auto"/>
                <w:szCs w:val="21"/>
                <w:highlight w:val="none"/>
              </w:rPr>
            </w:pPr>
            <w:r>
              <w:rPr>
                <w:rFonts w:hint="eastAsia" w:ascii="宋体" w:hAnsi="宋体"/>
                <w:color w:val="auto"/>
                <w:szCs w:val="21"/>
                <w:highlight w:val="none"/>
              </w:rPr>
              <w:t>项目名称</w:t>
            </w:r>
          </w:p>
        </w:tc>
        <w:tc>
          <w:tcPr>
            <w:tcW w:w="8189" w:type="dxa"/>
            <w:vAlign w:val="center"/>
          </w:tcPr>
          <w:p w14:paraId="3F766D94">
            <w:pPr>
              <w:jc w:val="center"/>
              <w:rPr>
                <w:rFonts w:hint="default" w:ascii="宋体" w:hAnsi="宋体" w:cs="Times New Roman"/>
                <w:color w:val="auto"/>
                <w:kern w:val="2"/>
                <w:szCs w:val="21"/>
                <w:highlight w:val="none"/>
              </w:rPr>
            </w:pPr>
            <w:r>
              <w:rPr>
                <w:rFonts w:hint="default" w:ascii="宋体" w:hAnsi="宋体" w:eastAsia="宋体" w:cs="Times New Roman"/>
                <w:b w:val="0"/>
                <w:bCs w:val="0"/>
                <w:color w:val="auto"/>
                <w:sz w:val="21"/>
                <w:szCs w:val="21"/>
                <w:highlight w:val="none"/>
                <w:u w:val="none"/>
              </w:rPr>
              <w:t>东莞市水务环境投资控股集团供水有限公司拟转让一批资产设备项目</w:t>
            </w:r>
          </w:p>
        </w:tc>
      </w:tr>
      <w:tr w14:paraId="2595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550" w:type="dxa"/>
            <w:vMerge w:val="restart"/>
            <w:vAlign w:val="center"/>
          </w:tcPr>
          <w:p w14:paraId="73DC3215">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含税报价</w:t>
            </w:r>
          </w:p>
          <w:p w14:paraId="2038B3B2">
            <w:pPr>
              <w:jc w:val="center"/>
              <w:rPr>
                <w:rFonts w:hint="default" w:ascii="宋体" w:hAnsi="宋体" w:eastAsia="宋体"/>
                <w:color w:val="auto"/>
                <w:szCs w:val="21"/>
                <w:highlight w:val="none"/>
                <w:lang w:val="en-US" w:eastAsia="zh-CN"/>
              </w:rPr>
            </w:pPr>
            <w:r>
              <w:rPr>
                <w:rFonts w:hint="default" w:ascii="Times New Roman" w:hAnsi="Times New Roman" w:cs="Times New Roman"/>
                <w:color w:val="000000"/>
                <w:sz w:val="24"/>
                <w:szCs w:val="28"/>
                <w:highlight w:val="none"/>
              </w:rPr>
              <w:t>（单位：元）</w:t>
            </w:r>
          </w:p>
        </w:tc>
        <w:tc>
          <w:tcPr>
            <w:tcW w:w="8189" w:type="dxa"/>
            <w:vAlign w:val="center"/>
          </w:tcPr>
          <w:p w14:paraId="02FB828C">
            <w:pPr>
              <w:pStyle w:val="9"/>
              <w:spacing w:line="240" w:lineRule="exact"/>
              <w:jc w:val="center"/>
              <w:rPr>
                <w:rFonts w:hint="eastAsia" w:ascii="宋体" w:hAnsi="Courier New"/>
                <w:color w:val="auto"/>
                <w:szCs w:val="21"/>
                <w:highlight w:val="none"/>
                <w:u w:val="none"/>
                <w:lang w:bidi="ar"/>
              </w:rPr>
            </w:pPr>
          </w:p>
          <w:p w14:paraId="2E9AB909">
            <w:pPr>
              <w:pStyle w:val="9"/>
              <w:spacing w:line="240" w:lineRule="exact"/>
              <w:jc w:val="center"/>
              <w:rPr>
                <w:rFonts w:hint="eastAsia" w:ascii="宋体" w:hAnsi="Courier New" w:eastAsia="宋体" w:cs="Times New Roman"/>
                <w:i w:val="0"/>
                <w:iCs w:val="0"/>
                <w:color w:val="auto"/>
                <w:kern w:val="2"/>
                <w:sz w:val="21"/>
                <w:szCs w:val="21"/>
                <w:highlight w:val="none"/>
                <w:u w:val="none"/>
                <w:shd w:val="clear" w:color="auto" w:fill="auto"/>
                <w:lang w:val="en-US" w:eastAsia="zh-CN" w:bidi="ar"/>
              </w:rPr>
            </w:pPr>
          </w:p>
          <w:p w14:paraId="3464A66B">
            <w:pPr>
              <w:pStyle w:val="9"/>
              <w:spacing w:line="240" w:lineRule="exact"/>
              <w:jc w:val="center"/>
              <w:rPr>
                <w:rFonts w:hint="eastAsia" w:ascii="仿宋_GB2312" w:hAnsi="仿宋_GB2312" w:eastAsia="仿宋_GB2312" w:cs="仿宋_GB2312"/>
                <w:color w:val="auto"/>
                <w:kern w:val="2"/>
                <w:sz w:val="21"/>
                <w:szCs w:val="21"/>
                <w:highlight w:val="none"/>
                <w:u w:val="single"/>
                <w:lang w:val="en-US" w:eastAsia="zh-CN" w:bidi="ar-SA"/>
              </w:rPr>
            </w:pPr>
            <w:r>
              <w:rPr>
                <w:rFonts w:hint="eastAsia"/>
                <w:color w:val="auto"/>
                <w:szCs w:val="21"/>
                <w:highlight w:val="none"/>
                <w:lang w:val="en-US" w:eastAsia="zh-CN"/>
              </w:rPr>
              <w:t>含税总价为</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color w:val="auto"/>
                <w:szCs w:val="21"/>
                <w:highlight w:val="none"/>
                <w:lang w:val="en-US" w:eastAsia="zh-CN"/>
              </w:rPr>
              <w:t>元。</w:t>
            </w:r>
          </w:p>
          <w:p w14:paraId="2C8EE894">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p>
        </w:tc>
      </w:tr>
      <w:tr w14:paraId="4E12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1550" w:type="dxa"/>
            <w:vAlign w:val="center"/>
          </w:tcPr>
          <w:p w14:paraId="2CA61D64">
            <w:pPr>
              <w:jc w:val="center"/>
              <w:rPr>
                <w:rFonts w:ascii="宋体" w:hAnsi="宋体"/>
                <w:color w:val="auto"/>
                <w:szCs w:val="21"/>
                <w:highlight w:val="none"/>
              </w:rPr>
            </w:pPr>
            <w:r>
              <w:rPr>
                <w:rFonts w:hint="eastAsia" w:ascii="宋体" w:hAnsi="宋体"/>
                <w:color w:val="auto"/>
                <w:szCs w:val="21"/>
                <w:highlight w:val="none"/>
              </w:rPr>
              <w:t>备注</w:t>
            </w:r>
          </w:p>
        </w:tc>
        <w:tc>
          <w:tcPr>
            <w:tcW w:w="8189" w:type="dxa"/>
            <w:vAlign w:val="center"/>
          </w:tcPr>
          <w:p w14:paraId="19DAC507">
            <w:pPr>
              <w:pStyle w:val="7"/>
              <w:spacing w:line="240" w:lineRule="auto"/>
              <w:rPr>
                <w:rFonts w:hint="eastAsia" w:ascii="宋体" w:hAnsi="宋体" w:eastAsia="宋体" w:cs="宋体"/>
                <w:lang w:val="en-US" w:eastAsia="zh-CN"/>
              </w:rPr>
            </w:pPr>
          </w:p>
        </w:tc>
      </w:tr>
    </w:tbl>
    <w:p w14:paraId="469CA975">
      <w:pPr>
        <w:pStyle w:val="7"/>
        <w:rPr>
          <w:color w:val="auto"/>
          <w:highlight w:val="none"/>
        </w:rPr>
      </w:pPr>
    </w:p>
    <w:p w14:paraId="189C6FE0">
      <w:pPr>
        <w:pStyle w:val="9"/>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联系人：                          联系电话：</w:t>
      </w:r>
    </w:p>
    <w:p w14:paraId="1FFE94FB">
      <w:pPr>
        <w:pStyle w:val="9"/>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联系地址：</w:t>
      </w:r>
    </w:p>
    <w:p w14:paraId="7B7C8724">
      <w:pPr>
        <w:pStyle w:val="9"/>
        <w:spacing w:line="360" w:lineRule="auto"/>
        <w:rPr>
          <w:rFonts w:hint="default" w:ascii="Times New Roman" w:hAnsi="Times New Roman" w:cs="Times New Roman"/>
          <w:color w:val="000000"/>
          <w:sz w:val="24"/>
          <w:szCs w:val="28"/>
          <w:highlight w:val="none"/>
        </w:rPr>
      </w:pPr>
    </w:p>
    <w:p w14:paraId="141A4DF1">
      <w:pPr>
        <w:ind w:left="0" w:leftChars="0" w:firstLine="4410" w:firstLineChars="2100"/>
        <w:rPr>
          <w:rFonts w:hint="default" w:ascii="Times New Roman" w:hAnsi="Times New Roman" w:cs="Times New Roman"/>
          <w:szCs w:val="21"/>
          <w:highlight w:val="none"/>
        </w:rPr>
      </w:pPr>
      <w:r>
        <w:rPr>
          <w:rFonts w:hint="eastAsia" w:cs="Times New Roman"/>
          <w:szCs w:val="21"/>
          <w:highlight w:val="none"/>
          <w:lang w:val="en-US" w:eastAsia="zh-CN"/>
        </w:rPr>
        <w:t>意向方</w:t>
      </w:r>
      <w:r>
        <w:rPr>
          <w:rFonts w:hint="default" w:ascii="Times New Roman" w:hAnsi="Times New Roman" w:cs="Times New Roman"/>
          <w:szCs w:val="21"/>
          <w:highlight w:val="none"/>
        </w:rPr>
        <w:t>名称（加盖公章）：</w:t>
      </w:r>
    </w:p>
    <w:p w14:paraId="3B72E66A">
      <w:pPr>
        <w:ind w:firstLine="4410" w:firstLineChars="2100"/>
        <w:jc w:val="left"/>
        <w:rPr>
          <w:rFonts w:hint="default" w:ascii="Times New Roman" w:hAnsi="Times New Roman" w:cs="Times New Roman"/>
          <w:color w:val="000000"/>
          <w:kern w:val="2"/>
          <w:szCs w:val="28"/>
          <w:highlight w:val="none"/>
          <w:lang w:val="zh-CN"/>
        </w:rPr>
      </w:pPr>
      <w:r>
        <w:rPr>
          <w:rFonts w:hint="default" w:ascii="Times New Roman" w:hAnsi="Times New Roman" w:cs="Times New Roman"/>
          <w:szCs w:val="21"/>
          <w:highlight w:val="none"/>
        </w:rPr>
        <w:t>日期：    年  月  日</w:t>
      </w:r>
      <w:bookmarkStart w:id="23" w:name="_Toc34746361"/>
      <w:bookmarkStart w:id="24" w:name="_Toc34746053"/>
      <w:bookmarkStart w:id="25" w:name="_Toc34745986"/>
    </w:p>
    <w:p w14:paraId="3AB4A725">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br w:type="page"/>
      </w:r>
    </w:p>
    <w:p w14:paraId="706266D6">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2.</w:t>
      </w:r>
      <w:bookmarkStart w:id="26" w:name="_Hlk40432212"/>
      <w:r>
        <w:rPr>
          <w:rFonts w:hint="default" w:ascii="Times New Roman" w:hAnsi="Times New Roman" w:cs="Times New Roman"/>
          <w:b/>
          <w:color w:val="000000"/>
          <w:sz w:val="28"/>
          <w:szCs w:val="28"/>
          <w:highlight w:val="none"/>
        </w:rPr>
        <w:t>项目响应声明</w:t>
      </w:r>
      <w:bookmarkEnd w:id="26"/>
    </w:p>
    <w:p w14:paraId="2A10A284">
      <w:pPr>
        <w:spacing w:line="360" w:lineRule="auto"/>
        <w:ind w:firstLine="420" w:firstLineChars="200"/>
        <w:rPr>
          <w:rFonts w:hint="default" w:ascii="Times New Roman" w:hAnsi="Times New Roman" w:cs="Times New Roman"/>
          <w:color w:val="000000"/>
          <w:sz w:val="21"/>
          <w:szCs w:val="21"/>
          <w:highlight w:val="none"/>
        </w:rPr>
      </w:pPr>
    </w:p>
    <w:p w14:paraId="0BA8E9EF">
      <w:pPr>
        <w:spacing w:line="360" w:lineRule="auto"/>
        <w:ind w:left="-2" w:leftChars="-1" w:firstLine="1"/>
        <w:jc w:val="center"/>
        <w:rPr>
          <w:rFonts w:hint="default" w:ascii="Times New Roman" w:hAnsi="Times New Roman" w:cs="Times New Roman"/>
          <w:b/>
          <w:bCs/>
          <w:kern w:val="2"/>
          <w:sz w:val="32"/>
          <w:szCs w:val="32"/>
          <w:highlight w:val="none"/>
          <w:lang w:val="zh-CN"/>
        </w:rPr>
      </w:pPr>
    </w:p>
    <w:p w14:paraId="7FB805AB">
      <w:pPr>
        <w:spacing w:line="360" w:lineRule="auto"/>
        <w:ind w:left="-2" w:leftChars="-1" w:firstLine="1"/>
        <w:jc w:val="center"/>
        <w:rPr>
          <w:rFonts w:hint="default" w:ascii="Times New Roman" w:hAnsi="Times New Roman" w:cs="Times New Roman"/>
          <w:b/>
          <w:bCs/>
          <w:kern w:val="2"/>
          <w:sz w:val="28"/>
          <w:szCs w:val="28"/>
          <w:highlight w:val="none"/>
          <w:lang w:val="zh-CN"/>
        </w:rPr>
      </w:pPr>
      <w:r>
        <w:rPr>
          <w:rFonts w:hint="default" w:ascii="Times New Roman" w:hAnsi="Times New Roman" w:cs="Times New Roman"/>
          <w:b/>
          <w:bCs/>
          <w:kern w:val="2"/>
          <w:sz w:val="28"/>
          <w:szCs w:val="28"/>
          <w:highlight w:val="none"/>
          <w:lang w:val="zh-CN"/>
        </w:rPr>
        <w:t>响应声明</w:t>
      </w:r>
    </w:p>
    <w:p w14:paraId="35B0A6B2">
      <w:pPr>
        <w:spacing w:line="360" w:lineRule="auto"/>
        <w:ind w:firstLine="424" w:firstLineChars="202"/>
        <w:rPr>
          <w:rFonts w:hint="default" w:ascii="Times New Roman" w:hAnsi="Times New Roman" w:cs="Times New Roman"/>
          <w:highlight w:val="none"/>
        </w:rPr>
      </w:pPr>
      <w:r>
        <w:rPr>
          <w:rFonts w:hint="default" w:ascii="Times New Roman" w:hAnsi="Times New Roman" w:cs="Times New Roman"/>
          <w:highlight w:val="none"/>
        </w:rPr>
        <w:t xml:space="preserve">我方已详细查阅了询价文件的所有内容，对询价文件中的“第三篇 </w:t>
      </w:r>
      <w:r>
        <w:rPr>
          <w:rFonts w:hint="eastAsia" w:cs="Times New Roman"/>
          <w:highlight w:val="none"/>
          <w:lang w:val="en-US" w:eastAsia="zh-CN"/>
        </w:rPr>
        <w:t>项目说明</w:t>
      </w:r>
      <w:r>
        <w:rPr>
          <w:rFonts w:hint="default" w:ascii="Times New Roman" w:hAnsi="Times New Roman" w:cs="Times New Roman"/>
          <w:highlight w:val="none"/>
        </w:rPr>
        <w:t>”和“第四篇 合同条款”完全响应。一旦我方成交，将保证按质、按量、按期地完成项目中的全部责任和义务。我方在接收成交通知书（直接送达或邮寄方式，以实际收到的时间为送达时间）或成交邮件送达（发出之日即视为送达）后，愿意按询价文件中的合同条款执行。</w:t>
      </w:r>
    </w:p>
    <w:p w14:paraId="68FF1658">
      <w:pPr>
        <w:spacing w:line="360" w:lineRule="auto"/>
        <w:ind w:firstLine="424" w:firstLineChars="202"/>
        <w:rPr>
          <w:rFonts w:hint="default" w:ascii="Times New Roman" w:hAnsi="Times New Roman" w:cs="Times New Roman"/>
          <w:highlight w:val="none"/>
        </w:rPr>
      </w:pPr>
      <w:r>
        <w:rPr>
          <w:rFonts w:hint="default" w:ascii="Times New Roman" w:hAnsi="Times New Roman" w:cs="Times New Roman"/>
          <w:highlight w:val="none"/>
        </w:rPr>
        <w:t>特此声明！</w:t>
      </w:r>
    </w:p>
    <w:p w14:paraId="6230106A">
      <w:pPr>
        <w:spacing w:line="360" w:lineRule="auto"/>
        <w:ind w:firstLine="420" w:firstLineChars="200"/>
        <w:rPr>
          <w:rFonts w:hint="default" w:ascii="Times New Roman" w:hAnsi="Times New Roman" w:cs="Times New Roman"/>
          <w:color w:val="000000"/>
          <w:highlight w:val="none"/>
        </w:rPr>
      </w:pPr>
    </w:p>
    <w:p w14:paraId="371C94CB">
      <w:pPr>
        <w:spacing w:line="360" w:lineRule="auto"/>
        <w:ind w:firstLine="4464" w:firstLineChars="2126"/>
        <w:rPr>
          <w:rFonts w:hint="default" w:ascii="Times New Roman" w:hAnsi="Times New Roman" w:cs="Times New Roman"/>
          <w:szCs w:val="21"/>
          <w:highlight w:val="none"/>
        </w:rPr>
      </w:pPr>
      <w:r>
        <w:rPr>
          <w:rFonts w:hint="eastAsia" w:cs="Times New Roman"/>
          <w:szCs w:val="21"/>
          <w:highlight w:val="none"/>
          <w:lang w:val="en-US" w:eastAsia="zh-CN"/>
        </w:rPr>
        <w:t>意向方</w:t>
      </w:r>
      <w:r>
        <w:rPr>
          <w:rFonts w:hint="default" w:ascii="Times New Roman" w:hAnsi="Times New Roman" w:cs="Times New Roman"/>
          <w:szCs w:val="21"/>
          <w:highlight w:val="none"/>
        </w:rPr>
        <w:t>名称（加盖公章）：</w:t>
      </w:r>
    </w:p>
    <w:p w14:paraId="66FA6F3D">
      <w:pPr>
        <w:spacing w:line="360" w:lineRule="auto"/>
        <w:ind w:firstLine="4464" w:firstLineChars="2126"/>
        <w:rPr>
          <w:rFonts w:hint="default" w:ascii="Times New Roman" w:hAnsi="Times New Roman" w:cs="Times New Roman"/>
          <w:color w:val="FF0000"/>
          <w:highlight w:val="none"/>
        </w:rPr>
      </w:pPr>
      <w:r>
        <w:rPr>
          <w:rFonts w:hint="default" w:ascii="Times New Roman" w:hAnsi="Times New Roman" w:cs="Times New Roman"/>
          <w:highlight w:val="none"/>
        </w:rPr>
        <w:t>日期：    年  月  日</w:t>
      </w:r>
    </w:p>
    <w:p w14:paraId="47BB2ECA">
      <w:pPr>
        <w:spacing w:line="360" w:lineRule="auto"/>
        <w:rPr>
          <w:rFonts w:hint="default" w:ascii="Times New Roman" w:hAnsi="Times New Roman" w:cs="Times New Roman"/>
          <w:color w:val="FF0000"/>
          <w:szCs w:val="22"/>
          <w:highlight w:val="none"/>
        </w:rPr>
      </w:pPr>
    </w:p>
    <w:p w14:paraId="44D7CD1F">
      <w:pPr>
        <w:spacing w:line="360" w:lineRule="auto"/>
        <w:rPr>
          <w:rFonts w:hint="default" w:ascii="Times New Roman" w:hAnsi="Times New Roman" w:cs="Times New Roman"/>
          <w:color w:val="FF0000"/>
          <w:szCs w:val="22"/>
          <w:highlight w:val="none"/>
        </w:rPr>
      </w:pPr>
    </w:p>
    <w:p w14:paraId="044934CC">
      <w:pPr>
        <w:spacing w:line="360" w:lineRule="auto"/>
        <w:rPr>
          <w:rFonts w:hint="default" w:ascii="Times New Roman" w:hAnsi="Times New Roman" w:cs="Times New Roman"/>
          <w:color w:val="FF0000"/>
          <w:szCs w:val="22"/>
          <w:highlight w:val="none"/>
        </w:rPr>
      </w:pPr>
    </w:p>
    <w:p w14:paraId="3ACC6725">
      <w:pPr>
        <w:spacing w:line="360" w:lineRule="auto"/>
        <w:jc w:val="center"/>
        <w:rPr>
          <w:rFonts w:hint="default" w:ascii="Times New Roman" w:hAnsi="Times New Roman" w:cs="Times New Roman"/>
          <w:color w:val="FF0000"/>
          <w:szCs w:val="22"/>
          <w:highlight w:val="none"/>
        </w:rPr>
      </w:pPr>
    </w:p>
    <w:p w14:paraId="66CC6A08">
      <w:pPr>
        <w:spacing w:line="360" w:lineRule="auto"/>
        <w:jc w:val="center"/>
        <w:rPr>
          <w:rFonts w:hint="default" w:ascii="Times New Roman" w:hAnsi="Times New Roman" w:cs="Times New Roman"/>
          <w:color w:val="FF0000"/>
          <w:szCs w:val="22"/>
          <w:highlight w:val="none"/>
        </w:rPr>
      </w:pPr>
    </w:p>
    <w:p w14:paraId="012ED9C5">
      <w:pPr>
        <w:spacing w:line="360" w:lineRule="auto"/>
        <w:rPr>
          <w:rFonts w:hint="default" w:ascii="Times New Roman" w:hAnsi="Times New Roman" w:cs="Times New Roman"/>
          <w:sz w:val="32"/>
          <w:szCs w:val="28"/>
          <w:highlight w:val="none"/>
        </w:rPr>
      </w:pPr>
    </w:p>
    <w:p w14:paraId="35D394BE">
      <w:pPr>
        <w:spacing w:line="360" w:lineRule="auto"/>
        <w:ind w:firstLine="640" w:firstLineChars="200"/>
        <w:rPr>
          <w:rFonts w:hint="default" w:ascii="Times New Roman" w:hAnsi="Times New Roman" w:cs="Times New Roman"/>
          <w:sz w:val="32"/>
          <w:szCs w:val="28"/>
          <w:highlight w:val="none"/>
        </w:rPr>
        <w:sectPr>
          <w:footerReference r:id="rId4" w:type="first"/>
          <w:footerReference r:id="rId3" w:type="default"/>
          <w:pgSz w:w="11906" w:h="16838"/>
          <w:pgMar w:top="1418" w:right="1134" w:bottom="1134" w:left="1134" w:header="851" w:footer="992" w:gutter="0"/>
          <w:pgBorders>
            <w:top w:val="none" w:sz="0" w:space="0"/>
            <w:left w:val="none" w:sz="0" w:space="0"/>
            <w:bottom w:val="none" w:sz="0" w:space="0"/>
            <w:right w:val="none" w:sz="0" w:space="0"/>
          </w:pgBorders>
          <w:pgNumType w:fmt="decimal"/>
          <w:cols w:space="425" w:num="1"/>
          <w:docGrid w:linePitch="326" w:charSpace="0"/>
        </w:sectPr>
      </w:pPr>
    </w:p>
    <w:p w14:paraId="7BC253DE">
      <w:pPr>
        <w:rPr>
          <w:rFonts w:hint="default" w:ascii="Times New Roman" w:hAnsi="Times New Roman" w:cs="Times New Roman"/>
          <w:b/>
          <w:color w:val="000000"/>
          <w:sz w:val="28"/>
          <w:szCs w:val="28"/>
          <w:highlight w:val="none"/>
        </w:rPr>
      </w:pPr>
      <w:bookmarkStart w:id="27" w:name="_Toc29476709"/>
      <w:bookmarkStart w:id="28" w:name="_Toc27494730"/>
      <w:bookmarkStart w:id="29" w:name="_Toc27491776"/>
      <w:bookmarkStart w:id="30" w:name="_Toc27494836"/>
      <w:bookmarkStart w:id="31" w:name="_Hlk27495409"/>
      <w:r>
        <w:rPr>
          <w:rFonts w:hint="default" w:ascii="Times New Roman" w:hAnsi="Times New Roman" w:cs="Times New Roman"/>
          <w:b/>
          <w:color w:val="000000"/>
          <w:sz w:val="28"/>
          <w:szCs w:val="28"/>
          <w:highlight w:val="none"/>
        </w:rPr>
        <w:t>3.</w:t>
      </w:r>
      <w:bookmarkStart w:id="32" w:name="_Hlk39768853"/>
      <w:r>
        <w:rPr>
          <w:rFonts w:hint="default" w:ascii="Times New Roman" w:hAnsi="Times New Roman" w:cs="Times New Roman"/>
          <w:b/>
          <w:color w:val="000000"/>
          <w:sz w:val="28"/>
          <w:szCs w:val="28"/>
          <w:highlight w:val="none"/>
        </w:rPr>
        <w:t>营业执照</w:t>
      </w:r>
      <w:bookmarkStart w:id="33" w:name="_Hlk39769813"/>
      <w:r>
        <w:rPr>
          <w:rFonts w:hint="default" w:ascii="Times New Roman" w:hAnsi="Times New Roman" w:cs="Times New Roman"/>
          <w:b/>
          <w:color w:val="000000"/>
          <w:sz w:val="28"/>
          <w:szCs w:val="28"/>
          <w:highlight w:val="none"/>
        </w:rPr>
        <w:t>及相关资质证书</w:t>
      </w:r>
      <w:bookmarkEnd w:id="32"/>
      <w:bookmarkEnd w:id="33"/>
    </w:p>
    <w:p w14:paraId="7F1E1A13">
      <w:pPr>
        <w:jc w:val="center"/>
        <w:rPr>
          <w:rFonts w:hint="default" w:ascii="Times New Roman" w:hAnsi="Times New Roman" w:cs="Times New Roman"/>
          <w:bCs/>
          <w:color w:val="FF0000"/>
          <w:highlight w:val="none"/>
        </w:rPr>
      </w:pPr>
    </w:p>
    <w:p w14:paraId="70CD8A37">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请附上营业执照及相关资质证书，需加盖公章</w:t>
      </w:r>
      <w:r>
        <w:rPr>
          <w:rFonts w:hint="default" w:ascii="Times New Roman" w:hAnsi="Times New Roman" w:cs="Times New Roman"/>
          <w:bCs/>
          <w:color w:val="FF0000"/>
          <w:highlight w:val="none"/>
        </w:rPr>
        <w:t>）</w:t>
      </w:r>
    </w:p>
    <w:p w14:paraId="53A9D812">
      <w:pPr>
        <w:jc w:val="center"/>
        <w:rPr>
          <w:rFonts w:hint="default" w:ascii="Times New Roman" w:hAnsi="Times New Roman" w:cs="Times New Roman"/>
          <w:bCs/>
          <w:color w:val="FF0000"/>
          <w:highlight w:val="none"/>
        </w:rPr>
      </w:pPr>
    </w:p>
    <w:p w14:paraId="3AF52F87">
      <w:pPr>
        <w:widowControl/>
        <w:autoSpaceDE/>
        <w:autoSpaceDN/>
        <w:adjustRightInd/>
        <w:rPr>
          <w:rFonts w:hint="default" w:ascii="Times New Roman" w:hAnsi="Times New Roman" w:cs="Times New Roman"/>
          <w:bCs/>
          <w:color w:val="FF0000"/>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2170AE0">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4.开户信息及开户许可证</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550"/>
        <w:gridCol w:w="3419"/>
        <w:gridCol w:w="2205"/>
      </w:tblGrid>
      <w:tr w14:paraId="5038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22" w:type="dxa"/>
            <w:vAlign w:val="center"/>
          </w:tcPr>
          <w:p w14:paraId="3FD2051E">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1550" w:type="dxa"/>
            <w:vAlign w:val="center"/>
          </w:tcPr>
          <w:p w14:paraId="50318AD6">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信息名称</w:t>
            </w:r>
          </w:p>
        </w:tc>
        <w:tc>
          <w:tcPr>
            <w:tcW w:w="3419" w:type="dxa"/>
            <w:vAlign w:val="center"/>
          </w:tcPr>
          <w:p w14:paraId="22948A09">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信息内容</w:t>
            </w:r>
          </w:p>
        </w:tc>
        <w:tc>
          <w:tcPr>
            <w:tcW w:w="2205" w:type="dxa"/>
            <w:vAlign w:val="center"/>
          </w:tcPr>
          <w:p w14:paraId="515709E9">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备注</w:t>
            </w:r>
          </w:p>
        </w:tc>
      </w:tr>
      <w:tr w14:paraId="0D3B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2" w:type="dxa"/>
            <w:vAlign w:val="center"/>
          </w:tcPr>
          <w:p w14:paraId="62D4F165">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1</w:t>
            </w:r>
          </w:p>
        </w:tc>
        <w:tc>
          <w:tcPr>
            <w:tcW w:w="1550" w:type="dxa"/>
            <w:vAlign w:val="center"/>
          </w:tcPr>
          <w:p w14:paraId="6C614CC3">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开户名</w:t>
            </w:r>
          </w:p>
        </w:tc>
        <w:tc>
          <w:tcPr>
            <w:tcW w:w="3419" w:type="dxa"/>
            <w:vAlign w:val="center"/>
          </w:tcPr>
          <w:p w14:paraId="14746EC9">
            <w:pPr>
              <w:widowControl/>
              <w:autoSpaceDE/>
              <w:autoSpaceDN/>
              <w:adjustRightInd/>
              <w:jc w:val="center"/>
              <w:rPr>
                <w:rFonts w:hint="default" w:ascii="Times New Roman" w:hAnsi="Times New Roman" w:cs="Times New Roman"/>
                <w:bCs/>
                <w:highlight w:val="none"/>
              </w:rPr>
            </w:pPr>
          </w:p>
        </w:tc>
        <w:tc>
          <w:tcPr>
            <w:tcW w:w="2205" w:type="dxa"/>
            <w:vAlign w:val="center"/>
          </w:tcPr>
          <w:p w14:paraId="66C2286F">
            <w:pPr>
              <w:widowControl/>
              <w:autoSpaceDE/>
              <w:autoSpaceDN/>
              <w:adjustRightInd/>
              <w:jc w:val="center"/>
              <w:rPr>
                <w:rFonts w:hint="default" w:ascii="Times New Roman" w:hAnsi="Times New Roman" w:cs="Times New Roman"/>
                <w:bCs/>
                <w:highlight w:val="none"/>
              </w:rPr>
            </w:pPr>
          </w:p>
        </w:tc>
      </w:tr>
      <w:tr w14:paraId="5887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2" w:type="dxa"/>
            <w:vAlign w:val="center"/>
          </w:tcPr>
          <w:p w14:paraId="2624C424">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2</w:t>
            </w:r>
          </w:p>
        </w:tc>
        <w:tc>
          <w:tcPr>
            <w:tcW w:w="1550" w:type="dxa"/>
            <w:vAlign w:val="center"/>
          </w:tcPr>
          <w:p w14:paraId="46C61B69">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开户行</w:t>
            </w:r>
          </w:p>
        </w:tc>
        <w:tc>
          <w:tcPr>
            <w:tcW w:w="3419" w:type="dxa"/>
            <w:vAlign w:val="center"/>
          </w:tcPr>
          <w:p w14:paraId="3B27D99A">
            <w:pPr>
              <w:widowControl/>
              <w:autoSpaceDE/>
              <w:autoSpaceDN/>
              <w:adjustRightInd/>
              <w:jc w:val="center"/>
              <w:rPr>
                <w:rFonts w:hint="default" w:ascii="Times New Roman" w:hAnsi="Times New Roman" w:cs="Times New Roman"/>
                <w:bCs/>
                <w:highlight w:val="none"/>
              </w:rPr>
            </w:pPr>
          </w:p>
        </w:tc>
        <w:tc>
          <w:tcPr>
            <w:tcW w:w="2205" w:type="dxa"/>
            <w:vAlign w:val="center"/>
          </w:tcPr>
          <w:p w14:paraId="77B85B82">
            <w:pPr>
              <w:widowControl/>
              <w:autoSpaceDE/>
              <w:autoSpaceDN/>
              <w:adjustRightInd/>
              <w:jc w:val="center"/>
              <w:rPr>
                <w:rFonts w:hint="default" w:ascii="Times New Roman" w:hAnsi="Times New Roman" w:cs="Times New Roman"/>
                <w:bCs/>
                <w:highlight w:val="none"/>
              </w:rPr>
            </w:pPr>
          </w:p>
        </w:tc>
      </w:tr>
      <w:tr w14:paraId="5D3D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2" w:type="dxa"/>
            <w:vAlign w:val="center"/>
          </w:tcPr>
          <w:p w14:paraId="49A6CB45">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3</w:t>
            </w:r>
          </w:p>
        </w:tc>
        <w:tc>
          <w:tcPr>
            <w:tcW w:w="1550" w:type="dxa"/>
            <w:vAlign w:val="center"/>
          </w:tcPr>
          <w:p w14:paraId="5B267F59">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开户账号</w:t>
            </w:r>
          </w:p>
        </w:tc>
        <w:tc>
          <w:tcPr>
            <w:tcW w:w="3419" w:type="dxa"/>
            <w:vAlign w:val="center"/>
          </w:tcPr>
          <w:p w14:paraId="646B20CE">
            <w:pPr>
              <w:widowControl/>
              <w:autoSpaceDE/>
              <w:autoSpaceDN/>
              <w:adjustRightInd/>
              <w:jc w:val="center"/>
              <w:rPr>
                <w:rFonts w:hint="default" w:ascii="Times New Roman" w:hAnsi="Times New Roman" w:cs="Times New Roman"/>
                <w:bCs/>
                <w:highlight w:val="none"/>
              </w:rPr>
            </w:pPr>
          </w:p>
        </w:tc>
        <w:tc>
          <w:tcPr>
            <w:tcW w:w="2205" w:type="dxa"/>
            <w:vAlign w:val="center"/>
          </w:tcPr>
          <w:p w14:paraId="0A41D900">
            <w:pPr>
              <w:widowControl/>
              <w:autoSpaceDE/>
              <w:autoSpaceDN/>
              <w:adjustRightInd/>
              <w:jc w:val="center"/>
              <w:rPr>
                <w:rFonts w:hint="default" w:ascii="Times New Roman" w:hAnsi="Times New Roman" w:cs="Times New Roman"/>
                <w:bCs/>
                <w:highlight w:val="none"/>
              </w:rPr>
            </w:pPr>
          </w:p>
        </w:tc>
      </w:tr>
    </w:tbl>
    <w:p w14:paraId="30BA8166">
      <w:pPr>
        <w:widowControl/>
        <w:autoSpaceDE/>
        <w:autoSpaceDN/>
        <w:adjustRightInd/>
        <w:rPr>
          <w:rFonts w:hint="default" w:ascii="Times New Roman" w:hAnsi="Times New Roman" w:cs="Times New Roman"/>
          <w:bCs/>
          <w:color w:val="FF0000"/>
          <w:highlight w:val="none"/>
        </w:rPr>
      </w:pPr>
    </w:p>
    <w:p w14:paraId="02716CDD">
      <w:pPr>
        <w:widowControl/>
        <w:autoSpaceDE/>
        <w:autoSpaceDN/>
        <w:adjustRightInd/>
        <w:rPr>
          <w:rFonts w:hint="default" w:ascii="Times New Roman" w:hAnsi="Times New Roman" w:cs="Times New Roman"/>
          <w:bCs/>
          <w:color w:val="FF0000"/>
          <w:highlight w:val="none"/>
        </w:rPr>
      </w:pPr>
    </w:p>
    <w:p w14:paraId="60565C9B">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请附上开户许可证，需加盖公章</w:t>
      </w:r>
      <w:r>
        <w:rPr>
          <w:rFonts w:hint="default" w:ascii="Times New Roman" w:hAnsi="Times New Roman" w:cs="Times New Roman"/>
          <w:bCs/>
          <w:color w:val="FF0000"/>
          <w:highlight w:val="none"/>
        </w:rPr>
        <w:t>）</w:t>
      </w:r>
    </w:p>
    <w:p w14:paraId="35A15D62">
      <w:pPr>
        <w:widowControl/>
        <w:autoSpaceDE/>
        <w:autoSpaceDN/>
        <w:adjustRightInd/>
        <w:rPr>
          <w:rFonts w:hint="default" w:ascii="Times New Roman" w:hAnsi="Times New Roman" w:cs="Times New Roman"/>
          <w:bCs/>
          <w:color w:val="FF0000"/>
          <w:highlight w:val="none"/>
        </w:rPr>
      </w:pPr>
    </w:p>
    <w:p w14:paraId="7DF6B71D">
      <w:pPr>
        <w:rPr>
          <w:rFonts w:hint="eastAsia" w:ascii="Times New Roman" w:cs="Times New Roman"/>
          <w:b/>
          <w:color w:val="000000"/>
          <w:sz w:val="28"/>
          <w:szCs w:val="28"/>
          <w:highlight w:val="none"/>
          <w:lang w:val="en-US" w:eastAsia="zh-CN"/>
        </w:rPr>
      </w:pPr>
    </w:p>
    <w:p w14:paraId="7CDB1918">
      <w:pPr>
        <w:rPr>
          <w:rFonts w:hint="eastAsia" w:ascii="Times New Roman" w:cs="Times New Roman"/>
          <w:b/>
          <w:color w:val="000000"/>
          <w:sz w:val="28"/>
          <w:szCs w:val="28"/>
          <w:highlight w:val="none"/>
          <w:lang w:val="en-US" w:eastAsia="zh-CN"/>
        </w:rPr>
        <w:sectPr>
          <w:headerReference r:id="rId5" w:type="default"/>
          <w:footerReference r:id="rId6" w:type="default"/>
          <w:footerReference r:id="rId7" w:type="even"/>
          <w:pgSz w:w="11906" w:h="16838"/>
          <w:pgMar w:top="1440" w:right="1983" w:bottom="1440" w:left="1620" w:header="851" w:footer="992" w:gutter="0"/>
          <w:pgNumType w:fmt="decimal" w:start="1"/>
          <w:cols w:space="720" w:num="1"/>
          <w:titlePg/>
          <w:docGrid w:type="lines" w:linePitch="312" w:charSpace="0"/>
        </w:sectPr>
      </w:pPr>
    </w:p>
    <w:p w14:paraId="451DF8CF">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5.</w:t>
      </w:r>
      <w:r>
        <w:rPr>
          <w:rFonts w:hint="default" w:ascii="Times New Roman" w:hAnsi="Times New Roman" w:cs="Times New Roman"/>
          <w:b/>
          <w:color w:val="000000"/>
          <w:sz w:val="28"/>
          <w:szCs w:val="28"/>
          <w:highlight w:val="none"/>
        </w:rPr>
        <w:t>回 执（格式）</w:t>
      </w:r>
      <w:bookmarkEnd w:id="27"/>
      <w:bookmarkEnd w:id="28"/>
      <w:bookmarkEnd w:id="29"/>
      <w:bookmarkEnd w:id="30"/>
    </w:p>
    <w:p w14:paraId="734BB52F">
      <w:pPr>
        <w:spacing w:line="360" w:lineRule="auto"/>
        <w:ind w:left="-2" w:leftChars="-1" w:firstLine="1"/>
        <w:jc w:val="center"/>
        <w:rPr>
          <w:rFonts w:hint="default" w:ascii="Times New Roman" w:hAnsi="Times New Roman" w:cs="Times New Roman"/>
          <w:b/>
          <w:bCs/>
          <w:kern w:val="2"/>
          <w:sz w:val="32"/>
          <w:szCs w:val="32"/>
          <w:highlight w:val="none"/>
        </w:rPr>
      </w:pPr>
    </w:p>
    <w:p w14:paraId="262D1A36">
      <w:pPr>
        <w:spacing w:line="360" w:lineRule="auto"/>
        <w:ind w:left="-2" w:leftChars="-1" w:firstLine="1"/>
        <w:jc w:val="center"/>
        <w:rPr>
          <w:rFonts w:hint="default" w:ascii="Times New Roman" w:hAnsi="Times New Roman" w:cs="Times New Roman"/>
          <w:b/>
          <w:bCs/>
          <w:kern w:val="2"/>
          <w:sz w:val="32"/>
          <w:szCs w:val="32"/>
          <w:highlight w:val="none"/>
          <w:lang w:val="zh-CN"/>
        </w:rPr>
      </w:pPr>
      <w:r>
        <w:rPr>
          <w:rFonts w:hint="default" w:ascii="Times New Roman" w:hAnsi="Times New Roman" w:cs="Times New Roman"/>
          <w:b/>
          <w:bCs/>
          <w:kern w:val="2"/>
          <w:sz w:val="32"/>
          <w:szCs w:val="32"/>
          <w:highlight w:val="none"/>
          <w:lang w:val="zh-CN"/>
        </w:rPr>
        <w:t>回  执</w:t>
      </w:r>
    </w:p>
    <w:p w14:paraId="1855706C">
      <w:pPr>
        <w:spacing w:line="360" w:lineRule="auto"/>
        <w:rPr>
          <w:rFonts w:hint="default" w:ascii="Times New Roman" w:hAnsi="Times New Roman" w:eastAsia="宋体" w:cs="Times New Roman"/>
          <w:sz w:val="28"/>
          <w:szCs w:val="28"/>
          <w:highlight w:val="none"/>
          <w:lang w:val="en-US" w:eastAsia="zh-CN"/>
        </w:rPr>
      </w:pPr>
      <w:r>
        <w:rPr>
          <w:rFonts w:hint="default" w:ascii="Times New Roman" w:hAnsi="Times New Roman" w:cs="Times New Roman"/>
          <w:sz w:val="28"/>
          <w:szCs w:val="28"/>
          <w:highlight w:val="none"/>
        </w:rPr>
        <w:t>致：东莞市</w:t>
      </w:r>
      <w:r>
        <w:rPr>
          <w:rFonts w:hint="eastAsia" w:cs="Times New Roman"/>
          <w:sz w:val="28"/>
          <w:szCs w:val="28"/>
          <w:highlight w:val="none"/>
          <w:lang w:val="en-US" w:eastAsia="zh-CN"/>
        </w:rPr>
        <w:t>水务环境投资控股集团供水有限公司</w:t>
      </w:r>
    </w:p>
    <w:p w14:paraId="6DBD5B8B">
      <w:pPr>
        <w:spacing w:line="360" w:lineRule="auto"/>
        <w:ind w:firstLine="565" w:firstLineChars="202"/>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我方</w:t>
      </w:r>
      <w:r>
        <w:rPr>
          <w:rFonts w:hint="default" w:ascii="Times New Roman" w:hAnsi="Times New Roman" w:cs="Times New Roman"/>
          <w:sz w:val="28"/>
          <w:szCs w:val="28"/>
          <w:highlight w:val="none"/>
        </w:rPr>
        <w:t>收到贵司</w:t>
      </w:r>
      <w:r>
        <w:rPr>
          <w:rFonts w:hint="default" w:ascii="Times New Roman" w:hAnsi="Times New Roman" w:cs="Times New Roman"/>
          <w:sz w:val="28"/>
          <w:szCs w:val="28"/>
          <w:highlight w:val="none"/>
          <w:lang w:eastAsia="zh-CN"/>
        </w:rPr>
        <w:t>202</w:t>
      </w:r>
      <w:r>
        <w:rPr>
          <w:rFonts w:hint="eastAsia" w:cs="Times New Roman"/>
          <w:sz w:val="28"/>
          <w:szCs w:val="28"/>
          <w:highlight w:val="none"/>
          <w:lang w:val="en-US" w:eastAsia="zh-CN"/>
        </w:rPr>
        <w:t>6</w:t>
      </w:r>
      <w:r>
        <w:rPr>
          <w:rFonts w:hint="default" w:ascii="Times New Roman" w:hAnsi="Times New Roman" w:cs="Times New Roman"/>
          <w:sz w:val="28"/>
          <w:szCs w:val="28"/>
          <w:highlight w:val="none"/>
        </w:rPr>
        <w:t>年</w:t>
      </w:r>
      <w:r>
        <w:rPr>
          <w:rFonts w:hint="eastAsia" w:cs="Times New Roman"/>
          <w:sz w:val="28"/>
          <w:szCs w:val="28"/>
          <w:highlight w:val="none"/>
          <w:lang w:val="en-US" w:eastAsia="zh-CN"/>
        </w:rPr>
        <w:t>*</w:t>
      </w:r>
      <w:r>
        <w:rPr>
          <w:rFonts w:hint="eastAsia" w:ascii="Times New Roman" w:cs="Times New Roman"/>
          <w:sz w:val="28"/>
          <w:szCs w:val="28"/>
          <w:highlight w:val="none"/>
          <w:lang w:val="en-US" w:eastAsia="zh-CN"/>
        </w:rPr>
        <w:t>月</w:t>
      </w:r>
      <w:r>
        <w:rPr>
          <w:rFonts w:hint="eastAsia" w:cs="Times New Roman"/>
          <w:sz w:val="28"/>
          <w:szCs w:val="28"/>
          <w:highlight w:val="none"/>
          <w:lang w:val="en-US" w:eastAsia="zh-CN"/>
        </w:rPr>
        <w:t>*</w:t>
      </w:r>
      <w:r>
        <w:rPr>
          <w:rFonts w:hint="eastAsia" w:ascii="Times New Roman" w:cs="Times New Roman"/>
          <w:sz w:val="28"/>
          <w:szCs w:val="28"/>
          <w:highlight w:val="none"/>
          <w:lang w:val="en-US" w:eastAsia="zh-CN"/>
        </w:rPr>
        <w:t>日</w:t>
      </w:r>
      <w:r>
        <w:rPr>
          <w:rFonts w:hint="default" w:ascii="Times New Roman" w:hAnsi="Times New Roman" w:cs="Times New Roman"/>
          <w:sz w:val="28"/>
          <w:szCs w:val="28"/>
          <w:highlight w:val="none"/>
        </w:rPr>
        <w:t>发出</w:t>
      </w:r>
      <w:r>
        <w:rPr>
          <w:rFonts w:hint="eastAsia" w:ascii="Times New Roman" w:hAnsi="Times New Roman" w:eastAsia="宋体" w:cs="Times New Roman"/>
          <w:sz w:val="28"/>
          <w:szCs w:val="28"/>
          <w:highlight w:val="none"/>
        </w:rPr>
        <w:t>的“</w:t>
      </w:r>
      <w:r>
        <w:rPr>
          <w:rFonts w:hint="eastAsia" w:ascii="Times New Roman" w:hAnsi="Times New Roman" w:eastAsia="宋体" w:cs="Times New Roman"/>
          <w:bCs w:val="0"/>
          <w:sz w:val="28"/>
          <w:szCs w:val="28"/>
          <w:highlight w:val="none"/>
        </w:rPr>
        <w:t>东莞市水务环境投资控股集团供水有限公司拟转让一批资产设备项目</w:t>
      </w:r>
      <w:r>
        <w:rPr>
          <w:rFonts w:hint="eastAsia" w:ascii="Times New Roman" w:hAnsi="Times New Roman" w:eastAsia="宋体" w:cs="Times New Roman"/>
          <w:sz w:val="28"/>
          <w:szCs w:val="28"/>
          <w:highlight w:val="none"/>
        </w:rPr>
        <w:t>”的询价文件</w:t>
      </w:r>
      <w:r>
        <w:rPr>
          <w:rFonts w:hint="default" w:ascii="Times New Roman" w:hAnsi="Times New Roman" w:cs="Times New Roman"/>
          <w:sz w:val="28"/>
          <w:szCs w:val="28"/>
          <w:highlight w:val="none"/>
        </w:rPr>
        <w:t>。</w:t>
      </w:r>
    </w:p>
    <w:p w14:paraId="23B44077">
      <w:pPr>
        <w:spacing w:line="360" w:lineRule="auto"/>
        <w:ind w:firstLine="565" w:firstLineChars="202"/>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特此函告！</w:t>
      </w:r>
    </w:p>
    <w:p w14:paraId="3A45F9F4">
      <w:pPr>
        <w:ind w:firstLine="435"/>
        <w:rPr>
          <w:rFonts w:hint="default" w:ascii="Times New Roman" w:hAnsi="Times New Roman" w:cs="Times New Roman"/>
          <w:sz w:val="28"/>
          <w:szCs w:val="28"/>
          <w:highlight w:val="none"/>
        </w:rPr>
      </w:pPr>
    </w:p>
    <w:p w14:paraId="1585BB8E">
      <w:pPr>
        <w:spacing w:line="360" w:lineRule="auto"/>
        <w:ind w:firstLine="6658" w:firstLineChars="2378"/>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公司盖章</w:t>
      </w:r>
    </w:p>
    <w:p w14:paraId="03DE1519">
      <w:pPr>
        <w:spacing w:line="360" w:lineRule="auto"/>
        <w:ind w:firstLine="6378" w:firstLineChars="2278"/>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年  月  日</w:t>
      </w:r>
    </w:p>
    <w:p w14:paraId="1D830688">
      <w:pPr>
        <w:rPr>
          <w:rFonts w:hint="default" w:ascii="Times New Roman" w:hAnsi="Times New Roman" w:cs="Times New Roman"/>
          <w:highlight w:val="none"/>
        </w:rPr>
      </w:pPr>
    </w:p>
    <w:p w14:paraId="6781CB99">
      <w:pPr>
        <w:rPr>
          <w:rFonts w:hint="default" w:ascii="Times New Roman" w:hAnsi="Times New Roman" w:cs="Times New Roman"/>
          <w:highlight w:val="none"/>
        </w:rPr>
      </w:pPr>
    </w:p>
    <w:p w14:paraId="53463746">
      <w:pPr>
        <w:rPr>
          <w:rFonts w:hint="default" w:ascii="Times New Roman" w:hAnsi="Times New Roman" w:cs="Times New Roman"/>
          <w:highlight w:val="none"/>
        </w:rPr>
      </w:pPr>
    </w:p>
    <w:p w14:paraId="1161DDEB">
      <w:pPr>
        <w:rPr>
          <w:rFonts w:hint="default" w:ascii="Times New Roman" w:hAnsi="Times New Roman" w:cs="Times New Roman"/>
          <w:highlight w:val="none"/>
        </w:rPr>
      </w:pPr>
    </w:p>
    <w:bookmarkEnd w:id="31"/>
    <w:p w14:paraId="41159FD9">
      <w:pPr>
        <w:jc w:val="center"/>
        <w:rPr>
          <w:rFonts w:hint="default" w:ascii="Times New Roman" w:hAnsi="Times New Roman" w:cs="Times New Roman"/>
          <w:color w:val="FF0000"/>
          <w:highlight w:val="none"/>
        </w:rPr>
      </w:pPr>
    </w:p>
    <w:bookmarkEnd w:id="23"/>
    <w:bookmarkEnd w:id="24"/>
    <w:bookmarkEnd w:id="25"/>
    <w:p w14:paraId="6F830636">
      <w:pPr>
        <w:rPr>
          <w:rFonts w:ascii="宋体" w:hAnsi="宋体"/>
          <w:color w:val="auto"/>
          <w:highlight w:val="none"/>
        </w:rPr>
      </w:pPr>
    </w:p>
    <w:sectPr>
      <w:footerReference r:id="rId9" w:type="first"/>
      <w:footerReference r:id="rId8" w:type="default"/>
      <w:pgSz w:w="11906" w:h="16838"/>
      <w:pgMar w:top="1440" w:right="1983" w:bottom="1440" w:left="162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BB641">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5873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958732">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3AF2D">
    <w:pPr>
      <w:pStyle w:val="12"/>
      <w:jc w:val="center"/>
      <w:rPr>
        <w:rFonts w:hint="default" w:eastAsiaTheme="minorEastAsia"/>
        <w:lang w:val="en-US" w:eastAsia="zh-CN"/>
      </w:rPr>
    </w:pPr>
    <w:r>
      <w:rPr>
        <w:rFonts w:hint="eastAsia"/>
        <w:lang w:val="en-US" w:eastAsia="zh-CN"/>
      </w:rPr>
      <w:t>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11146">
    <w:pPr>
      <w:pStyle w:val="12"/>
      <w:rPr>
        <w:rFonts w:hint="eastAsia" w:eastAsiaTheme="minor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0C80F">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C0C80F">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841F">
    <w:pPr>
      <w:pStyle w:val="12"/>
      <w:framePr w:wrap="around" w:vAnchor="text" w:hAnchor="margin" w:xAlign="center" w:y="1"/>
      <w:jc w:val="center"/>
      <w:rPr>
        <w:rStyle w:val="23"/>
      </w:rPr>
    </w:pPr>
    <w:r>
      <w:fldChar w:fldCharType="begin"/>
    </w:r>
    <w:r>
      <w:rPr>
        <w:rStyle w:val="23"/>
      </w:rPr>
      <w:instrText xml:space="preserve">PAGE  </w:instrText>
    </w:r>
    <w:r>
      <w:fldChar w:fldCharType="end"/>
    </w:r>
  </w:p>
  <w:p w14:paraId="1D5A44DE">
    <w:pPr>
      <w:pStyle w:val="12"/>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841BE">
    <w:pPr>
      <w:pStyle w:val="12"/>
      <w:rPr>
        <w:rFonts w:hint="eastAsia" w:eastAsiaTheme="minorEastAsia"/>
        <w:lang w:val="en-US"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C12CE">
    <w:pPr>
      <w:pStyle w:val="12"/>
      <w:jc w:val="center"/>
      <w:rPr>
        <w:rFonts w:hint="default" w:eastAsiaTheme="minorEastAsia"/>
        <w:lang w:val="en-US" w:eastAsia="zh-CN"/>
      </w:rPr>
    </w:pPr>
    <w:r>
      <w:rPr>
        <w:rFonts w:hint="eastAsia"/>
        <w:lang w:val="en-US" w:eastAsia="zh-CN"/>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E01C7">
    <w:pPr>
      <w:pStyle w:val="13"/>
      <w:rPr>
        <w:rFonts w:hint="eastAsia" w:cs="Calibri" w:asciiTheme="minorEastAsia" w:hAnsiTheme="minorEastAsia"/>
        <w:color w:val="000000"/>
        <w:kern w:val="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39EF55"/>
    <w:multiLevelType w:val="singleLevel"/>
    <w:tmpl w:val="C939EF55"/>
    <w:lvl w:ilvl="0" w:tentative="0">
      <w:start w:val="1"/>
      <w:numFmt w:val="decimal"/>
      <w:lvlText w:val="%1."/>
      <w:lvlJc w:val="left"/>
      <w:pPr>
        <w:tabs>
          <w:tab w:val="left" w:pos="312"/>
        </w:tabs>
      </w:pPr>
    </w:lvl>
  </w:abstractNum>
  <w:abstractNum w:abstractNumId="1">
    <w:nsid w:val="56548D6C"/>
    <w:multiLevelType w:val="singleLevel"/>
    <w:tmpl w:val="56548D6C"/>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4Mjk1Y2NjNDFjYjg4NTA2YWZjZmU3YmU0M2Q3ZTUifQ=="/>
  </w:docVars>
  <w:rsids>
    <w:rsidRoot w:val="006821B7"/>
    <w:rsid w:val="00002255"/>
    <w:rsid w:val="00002D33"/>
    <w:rsid w:val="000063B8"/>
    <w:rsid w:val="00010FA5"/>
    <w:rsid w:val="000143BD"/>
    <w:rsid w:val="00023C04"/>
    <w:rsid w:val="00031998"/>
    <w:rsid w:val="000319AB"/>
    <w:rsid w:val="00032993"/>
    <w:rsid w:val="00032C0A"/>
    <w:rsid w:val="000346F5"/>
    <w:rsid w:val="0003577B"/>
    <w:rsid w:val="00035B3E"/>
    <w:rsid w:val="00036A26"/>
    <w:rsid w:val="000370A9"/>
    <w:rsid w:val="00037B36"/>
    <w:rsid w:val="00037B60"/>
    <w:rsid w:val="000433EE"/>
    <w:rsid w:val="0004448C"/>
    <w:rsid w:val="000459E1"/>
    <w:rsid w:val="00046838"/>
    <w:rsid w:val="00046A5B"/>
    <w:rsid w:val="00046BC0"/>
    <w:rsid w:val="00046BC1"/>
    <w:rsid w:val="00051FFE"/>
    <w:rsid w:val="0005490D"/>
    <w:rsid w:val="000565B8"/>
    <w:rsid w:val="00062090"/>
    <w:rsid w:val="00066AD6"/>
    <w:rsid w:val="0006716D"/>
    <w:rsid w:val="00067776"/>
    <w:rsid w:val="0007043B"/>
    <w:rsid w:val="00073E70"/>
    <w:rsid w:val="000746BC"/>
    <w:rsid w:val="00074719"/>
    <w:rsid w:val="00080CD3"/>
    <w:rsid w:val="000832C8"/>
    <w:rsid w:val="000839BA"/>
    <w:rsid w:val="000843DF"/>
    <w:rsid w:val="00085ED5"/>
    <w:rsid w:val="00087B7B"/>
    <w:rsid w:val="000904C2"/>
    <w:rsid w:val="0009307F"/>
    <w:rsid w:val="00093EE9"/>
    <w:rsid w:val="000979EE"/>
    <w:rsid w:val="000A0536"/>
    <w:rsid w:val="000A0B4E"/>
    <w:rsid w:val="000A5FEB"/>
    <w:rsid w:val="000B0D09"/>
    <w:rsid w:val="000B3892"/>
    <w:rsid w:val="000B4A0F"/>
    <w:rsid w:val="000B58DC"/>
    <w:rsid w:val="000B6658"/>
    <w:rsid w:val="000B79CA"/>
    <w:rsid w:val="000C1A3C"/>
    <w:rsid w:val="000C1D56"/>
    <w:rsid w:val="000C1D83"/>
    <w:rsid w:val="000C3280"/>
    <w:rsid w:val="000C43BA"/>
    <w:rsid w:val="000D4E1C"/>
    <w:rsid w:val="000D50BF"/>
    <w:rsid w:val="000D6C42"/>
    <w:rsid w:val="000F098A"/>
    <w:rsid w:val="000F112D"/>
    <w:rsid w:val="000F4EF0"/>
    <w:rsid w:val="000F5C2A"/>
    <w:rsid w:val="000F7014"/>
    <w:rsid w:val="0010351F"/>
    <w:rsid w:val="001037BB"/>
    <w:rsid w:val="00103E50"/>
    <w:rsid w:val="001045B4"/>
    <w:rsid w:val="001050B0"/>
    <w:rsid w:val="001056B9"/>
    <w:rsid w:val="00105856"/>
    <w:rsid w:val="00107267"/>
    <w:rsid w:val="00110B09"/>
    <w:rsid w:val="00110E89"/>
    <w:rsid w:val="001115D5"/>
    <w:rsid w:val="001165D2"/>
    <w:rsid w:val="00116603"/>
    <w:rsid w:val="0012157D"/>
    <w:rsid w:val="001231D7"/>
    <w:rsid w:val="00124102"/>
    <w:rsid w:val="00124E92"/>
    <w:rsid w:val="001260AE"/>
    <w:rsid w:val="00127604"/>
    <w:rsid w:val="00131300"/>
    <w:rsid w:val="00135B4A"/>
    <w:rsid w:val="00142750"/>
    <w:rsid w:val="001439FB"/>
    <w:rsid w:val="00147E11"/>
    <w:rsid w:val="00150CA9"/>
    <w:rsid w:val="001511D6"/>
    <w:rsid w:val="00154242"/>
    <w:rsid w:val="0015743C"/>
    <w:rsid w:val="001602AA"/>
    <w:rsid w:val="0016242B"/>
    <w:rsid w:val="00167FC1"/>
    <w:rsid w:val="00171AA4"/>
    <w:rsid w:val="00173CE4"/>
    <w:rsid w:val="00176B0E"/>
    <w:rsid w:val="00176BA4"/>
    <w:rsid w:val="001771AC"/>
    <w:rsid w:val="00180B96"/>
    <w:rsid w:val="0018443D"/>
    <w:rsid w:val="0018485B"/>
    <w:rsid w:val="00190457"/>
    <w:rsid w:val="00192562"/>
    <w:rsid w:val="00192618"/>
    <w:rsid w:val="001952A2"/>
    <w:rsid w:val="00195C1D"/>
    <w:rsid w:val="001975E3"/>
    <w:rsid w:val="001A1558"/>
    <w:rsid w:val="001A31D5"/>
    <w:rsid w:val="001A68F7"/>
    <w:rsid w:val="001B171F"/>
    <w:rsid w:val="001B6379"/>
    <w:rsid w:val="001B6875"/>
    <w:rsid w:val="001B7F42"/>
    <w:rsid w:val="001C2C37"/>
    <w:rsid w:val="001D05B2"/>
    <w:rsid w:val="001D10DB"/>
    <w:rsid w:val="001D2388"/>
    <w:rsid w:val="001D2432"/>
    <w:rsid w:val="001D56AF"/>
    <w:rsid w:val="001E0122"/>
    <w:rsid w:val="001E105C"/>
    <w:rsid w:val="001E40C6"/>
    <w:rsid w:val="001E5572"/>
    <w:rsid w:val="001E71C0"/>
    <w:rsid w:val="001F5240"/>
    <w:rsid w:val="001F6E53"/>
    <w:rsid w:val="001F7A2B"/>
    <w:rsid w:val="0020493A"/>
    <w:rsid w:val="00212470"/>
    <w:rsid w:val="00215185"/>
    <w:rsid w:val="002152DD"/>
    <w:rsid w:val="002159FF"/>
    <w:rsid w:val="002177F2"/>
    <w:rsid w:val="002231A7"/>
    <w:rsid w:val="00226754"/>
    <w:rsid w:val="002345E7"/>
    <w:rsid w:val="0023619A"/>
    <w:rsid w:val="002366FC"/>
    <w:rsid w:val="002376EB"/>
    <w:rsid w:val="00241923"/>
    <w:rsid w:val="00242C7B"/>
    <w:rsid w:val="002447E5"/>
    <w:rsid w:val="0025198E"/>
    <w:rsid w:val="00256551"/>
    <w:rsid w:val="002614FE"/>
    <w:rsid w:val="00267516"/>
    <w:rsid w:val="00267D31"/>
    <w:rsid w:val="00277D60"/>
    <w:rsid w:val="00280366"/>
    <w:rsid w:val="00281D54"/>
    <w:rsid w:val="00285152"/>
    <w:rsid w:val="00286F31"/>
    <w:rsid w:val="0029079F"/>
    <w:rsid w:val="0029319C"/>
    <w:rsid w:val="00294955"/>
    <w:rsid w:val="00297041"/>
    <w:rsid w:val="00297891"/>
    <w:rsid w:val="002A3015"/>
    <w:rsid w:val="002A3E70"/>
    <w:rsid w:val="002A6767"/>
    <w:rsid w:val="002A6CCF"/>
    <w:rsid w:val="002A72C3"/>
    <w:rsid w:val="002A7C36"/>
    <w:rsid w:val="002B0348"/>
    <w:rsid w:val="002B4E99"/>
    <w:rsid w:val="002C2180"/>
    <w:rsid w:val="002C21F3"/>
    <w:rsid w:val="002C2D9F"/>
    <w:rsid w:val="002C41EC"/>
    <w:rsid w:val="002C4A22"/>
    <w:rsid w:val="002C7E37"/>
    <w:rsid w:val="002D0D59"/>
    <w:rsid w:val="002D6CE2"/>
    <w:rsid w:val="002D7C1A"/>
    <w:rsid w:val="002E002A"/>
    <w:rsid w:val="002E052C"/>
    <w:rsid w:val="002F111C"/>
    <w:rsid w:val="002F3369"/>
    <w:rsid w:val="002F5386"/>
    <w:rsid w:val="002F5ED7"/>
    <w:rsid w:val="002F7464"/>
    <w:rsid w:val="00302626"/>
    <w:rsid w:val="003105AA"/>
    <w:rsid w:val="003112CB"/>
    <w:rsid w:val="00312F99"/>
    <w:rsid w:val="00313208"/>
    <w:rsid w:val="00314C39"/>
    <w:rsid w:val="00325423"/>
    <w:rsid w:val="0033340B"/>
    <w:rsid w:val="0033656B"/>
    <w:rsid w:val="00344F0E"/>
    <w:rsid w:val="00352382"/>
    <w:rsid w:val="003536F9"/>
    <w:rsid w:val="003540C9"/>
    <w:rsid w:val="00354597"/>
    <w:rsid w:val="00360013"/>
    <w:rsid w:val="0036102D"/>
    <w:rsid w:val="003615AE"/>
    <w:rsid w:val="0036180D"/>
    <w:rsid w:val="00363B45"/>
    <w:rsid w:val="003645E9"/>
    <w:rsid w:val="00365024"/>
    <w:rsid w:val="003715DD"/>
    <w:rsid w:val="00371E2C"/>
    <w:rsid w:val="0037277F"/>
    <w:rsid w:val="00372B75"/>
    <w:rsid w:val="003748F2"/>
    <w:rsid w:val="003752FD"/>
    <w:rsid w:val="0037717D"/>
    <w:rsid w:val="0037763E"/>
    <w:rsid w:val="00377683"/>
    <w:rsid w:val="003810CC"/>
    <w:rsid w:val="003820F6"/>
    <w:rsid w:val="00390D6D"/>
    <w:rsid w:val="0039692A"/>
    <w:rsid w:val="00396C8E"/>
    <w:rsid w:val="0039729B"/>
    <w:rsid w:val="003A0AF7"/>
    <w:rsid w:val="003A1EA3"/>
    <w:rsid w:val="003A57B4"/>
    <w:rsid w:val="003A76D1"/>
    <w:rsid w:val="003B1678"/>
    <w:rsid w:val="003B5922"/>
    <w:rsid w:val="003B5FE2"/>
    <w:rsid w:val="003B6242"/>
    <w:rsid w:val="003C018C"/>
    <w:rsid w:val="003C06C9"/>
    <w:rsid w:val="003C14CE"/>
    <w:rsid w:val="003C3EA5"/>
    <w:rsid w:val="003D10F7"/>
    <w:rsid w:val="003D2A14"/>
    <w:rsid w:val="003D3A30"/>
    <w:rsid w:val="003D59B2"/>
    <w:rsid w:val="003D5EB6"/>
    <w:rsid w:val="003E0860"/>
    <w:rsid w:val="003F12BC"/>
    <w:rsid w:val="003F1839"/>
    <w:rsid w:val="003F2208"/>
    <w:rsid w:val="003F3784"/>
    <w:rsid w:val="003F40A9"/>
    <w:rsid w:val="00412562"/>
    <w:rsid w:val="0042243F"/>
    <w:rsid w:val="00422947"/>
    <w:rsid w:val="004257B2"/>
    <w:rsid w:val="00425EDC"/>
    <w:rsid w:val="0042725D"/>
    <w:rsid w:val="00427582"/>
    <w:rsid w:val="004305E6"/>
    <w:rsid w:val="00432BDE"/>
    <w:rsid w:val="004425C5"/>
    <w:rsid w:val="00442A4B"/>
    <w:rsid w:val="004434CB"/>
    <w:rsid w:val="00444BAF"/>
    <w:rsid w:val="00446CEA"/>
    <w:rsid w:val="00447537"/>
    <w:rsid w:val="00447FFB"/>
    <w:rsid w:val="00466FDD"/>
    <w:rsid w:val="004702CA"/>
    <w:rsid w:val="00475745"/>
    <w:rsid w:val="004810DE"/>
    <w:rsid w:val="004824B8"/>
    <w:rsid w:val="00483C73"/>
    <w:rsid w:val="00485D98"/>
    <w:rsid w:val="00486F50"/>
    <w:rsid w:val="00495A56"/>
    <w:rsid w:val="00495D22"/>
    <w:rsid w:val="00497C56"/>
    <w:rsid w:val="004A2839"/>
    <w:rsid w:val="004A2C69"/>
    <w:rsid w:val="004A63C3"/>
    <w:rsid w:val="004B2687"/>
    <w:rsid w:val="004B4B67"/>
    <w:rsid w:val="004B7880"/>
    <w:rsid w:val="004C1476"/>
    <w:rsid w:val="004C1CEB"/>
    <w:rsid w:val="004C2560"/>
    <w:rsid w:val="004C3682"/>
    <w:rsid w:val="004C3E15"/>
    <w:rsid w:val="004D5779"/>
    <w:rsid w:val="004E239E"/>
    <w:rsid w:val="004F5EA3"/>
    <w:rsid w:val="004F796B"/>
    <w:rsid w:val="00502289"/>
    <w:rsid w:val="005025BE"/>
    <w:rsid w:val="00503173"/>
    <w:rsid w:val="0050612D"/>
    <w:rsid w:val="00507248"/>
    <w:rsid w:val="00507976"/>
    <w:rsid w:val="005079C1"/>
    <w:rsid w:val="0051623A"/>
    <w:rsid w:val="005168B3"/>
    <w:rsid w:val="00521CC6"/>
    <w:rsid w:val="00532AAA"/>
    <w:rsid w:val="00536CA9"/>
    <w:rsid w:val="00537A45"/>
    <w:rsid w:val="0054338B"/>
    <w:rsid w:val="00544AD8"/>
    <w:rsid w:val="00547EE0"/>
    <w:rsid w:val="00554E5B"/>
    <w:rsid w:val="00562C6F"/>
    <w:rsid w:val="00563D82"/>
    <w:rsid w:val="00564142"/>
    <w:rsid w:val="005654E7"/>
    <w:rsid w:val="005712AE"/>
    <w:rsid w:val="005717BF"/>
    <w:rsid w:val="005745AD"/>
    <w:rsid w:val="00580A1C"/>
    <w:rsid w:val="00582D04"/>
    <w:rsid w:val="00585ED1"/>
    <w:rsid w:val="00586C96"/>
    <w:rsid w:val="0059394A"/>
    <w:rsid w:val="00595006"/>
    <w:rsid w:val="005958F6"/>
    <w:rsid w:val="00596D33"/>
    <w:rsid w:val="00596F61"/>
    <w:rsid w:val="005976C2"/>
    <w:rsid w:val="005A66E9"/>
    <w:rsid w:val="005B3685"/>
    <w:rsid w:val="005C0480"/>
    <w:rsid w:val="005C1D25"/>
    <w:rsid w:val="005C24C1"/>
    <w:rsid w:val="005C31E4"/>
    <w:rsid w:val="005C35B5"/>
    <w:rsid w:val="005C3F58"/>
    <w:rsid w:val="005C4D7D"/>
    <w:rsid w:val="005C4E63"/>
    <w:rsid w:val="005D08D9"/>
    <w:rsid w:val="005D1913"/>
    <w:rsid w:val="005D26F4"/>
    <w:rsid w:val="005D55C3"/>
    <w:rsid w:val="005E0907"/>
    <w:rsid w:val="005E103C"/>
    <w:rsid w:val="005E7646"/>
    <w:rsid w:val="005E7969"/>
    <w:rsid w:val="005E7C33"/>
    <w:rsid w:val="005F7816"/>
    <w:rsid w:val="0060335E"/>
    <w:rsid w:val="00604681"/>
    <w:rsid w:val="00606D2D"/>
    <w:rsid w:val="00607543"/>
    <w:rsid w:val="00613EE9"/>
    <w:rsid w:val="00615086"/>
    <w:rsid w:val="00617104"/>
    <w:rsid w:val="00620843"/>
    <w:rsid w:val="006237C5"/>
    <w:rsid w:val="00625ABA"/>
    <w:rsid w:val="00625DFE"/>
    <w:rsid w:val="00627F04"/>
    <w:rsid w:val="0063111D"/>
    <w:rsid w:val="006312AA"/>
    <w:rsid w:val="00631862"/>
    <w:rsid w:val="006346E5"/>
    <w:rsid w:val="006412C1"/>
    <w:rsid w:val="00642D13"/>
    <w:rsid w:val="00643150"/>
    <w:rsid w:val="00643B86"/>
    <w:rsid w:val="00643CBD"/>
    <w:rsid w:val="00647F1A"/>
    <w:rsid w:val="006521C2"/>
    <w:rsid w:val="006607EC"/>
    <w:rsid w:val="0066094D"/>
    <w:rsid w:val="00661045"/>
    <w:rsid w:val="00663347"/>
    <w:rsid w:val="0066353A"/>
    <w:rsid w:val="00667ED1"/>
    <w:rsid w:val="006701D5"/>
    <w:rsid w:val="00672ACD"/>
    <w:rsid w:val="006821B7"/>
    <w:rsid w:val="00682DCB"/>
    <w:rsid w:val="00683CF1"/>
    <w:rsid w:val="00685A47"/>
    <w:rsid w:val="006904DF"/>
    <w:rsid w:val="006909F7"/>
    <w:rsid w:val="0069143A"/>
    <w:rsid w:val="006954F0"/>
    <w:rsid w:val="00695AAB"/>
    <w:rsid w:val="006970BC"/>
    <w:rsid w:val="00697BE0"/>
    <w:rsid w:val="006A0154"/>
    <w:rsid w:val="006A0FAE"/>
    <w:rsid w:val="006A3442"/>
    <w:rsid w:val="006A5218"/>
    <w:rsid w:val="006A7D08"/>
    <w:rsid w:val="006B0144"/>
    <w:rsid w:val="006B1AA2"/>
    <w:rsid w:val="006B1FF4"/>
    <w:rsid w:val="006B4636"/>
    <w:rsid w:val="006B49D7"/>
    <w:rsid w:val="006B70F0"/>
    <w:rsid w:val="006B7C97"/>
    <w:rsid w:val="006C0901"/>
    <w:rsid w:val="006C224A"/>
    <w:rsid w:val="006C56B4"/>
    <w:rsid w:val="006D06E1"/>
    <w:rsid w:val="006D090B"/>
    <w:rsid w:val="006D17FD"/>
    <w:rsid w:val="006D2590"/>
    <w:rsid w:val="006D2E47"/>
    <w:rsid w:val="006D5EB1"/>
    <w:rsid w:val="006D6AB2"/>
    <w:rsid w:val="006E3010"/>
    <w:rsid w:val="006E4FB7"/>
    <w:rsid w:val="006E544E"/>
    <w:rsid w:val="006F0EC3"/>
    <w:rsid w:val="006F1C1F"/>
    <w:rsid w:val="006F1FC4"/>
    <w:rsid w:val="006F3EAD"/>
    <w:rsid w:val="006F6E0B"/>
    <w:rsid w:val="0070341F"/>
    <w:rsid w:val="00704ED1"/>
    <w:rsid w:val="0070692E"/>
    <w:rsid w:val="00713317"/>
    <w:rsid w:val="00721FF9"/>
    <w:rsid w:val="00724767"/>
    <w:rsid w:val="00727403"/>
    <w:rsid w:val="00732ECB"/>
    <w:rsid w:val="00737B5F"/>
    <w:rsid w:val="00741632"/>
    <w:rsid w:val="007428FB"/>
    <w:rsid w:val="00745C4B"/>
    <w:rsid w:val="00745EC7"/>
    <w:rsid w:val="0075121E"/>
    <w:rsid w:val="007523CA"/>
    <w:rsid w:val="00754B9D"/>
    <w:rsid w:val="00755FC7"/>
    <w:rsid w:val="00756923"/>
    <w:rsid w:val="00757718"/>
    <w:rsid w:val="0076022E"/>
    <w:rsid w:val="007618A4"/>
    <w:rsid w:val="007623F1"/>
    <w:rsid w:val="007654ED"/>
    <w:rsid w:val="00765FBF"/>
    <w:rsid w:val="007667F9"/>
    <w:rsid w:val="007701A3"/>
    <w:rsid w:val="007706BB"/>
    <w:rsid w:val="00776352"/>
    <w:rsid w:val="00782C67"/>
    <w:rsid w:val="00783E47"/>
    <w:rsid w:val="00786F44"/>
    <w:rsid w:val="0079157B"/>
    <w:rsid w:val="00792213"/>
    <w:rsid w:val="00792815"/>
    <w:rsid w:val="00794F9E"/>
    <w:rsid w:val="00795865"/>
    <w:rsid w:val="007A085F"/>
    <w:rsid w:val="007A2EAF"/>
    <w:rsid w:val="007A5DA0"/>
    <w:rsid w:val="007A7930"/>
    <w:rsid w:val="007B422D"/>
    <w:rsid w:val="007B50E9"/>
    <w:rsid w:val="007B655F"/>
    <w:rsid w:val="007B76BE"/>
    <w:rsid w:val="007C0353"/>
    <w:rsid w:val="007C1CBC"/>
    <w:rsid w:val="007C37BE"/>
    <w:rsid w:val="007C3CD9"/>
    <w:rsid w:val="007C3FFA"/>
    <w:rsid w:val="007C4DDE"/>
    <w:rsid w:val="007C7BD3"/>
    <w:rsid w:val="007D120D"/>
    <w:rsid w:val="007D16B6"/>
    <w:rsid w:val="007D1828"/>
    <w:rsid w:val="007D3814"/>
    <w:rsid w:val="007D6935"/>
    <w:rsid w:val="007D7C44"/>
    <w:rsid w:val="007E13F4"/>
    <w:rsid w:val="007F15A1"/>
    <w:rsid w:val="007F32B3"/>
    <w:rsid w:val="007F3504"/>
    <w:rsid w:val="007F464A"/>
    <w:rsid w:val="007F585F"/>
    <w:rsid w:val="00802F1B"/>
    <w:rsid w:val="00805016"/>
    <w:rsid w:val="00806201"/>
    <w:rsid w:val="008111DB"/>
    <w:rsid w:val="00813423"/>
    <w:rsid w:val="00822B27"/>
    <w:rsid w:val="00823C97"/>
    <w:rsid w:val="00823EF8"/>
    <w:rsid w:val="00830286"/>
    <w:rsid w:val="00830F82"/>
    <w:rsid w:val="00832DF0"/>
    <w:rsid w:val="00833E58"/>
    <w:rsid w:val="008346A4"/>
    <w:rsid w:val="00836D74"/>
    <w:rsid w:val="008424B2"/>
    <w:rsid w:val="008441CB"/>
    <w:rsid w:val="00850725"/>
    <w:rsid w:val="00853017"/>
    <w:rsid w:val="00854D29"/>
    <w:rsid w:val="00860CBF"/>
    <w:rsid w:val="00860E1D"/>
    <w:rsid w:val="0086424B"/>
    <w:rsid w:val="00870F9B"/>
    <w:rsid w:val="00871BE0"/>
    <w:rsid w:val="008753D9"/>
    <w:rsid w:val="008760B0"/>
    <w:rsid w:val="00876421"/>
    <w:rsid w:val="008819D8"/>
    <w:rsid w:val="008831A4"/>
    <w:rsid w:val="00883589"/>
    <w:rsid w:val="00885A55"/>
    <w:rsid w:val="00885AB0"/>
    <w:rsid w:val="008877F9"/>
    <w:rsid w:val="00890B9B"/>
    <w:rsid w:val="008917C6"/>
    <w:rsid w:val="00892A5E"/>
    <w:rsid w:val="00897067"/>
    <w:rsid w:val="008A1A38"/>
    <w:rsid w:val="008A4C32"/>
    <w:rsid w:val="008A5F94"/>
    <w:rsid w:val="008A70DC"/>
    <w:rsid w:val="008B2555"/>
    <w:rsid w:val="008B323F"/>
    <w:rsid w:val="008B60D1"/>
    <w:rsid w:val="008C0B5B"/>
    <w:rsid w:val="008C19C5"/>
    <w:rsid w:val="008C2030"/>
    <w:rsid w:val="008C2B7C"/>
    <w:rsid w:val="008C4C76"/>
    <w:rsid w:val="008C54BC"/>
    <w:rsid w:val="008D0E9F"/>
    <w:rsid w:val="008D1F4E"/>
    <w:rsid w:val="008D5472"/>
    <w:rsid w:val="008D5AE5"/>
    <w:rsid w:val="008D5F63"/>
    <w:rsid w:val="008D6E87"/>
    <w:rsid w:val="008D7D29"/>
    <w:rsid w:val="008E325A"/>
    <w:rsid w:val="008E4BE9"/>
    <w:rsid w:val="008E7616"/>
    <w:rsid w:val="008E7F6F"/>
    <w:rsid w:val="008F4F61"/>
    <w:rsid w:val="008F5D02"/>
    <w:rsid w:val="008F6EB2"/>
    <w:rsid w:val="008F7040"/>
    <w:rsid w:val="008F73ED"/>
    <w:rsid w:val="009011FF"/>
    <w:rsid w:val="0090192D"/>
    <w:rsid w:val="00901A5D"/>
    <w:rsid w:val="00904404"/>
    <w:rsid w:val="0090473B"/>
    <w:rsid w:val="00904EA6"/>
    <w:rsid w:val="009061A0"/>
    <w:rsid w:val="00906814"/>
    <w:rsid w:val="00910429"/>
    <w:rsid w:val="009148F3"/>
    <w:rsid w:val="00915FD4"/>
    <w:rsid w:val="0091764B"/>
    <w:rsid w:val="00922827"/>
    <w:rsid w:val="00922B6B"/>
    <w:rsid w:val="0092469F"/>
    <w:rsid w:val="00930F55"/>
    <w:rsid w:val="009334E0"/>
    <w:rsid w:val="0093614C"/>
    <w:rsid w:val="00936E2D"/>
    <w:rsid w:val="009419B0"/>
    <w:rsid w:val="009428B3"/>
    <w:rsid w:val="009462F6"/>
    <w:rsid w:val="009466F7"/>
    <w:rsid w:val="00946BAF"/>
    <w:rsid w:val="009534C0"/>
    <w:rsid w:val="009566D9"/>
    <w:rsid w:val="00956816"/>
    <w:rsid w:val="0097262B"/>
    <w:rsid w:val="00975409"/>
    <w:rsid w:val="00975435"/>
    <w:rsid w:val="0097710D"/>
    <w:rsid w:val="0098255D"/>
    <w:rsid w:val="00983CAA"/>
    <w:rsid w:val="00987C17"/>
    <w:rsid w:val="0099161F"/>
    <w:rsid w:val="009939F4"/>
    <w:rsid w:val="00994C73"/>
    <w:rsid w:val="009A0271"/>
    <w:rsid w:val="009A08E1"/>
    <w:rsid w:val="009A188C"/>
    <w:rsid w:val="009A44B8"/>
    <w:rsid w:val="009A4EB4"/>
    <w:rsid w:val="009B3FFB"/>
    <w:rsid w:val="009B4044"/>
    <w:rsid w:val="009B4692"/>
    <w:rsid w:val="009B4B77"/>
    <w:rsid w:val="009C6713"/>
    <w:rsid w:val="009D18A7"/>
    <w:rsid w:val="009D346B"/>
    <w:rsid w:val="009D67B1"/>
    <w:rsid w:val="009E12B3"/>
    <w:rsid w:val="009F0DEE"/>
    <w:rsid w:val="009F2125"/>
    <w:rsid w:val="009F2B02"/>
    <w:rsid w:val="009F2F49"/>
    <w:rsid w:val="009F50DA"/>
    <w:rsid w:val="009F6B97"/>
    <w:rsid w:val="00A00ACA"/>
    <w:rsid w:val="00A01613"/>
    <w:rsid w:val="00A030C0"/>
    <w:rsid w:val="00A0464B"/>
    <w:rsid w:val="00A04E90"/>
    <w:rsid w:val="00A06095"/>
    <w:rsid w:val="00A103A4"/>
    <w:rsid w:val="00A111D0"/>
    <w:rsid w:val="00A12F98"/>
    <w:rsid w:val="00A15B85"/>
    <w:rsid w:val="00A20919"/>
    <w:rsid w:val="00A24142"/>
    <w:rsid w:val="00A241D4"/>
    <w:rsid w:val="00A2441F"/>
    <w:rsid w:val="00A25D61"/>
    <w:rsid w:val="00A26980"/>
    <w:rsid w:val="00A27C63"/>
    <w:rsid w:val="00A31C5D"/>
    <w:rsid w:val="00A34F61"/>
    <w:rsid w:val="00A362C5"/>
    <w:rsid w:val="00A364B9"/>
    <w:rsid w:val="00A40AFC"/>
    <w:rsid w:val="00A440BB"/>
    <w:rsid w:val="00A463D2"/>
    <w:rsid w:val="00A50CF1"/>
    <w:rsid w:val="00A52866"/>
    <w:rsid w:val="00A5462A"/>
    <w:rsid w:val="00A60C3F"/>
    <w:rsid w:val="00A61F8A"/>
    <w:rsid w:val="00A61F9E"/>
    <w:rsid w:val="00A701CF"/>
    <w:rsid w:val="00A70B14"/>
    <w:rsid w:val="00A71857"/>
    <w:rsid w:val="00A72840"/>
    <w:rsid w:val="00A744E6"/>
    <w:rsid w:val="00A746A5"/>
    <w:rsid w:val="00A769C0"/>
    <w:rsid w:val="00A776BD"/>
    <w:rsid w:val="00A779F5"/>
    <w:rsid w:val="00A82156"/>
    <w:rsid w:val="00A83ED0"/>
    <w:rsid w:val="00A84125"/>
    <w:rsid w:val="00A90135"/>
    <w:rsid w:val="00A93EF0"/>
    <w:rsid w:val="00AA02DD"/>
    <w:rsid w:val="00AA0BA2"/>
    <w:rsid w:val="00AA46C0"/>
    <w:rsid w:val="00AA548F"/>
    <w:rsid w:val="00AB103A"/>
    <w:rsid w:val="00AB1CD7"/>
    <w:rsid w:val="00AB3462"/>
    <w:rsid w:val="00AB45C2"/>
    <w:rsid w:val="00AB686C"/>
    <w:rsid w:val="00AC1A48"/>
    <w:rsid w:val="00AC2241"/>
    <w:rsid w:val="00AC4641"/>
    <w:rsid w:val="00AC758E"/>
    <w:rsid w:val="00AC78C8"/>
    <w:rsid w:val="00AC7B37"/>
    <w:rsid w:val="00AD67CC"/>
    <w:rsid w:val="00AD71C6"/>
    <w:rsid w:val="00AD79F0"/>
    <w:rsid w:val="00AE0351"/>
    <w:rsid w:val="00AE44D6"/>
    <w:rsid w:val="00AF08AC"/>
    <w:rsid w:val="00AF2203"/>
    <w:rsid w:val="00AF3B00"/>
    <w:rsid w:val="00AF4DC3"/>
    <w:rsid w:val="00B05CC6"/>
    <w:rsid w:val="00B05D84"/>
    <w:rsid w:val="00B06E7C"/>
    <w:rsid w:val="00B11985"/>
    <w:rsid w:val="00B13693"/>
    <w:rsid w:val="00B20FC3"/>
    <w:rsid w:val="00B2197E"/>
    <w:rsid w:val="00B23DC4"/>
    <w:rsid w:val="00B24A67"/>
    <w:rsid w:val="00B2572E"/>
    <w:rsid w:val="00B31DC4"/>
    <w:rsid w:val="00B41629"/>
    <w:rsid w:val="00B43EC1"/>
    <w:rsid w:val="00B511ED"/>
    <w:rsid w:val="00B54A37"/>
    <w:rsid w:val="00B551D9"/>
    <w:rsid w:val="00B55F68"/>
    <w:rsid w:val="00B567C2"/>
    <w:rsid w:val="00B61CA0"/>
    <w:rsid w:val="00B63233"/>
    <w:rsid w:val="00B63853"/>
    <w:rsid w:val="00B675D8"/>
    <w:rsid w:val="00B679E5"/>
    <w:rsid w:val="00B81581"/>
    <w:rsid w:val="00B82025"/>
    <w:rsid w:val="00B82E05"/>
    <w:rsid w:val="00B83A27"/>
    <w:rsid w:val="00B83AB9"/>
    <w:rsid w:val="00B86158"/>
    <w:rsid w:val="00B92E4C"/>
    <w:rsid w:val="00B93F26"/>
    <w:rsid w:val="00B94AA2"/>
    <w:rsid w:val="00B960CA"/>
    <w:rsid w:val="00B975D7"/>
    <w:rsid w:val="00BA2C57"/>
    <w:rsid w:val="00BA5334"/>
    <w:rsid w:val="00BA5559"/>
    <w:rsid w:val="00BA7B76"/>
    <w:rsid w:val="00BB0757"/>
    <w:rsid w:val="00BB5B13"/>
    <w:rsid w:val="00BB5DA1"/>
    <w:rsid w:val="00BC432E"/>
    <w:rsid w:val="00BD1DF8"/>
    <w:rsid w:val="00BD2554"/>
    <w:rsid w:val="00BD5CC8"/>
    <w:rsid w:val="00BD680A"/>
    <w:rsid w:val="00BD74B4"/>
    <w:rsid w:val="00BE1500"/>
    <w:rsid w:val="00BE346F"/>
    <w:rsid w:val="00BE3656"/>
    <w:rsid w:val="00BE4C69"/>
    <w:rsid w:val="00C01090"/>
    <w:rsid w:val="00C036C6"/>
    <w:rsid w:val="00C05428"/>
    <w:rsid w:val="00C07BBA"/>
    <w:rsid w:val="00C10476"/>
    <w:rsid w:val="00C11D6A"/>
    <w:rsid w:val="00C13ED2"/>
    <w:rsid w:val="00C15D73"/>
    <w:rsid w:val="00C22510"/>
    <w:rsid w:val="00C234AF"/>
    <w:rsid w:val="00C23EA9"/>
    <w:rsid w:val="00C2429E"/>
    <w:rsid w:val="00C249DB"/>
    <w:rsid w:val="00C25AD2"/>
    <w:rsid w:val="00C27EDE"/>
    <w:rsid w:val="00C309D9"/>
    <w:rsid w:val="00C30C43"/>
    <w:rsid w:val="00C30D10"/>
    <w:rsid w:val="00C30DB2"/>
    <w:rsid w:val="00C32D93"/>
    <w:rsid w:val="00C3583C"/>
    <w:rsid w:val="00C358B1"/>
    <w:rsid w:val="00C35CD9"/>
    <w:rsid w:val="00C400D0"/>
    <w:rsid w:val="00C41200"/>
    <w:rsid w:val="00C4128A"/>
    <w:rsid w:val="00C4430A"/>
    <w:rsid w:val="00C46CB4"/>
    <w:rsid w:val="00C50DFB"/>
    <w:rsid w:val="00C52664"/>
    <w:rsid w:val="00C572EF"/>
    <w:rsid w:val="00C57691"/>
    <w:rsid w:val="00C6385D"/>
    <w:rsid w:val="00C64A3C"/>
    <w:rsid w:val="00C66595"/>
    <w:rsid w:val="00C70AC7"/>
    <w:rsid w:val="00C7540F"/>
    <w:rsid w:val="00C763D1"/>
    <w:rsid w:val="00C8060A"/>
    <w:rsid w:val="00C8087E"/>
    <w:rsid w:val="00C813C1"/>
    <w:rsid w:val="00C82DDD"/>
    <w:rsid w:val="00C862FC"/>
    <w:rsid w:val="00C87761"/>
    <w:rsid w:val="00CA31E7"/>
    <w:rsid w:val="00CA436E"/>
    <w:rsid w:val="00CA53F3"/>
    <w:rsid w:val="00CB16FB"/>
    <w:rsid w:val="00CB4778"/>
    <w:rsid w:val="00CB7B9E"/>
    <w:rsid w:val="00CC5633"/>
    <w:rsid w:val="00CC5814"/>
    <w:rsid w:val="00CC661E"/>
    <w:rsid w:val="00CD0C66"/>
    <w:rsid w:val="00CD2403"/>
    <w:rsid w:val="00CD5E14"/>
    <w:rsid w:val="00CE08B5"/>
    <w:rsid w:val="00CE0DF9"/>
    <w:rsid w:val="00CE4A27"/>
    <w:rsid w:val="00CE7299"/>
    <w:rsid w:val="00CE7BCF"/>
    <w:rsid w:val="00CF08EE"/>
    <w:rsid w:val="00CF1115"/>
    <w:rsid w:val="00D022EA"/>
    <w:rsid w:val="00D03F90"/>
    <w:rsid w:val="00D04D6C"/>
    <w:rsid w:val="00D07A38"/>
    <w:rsid w:val="00D1155B"/>
    <w:rsid w:val="00D11714"/>
    <w:rsid w:val="00D11DF1"/>
    <w:rsid w:val="00D1329D"/>
    <w:rsid w:val="00D143AF"/>
    <w:rsid w:val="00D15481"/>
    <w:rsid w:val="00D21DC7"/>
    <w:rsid w:val="00D2466C"/>
    <w:rsid w:val="00D2515C"/>
    <w:rsid w:val="00D31321"/>
    <w:rsid w:val="00D32C1B"/>
    <w:rsid w:val="00D33E1E"/>
    <w:rsid w:val="00D40EDC"/>
    <w:rsid w:val="00D41021"/>
    <w:rsid w:val="00D5041B"/>
    <w:rsid w:val="00D5043C"/>
    <w:rsid w:val="00D51564"/>
    <w:rsid w:val="00D52A8D"/>
    <w:rsid w:val="00D53EDE"/>
    <w:rsid w:val="00D56A62"/>
    <w:rsid w:val="00D57CE0"/>
    <w:rsid w:val="00D637D0"/>
    <w:rsid w:val="00D66E2F"/>
    <w:rsid w:val="00D7627E"/>
    <w:rsid w:val="00D7656F"/>
    <w:rsid w:val="00D77B60"/>
    <w:rsid w:val="00D77C2E"/>
    <w:rsid w:val="00D80280"/>
    <w:rsid w:val="00D8099B"/>
    <w:rsid w:val="00D822DC"/>
    <w:rsid w:val="00D872C2"/>
    <w:rsid w:val="00D87419"/>
    <w:rsid w:val="00D92320"/>
    <w:rsid w:val="00D94DD0"/>
    <w:rsid w:val="00DA0DF3"/>
    <w:rsid w:val="00DA4C6E"/>
    <w:rsid w:val="00DA7DEC"/>
    <w:rsid w:val="00DB02B6"/>
    <w:rsid w:val="00DB0C45"/>
    <w:rsid w:val="00DB0FAE"/>
    <w:rsid w:val="00DB1AF8"/>
    <w:rsid w:val="00DB28A6"/>
    <w:rsid w:val="00DB50BD"/>
    <w:rsid w:val="00DB5344"/>
    <w:rsid w:val="00DB587E"/>
    <w:rsid w:val="00DB6C71"/>
    <w:rsid w:val="00DC1DCB"/>
    <w:rsid w:val="00DC21E9"/>
    <w:rsid w:val="00DD22C4"/>
    <w:rsid w:val="00DE0FC1"/>
    <w:rsid w:val="00DE23BC"/>
    <w:rsid w:val="00DE398C"/>
    <w:rsid w:val="00DE628C"/>
    <w:rsid w:val="00DF3FC8"/>
    <w:rsid w:val="00DF7107"/>
    <w:rsid w:val="00E01CA9"/>
    <w:rsid w:val="00E020A2"/>
    <w:rsid w:val="00E059A5"/>
    <w:rsid w:val="00E11EC1"/>
    <w:rsid w:val="00E12956"/>
    <w:rsid w:val="00E15FF7"/>
    <w:rsid w:val="00E16907"/>
    <w:rsid w:val="00E17A07"/>
    <w:rsid w:val="00E200E5"/>
    <w:rsid w:val="00E26FA7"/>
    <w:rsid w:val="00E278C2"/>
    <w:rsid w:val="00E31AD6"/>
    <w:rsid w:val="00E31FBD"/>
    <w:rsid w:val="00E3796A"/>
    <w:rsid w:val="00E37AC5"/>
    <w:rsid w:val="00E40435"/>
    <w:rsid w:val="00E42671"/>
    <w:rsid w:val="00E43CFD"/>
    <w:rsid w:val="00E44190"/>
    <w:rsid w:val="00E538AA"/>
    <w:rsid w:val="00E60770"/>
    <w:rsid w:val="00E6339B"/>
    <w:rsid w:val="00E63AFC"/>
    <w:rsid w:val="00E640EB"/>
    <w:rsid w:val="00E64E9E"/>
    <w:rsid w:val="00E72C55"/>
    <w:rsid w:val="00E76846"/>
    <w:rsid w:val="00E85F95"/>
    <w:rsid w:val="00E8644F"/>
    <w:rsid w:val="00E9226D"/>
    <w:rsid w:val="00E94936"/>
    <w:rsid w:val="00E95351"/>
    <w:rsid w:val="00E95C0F"/>
    <w:rsid w:val="00E96AE6"/>
    <w:rsid w:val="00EA5569"/>
    <w:rsid w:val="00EA708B"/>
    <w:rsid w:val="00EB4244"/>
    <w:rsid w:val="00EB4D9C"/>
    <w:rsid w:val="00EB524E"/>
    <w:rsid w:val="00EC6BEA"/>
    <w:rsid w:val="00EC746C"/>
    <w:rsid w:val="00EC7618"/>
    <w:rsid w:val="00ED152E"/>
    <w:rsid w:val="00EE0177"/>
    <w:rsid w:val="00EE3F18"/>
    <w:rsid w:val="00EE449C"/>
    <w:rsid w:val="00EE48AE"/>
    <w:rsid w:val="00EE5DAB"/>
    <w:rsid w:val="00EE70AF"/>
    <w:rsid w:val="00EE73B3"/>
    <w:rsid w:val="00EF30A9"/>
    <w:rsid w:val="00EF48DA"/>
    <w:rsid w:val="00EF4F06"/>
    <w:rsid w:val="00EF6E2E"/>
    <w:rsid w:val="00F10E9F"/>
    <w:rsid w:val="00F13E68"/>
    <w:rsid w:val="00F15B74"/>
    <w:rsid w:val="00F233D0"/>
    <w:rsid w:val="00F24AAA"/>
    <w:rsid w:val="00F271C0"/>
    <w:rsid w:val="00F33950"/>
    <w:rsid w:val="00F34A4A"/>
    <w:rsid w:val="00F35669"/>
    <w:rsid w:val="00F4187B"/>
    <w:rsid w:val="00F438B7"/>
    <w:rsid w:val="00F44F3F"/>
    <w:rsid w:val="00F465C0"/>
    <w:rsid w:val="00F55956"/>
    <w:rsid w:val="00F578BF"/>
    <w:rsid w:val="00F57ADB"/>
    <w:rsid w:val="00F61C07"/>
    <w:rsid w:val="00F70C56"/>
    <w:rsid w:val="00F71D05"/>
    <w:rsid w:val="00F7420F"/>
    <w:rsid w:val="00F772A5"/>
    <w:rsid w:val="00F8061A"/>
    <w:rsid w:val="00F82718"/>
    <w:rsid w:val="00F8419C"/>
    <w:rsid w:val="00F86168"/>
    <w:rsid w:val="00F87FAF"/>
    <w:rsid w:val="00F922D5"/>
    <w:rsid w:val="00F95B61"/>
    <w:rsid w:val="00F95F8B"/>
    <w:rsid w:val="00F96A1E"/>
    <w:rsid w:val="00FA0301"/>
    <w:rsid w:val="00FA6E89"/>
    <w:rsid w:val="00FA71EB"/>
    <w:rsid w:val="00FB3872"/>
    <w:rsid w:val="00FB4A4E"/>
    <w:rsid w:val="00FC0C9B"/>
    <w:rsid w:val="00FC102A"/>
    <w:rsid w:val="00FC18A4"/>
    <w:rsid w:val="00FC5A5A"/>
    <w:rsid w:val="00FD01B9"/>
    <w:rsid w:val="00FD0867"/>
    <w:rsid w:val="00FD1A80"/>
    <w:rsid w:val="00FD1D06"/>
    <w:rsid w:val="00FD3AC2"/>
    <w:rsid w:val="00FD5DA9"/>
    <w:rsid w:val="00FD6130"/>
    <w:rsid w:val="00FD6569"/>
    <w:rsid w:val="00FD7533"/>
    <w:rsid w:val="00FE285C"/>
    <w:rsid w:val="00FE3396"/>
    <w:rsid w:val="00FE54D9"/>
    <w:rsid w:val="00FF1F8D"/>
    <w:rsid w:val="00FF2333"/>
    <w:rsid w:val="00FF500A"/>
    <w:rsid w:val="00FF515D"/>
    <w:rsid w:val="00FF5780"/>
    <w:rsid w:val="00FF5C4E"/>
    <w:rsid w:val="00FF5E6E"/>
    <w:rsid w:val="01473B13"/>
    <w:rsid w:val="017B5688"/>
    <w:rsid w:val="01974DE5"/>
    <w:rsid w:val="02A813BE"/>
    <w:rsid w:val="03215DBB"/>
    <w:rsid w:val="033578FA"/>
    <w:rsid w:val="035D5442"/>
    <w:rsid w:val="038D16A3"/>
    <w:rsid w:val="03CB5F98"/>
    <w:rsid w:val="04575F38"/>
    <w:rsid w:val="045B64CD"/>
    <w:rsid w:val="048900BC"/>
    <w:rsid w:val="04B213C1"/>
    <w:rsid w:val="04E83035"/>
    <w:rsid w:val="050E411D"/>
    <w:rsid w:val="05415488"/>
    <w:rsid w:val="054B1B12"/>
    <w:rsid w:val="058B39C0"/>
    <w:rsid w:val="058F40B3"/>
    <w:rsid w:val="05E51FE4"/>
    <w:rsid w:val="06530982"/>
    <w:rsid w:val="06A50C23"/>
    <w:rsid w:val="06B807E5"/>
    <w:rsid w:val="06BC4ED0"/>
    <w:rsid w:val="06C62F02"/>
    <w:rsid w:val="06F1065B"/>
    <w:rsid w:val="071874D5"/>
    <w:rsid w:val="073D0CEA"/>
    <w:rsid w:val="073E0AC1"/>
    <w:rsid w:val="07EB15C4"/>
    <w:rsid w:val="07FA25E2"/>
    <w:rsid w:val="08143C2A"/>
    <w:rsid w:val="083D1A72"/>
    <w:rsid w:val="08512C9F"/>
    <w:rsid w:val="08713EBD"/>
    <w:rsid w:val="08B96833"/>
    <w:rsid w:val="08FA3336"/>
    <w:rsid w:val="0958005D"/>
    <w:rsid w:val="097951E0"/>
    <w:rsid w:val="0A401506"/>
    <w:rsid w:val="0A52450C"/>
    <w:rsid w:val="0A5B7DD0"/>
    <w:rsid w:val="0AAE4AD0"/>
    <w:rsid w:val="0B0220BB"/>
    <w:rsid w:val="0B1C137E"/>
    <w:rsid w:val="0B24469B"/>
    <w:rsid w:val="0B32384A"/>
    <w:rsid w:val="0B8D0492"/>
    <w:rsid w:val="0B976326"/>
    <w:rsid w:val="0BEE162F"/>
    <w:rsid w:val="0C117376"/>
    <w:rsid w:val="0C654DF9"/>
    <w:rsid w:val="0CCD2981"/>
    <w:rsid w:val="0D3678AD"/>
    <w:rsid w:val="0D43599F"/>
    <w:rsid w:val="0D605384"/>
    <w:rsid w:val="0DA85CA6"/>
    <w:rsid w:val="0DBE1C14"/>
    <w:rsid w:val="0DEA598B"/>
    <w:rsid w:val="0DFB537D"/>
    <w:rsid w:val="0E1331F5"/>
    <w:rsid w:val="0E4B1576"/>
    <w:rsid w:val="0E71409B"/>
    <w:rsid w:val="0F1716BD"/>
    <w:rsid w:val="0F4D37BA"/>
    <w:rsid w:val="0F5B2655"/>
    <w:rsid w:val="0FE97C61"/>
    <w:rsid w:val="10402AC9"/>
    <w:rsid w:val="10655129"/>
    <w:rsid w:val="107F4CF8"/>
    <w:rsid w:val="10DD167F"/>
    <w:rsid w:val="10DD77C5"/>
    <w:rsid w:val="112179BF"/>
    <w:rsid w:val="116F3FC8"/>
    <w:rsid w:val="11F425A7"/>
    <w:rsid w:val="121865DB"/>
    <w:rsid w:val="12487DDB"/>
    <w:rsid w:val="12F350BA"/>
    <w:rsid w:val="13280AA0"/>
    <w:rsid w:val="13F111F5"/>
    <w:rsid w:val="141F00B4"/>
    <w:rsid w:val="14270D58"/>
    <w:rsid w:val="14DE1D5E"/>
    <w:rsid w:val="154C0F75"/>
    <w:rsid w:val="154F7C69"/>
    <w:rsid w:val="156A02BB"/>
    <w:rsid w:val="159A0C03"/>
    <w:rsid w:val="159E329B"/>
    <w:rsid w:val="15A308B2"/>
    <w:rsid w:val="15C50828"/>
    <w:rsid w:val="1643128F"/>
    <w:rsid w:val="16A07660"/>
    <w:rsid w:val="16A42B33"/>
    <w:rsid w:val="16AC543F"/>
    <w:rsid w:val="16C531D6"/>
    <w:rsid w:val="16DE18DD"/>
    <w:rsid w:val="170340EA"/>
    <w:rsid w:val="17091311"/>
    <w:rsid w:val="170E3180"/>
    <w:rsid w:val="174E6215"/>
    <w:rsid w:val="178C7E53"/>
    <w:rsid w:val="178F5592"/>
    <w:rsid w:val="17B16D61"/>
    <w:rsid w:val="17F03127"/>
    <w:rsid w:val="180C6316"/>
    <w:rsid w:val="1872050C"/>
    <w:rsid w:val="187736FD"/>
    <w:rsid w:val="187D188E"/>
    <w:rsid w:val="18836C66"/>
    <w:rsid w:val="189E5351"/>
    <w:rsid w:val="18A42854"/>
    <w:rsid w:val="18EB0C8C"/>
    <w:rsid w:val="19023500"/>
    <w:rsid w:val="19445707"/>
    <w:rsid w:val="194A2173"/>
    <w:rsid w:val="19746A29"/>
    <w:rsid w:val="1A136006"/>
    <w:rsid w:val="1A1A1BD8"/>
    <w:rsid w:val="1A7D7923"/>
    <w:rsid w:val="1AA17AB6"/>
    <w:rsid w:val="1AED4B38"/>
    <w:rsid w:val="1B1738D4"/>
    <w:rsid w:val="1B6A063C"/>
    <w:rsid w:val="1B940D77"/>
    <w:rsid w:val="1BC021BE"/>
    <w:rsid w:val="1BC85FA4"/>
    <w:rsid w:val="1BEC6B0F"/>
    <w:rsid w:val="1C105D34"/>
    <w:rsid w:val="1C16314D"/>
    <w:rsid w:val="1C382524"/>
    <w:rsid w:val="1C434466"/>
    <w:rsid w:val="1CE92A10"/>
    <w:rsid w:val="1D534C64"/>
    <w:rsid w:val="1D9F1315"/>
    <w:rsid w:val="1DF61367"/>
    <w:rsid w:val="1E0738E5"/>
    <w:rsid w:val="1E201B9E"/>
    <w:rsid w:val="1E46214E"/>
    <w:rsid w:val="1E462C80"/>
    <w:rsid w:val="1E6029D2"/>
    <w:rsid w:val="1ED41ADC"/>
    <w:rsid w:val="1EF53F2C"/>
    <w:rsid w:val="1F0B19A2"/>
    <w:rsid w:val="1F1C595D"/>
    <w:rsid w:val="1F4E749F"/>
    <w:rsid w:val="1F501C38"/>
    <w:rsid w:val="1F673F85"/>
    <w:rsid w:val="1F7946A8"/>
    <w:rsid w:val="1FE43FA1"/>
    <w:rsid w:val="200563F1"/>
    <w:rsid w:val="201D0697"/>
    <w:rsid w:val="202820DF"/>
    <w:rsid w:val="202F7912"/>
    <w:rsid w:val="20457135"/>
    <w:rsid w:val="2052555B"/>
    <w:rsid w:val="21B52099"/>
    <w:rsid w:val="21E02355"/>
    <w:rsid w:val="22553D29"/>
    <w:rsid w:val="22943A5C"/>
    <w:rsid w:val="22A334B0"/>
    <w:rsid w:val="22AC6603"/>
    <w:rsid w:val="22D24CAD"/>
    <w:rsid w:val="22E07461"/>
    <w:rsid w:val="22E9024C"/>
    <w:rsid w:val="23103A2A"/>
    <w:rsid w:val="233E2D80"/>
    <w:rsid w:val="2370208A"/>
    <w:rsid w:val="23AE3635"/>
    <w:rsid w:val="23D64F4F"/>
    <w:rsid w:val="248B0E8F"/>
    <w:rsid w:val="248E27E6"/>
    <w:rsid w:val="249B2C10"/>
    <w:rsid w:val="24B86128"/>
    <w:rsid w:val="24B866C3"/>
    <w:rsid w:val="24DA53F4"/>
    <w:rsid w:val="24EE45A3"/>
    <w:rsid w:val="253D0E1C"/>
    <w:rsid w:val="25772E03"/>
    <w:rsid w:val="25781D85"/>
    <w:rsid w:val="259F4BF2"/>
    <w:rsid w:val="26076608"/>
    <w:rsid w:val="26355721"/>
    <w:rsid w:val="263E643D"/>
    <w:rsid w:val="26502390"/>
    <w:rsid w:val="26517B98"/>
    <w:rsid w:val="26A050C5"/>
    <w:rsid w:val="26A84219"/>
    <w:rsid w:val="26F50752"/>
    <w:rsid w:val="27147861"/>
    <w:rsid w:val="274A5031"/>
    <w:rsid w:val="275F7280"/>
    <w:rsid w:val="276E0D20"/>
    <w:rsid w:val="278407FB"/>
    <w:rsid w:val="280F0E6B"/>
    <w:rsid w:val="283A32F8"/>
    <w:rsid w:val="28732536"/>
    <w:rsid w:val="28CA1820"/>
    <w:rsid w:val="28E82D54"/>
    <w:rsid w:val="28EC566D"/>
    <w:rsid w:val="29341AF5"/>
    <w:rsid w:val="295757E3"/>
    <w:rsid w:val="2999547A"/>
    <w:rsid w:val="299B7100"/>
    <w:rsid w:val="29CF0173"/>
    <w:rsid w:val="2A2C7F02"/>
    <w:rsid w:val="2AD678EF"/>
    <w:rsid w:val="2B5D17D7"/>
    <w:rsid w:val="2B8A1EA0"/>
    <w:rsid w:val="2BAE2033"/>
    <w:rsid w:val="2BE041B6"/>
    <w:rsid w:val="2C0D32A5"/>
    <w:rsid w:val="2C1319B2"/>
    <w:rsid w:val="2C567FD4"/>
    <w:rsid w:val="2CAF3836"/>
    <w:rsid w:val="2CD4797C"/>
    <w:rsid w:val="2D360531"/>
    <w:rsid w:val="2D5C5ABE"/>
    <w:rsid w:val="2D914A72"/>
    <w:rsid w:val="2E19303F"/>
    <w:rsid w:val="2F55416A"/>
    <w:rsid w:val="2FBA494F"/>
    <w:rsid w:val="30077F63"/>
    <w:rsid w:val="3038011D"/>
    <w:rsid w:val="30693D73"/>
    <w:rsid w:val="30BF3162"/>
    <w:rsid w:val="31D65D9E"/>
    <w:rsid w:val="32110C25"/>
    <w:rsid w:val="3216623C"/>
    <w:rsid w:val="321E3342"/>
    <w:rsid w:val="32960DFA"/>
    <w:rsid w:val="32973B96"/>
    <w:rsid w:val="32F065B0"/>
    <w:rsid w:val="330D3AE3"/>
    <w:rsid w:val="332E3636"/>
    <w:rsid w:val="33596AB8"/>
    <w:rsid w:val="340053F5"/>
    <w:rsid w:val="34060532"/>
    <w:rsid w:val="34090758"/>
    <w:rsid w:val="34244854"/>
    <w:rsid w:val="344D6838"/>
    <w:rsid w:val="34980AE0"/>
    <w:rsid w:val="34D8363B"/>
    <w:rsid w:val="34E15227"/>
    <w:rsid w:val="35390EE7"/>
    <w:rsid w:val="355619D4"/>
    <w:rsid w:val="357177FF"/>
    <w:rsid w:val="35747B1F"/>
    <w:rsid w:val="357A0736"/>
    <w:rsid w:val="35897434"/>
    <w:rsid w:val="35DA66E8"/>
    <w:rsid w:val="362E11F0"/>
    <w:rsid w:val="365437D6"/>
    <w:rsid w:val="366E2AEA"/>
    <w:rsid w:val="368F2BB5"/>
    <w:rsid w:val="369A461D"/>
    <w:rsid w:val="36F44ACE"/>
    <w:rsid w:val="371C6C99"/>
    <w:rsid w:val="3724064A"/>
    <w:rsid w:val="379676CF"/>
    <w:rsid w:val="379C4E4D"/>
    <w:rsid w:val="37D73D5E"/>
    <w:rsid w:val="37DA6B90"/>
    <w:rsid w:val="37DE37E1"/>
    <w:rsid w:val="37E852EE"/>
    <w:rsid w:val="37F90D08"/>
    <w:rsid w:val="382B585D"/>
    <w:rsid w:val="38380AAD"/>
    <w:rsid w:val="38663F9A"/>
    <w:rsid w:val="38E57969"/>
    <w:rsid w:val="38FA1BA9"/>
    <w:rsid w:val="392C2A90"/>
    <w:rsid w:val="398A2824"/>
    <w:rsid w:val="3993325E"/>
    <w:rsid w:val="39CE564E"/>
    <w:rsid w:val="3A195611"/>
    <w:rsid w:val="3A783974"/>
    <w:rsid w:val="3AEF3DAF"/>
    <w:rsid w:val="3AF722B0"/>
    <w:rsid w:val="3B1D063B"/>
    <w:rsid w:val="3B292E53"/>
    <w:rsid w:val="3B677B08"/>
    <w:rsid w:val="3B837C6D"/>
    <w:rsid w:val="3B985F13"/>
    <w:rsid w:val="3BA50630"/>
    <w:rsid w:val="3BEE558A"/>
    <w:rsid w:val="3C00262B"/>
    <w:rsid w:val="3C3629DD"/>
    <w:rsid w:val="3C414629"/>
    <w:rsid w:val="3C592D3F"/>
    <w:rsid w:val="3C642299"/>
    <w:rsid w:val="3C6A3D54"/>
    <w:rsid w:val="3C8D359F"/>
    <w:rsid w:val="3CDE2504"/>
    <w:rsid w:val="3CE46170"/>
    <w:rsid w:val="3D175F78"/>
    <w:rsid w:val="3D192343"/>
    <w:rsid w:val="3D50156D"/>
    <w:rsid w:val="3D606765"/>
    <w:rsid w:val="3D6967B2"/>
    <w:rsid w:val="3D804CB1"/>
    <w:rsid w:val="3DA140AA"/>
    <w:rsid w:val="3DBD46F4"/>
    <w:rsid w:val="3DCB0822"/>
    <w:rsid w:val="3DFD29A6"/>
    <w:rsid w:val="3DFD6502"/>
    <w:rsid w:val="3E5527E2"/>
    <w:rsid w:val="3E82530D"/>
    <w:rsid w:val="3EA350F2"/>
    <w:rsid w:val="3EA80CBF"/>
    <w:rsid w:val="3ED252AB"/>
    <w:rsid w:val="3F165ACD"/>
    <w:rsid w:val="3F3660CC"/>
    <w:rsid w:val="3F5454E0"/>
    <w:rsid w:val="3F760C61"/>
    <w:rsid w:val="3FB2105A"/>
    <w:rsid w:val="3FD22A9E"/>
    <w:rsid w:val="40465776"/>
    <w:rsid w:val="407D2605"/>
    <w:rsid w:val="40B732E0"/>
    <w:rsid w:val="40CA3013"/>
    <w:rsid w:val="41006A35"/>
    <w:rsid w:val="411424E0"/>
    <w:rsid w:val="41856F3A"/>
    <w:rsid w:val="41F97033"/>
    <w:rsid w:val="42C628C5"/>
    <w:rsid w:val="42FF2D1C"/>
    <w:rsid w:val="43205C28"/>
    <w:rsid w:val="433A1504"/>
    <w:rsid w:val="43600C36"/>
    <w:rsid w:val="44316F05"/>
    <w:rsid w:val="44472BCC"/>
    <w:rsid w:val="44494651"/>
    <w:rsid w:val="444B0E4F"/>
    <w:rsid w:val="44637E9B"/>
    <w:rsid w:val="448A0386"/>
    <w:rsid w:val="44B8461E"/>
    <w:rsid w:val="44DA33D0"/>
    <w:rsid w:val="44EA2AB7"/>
    <w:rsid w:val="44F31239"/>
    <w:rsid w:val="44F71559"/>
    <w:rsid w:val="450802D5"/>
    <w:rsid w:val="451F4F4C"/>
    <w:rsid w:val="45372C41"/>
    <w:rsid w:val="453945F1"/>
    <w:rsid w:val="458E18CE"/>
    <w:rsid w:val="458F0387"/>
    <w:rsid w:val="45DB35CC"/>
    <w:rsid w:val="45F12DF0"/>
    <w:rsid w:val="461A0599"/>
    <w:rsid w:val="46380A1F"/>
    <w:rsid w:val="464E4599"/>
    <w:rsid w:val="4661409B"/>
    <w:rsid w:val="46735944"/>
    <w:rsid w:val="46A377BC"/>
    <w:rsid w:val="46BA68B9"/>
    <w:rsid w:val="46C6427C"/>
    <w:rsid w:val="46D149CF"/>
    <w:rsid w:val="473D3173"/>
    <w:rsid w:val="474E7DCE"/>
    <w:rsid w:val="47BC742D"/>
    <w:rsid w:val="482C2540"/>
    <w:rsid w:val="482E20C0"/>
    <w:rsid w:val="48D367DD"/>
    <w:rsid w:val="49137521"/>
    <w:rsid w:val="491906C2"/>
    <w:rsid w:val="49217C8F"/>
    <w:rsid w:val="49792B95"/>
    <w:rsid w:val="497C13F6"/>
    <w:rsid w:val="4A31571D"/>
    <w:rsid w:val="4A3A1ADE"/>
    <w:rsid w:val="4B1A0571"/>
    <w:rsid w:val="4B5454BD"/>
    <w:rsid w:val="4BDC009E"/>
    <w:rsid w:val="4BF523ED"/>
    <w:rsid w:val="4BFA6B23"/>
    <w:rsid w:val="4C003290"/>
    <w:rsid w:val="4C261319"/>
    <w:rsid w:val="4C53424A"/>
    <w:rsid w:val="4C5A1416"/>
    <w:rsid w:val="4C756432"/>
    <w:rsid w:val="4CBE77A4"/>
    <w:rsid w:val="4D3708C2"/>
    <w:rsid w:val="4D5E4C9D"/>
    <w:rsid w:val="4D6319D5"/>
    <w:rsid w:val="4E221C46"/>
    <w:rsid w:val="4E485E81"/>
    <w:rsid w:val="4E564138"/>
    <w:rsid w:val="4E90378B"/>
    <w:rsid w:val="4EC77B79"/>
    <w:rsid w:val="4EDF237F"/>
    <w:rsid w:val="4F607C3C"/>
    <w:rsid w:val="4F993153"/>
    <w:rsid w:val="4FB03FD0"/>
    <w:rsid w:val="4FC633C6"/>
    <w:rsid w:val="4FE217E6"/>
    <w:rsid w:val="500208DE"/>
    <w:rsid w:val="5039400D"/>
    <w:rsid w:val="50395ABF"/>
    <w:rsid w:val="506C56BD"/>
    <w:rsid w:val="507538CB"/>
    <w:rsid w:val="50B32844"/>
    <w:rsid w:val="50E06768"/>
    <w:rsid w:val="5111148D"/>
    <w:rsid w:val="51142088"/>
    <w:rsid w:val="51C72A55"/>
    <w:rsid w:val="52570187"/>
    <w:rsid w:val="52934A87"/>
    <w:rsid w:val="52A225E9"/>
    <w:rsid w:val="52D14CD6"/>
    <w:rsid w:val="52DC2732"/>
    <w:rsid w:val="52E37A02"/>
    <w:rsid w:val="532842A1"/>
    <w:rsid w:val="534D76FB"/>
    <w:rsid w:val="536D782E"/>
    <w:rsid w:val="53715570"/>
    <w:rsid w:val="53B06098"/>
    <w:rsid w:val="53C439C2"/>
    <w:rsid w:val="53D77AC9"/>
    <w:rsid w:val="53EC4BF7"/>
    <w:rsid w:val="53F91DFC"/>
    <w:rsid w:val="541E7772"/>
    <w:rsid w:val="54557693"/>
    <w:rsid w:val="54632F33"/>
    <w:rsid w:val="54664028"/>
    <w:rsid w:val="54F239E2"/>
    <w:rsid w:val="54FC13C2"/>
    <w:rsid w:val="557D64FE"/>
    <w:rsid w:val="562803B5"/>
    <w:rsid w:val="562C1C22"/>
    <w:rsid w:val="565847C5"/>
    <w:rsid w:val="56596FC8"/>
    <w:rsid w:val="56637A98"/>
    <w:rsid w:val="56C6554D"/>
    <w:rsid w:val="56FC04D0"/>
    <w:rsid w:val="57035A47"/>
    <w:rsid w:val="571A045F"/>
    <w:rsid w:val="572E1C13"/>
    <w:rsid w:val="578F58FF"/>
    <w:rsid w:val="57B8459F"/>
    <w:rsid w:val="57D64EAF"/>
    <w:rsid w:val="57DA1A83"/>
    <w:rsid w:val="589776C4"/>
    <w:rsid w:val="58A67F87"/>
    <w:rsid w:val="58B032AD"/>
    <w:rsid w:val="58C63C68"/>
    <w:rsid w:val="593A5EB6"/>
    <w:rsid w:val="596353BD"/>
    <w:rsid w:val="5979577F"/>
    <w:rsid w:val="598454B4"/>
    <w:rsid w:val="59957BA3"/>
    <w:rsid w:val="59AC7302"/>
    <w:rsid w:val="59CD742D"/>
    <w:rsid w:val="59DB028E"/>
    <w:rsid w:val="5A2570B4"/>
    <w:rsid w:val="5A517EA9"/>
    <w:rsid w:val="5A6E0A5B"/>
    <w:rsid w:val="5A70032F"/>
    <w:rsid w:val="5AD05272"/>
    <w:rsid w:val="5AD07020"/>
    <w:rsid w:val="5AF423C3"/>
    <w:rsid w:val="5B040EE3"/>
    <w:rsid w:val="5B690172"/>
    <w:rsid w:val="5BA90BEB"/>
    <w:rsid w:val="5BB10BFF"/>
    <w:rsid w:val="5BBB382C"/>
    <w:rsid w:val="5BC57C52"/>
    <w:rsid w:val="5BDB5C7C"/>
    <w:rsid w:val="5C6A5252"/>
    <w:rsid w:val="5C6D77C9"/>
    <w:rsid w:val="5C7752AC"/>
    <w:rsid w:val="5CC00E9C"/>
    <w:rsid w:val="5CFB1CCD"/>
    <w:rsid w:val="5CFF599B"/>
    <w:rsid w:val="5D005D18"/>
    <w:rsid w:val="5D1F7DEB"/>
    <w:rsid w:val="5D9E4FC5"/>
    <w:rsid w:val="5DAA3963"/>
    <w:rsid w:val="5DD60DF1"/>
    <w:rsid w:val="5E320CBA"/>
    <w:rsid w:val="5E6A126D"/>
    <w:rsid w:val="5E7D126D"/>
    <w:rsid w:val="5EAA35A6"/>
    <w:rsid w:val="5EE44E48"/>
    <w:rsid w:val="5F0E7548"/>
    <w:rsid w:val="5F5441E8"/>
    <w:rsid w:val="5F591D2C"/>
    <w:rsid w:val="5F5E3606"/>
    <w:rsid w:val="5F645F89"/>
    <w:rsid w:val="5FBE1535"/>
    <w:rsid w:val="5FC7715C"/>
    <w:rsid w:val="5FE5531C"/>
    <w:rsid w:val="5FF11F12"/>
    <w:rsid w:val="5FF8696F"/>
    <w:rsid w:val="5FF94273"/>
    <w:rsid w:val="60830691"/>
    <w:rsid w:val="60C2565D"/>
    <w:rsid w:val="60C856EA"/>
    <w:rsid w:val="60CD62A7"/>
    <w:rsid w:val="60F14AC8"/>
    <w:rsid w:val="61141E2A"/>
    <w:rsid w:val="613A1F23"/>
    <w:rsid w:val="616541C3"/>
    <w:rsid w:val="61B14546"/>
    <w:rsid w:val="61B91585"/>
    <w:rsid w:val="61D56418"/>
    <w:rsid w:val="61FE26C5"/>
    <w:rsid w:val="621A068C"/>
    <w:rsid w:val="622A465E"/>
    <w:rsid w:val="62465E1A"/>
    <w:rsid w:val="62BD2580"/>
    <w:rsid w:val="62DE42A4"/>
    <w:rsid w:val="62F259CB"/>
    <w:rsid w:val="63224191"/>
    <w:rsid w:val="636B3D52"/>
    <w:rsid w:val="642B042C"/>
    <w:rsid w:val="643D30F8"/>
    <w:rsid w:val="644665A5"/>
    <w:rsid w:val="645066B3"/>
    <w:rsid w:val="64535BAC"/>
    <w:rsid w:val="645F7290"/>
    <w:rsid w:val="646A497D"/>
    <w:rsid w:val="64CB4D1D"/>
    <w:rsid w:val="6522491C"/>
    <w:rsid w:val="6558008C"/>
    <w:rsid w:val="656C7056"/>
    <w:rsid w:val="65A02EC1"/>
    <w:rsid w:val="660179E7"/>
    <w:rsid w:val="66225BA7"/>
    <w:rsid w:val="66DA04BD"/>
    <w:rsid w:val="67421DFE"/>
    <w:rsid w:val="680B1B92"/>
    <w:rsid w:val="68297D70"/>
    <w:rsid w:val="68386D3E"/>
    <w:rsid w:val="68425862"/>
    <w:rsid w:val="687C07E7"/>
    <w:rsid w:val="687F5BE1"/>
    <w:rsid w:val="68863414"/>
    <w:rsid w:val="689526D7"/>
    <w:rsid w:val="68AF6B24"/>
    <w:rsid w:val="69066F6D"/>
    <w:rsid w:val="69085BD7"/>
    <w:rsid w:val="690F51B7"/>
    <w:rsid w:val="691C2F61"/>
    <w:rsid w:val="69220DF6"/>
    <w:rsid w:val="69421FF4"/>
    <w:rsid w:val="69855891"/>
    <w:rsid w:val="69C65AD3"/>
    <w:rsid w:val="6A4805A1"/>
    <w:rsid w:val="6A9E4E62"/>
    <w:rsid w:val="6AB60966"/>
    <w:rsid w:val="6AFD7A33"/>
    <w:rsid w:val="6B105489"/>
    <w:rsid w:val="6B2A452A"/>
    <w:rsid w:val="6B2E422E"/>
    <w:rsid w:val="6B4A0729"/>
    <w:rsid w:val="6B5F6C36"/>
    <w:rsid w:val="6B6F63E1"/>
    <w:rsid w:val="6B757AC3"/>
    <w:rsid w:val="6BC95AF1"/>
    <w:rsid w:val="6C1D5E3D"/>
    <w:rsid w:val="6C40749D"/>
    <w:rsid w:val="6C5E257D"/>
    <w:rsid w:val="6C6A1A71"/>
    <w:rsid w:val="6C6E6699"/>
    <w:rsid w:val="6C877A8D"/>
    <w:rsid w:val="6D0773A5"/>
    <w:rsid w:val="6D851EEC"/>
    <w:rsid w:val="6DB1683D"/>
    <w:rsid w:val="6E0B0D13"/>
    <w:rsid w:val="6E14501E"/>
    <w:rsid w:val="6E204CFA"/>
    <w:rsid w:val="6E2844F9"/>
    <w:rsid w:val="6E4373BA"/>
    <w:rsid w:val="6EA23374"/>
    <w:rsid w:val="6EA25D30"/>
    <w:rsid w:val="6F08742C"/>
    <w:rsid w:val="6F1E43A6"/>
    <w:rsid w:val="6F2319BD"/>
    <w:rsid w:val="6F8D6FED"/>
    <w:rsid w:val="6F953657"/>
    <w:rsid w:val="6FB940CF"/>
    <w:rsid w:val="6FBB127E"/>
    <w:rsid w:val="6FD44168"/>
    <w:rsid w:val="70413D51"/>
    <w:rsid w:val="709E5118"/>
    <w:rsid w:val="70D97D2C"/>
    <w:rsid w:val="71737246"/>
    <w:rsid w:val="71A37250"/>
    <w:rsid w:val="71CA7D6E"/>
    <w:rsid w:val="71D855D4"/>
    <w:rsid w:val="71ED62B2"/>
    <w:rsid w:val="72283DDB"/>
    <w:rsid w:val="72444124"/>
    <w:rsid w:val="724E6D50"/>
    <w:rsid w:val="72575615"/>
    <w:rsid w:val="7267287C"/>
    <w:rsid w:val="72A434DA"/>
    <w:rsid w:val="72ED1126"/>
    <w:rsid w:val="73005444"/>
    <w:rsid w:val="737D2038"/>
    <w:rsid w:val="74100036"/>
    <w:rsid w:val="74316E9D"/>
    <w:rsid w:val="74617488"/>
    <w:rsid w:val="749B1FF5"/>
    <w:rsid w:val="74E97FDD"/>
    <w:rsid w:val="757365DD"/>
    <w:rsid w:val="75890700"/>
    <w:rsid w:val="758A7662"/>
    <w:rsid w:val="75D4756D"/>
    <w:rsid w:val="7630040E"/>
    <w:rsid w:val="76387213"/>
    <w:rsid w:val="769F7C04"/>
    <w:rsid w:val="76AF40FE"/>
    <w:rsid w:val="76F12CEC"/>
    <w:rsid w:val="77512E53"/>
    <w:rsid w:val="77566789"/>
    <w:rsid w:val="77585F7B"/>
    <w:rsid w:val="77B84D8E"/>
    <w:rsid w:val="77CB0E43"/>
    <w:rsid w:val="77DE2925"/>
    <w:rsid w:val="780F140D"/>
    <w:rsid w:val="787908FC"/>
    <w:rsid w:val="78A23952"/>
    <w:rsid w:val="78AA6C17"/>
    <w:rsid w:val="78E51463"/>
    <w:rsid w:val="79080911"/>
    <w:rsid w:val="79440545"/>
    <w:rsid w:val="794C28DE"/>
    <w:rsid w:val="798C7645"/>
    <w:rsid w:val="79E36E65"/>
    <w:rsid w:val="7A096B0B"/>
    <w:rsid w:val="7A3E3B4E"/>
    <w:rsid w:val="7A3F3423"/>
    <w:rsid w:val="7AC04356"/>
    <w:rsid w:val="7ADB7A2C"/>
    <w:rsid w:val="7AE2097E"/>
    <w:rsid w:val="7AFB0C03"/>
    <w:rsid w:val="7B083DE4"/>
    <w:rsid w:val="7B2125FC"/>
    <w:rsid w:val="7B2B1DC3"/>
    <w:rsid w:val="7B2C39A7"/>
    <w:rsid w:val="7B5D6256"/>
    <w:rsid w:val="7BA275E4"/>
    <w:rsid w:val="7BA53B14"/>
    <w:rsid w:val="7C0C5586"/>
    <w:rsid w:val="7C484EC4"/>
    <w:rsid w:val="7C4E06B1"/>
    <w:rsid w:val="7C8B0BA1"/>
    <w:rsid w:val="7CB15751"/>
    <w:rsid w:val="7D0818B3"/>
    <w:rsid w:val="7D384885"/>
    <w:rsid w:val="7D566C57"/>
    <w:rsid w:val="7D9127E8"/>
    <w:rsid w:val="7DBA45B5"/>
    <w:rsid w:val="7DEA5BDC"/>
    <w:rsid w:val="7E0E1A8A"/>
    <w:rsid w:val="7E140BC2"/>
    <w:rsid w:val="7E880EC6"/>
    <w:rsid w:val="7E9374BB"/>
    <w:rsid w:val="7F2B1A18"/>
    <w:rsid w:val="7F3B68AE"/>
    <w:rsid w:val="7F662CE2"/>
    <w:rsid w:val="7FC44608"/>
    <w:rsid w:val="7FEB7A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4">
    <w:name w:val="heading 3"/>
    <w:basedOn w:val="1"/>
    <w:next w:val="1"/>
    <w:link w:val="52"/>
    <w:semiHidden/>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a heading"/>
    <w:basedOn w:val="1"/>
    <w:next w:val="1"/>
    <w:qFormat/>
    <w:uiPriority w:val="0"/>
    <w:pPr>
      <w:snapToGrid w:val="0"/>
      <w:spacing w:before="120" w:line="360" w:lineRule="auto"/>
    </w:pPr>
    <w:rPr>
      <w:rFonts w:ascii="Arial" w:hAnsi="Arial"/>
      <w:snapToGrid w:val="0"/>
      <w:color w:val="000000"/>
      <w:szCs w:val="20"/>
    </w:rPr>
  </w:style>
  <w:style w:type="paragraph" w:styleId="6">
    <w:name w:val="annotation text"/>
    <w:basedOn w:val="1"/>
    <w:link w:val="32"/>
    <w:qFormat/>
    <w:uiPriority w:val="0"/>
    <w:pPr>
      <w:jc w:val="left"/>
    </w:pPr>
  </w:style>
  <w:style w:type="paragraph" w:styleId="7">
    <w:name w:val="Body Text"/>
    <w:basedOn w:val="1"/>
    <w:next w:val="8"/>
    <w:link w:val="31"/>
    <w:qFormat/>
    <w:uiPriority w:val="0"/>
    <w:pPr>
      <w:spacing w:after="120"/>
    </w:pPr>
  </w:style>
  <w:style w:type="paragraph" w:styleId="8">
    <w:name w:val="Body Text First Indent"/>
    <w:basedOn w:val="7"/>
    <w:unhideWhenUsed/>
    <w:qFormat/>
    <w:uiPriority w:val="99"/>
    <w:pPr>
      <w:ind w:firstLine="420" w:firstLineChars="100"/>
    </w:pPr>
  </w:style>
  <w:style w:type="paragraph" w:styleId="9">
    <w:name w:val="Plain Text"/>
    <w:basedOn w:val="1"/>
    <w:link w:val="33"/>
    <w:qFormat/>
    <w:uiPriority w:val="0"/>
    <w:rPr>
      <w:rFonts w:ascii="宋体" w:hAnsi="Courier New"/>
      <w:szCs w:val="20"/>
    </w:rPr>
  </w:style>
  <w:style w:type="paragraph" w:styleId="10">
    <w:name w:val="Date"/>
    <w:basedOn w:val="1"/>
    <w:next w:val="1"/>
    <w:link w:val="50"/>
    <w:semiHidden/>
    <w:unhideWhenUsed/>
    <w:qFormat/>
    <w:uiPriority w:val="99"/>
    <w:pPr>
      <w:ind w:left="100" w:leftChars="2500"/>
    </w:pPr>
  </w:style>
  <w:style w:type="paragraph" w:styleId="11">
    <w:name w:val="Balloon Text"/>
    <w:basedOn w:val="1"/>
    <w:link w:val="39"/>
    <w:semiHidden/>
    <w:unhideWhenUsed/>
    <w:qFormat/>
    <w:uiPriority w:val="99"/>
    <w:rPr>
      <w:sz w:val="18"/>
      <w:szCs w:val="18"/>
    </w:rPr>
  </w:style>
  <w:style w:type="paragraph" w:styleId="12">
    <w:name w:val="footer"/>
    <w:basedOn w:val="1"/>
    <w:link w:val="2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qFormat/>
    <w:uiPriority w:val="39"/>
    <w:pPr>
      <w:tabs>
        <w:tab w:val="left" w:pos="1260"/>
        <w:tab w:val="right" w:leader="dot" w:pos="8722"/>
      </w:tabs>
      <w:adjustRightInd w:val="0"/>
      <w:spacing w:line="480" w:lineRule="auto"/>
      <w:textAlignment w:val="baseline"/>
    </w:pPr>
    <w:rPr>
      <w:b/>
      <w:kern w:val="0"/>
      <w:sz w:val="24"/>
      <w:szCs w:val="20"/>
    </w:rPr>
  </w:style>
  <w:style w:type="paragraph" w:styleId="15">
    <w:name w:val="toc 2"/>
    <w:basedOn w:val="1"/>
    <w:next w:val="1"/>
    <w:qFormat/>
    <w:uiPriority w:val="39"/>
    <w:pPr>
      <w:tabs>
        <w:tab w:val="right" w:leader="dot" w:pos="8722"/>
      </w:tabs>
      <w:adjustRightInd w:val="0"/>
      <w:spacing w:before="60" w:after="60" w:line="360" w:lineRule="atLeast"/>
      <w:ind w:left="180" w:leftChars="75"/>
      <w:textAlignment w:val="baseline"/>
    </w:pPr>
    <w:rPr>
      <w:kern w:val="0"/>
      <w:sz w:val="24"/>
      <w:szCs w:val="20"/>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spacing w:beforeAutospacing="1" w:afterAutospacing="1"/>
      <w:jc w:val="left"/>
    </w:pPr>
    <w:rPr>
      <w:kern w:val="0"/>
      <w:sz w:val="24"/>
    </w:rPr>
  </w:style>
  <w:style w:type="paragraph" w:styleId="18">
    <w:name w:val="Title"/>
    <w:basedOn w:val="1"/>
    <w:next w:val="1"/>
    <w:link w:val="34"/>
    <w:qFormat/>
    <w:uiPriority w:val="10"/>
    <w:pPr>
      <w:autoSpaceDE w:val="0"/>
      <w:autoSpaceDN w:val="0"/>
      <w:adjustRightInd w:val="0"/>
      <w:spacing w:before="240" w:after="60"/>
      <w:jc w:val="center"/>
      <w:outlineLvl w:val="0"/>
    </w:pPr>
    <w:rPr>
      <w:rFonts w:ascii="Cambria" w:hAnsi="Cambria"/>
      <w:b/>
      <w:bCs/>
      <w:kern w:val="0"/>
      <w:sz w:val="32"/>
      <w:szCs w:val="32"/>
    </w:rPr>
  </w:style>
  <w:style w:type="paragraph" w:styleId="19">
    <w:name w:val="annotation subject"/>
    <w:basedOn w:val="6"/>
    <w:next w:val="6"/>
    <w:link w:val="44"/>
    <w:semiHidden/>
    <w:unhideWhenUsed/>
    <w:qFormat/>
    <w:uiPriority w:val="99"/>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semiHidden/>
    <w:unhideWhenUsed/>
    <w:qFormat/>
    <w:uiPriority w:val="99"/>
    <w:rPr>
      <w:color w:val="800080" w:themeColor="followedHyperlink"/>
      <w:u w:val="single"/>
      <w14:textFill>
        <w14:solidFill>
          <w14:schemeClr w14:val="folHlink"/>
        </w14:solidFill>
      </w14:textFill>
    </w:rPr>
  </w:style>
  <w:style w:type="character" w:styleId="25">
    <w:name w:val="Hyperlink"/>
    <w:qFormat/>
    <w:uiPriority w:val="99"/>
    <w:rPr>
      <w:color w:val="0000FF"/>
      <w:u w:val="single"/>
    </w:rPr>
  </w:style>
  <w:style w:type="character" w:styleId="26">
    <w:name w:val="annotation reference"/>
    <w:basedOn w:val="22"/>
    <w:qFormat/>
    <w:uiPriority w:val="0"/>
    <w:rPr>
      <w:sz w:val="21"/>
      <w:szCs w:val="21"/>
    </w:rPr>
  </w:style>
  <w:style w:type="paragraph" w:customStyle="1" w:styleId="27">
    <w:name w:val="文档正文"/>
    <w:basedOn w:val="1"/>
    <w:qFormat/>
    <w:uiPriority w:val="0"/>
    <w:pPr>
      <w:spacing w:line="360" w:lineRule="auto"/>
    </w:pPr>
    <w:rPr>
      <w:rFonts w:cs="Arial"/>
      <w:bCs/>
    </w:rPr>
  </w:style>
  <w:style w:type="character" w:customStyle="1" w:styleId="28">
    <w:name w:val="页眉 字符"/>
    <w:basedOn w:val="22"/>
    <w:link w:val="13"/>
    <w:qFormat/>
    <w:uiPriority w:val="99"/>
    <w:rPr>
      <w:sz w:val="18"/>
      <w:szCs w:val="18"/>
    </w:rPr>
  </w:style>
  <w:style w:type="character" w:customStyle="1" w:styleId="29">
    <w:name w:val="页脚 字符"/>
    <w:basedOn w:val="22"/>
    <w:link w:val="12"/>
    <w:qFormat/>
    <w:uiPriority w:val="99"/>
    <w:rPr>
      <w:sz w:val="18"/>
      <w:szCs w:val="18"/>
    </w:rPr>
  </w:style>
  <w:style w:type="character" w:customStyle="1" w:styleId="30">
    <w:name w:val="标题 2 字符"/>
    <w:basedOn w:val="22"/>
    <w:link w:val="3"/>
    <w:qFormat/>
    <w:uiPriority w:val="0"/>
    <w:rPr>
      <w:rFonts w:ascii="Arial" w:hAnsi="Arial" w:eastAsia="黑体" w:cs="Times New Roman"/>
      <w:b/>
      <w:kern w:val="0"/>
      <w:sz w:val="32"/>
      <w:szCs w:val="20"/>
    </w:rPr>
  </w:style>
  <w:style w:type="character" w:customStyle="1" w:styleId="31">
    <w:name w:val="正文文本 字符"/>
    <w:basedOn w:val="22"/>
    <w:link w:val="7"/>
    <w:qFormat/>
    <w:uiPriority w:val="0"/>
    <w:rPr>
      <w:rFonts w:ascii="Times New Roman" w:hAnsi="Times New Roman" w:eastAsia="宋体" w:cs="Times New Roman"/>
      <w:szCs w:val="24"/>
    </w:rPr>
  </w:style>
  <w:style w:type="character" w:customStyle="1" w:styleId="32">
    <w:name w:val="批注文字 字符"/>
    <w:basedOn w:val="22"/>
    <w:link w:val="6"/>
    <w:qFormat/>
    <w:uiPriority w:val="0"/>
    <w:rPr>
      <w:rFonts w:ascii="Times New Roman" w:hAnsi="Times New Roman" w:eastAsia="宋体" w:cs="Times New Roman"/>
      <w:szCs w:val="24"/>
    </w:rPr>
  </w:style>
  <w:style w:type="character" w:customStyle="1" w:styleId="33">
    <w:name w:val="纯文本 字符"/>
    <w:basedOn w:val="22"/>
    <w:link w:val="9"/>
    <w:qFormat/>
    <w:uiPriority w:val="0"/>
    <w:rPr>
      <w:rFonts w:ascii="宋体" w:hAnsi="Courier New" w:eastAsia="宋体" w:cs="Times New Roman"/>
      <w:szCs w:val="20"/>
    </w:rPr>
  </w:style>
  <w:style w:type="character" w:customStyle="1" w:styleId="34">
    <w:name w:val="标题 字符"/>
    <w:basedOn w:val="22"/>
    <w:link w:val="18"/>
    <w:qFormat/>
    <w:uiPriority w:val="10"/>
    <w:rPr>
      <w:rFonts w:ascii="Cambria" w:hAnsi="Cambria" w:eastAsia="宋体" w:cs="Times New Roman"/>
      <w:b/>
      <w:bCs/>
      <w:kern w:val="0"/>
      <w:sz w:val="32"/>
      <w:szCs w:val="32"/>
    </w:rPr>
  </w:style>
  <w:style w:type="paragraph" w:customStyle="1" w:styleId="35">
    <w:name w:val="_Style 109"/>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6">
    <w:name w:val="页眉 Char1"/>
    <w:qFormat/>
    <w:uiPriority w:val="0"/>
    <w:rPr>
      <w:kern w:val="2"/>
      <w:sz w:val="18"/>
      <w:szCs w:val="18"/>
    </w:rPr>
  </w:style>
  <w:style w:type="character" w:customStyle="1" w:styleId="37">
    <w:name w:val="页脚 Char1"/>
    <w:qFormat/>
    <w:uiPriority w:val="0"/>
    <w:rPr>
      <w:kern w:val="2"/>
      <w:sz w:val="18"/>
      <w:szCs w:val="18"/>
    </w:rPr>
  </w:style>
  <w:style w:type="character" w:customStyle="1" w:styleId="38">
    <w:name w:val="标题 1 字符"/>
    <w:basedOn w:val="22"/>
    <w:link w:val="2"/>
    <w:qFormat/>
    <w:uiPriority w:val="9"/>
    <w:rPr>
      <w:rFonts w:ascii="Times New Roman" w:hAnsi="Times New Roman" w:eastAsia="宋体" w:cs="Times New Roman"/>
      <w:b/>
      <w:bCs/>
      <w:kern w:val="44"/>
      <w:sz w:val="44"/>
      <w:szCs w:val="44"/>
    </w:rPr>
  </w:style>
  <w:style w:type="character" w:customStyle="1" w:styleId="39">
    <w:name w:val="批注框文本 字符"/>
    <w:basedOn w:val="22"/>
    <w:link w:val="11"/>
    <w:semiHidden/>
    <w:qFormat/>
    <w:uiPriority w:val="99"/>
    <w:rPr>
      <w:rFonts w:ascii="Times New Roman" w:hAnsi="Times New Roman" w:eastAsia="宋体" w:cs="Times New Roman"/>
      <w:sz w:val="18"/>
      <w:szCs w:val="18"/>
    </w:rPr>
  </w:style>
  <w:style w:type="paragraph" w:styleId="40">
    <w:name w:val="List Paragraph"/>
    <w:basedOn w:val="1"/>
    <w:qFormat/>
    <w:uiPriority w:val="34"/>
    <w:pPr>
      <w:ind w:firstLine="420" w:firstLineChars="200"/>
    </w:pPr>
    <w:rPr>
      <w:rFonts w:ascii="Calibri" w:hAnsi="Calibri"/>
      <w:szCs w:val="22"/>
    </w:rPr>
  </w:style>
  <w:style w:type="paragraph" w:customStyle="1" w:styleId="41">
    <w:name w:val="列出段落1"/>
    <w:basedOn w:val="1"/>
    <w:link w:val="43"/>
    <w:qFormat/>
    <w:uiPriority w:val="34"/>
    <w:pPr>
      <w:ind w:firstLine="420" w:firstLineChars="200"/>
    </w:pPr>
    <w:rPr>
      <w:rFonts w:ascii="Calibri" w:hAnsi="Calibri"/>
      <w:szCs w:val="22"/>
      <w:lang w:val="zh-CN"/>
    </w:rPr>
  </w:style>
  <w:style w:type="paragraph" w:customStyle="1" w:styleId="42">
    <w:name w:val="p0"/>
    <w:basedOn w:val="1"/>
    <w:qFormat/>
    <w:uiPriority w:val="99"/>
    <w:pPr>
      <w:widowControl/>
    </w:pPr>
    <w:rPr>
      <w:rFonts w:hAnsi="Calibri"/>
      <w:kern w:val="0"/>
      <w:szCs w:val="20"/>
    </w:rPr>
  </w:style>
  <w:style w:type="character" w:customStyle="1" w:styleId="43">
    <w:name w:val="List Paragraph Char"/>
    <w:link w:val="41"/>
    <w:qFormat/>
    <w:locked/>
    <w:uiPriority w:val="34"/>
    <w:rPr>
      <w:rFonts w:ascii="Calibri" w:hAnsi="Calibri" w:eastAsia="宋体" w:cs="Times New Roman"/>
      <w:lang w:val="zh-CN" w:eastAsia="zh-CN"/>
    </w:rPr>
  </w:style>
  <w:style w:type="character" w:customStyle="1" w:styleId="44">
    <w:name w:val="批注主题 字符"/>
    <w:basedOn w:val="32"/>
    <w:link w:val="19"/>
    <w:semiHidden/>
    <w:qFormat/>
    <w:uiPriority w:val="99"/>
    <w:rPr>
      <w:rFonts w:ascii="Times New Roman" w:hAnsi="Times New Roman" w:eastAsia="宋体" w:cs="Times New Roman"/>
      <w:b/>
      <w:bCs/>
      <w:szCs w:val="24"/>
    </w:rPr>
  </w:style>
  <w:style w:type="paragraph" w:customStyle="1" w:styleId="4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6">
    <w:name w:val="正文缩进2格 Char"/>
    <w:link w:val="47"/>
    <w:qFormat/>
    <w:uiPriority w:val="0"/>
    <w:rPr>
      <w:rFonts w:ascii="仿宋_GB2312" w:hAnsi="宋体" w:eastAsia="仿宋_GB2312"/>
      <w:sz w:val="31"/>
      <w:szCs w:val="28"/>
    </w:rPr>
  </w:style>
  <w:style w:type="paragraph" w:customStyle="1" w:styleId="47">
    <w:name w:val="正文缩进2格"/>
    <w:basedOn w:val="1"/>
    <w:link w:val="46"/>
    <w:qFormat/>
    <w:uiPriority w:val="0"/>
    <w:pPr>
      <w:spacing w:line="600" w:lineRule="exact"/>
      <w:ind w:firstLine="639" w:firstLineChars="206"/>
    </w:pPr>
    <w:rPr>
      <w:rFonts w:ascii="仿宋_GB2312" w:hAnsi="宋体" w:eastAsia="仿宋_GB2312" w:cstheme="minorBidi"/>
      <w:sz w:val="31"/>
      <w:szCs w:val="28"/>
    </w:rPr>
  </w:style>
  <w:style w:type="character" w:customStyle="1" w:styleId="48">
    <w:name w:val="纯文本 字符1"/>
    <w:basedOn w:val="22"/>
    <w:qFormat/>
    <w:uiPriority w:val="0"/>
    <w:rPr>
      <w:rFonts w:ascii="宋体" w:hAnsi="Courier New" w:eastAsia="宋体" w:cs="Times New Roman"/>
      <w:szCs w:val="20"/>
    </w:rPr>
  </w:style>
  <w:style w:type="character" w:customStyle="1" w:styleId="49">
    <w:name w:val="正文文本 字符1"/>
    <w:basedOn w:val="22"/>
    <w:qFormat/>
    <w:uiPriority w:val="0"/>
    <w:rPr>
      <w:rFonts w:ascii="Times New Roman" w:hAnsi="Times New Roman" w:eastAsia="宋体" w:cs="Times New Roman"/>
      <w:szCs w:val="24"/>
    </w:rPr>
  </w:style>
  <w:style w:type="character" w:customStyle="1" w:styleId="50">
    <w:name w:val="日期 字符"/>
    <w:basedOn w:val="22"/>
    <w:link w:val="10"/>
    <w:semiHidden/>
    <w:qFormat/>
    <w:uiPriority w:val="99"/>
    <w:rPr>
      <w:rFonts w:ascii="Times New Roman" w:hAnsi="Times New Roman" w:eastAsia="宋体" w:cs="Times New Roman"/>
      <w:szCs w:val="24"/>
    </w:rPr>
  </w:style>
  <w:style w:type="paragraph" w:customStyle="1" w:styleId="5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2">
    <w:name w:val="标题 3 字符"/>
    <w:basedOn w:val="22"/>
    <w:link w:val="4"/>
    <w:semiHidden/>
    <w:qFormat/>
    <w:uiPriority w:val="9"/>
    <w:rPr>
      <w:b/>
      <w:bCs/>
      <w:kern w:val="2"/>
      <w:sz w:val="32"/>
      <w:szCs w:val="32"/>
    </w:rPr>
  </w:style>
  <w:style w:type="character" w:customStyle="1" w:styleId="53">
    <w:name w:val="纯文本 Char1"/>
    <w:qFormat/>
    <w:uiPriority w:val="0"/>
    <w:rPr>
      <w:rFonts w:ascii="宋体" w:hAnsi="Courier New" w:eastAsia="宋体" w:cs="Times New Roman"/>
      <w:szCs w:val="20"/>
      <w:lang w:val="en-US" w:eastAsia="zh-CN"/>
    </w:rPr>
  </w:style>
  <w:style w:type="character" w:customStyle="1" w:styleId="54">
    <w:name w:val="font01"/>
    <w:basedOn w:val="22"/>
    <w:qFormat/>
    <w:uiPriority w:val="0"/>
    <w:rPr>
      <w:rFonts w:hint="eastAsia" w:ascii="宋体" w:hAnsi="宋体" w:eastAsia="宋体" w:cs="宋体"/>
      <w:color w:val="000000"/>
      <w:sz w:val="22"/>
      <w:szCs w:val="22"/>
      <w:u w:val="none"/>
    </w:rPr>
  </w:style>
  <w:style w:type="paragraph" w:customStyle="1" w:styleId="55">
    <w:name w:val="样式 宋体 行距: 1.5 倍行距"/>
    <w:basedOn w:val="1"/>
    <w:qFormat/>
    <w:uiPriority w:val="0"/>
    <w:pPr>
      <w:jc w:val="center"/>
    </w:pPr>
    <w:rPr>
      <w:b/>
    </w:rPr>
  </w:style>
  <w:style w:type="paragraph" w:customStyle="1" w:styleId="56">
    <w:name w:val="正文文本缩进 21"/>
    <w:basedOn w:val="1"/>
    <w:qFormat/>
    <w:uiPriority w:val="0"/>
    <w:pPr>
      <w:adjustRightInd w:val="0"/>
      <w:spacing w:line="480" w:lineRule="auto"/>
      <w:ind w:firstLine="540"/>
      <w:textAlignment w:val="baseline"/>
    </w:pPr>
    <w:rPr>
      <w:rFonts w:ascii="Calibri" w:hAnsi="Calibri"/>
      <w:szCs w:val="21"/>
    </w:rPr>
  </w:style>
  <w:style w:type="paragraph" w:customStyle="1" w:styleId="57">
    <w:name w:val="WPSOffice手动目录 1"/>
    <w:qFormat/>
    <w:uiPriority w:val="0"/>
    <w:pPr>
      <w:ind w:leftChars="0"/>
    </w:pPr>
    <w:rPr>
      <w:rFonts w:ascii="Times New Roman" w:hAnsi="Times New Roman" w:eastAsia="宋体" w:cs="Times New Roman"/>
      <w:sz w:val="20"/>
      <w:szCs w:val="20"/>
    </w:rPr>
  </w:style>
  <w:style w:type="paragraph" w:customStyle="1" w:styleId="58">
    <w:name w:val="正文表格"/>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2641CF-6923-482C-BE84-42F297877961}">
  <ds:schemaRefs/>
</ds:datastoreItem>
</file>

<file path=docProps/app.xml><?xml version="1.0" encoding="utf-8"?>
<Properties xmlns="http://schemas.openxmlformats.org/officeDocument/2006/extended-properties" xmlns:vt="http://schemas.openxmlformats.org/officeDocument/2006/docPropsVTypes">
  <Template>Normal</Template>
  <Pages>27</Pages>
  <Words>679</Words>
  <Characters>742</Characters>
  <Lines>200</Lines>
  <Paragraphs>56</Paragraphs>
  <TotalTime>8</TotalTime>
  <ScaleCrop>false</ScaleCrop>
  <LinksUpToDate>false</LinksUpToDate>
  <CharactersWithSpaces>761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2020-05-01T07:01:00Z</dcterms:created>
  <dc:creator>廖 懿富</dc:creator>
  <cp:lastModifiedBy>邹泽锋</cp:lastModifiedBy>
  <cp:lastPrinted>2023-09-01T07:12:00Z</cp:lastPrinted>
  <dcterms:modified xsi:type="dcterms:W3CDTF">2026-03-30T08:20:52Z</dcterms:modified>
  <cp:revision>689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6DCBCAC96C0141DF954ACA60B0A3AC70_13</vt:lpwstr>
  </property>
  <property fmtid="{D5CDD505-2E9C-101B-9397-08002B2CF9AE}" pid="4" name="KSOTemplateDocerSaveRecord">
    <vt:lpwstr>eyJoZGlkIjoiYTdiYzJjYWEyYjY5OTMxOTIwYTQ5NWU2OWM4MzE5NzUiLCJ1c2VySWQiOiIxNDc3OTk5MzM0In0=</vt:lpwstr>
  </property>
</Properties>
</file>