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东莞市污泥集中处理处置项目小苏打采购项目</w:t>
      </w:r>
    </w:p>
    <w:p>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pPr>
        <w:pStyle w:val="19"/>
        <w:rPr>
          <w:rFonts w:hint="eastAsia"/>
          <w:color w:val="auto"/>
          <w:highlight w:val="none"/>
          <w:lang w:val="zh-CN"/>
        </w:rPr>
      </w:pPr>
    </w:p>
    <w:p>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p>
    <w:p>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p>
    <w:p>
      <w:pPr>
        <w:autoSpaceDE w:val="0"/>
        <w:autoSpaceDN w:val="0"/>
        <w:adjustRightInd w:val="0"/>
        <w:spacing w:line="480" w:lineRule="auto"/>
        <w:ind w:left="1841" w:leftChars="600" w:hanging="581" w:hangingChars="181"/>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号：WQWHCZ12600369</w:t>
      </w:r>
    </w:p>
    <w:p>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人：东莞市尚源环能科技有限公司</w:t>
      </w:r>
    </w:p>
    <w:p>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招标代理机构：广西同泽工程项目管理股份有限公司</w:t>
      </w:r>
    </w:p>
    <w:p>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3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27 </w:t>
      </w:r>
      <w:r>
        <w:rPr>
          <w:rFonts w:hint="eastAsia" w:ascii="宋体" w:hAnsi="宋体" w:eastAsia="宋体" w:cs="宋体"/>
          <w:b/>
          <w:bCs/>
          <w:color w:val="auto"/>
          <w:sz w:val="32"/>
          <w:szCs w:val="32"/>
          <w:highlight w:val="none"/>
          <w:lang w:val="zh-CN"/>
        </w:rPr>
        <w:t>日</w:t>
      </w:r>
    </w:p>
    <w:p>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pPr>
        <w:pageBreakBefore/>
        <w:spacing w:line="360" w:lineRule="auto"/>
        <w:jc w:val="center"/>
        <w:outlineLvl w:val="9"/>
        <w:rPr>
          <w:rFonts w:hint="eastAsia" w:ascii="宋体" w:hAnsi="宋体" w:eastAsia="宋体" w:cs="宋体"/>
          <w:b/>
          <w:color w:val="auto"/>
          <w:sz w:val="36"/>
          <w:szCs w:val="36"/>
          <w:highlight w:val="none"/>
        </w:rPr>
      </w:pPr>
      <w:bookmarkStart w:id="0" w:name="_Toc7755"/>
      <w:bookmarkStart w:id="1" w:name="_Toc16773"/>
      <w:r>
        <w:rPr>
          <w:rFonts w:hint="eastAsia" w:ascii="宋体" w:hAnsi="宋体" w:eastAsia="宋体" w:cs="宋体"/>
          <w:b/>
          <w:color w:val="auto"/>
          <w:sz w:val="36"/>
          <w:szCs w:val="36"/>
          <w:highlight w:val="none"/>
          <w:lang w:bidi="ar"/>
        </w:rPr>
        <w:t>重要提示</w:t>
      </w:r>
      <w:bookmarkEnd w:id="0"/>
      <w:bookmarkEnd w:id="1"/>
    </w:p>
    <w:p>
      <w:pPr>
        <w:pStyle w:val="35"/>
        <w:widowControl w:val="0"/>
        <w:spacing w:before="0" w:beforeAutospacing="0" w:after="0" w:afterAutospacing="0" w:line="360" w:lineRule="auto"/>
        <w:ind w:firstLine="480" w:firstLineChars="200"/>
        <w:jc w:val="both"/>
        <w:outlineLvl w:val="9"/>
        <w:rPr>
          <w:rFonts w:hint="eastAsia" w:ascii="宋体" w:hAnsi="宋体" w:eastAsia="宋体" w:cs="宋体"/>
          <w:color w:val="auto"/>
          <w:sz w:val="24"/>
          <w:szCs w:val="24"/>
          <w:highlight w:val="none"/>
          <w:lang w:bidi="ar"/>
        </w:rPr>
      </w:pPr>
      <w:bookmarkStart w:id="2" w:name="_Toc12698"/>
      <w:bookmarkStart w:id="3" w:name="_Toc22951"/>
      <w:r>
        <w:rPr>
          <w:rFonts w:hint="eastAsia" w:ascii="宋体" w:hAnsi="宋体" w:eastAsia="宋体" w:cs="宋体"/>
          <w:color w:val="auto"/>
          <w:sz w:val="24"/>
          <w:szCs w:val="24"/>
          <w:highlight w:val="none"/>
          <w:lang w:bidi="ar"/>
        </w:rPr>
        <w:t>1.本次招标项目采用电子标书。</w:t>
      </w:r>
      <w:bookmarkEnd w:id="2"/>
      <w:bookmarkEnd w:id="3"/>
    </w:p>
    <w:p>
      <w:pPr>
        <w:pStyle w:val="35"/>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pPr>
        <w:pStyle w:val="35"/>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3.除特别说明外，招标文件相关条款中提及的以及第六篇“投标文件格式”中包括但不限于“企业数字证书电子签名”及“电子签名”等要求签名的均指由数字证书电子签章或电子签名。</w:t>
      </w:r>
    </w:p>
    <w:p>
      <w:pPr>
        <w:pStyle w:val="35"/>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pPr>
        <w:pStyle w:val="35"/>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5.投标人在交易系统中对投标文件进行解密的电子签名认证证书必须为机构证书或制作本项目投标文件的业务证书。</w:t>
      </w:r>
    </w:p>
    <w:p>
      <w:pPr>
        <w:pStyle w:val="35"/>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6.投标人应及时提交投标文件，如在投标文件截止时间前因网络等任何原因未能成功上传投标文件，相关后果由投标人自行承担。</w:t>
      </w:r>
    </w:p>
    <w:p>
      <w:pPr>
        <w:pStyle w:val="35"/>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pPr>
        <w:pStyle w:val="35"/>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pPr>
        <w:pStyle w:val="35"/>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ascii="宋体" w:hAnsi="宋体" w:eastAsia="宋体" w:cstheme="minorBidi"/>
          <w:b/>
          <w:bCs/>
          <w:kern w:val="2"/>
          <w:sz w:val="30"/>
          <w:szCs w:val="30"/>
          <w:lang w:val="en-US" w:eastAsia="zh-CN" w:bidi="ar-SA"/>
        </w:rPr>
        <w:id w:val="147464074"/>
        <w15:color w:val="DBDBDB"/>
        <w:docPartObj>
          <w:docPartGallery w:val="Table of Contents"/>
          <w:docPartUnique/>
        </w:docPartObj>
      </w:sdtPr>
      <w:sdtEndPr>
        <w:rPr>
          <w:rFonts w:hint="eastAsia" w:ascii="宋体" w:hAnsi="宋体" w:eastAsia="宋体" w:cs="宋体"/>
          <w:b/>
          <w:bCs/>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30"/>
              <w:szCs w:val="30"/>
            </w:rPr>
          </w:pPr>
          <w:r>
            <w:rPr>
              <w:rFonts w:ascii="宋体" w:hAnsi="宋体" w:eastAsia="宋体"/>
              <w:b/>
              <w:bCs/>
              <w:sz w:val="30"/>
              <w:szCs w:val="30"/>
            </w:rPr>
            <w:t>目</w:t>
          </w:r>
          <w:r>
            <w:rPr>
              <w:rFonts w:hint="eastAsia" w:ascii="宋体" w:hAnsi="宋体" w:eastAsia="宋体"/>
              <w:b/>
              <w:bCs/>
              <w:sz w:val="30"/>
              <w:szCs w:val="30"/>
              <w:lang w:val="en-US" w:eastAsia="zh-CN"/>
            </w:rPr>
            <w:t xml:space="preserve"> </w:t>
          </w:r>
          <w:r>
            <w:rPr>
              <w:rFonts w:ascii="宋体" w:hAnsi="宋体" w:eastAsia="宋体"/>
              <w:b/>
              <w:bCs/>
              <w:sz w:val="30"/>
              <w:szCs w:val="30"/>
            </w:rPr>
            <w:t>录</w:t>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_Toc3716 </w:instrText>
          </w:r>
          <w:r>
            <w:rPr>
              <w:rFonts w:hint="eastAsia" w:ascii="宋体" w:hAnsi="宋体" w:eastAsia="宋体" w:cs="宋体"/>
              <w:b/>
              <w:bCs/>
              <w:highlight w:val="none"/>
            </w:rPr>
            <w:fldChar w:fldCharType="separate"/>
          </w:r>
          <w:r>
            <w:rPr>
              <w:rFonts w:hint="eastAsia" w:ascii="宋体" w:hAnsi="宋体" w:eastAsia="宋体" w:cs="宋体"/>
              <w:b/>
              <w:bCs/>
              <w:kern w:val="44"/>
              <w:szCs w:val="32"/>
              <w:highlight w:val="none"/>
              <w:lang w:val="zh-CN"/>
            </w:rPr>
            <w:t>第一篇 招标公告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_Toc3716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_Toc2476 </w:instrText>
          </w:r>
          <w:r>
            <w:rPr>
              <w:rFonts w:hint="eastAsia" w:ascii="宋体" w:hAnsi="宋体" w:eastAsia="宋体" w:cs="宋体"/>
              <w:b/>
              <w:bCs/>
              <w:highlight w:val="none"/>
            </w:rPr>
            <w:fldChar w:fldCharType="separate"/>
          </w:r>
          <w:r>
            <w:rPr>
              <w:rFonts w:hint="eastAsia" w:ascii="宋体" w:hAnsi="宋体" w:eastAsia="宋体" w:cs="宋体"/>
              <w:b/>
              <w:bCs/>
              <w:kern w:val="44"/>
              <w:szCs w:val="32"/>
              <w:highlight w:val="none"/>
              <w:lang w:val="zh-CN"/>
            </w:rPr>
            <w:t>第二篇</w:t>
          </w:r>
          <w:r>
            <w:rPr>
              <w:rFonts w:hint="eastAsia" w:ascii="宋体" w:hAnsi="宋体" w:eastAsia="宋体" w:cs="宋体"/>
              <w:b/>
              <w:bCs/>
              <w:kern w:val="44"/>
              <w:szCs w:val="32"/>
              <w:highlight w:val="none"/>
            </w:rPr>
            <w:t xml:space="preserve"> </w:t>
          </w:r>
          <w:r>
            <w:rPr>
              <w:rFonts w:hint="eastAsia" w:ascii="宋体" w:hAnsi="宋体" w:eastAsia="宋体" w:cs="宋体"/>
              <w:b/>
              <w:bCs/>
              <w:kern w:val="44"/>
              <w:szCs w:val="32"/>
              <w:highlight w:val="none"/>
              <w:lang w:val="zh-CN"/>
            </w:rPr>
            <w:t>投标人须知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_Toc2476 \h </w:instrText>
          </w:r>
          <w:r>
            <w:rPr>
              <w:rFonts w:hint="eastAsia" w:ascii="宋体" w:hAnsi="宋体" w:eastAsia="宋体" w:cs="宋体"/>
              <w:b/>
              <w:bCs/>
            </w:rPr>
            <w:fldChar w:fldCharType="separate"/>
          </w:r>
          <w:r>
            <w:rPr>
              <w:rFonts w:hint="eastAsia" w:ascii="宋体" w:hAnsi="宋体" w:eastAsia="宋体" w:cs="宋体"/>
              <w:b/>
              <w:bCs/>
            </w:rPr>
            <w:t>9</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_Toc23552 </w:instrText>
          </w:r>
          <w:r>
            <w:rPr>
              <w:rFonts w:hint="eastAsia" w:ascii="宋体" w:hAnsi="宋体" w:eastAsia="宋体" w:cs="宋体"/>
              <w:b/>
              <w:bCs/>
              <w:highlight w:val="none"/>
            </w:rPr>
            <w:fldChar w:fldCharType="separate"/>
          </w:r>
          <w:r>
            <w:rPr>
              <w:rFonts w:hint="eastAsia" w:ascii="宋体" w:hAnsi="宋体" w:eastAsia="宋体" w:cs="宋体"/>
              <w:b/>
              <w:bCs/>
              <w:kern w:val="44"/>
              <w:szCs w:val="21"/>
              <w:highlight w:val="none"/>
              <w:lang w:val="zh-CN"/>
            </w:rPr>
            <w:t>一、总则</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_Toc23552 \h </w:instrText>
          </w:r>
          <w:r>
            <w:rPr>
              <w:rFonts w:hint="eastAsia" w:ascii="宋体" w:hAnsi="宋体" w:eastAsia="宋体" w:cs="宋体"/>
              <w:b/>
              <w:bCs/>
            </w:rPr>
            <w:fldChar w:fldCharType="separate"/>
          </w:r>
          <w:r>
            <w:rPr>
              <w:rFonts w:hint="eastAsia" w:ascii="宋体" w:hAnsi="宋体" w:eastAsia="宋体" w:cs="宋体"/>
              <w:b/>
              <w:bCs/>
            </w:rPr>
            <w:t>9</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_Toc7500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 资金来源：企业自筹资金。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_Toc7500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_Toc25982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2 合格的投标人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_Toc25982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_Toc2516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3 合格的货物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_Toc638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4 其它说明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_Toc4656 </w:instrText>
          </w:r>
          <w:r>
            <w:rPr>
              <w:rFonts w:hint="eastAsia" w:ascii="宋体" w:hAnsi="宋体" w:eastAsia="宋体" w:cs="宋体"/>
              <w:b/>
              <w:bCs/>
              <w:highlight w:val="none"/>
            </w:rPr>
            <w:fldChar w:fldCharType="separate"/>
          </w:r>
          <w:r>
            <w:rPr>
              <w:rFonts w:hint="eastAsia" w:ascii="宋体" w:hAnsi="宋体" w:eastAsia="宋体" w:cs="宋体"/>
              <w:b/>
              <w:bCs/>
              <w:kern w:val="44"/>
              <w:szCs w:val="21"/>
              <w:highlight w:val="none"/>
              <w:lang w:val="zh-CN"/>
            </w:rPr>
            <w:t>二、招标文件</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_Toc4656 \h </w:instrText>
          </w:r>
          <w:r>
            <w:rPr>
              <w:rFonts w:hint="eastAsia" w:ascii="宋体" w:hAnsi="宋体" w:eastAsia="宋体" w:cs="宋体"/>
              <w:b/>
              <w:bCs/>
            </w:rPr>
            <w:fldChar w:fldCharType="separate"/>
          </w:r>
          <w:r>
            <w:rPr>
              <w:rFonts w:hint="eastAsia" w:ascii="宋体" w:hAnsi="宋体" w:eastAsia="宋体" w:cs="宋体"/>
              <w:b/>
              <w:bCs/>
            </w:rPr>
            <w:t>11</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_Toc13820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5 招标文件的构成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_Toc13820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_Toc21023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6 招标文件的异议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_Toc21023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_Toc9867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7 招标文件的澄清及修改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_Toc9867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_Toc12410 </w:instrText>
          </w:r>
          <w:r>
            <w:rPr>
              <w:rFonts w:hint="eastAsia" w:ascii="宋体" w:hAnsi="宋体" w:eastAsia="宋体" w:cs="宋体"/>
              <w:b/>
              <w:bCs/>
              <w:highlight w:val="none"/>
            </w:rPr>
            <w:fldChar w:fldCharType="separate"/>
          </w:r>
          <w:r>
            <w:rPr>
              <w:rFonts w:hint="eastAsia" w:ascii="宋体" w:hAnsi="宋体" w:eastAsia="宋体" w:cs="宋体"/>
              <w:b/>
              <w:bCs/>
              <w:kern w:val="44"/>
              <w:szCs w:val="21"/>
              <w:highlight w:val="none"/>
              <w:lang w:val="zh-CN"/>
            </w:rPr>
            <w:t>三、投标文件的编制</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_Toc12410 \h </w:instrText>
          </w:r>
          <w:r>
            <w:rPr>
              <w:rFonts w:hint="eastAsia" w:ascii="宋体" w:hAnsi="宋体" w:eastAsia="宋体" w:cs="宋体"/>
              <w:b/>
              <w:bCs/>
            </w:rPr>
            <w:fldChar w:fldCharType="separate"/>
          </w:r>
          <w:r>
            <w:rPr>
              <w:rFonts w:hint="eastAsia" w:ascii="宋体" w:hAnsi="宋体" w:eastAsia="宋体" w:cs="宋体"/>
              <w:b/>
              <w:bCs/>
            </w:rPr>
            <w:t>13</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_Toc14344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8 投标使用的文字及度量衡单位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_Toc14344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_Toc16511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9</w:t>
          </w:r>
          <w:r>
            <w:rPr>
              <w:rFonts w:hint="eastAsia" w:ascii="宋体" w:hAnsi="宋体" w:eastAsia="宋体" w:cs="宋体"/>
              <w:szCs w:val="24"/>
              <w:highlight w:val="none"/>
              <w:lang w:val="zh-CN"/>
            </w:rPr>
            <w:t xml:space="preserve"> </w:t>
          </w:r>
          <w:r>
            <w:rPr>
              <w:rFonts w:hint="eastAsia" w:ascii="宋体" w:hAnsi="宋体" w:eastAsia="宋体" w:cs="宋体"/>
              <w:szCs w:val="21"/>
              <w:highlight w:val="none"/>
              <w:lang w:val="zh-CN"/>
            </w:rPr>
            <w:t>投标文件的组成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_Toc16511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_Toc23588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10 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_Toc23588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_Toc29381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11 投标报价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_Toc29381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_Toc6177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12 投标报价货币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_Toc6177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_Toc14981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13 证明投标人的合格性和资格的声明文件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_Toc14981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_Toc29029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14 证明</w:t>
          </w:r>
          <w:r>
            <w:rPr>
              <w:rFonts w:hint="eastAsia" w:ascii="宋体" w:hAnsi="宋体" w:eastAsia="宋体" w:cs="宋体"/>
              <w:szCs w:val="21"/>
              <w:highlight w:val="none"/>
              <w:lang w:val="en-US" w:eastAsia="zh-CN"/>
            </w:rPr>
            <w:t>货物</w:t>
          </w:r>
          <w:r>
            <w:rPr>
              <w:rFonts w:hint="eastAsia" w:ascii="宋体" w:hAnsi="宋体" w:eastAsia="宋体" w:cs="宋体"/>
              <w:szCs w:val="21"/>
              <w:highlight w:val="none"/>
              <w:lang w:val="zh-CN"/>
            </w:rPr>
            <w:t>的合格性并符合招标文件规定的声明文件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_Toc29029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_Toc12879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15 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_Toc12879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_Toc16351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16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_Toc16351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_Toc25462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17 投标文件的编制和签署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_Toc25462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_Toc7244 </w:instrText>
          </w:r>
          <w:r>
            <w:rPr>
              <w:rFonts w:hint="eastAsia" w:ascii="宋体" w:hAnsi="宋体" w:eastAsia="宋体" w:cs="宋体"/>
              <w:b/>
              <w:bCs/>
              <w:highlight w:val="none"/>
            </w:rPr>
            <w:fldChar w:fldCharType="separate"/>
          </w:r>
          <w:r>
            <w:rPr>
              <w:rFonts w:hint="eastAsia" w:ascii="宋体" w:hAnsi="宋体" w:eastAsia="宋体" w:cs="宋体"/>
              <w:b/>
              <w:bCs/>
              <w:kern w:val="44"/>
              <w:szCs w:val="21"/>
              <w:highlight w:val="none"/>
              <w:lang w:val="zh-CN"/>
            </w:rPr>
            <w:t>四、投标</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_Toc7244 \h </w:instrText>
          </w:r>
          <w:r>
            <w:rPr>
              <w:rFonts w:hint="eastAsia" w:ascii="宋体" w:hAnsi="宋体" w:eastAsia="宋体" w:cs="宋体"/>
              <w:b/>
              <w:bCs/>
            </w:rPr>
            <w:fldChar w:fldCharType="separate"/>
          </w:r>
          <w:r>
            <w:rPr>
              <w:rFonts w:hint="eastAsia" w:ascii="宋体" w:hAnsi="宋体" w:eastAsia="宋体" w:cs="宋体"/>
              <w:b/>
              <w:bCs/>
            </w:rPr>
            <w:t>21</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_Toc11690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18 投标文件的加密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_Toc11690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_Toc4570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19 投标文件的提交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_Toc4570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_Toc30880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20 投标会时间、地点及投标文件提交的截止时间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_Toc30880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_Toc13760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21 投标文件的拒绝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_Toc13760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_Toc26549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2 </w:t>
          </w:r>
          <w:r>
            <w:rPr>
              <w:rFonts w:hint="eastAsia" w:ascii="宋体" w:hAnsi="宋体" w:eastAsia="宋体" w:cs="宋体"/>
              <w:szCs w:val="21"/>
              <w:highlight w:val="none"/>
              <w:lang w:val="zh-CN"/>
            </w:rPr>
            <w:t>投标文件的补充、修改与撤回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_Toc26549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_Toc7367 </w:instrText>
          </w:r>
          <w:r>
            <w:rPr>
              <w:rFonts w:hint="eastAsia" w:ascii="宋体" w:hAnsi="宋体" w:eastAsia="宋体" w:cs="宋体"/>
              <w:b/>
              <w:bCs/>
              <w:highlight w:val="none"/>
            </w:rPr>
            <w:fldChar w:fldCharType="separate"/>
          </w:r>
          <w:r>
            <w:rPr>
              <w:rFonts w:hint="eastAsia" w:ascii="宋体" w:hAnsi="宋体" w:eastAsia="宋体" w:cs="宋体"/>
              <w:b/>
              <w:bCs/>
              <w:kern w:val="44"/>
              <w:szCs w:val="21"/>
              <w:highlight w:val="none"/>
              <w:lang w:val="zh-CN"/>
            </w:rPr>
            <w:t>五、开标与评标</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_Toc7367 \h </w:instrText>
          </w:r>
          <w:r>
            <w:rPr>
              <w:rFonts w:hint="eastAsia" w:ascii="宋体" w:hAnsi="宋体" w:eastAsia="宋体" w:cs="宋体"/>
              <w:b/>
              <w:bCs/>
            </w:rPr>
            <w:fldChar w:fldCharType="separate"/>
          </w:r>
          <w:r>
            <w:rPr>
              <w:rFonts w:hint="eastAsia" w:ascii="宋体" w:hAnsi="宋体" w:eastAsia="宋体" w:cs="宋体"/>
              <w:b/>
              <w:bCs/>
            </w:rPr>
            <w:t>22</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_Toc18414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3 </w:t>
          </w:r>
          <w:r>
            <w:rPr>
              <w:rFonts w:hint="eastAsia" w:ascii="宋体" w:hAnsi="宋体" w:eastAsia="宋体" w:cs="宋体"/>
              <w:szCs w:val="21"/>
              <w:highlight w:val="none"/>
              <w:lang w:val="zh-CN"/>
            </w:rPr>
            <w:t>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_Toc18414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_Toc9682 </w:instrText>
          </w:r>
          <w:r>
            <w:rPr>
              <w:rFonts w:hint="eastAsia" w:ascii="宋体" w:hAnsi="宋体" w:eastAsia="宋体" w:cs="宋体"/>
              <w:highlight w:val="none"/>
            </w:rPr>
            <w:fldChar w:fldCharType="separate"/>
          </w:r>
          <w:r>
            <w:rPr>
              <w:rFonts w:hint="eastAsia" w:ascii="宋体" w:hAnsi="宋体" w:eastAsia="宋体" w:cs="宋体"/>
              <w:szCs w:val="21"/>
              <w:highlight w:val="none"/>
            </w:rPr>
            <w:t>24</w:t>
          </w:r>
          <w:r>
            <w:rPr>
              <w:rFonts w:hint="eastAsia"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_Toc9682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_Toc29387 </w:instrText>
          </w:r>
          <w:r>
            <w:rPr>
              <w:rFonts w:hint="eastAsia" w:ascii="宋体" w:hAnsi="宋体" w:eastAsia="宋体" w:cs="宋体"/>
              <w:highlight w:val="none"/>
            </w:rPr>
            <w:fldChar w:fldCharType="separate"/>
          </w:r>
          <w:r>
            <w:rPr>
              <w:rFonts w:hint="eastAsia" w:ascii="宋体" w:hAnsi="宋体" w:eastAsia="宋体" w:cs="宋体"/>
              <w:szCs w:val="21"/>
              <w:highlight w:val="none"/>
            </w:rPr>
            <w:t>25</w:t>
          </w:r>
          <w:r>
            <w:rPr>
              <w:rFonts w:hint="eastAsia" w:ascii="宋体" w:hAnsi="宋体" w:eastAsia="宋体" w:cs="宋体"/>
              <w:szCs w:val="21"/>
              <w:highlight w:val="none"/>
              <w:lang w:val="zh-CN"/>
            </w:rPr>
            <w:t xml:space="preserve"> 评标委员会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_Toc29387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_Toc2532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26</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投标文件的有效性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_Toc2532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_Toc29883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7</w:t>
          </w:r>
          <w:r>
            <w:rPr>
              <w:rFonts w:hint="eastAsia" w:ascii="宋体" w:hAnsi="宋体" w:eastAsia="宋体" w:cs="宋体"/>
              <w:szCs w:val="21"/>
              <w:highlight w:val="none"/>
              <w:lang w:val="zh-CN"/>
            </w:rPr>
            <w:t xml:space="preserve"> 投标文件的初审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_Toc29883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_Toc25922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8</w:t>
          </w:r>
          <w:r>
            <w:rPr>
              <w:rFonts w:hint="eastAsia" w:ascii="宋体" w:hAnsi="宋体" w:eastAsia="宋体" w:cs="宋体"/>
              <w:szCs w:val="21"/>
              <w:highlight w:val="none"/>
              <w:lang w:val="zh-CN"/>
            </w:rPr>
            <w:t xml:space="preserve"> 投标文件的澄清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_Toc25922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_Toc31802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 xml:space="preserve"> 对投标文件的比较和评价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_Toc31802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_Toc19095 </w:instrText>
          </w:r>
          <w:r>
            <w:rPr>
              <w:rFonts w:hint="eastAsia" w:ascii="宋体" w:hAnsi="宋体" w:eastAsia="宋体" w:cs="宋体"/>
              <w:highlight w:val="none"/>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评标原则及方法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_Toc19095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_Toc32484 </w:instrText>
          </w:r>
          <w:r>
            <w:rPr>
              <w:rFonts w:hint="eastAsia" w:ascii="宋体" w:hAnsi="宋体" w:eastAsia="宋体" w:cs="宋体"/>
              <w:highlight w:val="none"/>
            </w:rPr>
            <w:fldChar w:fldCharType="separate"/>
          </w:r>
          <w:r>
            <w:rPr>
              <w:rFonts w:hint="eastAsia" w:ascii="宋体" w:hAnsi="宋体" w:eastAsia="宋体" w:cs="宋体"/>
              <w:szCs w:val="21"/>
              <w:highlight w:val="none"/>
            </w:rPr>
            <w:t xml:space="preserve">31 </w:t>
          </w:r>
          <w:r>
            <w:rPr>
              <w:rFonts w:hint="eastAsia" w:ascii="宋体" w:hAnsi="宋体" w:eastAsia="宋体" w:cs="宋体"/>
              <w:szCs w:val="21"/>
              <w:highlight w:val="none"/>
              <w:lang w:val="zh-CN"/>
            </w:rPr>
            <w:t>评标结果公示及异议、投诉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_Toc32484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_Toc14405 </w:instrText>
          </w:r>
          <w:r>
            <w:rPr>
              <w:rFonts w:hint="eastAsia" w:ascii="宋体" w:hAnsi="宋体" w:eastAsia="宋体" w:cs="宋体"/>
              <w:highlight w:val="none"/>
            </w:rPr>
            <w:fldChar w:fldCharType="separate"/>
          </w:r>
          <w:r>
            <w:rPr>
              <w:rFonts w:hint="eastAsia" w:ascii="宋体" w:hAnsi="宋体" w:eastAsia="宋体" w:cs="宋体"/>
              <w:szCs w:val="21"/>
              <w:highlight w:val="none"/>
            </w:rPr>
            <w:t>32</w:t>
          </w:r>
          <w:r>
            <w:rPr>
              <w:rFonts w:hint="eastAsia" w:ascii="宋体" w:hAnsi="宋体" w:eastAsia="宋体" w:cs="宋体"/>
              <w:szCs w:val="21"/>
              <w:highlight w:val="none"/>
              <w:lang w:val="zh-CN"/>
            </w:rPr>
            <w:t xml:space="preserve"> 真实性审查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_Toc14405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_Toc11255 </w:instrText>
          </w:r>
          <w:r>
            <w:rPr>
              <w:rFonts w:hint="eastAsia" w:ascii="宋体" w:hAnsi="宋体" w:eastAsia="宋体" w:cs="宋体"/>
              <w:highlight w:val="none"/>
            </w:rPr>
            <w:fldChar w:fldCharType="separate"/>
          </w:r>
          <w:r>
            <w:rPr>
              <w:rFonts w:hint="eastAsia" w:ascii="宋体" w:hAnsi="宋体" w:eastAsia="宋体" w:cs="宋体"/>
              <w:szCs w:val="21"/>
              <w:highlight w:val="none"/>
            </w:rPr>
            <w:t>33</w:t>
          </w:r>
          <w:r>
            <w:rPr>
              <w:rFonts w:hint="eastAsia" w:ascii="宋体" w:hAnsi="宋体" w:eastAsia="宋体" w:cs="宋体"/>
              <w:szCs w:val="21"/>
              <w:highlight w:val="none"/>
              <w:lang w:val="zh-CN"/>
            </w:rPr>
            <w:t xml:space="preserve"> 评标委员会和招标人接受或拒绝任何投标或所有投标的权利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_Toc11255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_Toc18769 </w:instrText>
          </w:r>
          <w:r>
            <w:rPr>
              <w:rFonts w:hint="eastAsia" w:ascii="宋体" w:hAnsi="宋体" w:eastAsia="宋体" w:cs="宋体"/>
              <w:b/>
              <w:bCs/>
              <w:highlight w:val="none"/>
            </w:rPr>
            <w:fldChar w:fldCharType="separate"/>
          </w:r>
          <w:r>
            <w:rPr>
              <w:rFonts w:hint="eastAsia" w:ascii="宋体" w:hAnsi="宋体" w:eastAsia="宋体" w:cs="宋体"/>
              <w:b/>
              <w:bCs/>
              <w:kern w:val="44"/>
              <w:szCs w:val="21"/>
              <w:highlight w:val="none"/>
              <w:lang w:val="zh-CN"/>
            </w:rPr>
            <w:t>六、授予合同</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_Toc18769 \h </w:instrText>
          </w:r>
          <w:r>
            <w:rPr>
              <w:rFonts w:hint="eastAsia" w:ascii="宋体" w:hAnsi="宋体" w:eastAsia="宋体" w:cs="宋体"/>
              <w:b/>
              <w:bCs/>
            </w:rPr>
            <w:fldChar w:fldCharType="separate"/>
          </w:r>
          <w:r>
            <w:rPr>
              <w:rFonts w:hint="eastAsia" w:ascii="宋体" w:hAnsi="宋体" w:eastAsia="宋体" w:cs="宋体"/>
              <w:b/>
              <w:bCs/>
            </w:rPr>
            <w:t>27</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_Toc16417 </w:instrText>
          </w:r>
          <w:r>
            <w:rPr>
              <w:rFonts w:hint="eastAsia" w:ascii="宋体" w:hAnsi="宋体" w:eastAsia="宋体" w:cs="宋体"/>
              <w:highlight w:val="none"/>
            </w:rPr>
            <w:fldChar w:fldCharType="separate"/>
          </w:r>
          <w:r>
            <w:rPr>
              <w:rFonts w:hint="eastAsia" w:ascii="宋体" w:hAnsi="宋体" w:eastAsia="宋体" w:cs="宋体"/>
              <w:szCs w:val="21"/>
              <w:highlight w:val="none"/>
            </w:rPr>
            <w:t>34</w:t>
          </w:r>
          <w:r>
            <w:rPr>
              <w:rFonts w:hint="eastAsia" w:ascii="宋体" w:hAnsi="宋体" w:eastAsia="宋体" w:cs="宋体"/>
              <w:szCs w:val="21"/>
              <w:highlight w:val="none"/>
              <w:lang w:val="zh-CN"/>
            </w:rPr>
            <w:t xml:space="preserve"> 授予合同的准则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_Toc16417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_Toc1669 </w:instrText>
          </w:r>
          <w:r>
            <w:rPr>
              <w:rFonts w:hint="eastAsia" w:ascii="宋体" w:hAnsi="宋体" w:eastAsia="宋体" w:cs="宋体"/>
              <w:highlight w:val="none"/>
            </w:rPr>
            <w:fldChar w:fldCharType="separate"/>
          </w:r>
          <w:r>
            <w:rPr>
              <w:rFonts w:hint="eastAsia" w:ascii="宋体" w:hAnsi="宋体" w:eastAsia="宋体" w:cs="宋体"/>
              <w:szCs w:val="21"/>
              <w:highlight w:val="none"/>
            </w:rPr>
            <w:t>35</w:t>
          </w:r>
          <w:r>
            <w:rPr>
              <w:rFonts w:hint="eastAsia" w:ascii="宋体" w:hAnsi="宋体" w:eastAsia="宋体" w:cs="宋体"/>
              <w:szCs w:val="21"/>
              <w:highlight w:val="none"/>
              <w:lang w:val="zh-CN"/>
            </w:rPr>
            <w:t xml:space="preserve">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_Toc1669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_Toc11408 </w:instrText>
          </w:r>
          <w:r>
            <w:rPr>
              <w:rFonts w:hint="eastAsia" w:ascii="宋体" w:hAnsi="宋体" w:eastAsia="宋体" w:cs="宋体"/>
              <w:highlight w:val="none"/>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签署合同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_Toc11408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_Toc8633 </w:instrText>
          </w:r>
          <w:r>
            <w:rPr>
              <w:rFonts w:hint="eastAsia" w:ascii="宋体" w:hAnsi="宋体" w:eastAsia="宋体" w:cs="宋体"/>
              <w:highlight w:val="none"/>
            </w:rPr>
            <w:fldChar w:fldCharType="separate"/>
          </w:r>
          <w:r>
            <w:rPr>
              <w:rFonts w:hint="eastAsia" w:ascii="宋体" w:hAnsi="宋体" w:eastAsia="宋体" w:cs="宋体"/>
              <w:szCs w:val="21"/>
              <w:highlight w:val="none"/>
            </w:rPr>
            <w:t xml:space="preserve">37 </w:t>
          </w:r>
          <w:r>
            <w:rPr>
              <w:rFonts w:hint="eastAsia" w:ascii="宋体" w:hAnsi="宋体" w:eastAsia="宋体" w:cs="宋体"/>
              <w:szCs w:val="21"/>
              <w:highlight w:val="none"/>
              <w:lang w:val="zh-CN"/>
            </w:rPr>
            <w:t>履约担保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_Toc8633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_Toc21397 </w:instrText>
          </w:r>
          <w:r>
            <w:rPr>
              <w:rFonts w:hint="eastAsia" w:ascii="宋体" w:hAnsi="宋体" w:eastAsia="宋体" w:cs="宋体"/>
              <w:highlight w:val="none"/>
            </w:rPr>
            <w:fldChar w:fldCharType="separate"/>
          </w:r>
          <w:r>
            <w:rPr>
              <w:rFonts w:hint="eastAsia" w:ascii="宋体" w:hAnsi="宋体" w:eastAsia="宋体" w:cs="宋体"/>
              <w:szCs w:val="21"/>
              <w:highlight w:val="none"/>
            </w:rPr>
            <w:t>38</w:t>
          </w:r>
          <w:r>
            <w:rPr>
              <w:rFonts w:hint="eastAsia" w:ascii="宋体" w:hAnsi="宋体" w:eastAsia="宋体" w:cs="宋体"/>
              <w:szCs w:val="21"/>
              <w:highlight w:val="none"/>
              <w:lang w:val="zh-CN"/>
            </w:rPr>
            <w:t xml:space="preserve"> 在合同履行中变更采购范围的权利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_Toc21397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_Toc29802 </w:instrText>
          </w:r>
          <w:r>
            <w:rPr>
              <w:rFonts w:hint="eastAsia" w:ascii="宋体" w:hAnsi="宋体" w:eastAsia="宋体" w:cs="宋体"/>
              <w:highlight w:val="none"/>
            </w:rPr>
            <w:fldChar w:fldCharType="separate"/>
          </w:r>
          <w:r>
            <w:rPr>
              <w:rFonts w:hint="eastAsia" w:ascii="宋体" w:hAnsi="宋体" w:eastAsia="宋体" w:cs="宋体"/>
              <w:szCs w:val="21"/>
              <w:highlight w:val="none"/>
            </w:rPr>
            <w:t>39</w:t>
          </w:r>
          <w:r>
            <w:rPr>
              <w:rFonts w:hint="eastAsia" w:ascii="宋体" w:hAnsi="宋体" w:eastAsia="宋体" w:cs="宋体"/>
              <w:szCs w:val="21"/>
              <w:highlight w:val="none"/>
              <w:lang w:val="zh-CN"/>
            </w:rPr>
            <w:t xml:space="preserve"> 中标服务费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_Toc29802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_Toc28513 </w:instrText>
          </w:r>
          <w:r>
            <w:rPr>
              <w:rFonts w:hint="eastAsia" w:ascii="宋体" w:hAnsi="宋体" w:eastAsia="宋体" w:cs="宋体"/>
              <w:highlight w:val="none"/>
            </w:rPr>
            <w:fldChar w:fldCharType="separate"/>
          </w:r>
          <w:r>
            <w:rPr>
              <w:rFonts w:hint="eastAsia" w:ascii="宋体" w:hAnsi="宋体" w:eastAsia="宋体" w:cs="宋体"/>
              <w:szCs w:val="21"/>
              <w:highlight w:val="none"/>
            </w:rPr>
            <w:t>40</w:t>
          </w:r>
          <w:r>
            <w:rPr>
              <w:rFonts w:hint="eastAsia" w:ascii="宋体" w:hAnsi="宋体" w:eastAsia="宋体" w:cs="宋体"/>
              <w:szCs w:val="21"/>
              <w:highlight w:val="none"/>
              <w:lang w:val="zh-CN"/>
            </w:rPr>
            <w:t xml:space="preserve"> 发票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_Toc28513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_Toc9223 </w:instrText>
          </w:r>
          <w:r>
            <w:rPr>
              <w:rFonts w:hint="eastAsia" w:ascii="宋体" w:hAnsi="宋体" w:eastAsia="宋体" w:cs="宋体"/>
              <w:highlight w:val="none"/>
            </w:rPr>
            <w:fldChar w:fldCharType="separate"/>
          </w:r>
          <w:r>
            <w:rPr>
              <w:rFonts w:hint="eastAsia" w:ascii="宋体" w:hAnsi="宋体" w:eastAsia="宋体" w:cs="宋体"/>
              <w:szCs w:val="21"/>
              <w:highlight w:val="none"/>
            </w:rPr>
            <w:t>41 招标相关补充约定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_Toc9223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_Toc7075 </w:instrText>
          </w:r>
          <w:r>
            <w:rPr>
              <w:rFonts w:hint="eastAsia" w:ascii="宋体" w:hAnsi="宋体" w:eastAsia="宋体" w:cs="宋体"/>
              <w:highlight w:val="none"/>
            </w:rPr>
            <w:fldChar w:fldCharType="separate"/>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 xml:space="preserve"> 本次招标活动的最终解释权归招标代理机构及招标人所有。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_Toc7075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_Toc8600 </w:instrText>
          </w:r>
          <w:r>
            <w:rPr>
              <w:rFonts w:hint="eastAsia" w:ascii="宋体" w:hAnsi="宋体" w:eastAsia="宋体" w:cs="宋体"/>
              <w:b/>
              <w:bCs/>
              <w:highlight w:val="none"/>
            </w:rPr>
            <w:fldChar w:fldCharType="separate"/>
          </w:r>
          <w:r>
            <w:rPr>
              <w:rFonts w:hint="eastAsia" w:ascii="宋体" w:hAnsi="宋体" w:eastAsia="宋体" w:cs="宋体"/>
              <w:b/>
              <w:bCs/>
              <w:kern w:val="44"/>
              <w:szCs w:val="32"/>
              <w:highlight w:val="none"/>
              <w:lang w:val="zh-CN"/>
            </w:rPr>
            <w:t>第三篇 用户需求书</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_Toc8600 \h </w:instrText>
          </w:r>
          <w:r>
            <w:rPr>
              <w:rFonts w:hint="eastAsia" w:ascii="宋体" w:hAnsi="宋体" w:eastAsia="宋体" w:cs="宋体"/>
              <w:b/>
              <w:bCs/>
            </w:rPr>
            <w:fldChar w:fldCharType="separate"/>
          </w:r>
          <w:r>
            <w:rPr>
              <w:rFonts w:hint="eastAsia" w:ascii="宋体" w:hAnsi="宋体" w:eastAsia="宋体" w:cs="宋体"/>
              <w:b/>
              <w:bCs/>
            </w:rPr>
            <w:t>33</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_Toc23044 </w:instrText>
          </w:r>
          <w:r>
            <w:rPr>
              <w:rFonts w:hint="eastAsia" w:ascii="宋体" w:hAnsi="宋体" w:eastAsia="宋体" w:cs="宋体"/>
              <w:b/>
              <w:bCs/>
              <w:highlight w:val="none"/>
            </w:rPr>
            <w:fldChar w:fldCharType="separate"/>
          </w:r>
          <w:r>
            <w:rPr>
              <w:rFonts w:hint="eastAsia" w:ascii="宋体" w:hAnsi="宋体" w:eastAsia="宋体" w:cs="宋体"/>
              <w:b/>
              <w:bCs/>
              <w:kern w:val="44"/>
              <w:szCs w:val="32"/>
              <w:highlight w:val="none"/>
              <w:lang w:val="zh-CN"/>
            </w:rPr>
            <w:t>第四篇 合同条款格式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_Toc23044 \h </w:instrText>
          </w:r>
          <w:r>
            <w:rPr>
              <w:rFonts w:hint="eastAsia" w:ascii="宋体" w:hAnsi="宋体" w:eastAsia="宋体" w:cs="宋体"/>
              <w:b/>
              <w:bCs/>
            </w:rPr>
            <w:fldChar w:fldCharType="separate"/>
          </w:r>
          <w:r>
            <w:rPr>
              <w:rFonts w:hint="eastAsia" w:ascii="宋体" w:hAnsi="宋体" w:eastAsia="宋体" w:cs="宋体"/>
              <w:b/>
              <w:bCs/>
            </w:rPr>
            <w:t>43</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_Toc12473 </w:instrText>
          </w:r>
          <w:r>
            <w:rPr>
              <w:rFonts w:hint="eastAsia" w:ascii="宋体" w:hAnsi="宋体" w:eastAsia="宋体" w:cs="宋体"/>
              <w:b/>
              <w:bCs/>
              <w:highlight w:val="none"/>
            </w:rPr>
            <w:fldChar w:fldCharType="separate"/>
          </w:r>
          <w:r>
            <w:rPr>
              <w:rFonts w:hint="eastAsia" w:ascii="宋体" w:hAnsi="宋体" w:eastAsia="宋体" w:cs="宋体"/>
              <w:b/>
              <w:bCs/>
              <w:kern w:val="44"/>
              <w:szCs w:val="32"/>
              <w:highlight w:val="none"/>
              <w:lang w:val="zh-CN"/>
            </w:rPr>
            <w:t>第五篇 相关保函格式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_Toc12473 \h </w:instrText>
          </w:r>
          <w:r>
            <w:rPr>
              <w:rFonts w:hint="eastAsia" w:ascii="宋体" w:hAnsi="宋体" w:eastAsia="宋体" w:cs="宋体"/>
              <w:b/>
              <w:bCs/>
            </w:rPr>
            <w:fldChar w:fldCharType="separate"/>
          </w:r>
          <w:r>
            <w:rPr>
              <w:rFonts w:hint="eastAsia" w:ascii="宋体" w:hAnsi="宋体" w:eastAsia="宋体" w:cs="宋体"/>
              <w:b/>
              <w:bCs/>
            </w:rPr>
            <w:t>61</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_Toc546 </w:instrText>
          </w:r>
          <w:r>
            <w:rPr>
              <w:rFonts w:hint="eastAsia" w:ascii="宋体" w:hAnsi="宋体" w:eastAsia="宋体" w:cs="宋体"/>
              <w:b/>
              <w:bCs/>
              <w:highlight w:val="none"/>
            </w:rPr>
            <w:fldChar w:fldCharType="separate"/>
          </w:r>
          <w:r>
            <w:rPr>
              <w:rFonts w:hint="eastAsia" w:ascii="宋体" w:hAnsi="宋体" w:eastAsia="宋体" w:cs="宋体"/>
              <w:b/>
              <w:bCs/>
              <w:kern w:val="44"/>
              <w:szCs w:val="32"/>
              <w:highlight w:val="none"/>
              <w:lang w:val="zh-CN" w:eastAsia="zh-CN" w:bidi="ar-SA"/>
            </w:rPr>
            <w:t>第六篇</w:t>
          </w:r>
          <w:r>
            <w:rPr>
              <w:rFonts w:hint="eastAsia" w:ascii="宋体" w:hAnsi="宋体" w:eastAsia="宋体" w:cs="宋体"/>
              <w:b/>
              <w:bCs/>
              <w:kern w:val="44"/>
              <w:szCs w:val="32"/>
              <w:highlight w:val="none"/>
              <w:lang w:val="en-US" w:eastAsia="zh-CN"/>
            </w:rPr>
            <w:t xml:space="preserve"> </w:t>
          </w:r>
          <w:r>
            <w:rPr>
              <w:rFonts w:hint="eastAsia" w:ascii="宋体" w:hAnsi="宋体" w:eastAsia="宋体" w:cs="宋体"/>
              <w:b/>
              <w:bCs/>
              <w:kern w:val="44"/>
              <w:szCs w:val="32"/>
              <w:highlight w:val="none"/>
              <w:lang w:val="zh-CN"/>
            </w:rPr>
            <w:t>投标文件格式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_Toc546 \h </w:instrText>
          </w:r>
          <w:r>
            <w:rPr>
              <w:rFonts w:hint="eastAsia" w:ascii="宋体" w:hAnsi="宋体" w:eastAsia="宋体" w:cs="宋体"/>
              <w:b/>
              <w:bCs/>
            </w:rPr>
            <w:fldChar w:fldCharType="separate"/>
          </w:r>
          <w:r>
            <w:rPr>
              <w:rFonts w:hint="eastAsia" w:ascii="宋体" w:hAnsi="宋体" w:eastAsia="宋体" w:cs="宋体"/>
              <w:b/>
              <w:bCs/>
            </w:rPr>
            <w:t>64</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_Toc5083 </w:instrText>
          </w:r>
          <w:r>
            <w:rPr>
              <w:rFonts w:hint="eastAsia" w:ascii="宋体" w:hAnsi="宋体" w:eastAsia="宋体" w:cs="宋体"/>
              <w:b/>
              <w:bCs/>
              <w:highlight w:val="none"/>
            </w:rPr>
            <w:fldChar w:fldCharType="separate"/>
          </w:r>
          <w:r>
            <w:rPr>
              <w:rFonts w:hint="eastAsia" w:ascii="宋体" w:hAnsi="宋体" w:eastAsia="宋体" w:cs="宋体"/>
              <w:b/>
              <w:bCs/>
              <w:kern w:val="44"/>
              <w:szCs w:val="32"/>
              <w:highlight w:val="none"/>
              <w:lang w:val="zh-CN"/>
            </w:rPr>
            <w:t>附件一：评标工作大纲</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_Toc5083 \h </w:instrText>
          </w:r>
          <w:r>
            <w:rPr>
              <w:rFonts w:hint="eastAsia" w:ascii="宋体" w:hAnsi="宋体" w:eastAsia="宋体" w:cs="宋体"/>
              <w:b/>
              <w:bCs/>
            </w:rPr>
            <w:fldChar w:fldCharType="separate"/>
          </w:r>
          <w:r>
            <w:rPr>
              <w:rFonts w:hint="eastAsia" w:ascii="宋体" w:hAnsi="宋体" w:eastAsia="宋体" w:cs="宋体"/>
              <w:b/>
              <w:bCs/>
            </w:rPr>
            <w:t>101</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2"/>
          <w:highlight w:val="none"/>
          <w:lang w:val="en-US" w:eastAsia="zh-CN" w:bidi="ar-SA"/>
        </w:rPr>
      </w:pP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4" w:name="_Toc450662846"/>
      <w:bookmarkStart w:id="5" w:name="_Toc142508310"/>
      <w:bookmarkStart w:id="6" w:name="_Toc486167660"/>
      <w:bookmarkStart w:id="7" w:name="_Toc4869"/>
      <w:bookmarkStart w:id="8" w:name="_Toc24466"/>
      <w:bookmarkStart w:id="9" w:name="_Toc20249"/>
      <w:bookmarkStart w:id="10" w:name="_Toc11860"/>
      <w:bookmarkStart w:id="11" w:name="_Toc3716"/>
      <w:bookmarkStart w:id="12" w:name="_Toc17326"/>
      <w:bookmarkStart w:id="13" w:name="_Toc8823"/>
      <w:bookmarkStart w:id="14" w:name="_Toc2723_WPSOffice_Level1"/>
      <w:r>
        <w:rPr>
          <w:rFonts w:hint="eastAsia" w:ascii="宋体" w:hAnsi="宋体" w:eastAsia="宋体" w:cs="宋体"/>
          <w:b/>
          <w:bCs/>
          <w:color w:val="auto"/>
          <w:kern w:val="44"/>
          <w:sz w:val="32"/>
          <w:szCs w:val="32"/>
          <w:highlight w:val="none"/>
          <w:lang w:val="zh-CN"/>
        </w:rPr>
        <w:t>第一篇 招标公告</w:t>
      </w:r>
      <w:bookmarkEnd w:id="4"/>
      <w:bookmarkEnd w:id="5"/>
      <w:bookmarkEnd w:id="6"/>
      <w:bookmarkEnd w:id="7"/>
      <w:bookmarkEnd w:id="8"/>
      <w:bookmarkEnd w:id="9"/>
      <w:bookmarkEnd w:id="10"/>
      <w:bookmarkEnd w:id="11"/>
      <w:bookmarkEnd w:id="12"/>
      <w:bookmarkEnd w:id="13"/>
      <w:bookmarkEnd w:id="14"/>
    </w:p>
    <w:p>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广西同泽工程项目管理股份有限公司</w:t>
      </w:r>
      <w:r>
        <w:rPr>
          <w:rFonts w:hint="eastAsia" w:ascii="宋体" w:hAnsi="宋体" w:eastAsia="宋体" w:cs="宋体"/>
          <w:color w:val="auto"/>
          <w:szCs w:val="21"/>
          <w:highlight w:val="none"/>
          <w:lang w:val="zh-CN"/>
        </w:rPr>
        <w:t>（以下简称“招标代理机构”）受东莞市尚源环能科技有限公司（以下简称“招标人”）的委托，对</w:t>
      </w:r>
      <w:bookmarkStart w:id="15" w:name="_Hlk41903390"/>
      <w:r>
        <w:rPr>
          <w:rFonts w:hint="eastAsia" w:ascii="宋体" w:hAnsi="宋体" w:eastAsia="宋体" w:cs="宋体"/>
          <w:color w:val="auto"/>
          <w:kern w:val="0"/>
          <w:szCs w:val="21"/>
          <w:highlight w:val="none"/>
          <w:lang w:eastAsia="zh-CN"/>
        </w:rPr>
        <w:t>东莞市污泥集中处理处置项目小苏打采购项目</w:t>
      </w:r>
      <w:r>
        <w:rPr>
          <w:rFonts w:hint="eastAsia" w:ascii="宋体" w:hAnsi="宋体" w:eastAsia="宋体" w:cs="宋体"/>
          <w:color w:val="auto"/>
          <w:szCs w:val="21"/>
          <w:highlight w:val="none"/>
          <w:lang w:val="zh-CN"/>
        </w:rPr>
        <w:t>(招标编号：WQWHCZ12600369)</w:t>
      </w:r>
      <w:bookmarkEnd w:id="15"/>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pPr>
        <w:numPr>
          <w:ilvl w:val="0"/>
          <w:numId w:val="0"/>
        </w:numPr>
        <w:autoSpaceDE w:val="0"/>
        <w:autoSpaceDN w:val="0"/>
        <w:adjustRightInd w:val="0"/>
        <w:snapToGrid w:val="0"/>
        <w:spacing w:line="360" w:lineRule="auto"/>
        <w:ind w:left="0" w:right="-34" w:firstLine="0"/>
        <w:jc w:val="left"/>
        <w:rPr>
          <w:rFonts w:hint="eastAsia" w:ascii="宋体" w:hAnsi="宋体" w:eastAsia="宋体" w:cs="Times New Roman"/>
          <w:color w:val="auto"/>
          <w:szCs w:val="21"/>
          <w:highlight w:val="none"/>
          <w:lang w:val="zh-CN"/>
        </w:rPr>
      </w:pPr>
      <w:r>
        <w:rPr>
          <w:rFonts w:hint="default" w:ascii="宋体" w:hAnsi="宋体" w:eastAsia="宋体" w:cs="Times New Roman"/>
          <w:color w:val="auto"/>
          <w:kern w:val="2"/>
          <w:sz w:val="21"/>
          <w:szCs w:val="21"/>
          <w:highlight w:val="none"/>
          <w:lang w:val="zh-CN" w:eastAsia="zh-CN" w:bidi="ar-SA"/>
        </w:rPr>
        <w:t>1</w:t>
      </w: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eastAsia="宋体" w:cs="Times New Roman"/>
          <w:color w:val="auto"/>
          <w:szCs w:val="21"/>
          <w:highlight w:val="none"/>
          <w:lang w:val="zh-CN"/>
        </w:rPr>
        <w:t>招标范围：</w:t>
      </w:r>
    </w:p>
    <w:tbl>
      <w:tblPr>
        <w:tblStyle w:val="44"/>
        <w:tblW w:w="93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29"/>
        <w:gridCol w:w="1056"/>
        <w:gridCol w:w="1023"/>
        <w:gridCol w:w="2833"/>
        <w:gridCol w:w="226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815" w:hRule="atLeast"/>
          <w:jc w:val="center"/>
        </w:trPr>
        <w:tc>
          <w:tcPr>
            <w:tcW w:w="929" w:type="dxa"/>
            <w:vAlign w:val="center"/>
          </w:tcPr>
          <w:p>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056" w:type="dxa"/>
            <w:vAlign w:val="center"/>
          </w:tcPr>
          <w:p>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p>
        </w:tc>
        <w:tc>
          <w:tcPr>
            <w:tcW w:w="1023" w:type="dxa"/>
            <w:vAlign w:val="center"/>
          </w:tcPr>
          <w:p>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预算综合单价</w:t>
            </w:r>
            <w:r>
              <w:rPr>
                <w:rFonts w:hint="eastAsia" w:ascii="宋体" w:hAnsi="宋体" w:eastAsia="宋体" w:cs="宋体"/>
                <w:color w:val="auto"/>
                <w:sz w:val="21"/>
                <w:szCs w:val="21"/>
                <w:highlight w:val="none"/>
              </w:rPr>
              <w:t>（不含税）</w:t>
            </w:r>
          </w:p>
        </w:tc>
        <w:tc>
          <w:tcPr>
            <w:tcW w:w="2833" w:type="dxa"/>
            <w:vAlign w:val="center"/>
          </w:tcPr>
          <w:p>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2269" w:type="dxa"/>
            <w:vAlign w:val="center"/>
          </w:tcPr>
          <w:p>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1200" w:type="dxa"/>
            <w:vAlign w:val="center"/>
          </w:tcPr>
          <w:p>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555" w:hRule="atLeast"/>
          <w:jc w:val="center"/>
        </w:trPr>
        <w:tc>
          <w:tcPr>
            <w:tcW w:w="929" w:type="dxa"/>
            <w:vAlign w:val="center"/>
          </w:tcPr>
          <w:p>
            <w:pPr>
              <w:widowControl/>
              <w:autoSpaceDE/>
              <w:autoSpaceDN/>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小苏打</w:t>
            </w:r>
          </w:p>
        </w:tc>
        <w:tc>
          <w:tcPr>
            <w:tcW w:w="1056" w:type="dxa"/>
            <w:vAlign w:val="center"/>
          </w:tcPr>
          <w:p>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73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 w:val="21"/>
                <w:szCs w:val="21"/>
                <w:highlight w:val="none"/>
              </w:rPr>
              <w:t>吨</w:t>
            </w:r>
          </w:p>
        </w:tc>
        <w:tc>
          <w:tcPr>
            <w:tcW w:w="1023" w:type="dxa"/>
            <w:vAlign w:val="center"/>
          </w:tcPr>
          <w:p>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u w:val="single"/>
                <w:lang w:val="en-US" w:eastAsia="zh-CN"/>
              </w:rPr>
              <w:t>1,461.65</w:t>
            </w:r>
            <w:r>
              <w:rPr>
                <w:rFonts w:hint="eastAsia" w:ascii="宋体" w:hAnsi="宋体" w:eastAsia="宋体" w:cs="宋体"/>
                <w:color w:val="auto"/>
                <w:sz w:val="21"/>
                <w:szCs w:val="21"/>
                <w:highlight w:val="none"/>
              </w:rPr>
              <w:t>元/吨</w:t>
            </w:r>
          </w:p>
        </w:tc>
        <w:tc>
          <w:tcPr>
            <w:tcW w:w="2833" w:type="dxa"/>
            <w:vAlign w:val="center"/>
          </w:tcPr>
          <w:p>
            <w:pPr>
              <w:widowControl/>
              <w:autoSpaceDE/>
              <w:autoSpaceDN/>
              <w:adjustRightInd/>
              <w:snapToGrid w:val="0"/>
              <w:jc w:val="both"/>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供货期自合同签订之日起至20</w:t>
            </w:r>
            <w:r>
              <w:rPr>
                <w:rFonts w:hint="eastAsia" w:ascii="宋体" w:hAnsi="宋体" w:eastAsia="宋体" w:cs="宋体"/>
                <w:iCs/>
                <w:color w:val="auto"/>
                <w:sz w:val="21"/>
                <w:szCs w:val="21"/>
                <w:highlight w:val="none"/>
                <w:lang w:val="en-US" w:eastAsia="zh-CN"/>
              </w:rPr>
              <w:t>26</w:t>
            </w:r>
            <w:r>
              <w:rPr>
                <w:rFonts w:hint="eastAsia" w:ascii="宋体" w:hAnsi="宋体" w:eastAsia="宋体" w:cs="宋体"/>
                <w:iCs/>
                <w:color w:val="auto"/>
                <w:sz w:val="21"/>
                <w:szCs w:val="21"/>
                <w:highlight w:val="none"/>
              </w:rPr>
              <w:t>年</w:t>
            </w:r>
            <w:r>
              <w:rPr>
                <w:rFonts w:hint="eastAsia" w:ascii="宋体" w:hAnsi="宋体" w:eastAsia="宋体" w:cs="宋体"/>
                <w:iCs/>
                <w:color w:val="auto"/>
                <w:sz w:val="21"/>
                <w:szCs w:val="21"/>
                <w:highlight w:val="none"/>
                <w:lang w:val="en-US" w:eastAsia="zh-CN"/>
              </w:rPr>
              <w:t>12</w:t>
            </w:r>
            <w:r>
              <w:rPr>
                <w:rFonts w:hint="eastAsia" w:ascii="宋体" w:hAnsi="宋体" w:eastAsia="宋体" w:cs="宋体"/>
                <w:iCs/>
                <w:color w:val="auto"/>
                <w:sz w:val="21"/>
                <w:szCs w:val="21"/>
                <w:highlight w:val="none"/>
              </w:rPr>
              <w:t>月</w:t>
            </w:r>
            <w:r>
              <w:rPr>
                <w:rFonts w:hint="eastAsia" w:ascii="宋体" w:hAnsi="宋体" w:eastAsia="宋体" w:cs="宋体"/>
                <w:iCs/>
                <w:color w:val="auto"/>
                <w:sz w:val="21"/>
                <w:szCs w:val="21"/>
                <w:highlight w:val="none"/>
                <w:lang w:val="en-US" w:eastAsia="zh-CN"/>
              </w:rPr>
              <w:t>31</w:t>
            </w:r>
            <w:r>
              <w:rPr>
                <w:rFonts w:hint="eastAsia" w:ascii="宋体" w:hAnsi="宋体" w:eastAsia="宋体" w:cs="宋体"/>
                <w:iCs/>
                <w:color w:val="auto"/>
                <w:sz w:val="21"/>
                <w:szCs w:val="21"/>
                <w:highlight w:val="none"/>
              </w:rPr>
              <w:t>日止</w:t>
            </w:r>
            <w:r>
              <w:rPr>
                <w:rFonts w:hint="eastAsia" w:ascii="宋体" w:hAnsi="宋体" w:eastAsia="宋体" w:cs="宋体"/>
                <w:iCs/>
                <w:color w:val="auto"/>
                <w:sz w:val="21"/>
                <w:szCs w:val="21"/>
                <w:highlight w:val="none"/>
                <w:lang w:eastAsia="zh-CN"/>
              </w:rPr>
              <w:t>。</w:t>
            </w:r>
            <w:r>
              <w:rPr>
                <w:rFonts w:hint="eastAsia" w:ascii="宋体" w:hAnsi="宋体" w:eastAsia="宋体" w:cs="宋体"/>
                <w:iCs/>
                <w:color w:val="auto"/>
                <w:sz w:val="21"/>
                <w:szCs w:val="21"/>
                <w:highlight w:val="none"/>
                <w:lang w:val="en-US" w:eastAsia="zh-CN"/>
              </w:rPr>
              <w:t>中标人</w:t>
            </w:r>
            <w:r>
              <w:rPr>
                <w:rFonts w:hint="eastAsia" w:ascii="宋体" w:hAnsi="宋体" w:eastAsia="宋体" w:cs="宋体"/>
                <w:iCs/>
                <w:color w:val="auto"/>
                <w:sz w:val="21"/>
                <w:szCs w:val="21"/>
                <w:highlight w:val="none"/>
              </w:rPr>
              <w:t>收到招标人通知后必须无条件按照招标人的要求开始供货。</w:t>
            </w:r>
          </w:p>
          <w:p>
            <w:pPr>
              <w:widowControl/>
              <w:autoSpaceDE/>
              <w:autoSpaceDN/>
              <w:adjustRightInd/>
              <w:snapToGrid w:val="0"/>
              <w:jc w:val="center"/>
              <w:rPr>
                <w:rFonts w:hint="eastAsia" w:ascii="宋体" w:hAnsi="宋体" w:eastAsia="宋体" w:cs="宋体"/>
                <w:iCs/>
                <w:color w:val="auto"/>
                <w:sz w:val="21"/>
                <w:szCs w:val="21"/>
                <w:highlight w:val="none"/>
              </w:rPr>
            </w:pPr>
          </w:p>
        </w:tc>
        <w:tc>
          <w:tcPr>
            <w:tcW w:w="2269" w:type="dxa"/>
            <w:vAlign w:val="center"/>
          </w:tcPr>
          <w:p>
            <w:pPr>
              <w:widowControl/>
              <w:autoSpaceDE/>
              <w:autoSpaceDN/>
              <w:adjustRightInd/>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日常供货（非加急供货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为接到供货通知</w:t>
            </w:r>
            <w:r>
              <w:rPr>
                <w:rFonts w:hint="eastAsia" w:ascii="宋体" w:hAnsi="宋体" w:eastAsia="宋体" w:cs="宋体"/>
                <w:color w:val="auto"/>
                <w:sz w:val="21"/>
                <w:szCs w:val="21"/>
                <w:highlight w:val="none"/>
                <w:lang w:val="en-US" w:eastAsia="zh-CN"/>
              </w:rPr>
              <w:t>4日</w:t>
            </w:r>
            <w:r>
              <w:rPr>
                <w:rFonts w:hint="eastAsia" w:ascii="宋体" w:hAnsi="宋体" w:eastAsia="宋体" w:cs="宋体"/>
                <w:color w:val="auto"/>
                <w:sz w:val="21"/>
                <w:szCs w:val="21"/>
                <w:highlight w:val="none"/>
              </w:rPr>
              <w:t>内，加急供货为接到供货通知</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4小时内，具体交货时间以招标人供货通知为准。招标人无需因加急供货而额外支付任何费用。</w:t>
            </w:r>
          </w:p>
        </w:tc>
        <w:tc>
          <w:tcPr>
            <w:tcW w:w="1200" w:type="dxa"/>
            <w:vAlign w:val="center"/>
          </w:tcPr>
          <w:p>
            <w:pPr>
              <w:widowControl/>
              <w:autoSpaceDE/>
              <w:autoSpaceDN/>
              <w:adjustRightInd/>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东莞市污泥集中处理处置项目现场（广东省东莞市沙田镇立沙中路）</w:t>
            </w:r>
          </w:p>
        </w:tc>
      </w:tr>
    </w:tbl>
    <w:p>
      <w:pPr>
        <w:numPr>
          <w:ilvl w:val="-1"/>
          <w:numId w:val="0"/>
        </w:numPr>
        <w:autoSpaceDE w:val="0"/>
        <w:autoSpaceDN w:val="0"/>
        <w:adjustRightInd w:val="0"/>
        <w:snapToGrid w:val="0"/>
        <w:spacing w:line="360" w:lineRule="auto"/>
        <w:ind w:left="0" w:right="-34" w:firstLine="420" w:firstLineChars="20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pPr>
        <w:numPr>
          <w:ilvl w:val="0"/>
          <w:numId w:val="0"/>
        </w:numPr>
        <w:autoSpaceDE w:val="0"/>
        <w:autoSpaceDN w:val="0"/>
        <w:adjustRightInd w:val="0"/>
        <w:snapToGrid w:val="0"/>
        <w:spacing w:line="360" w:lineRule="auto"/>
        <w:ind w:left="0" w:right="-34" w:firstLine="0"/>
        <w:jc w:val="left"/>
        <w:rPr>
          <w:rFonts w:hint="eastAsia" w:ascii="宋体" w:hAnsi="宋体" w:eastAsia="宋体" w:cs="宋体"/>
          <w:b/>
          <w:color w:val="auto"/>
          <w:szCs w:val="21"/>
          <w:highlight w:val="none"/>
          <w:lang w:val="zh-CN"/>
        </w:rPr>
      </w:pPr>
      <w:r>
        <w:rPr>
          <w:rFonts w:hint="default" w:ascii="宋体" w:hAnsi="宋体" w:eastAsia="宋体" w:cs="宋体"/>
          <w:b/>
          <w:color w:val="auto"/>
          <w:kern w:val="2"/>
          <w:sz w:val="21"/>
          <w:szCs w:val="21"/>
          <w:highlight w:val="none"/>
          <w:lang w:val="zh-CN" w:eastAsia="zh-CN" w:bidi="ar-SA"/>
        </w:rPr>
        <w:t>2</w:t>
      </w:r>
      <w:r>
        <w:rPr>
          <w:rFonts w:hint="eastAsia" w:ascii="宋体" w:hAnsi="宋体" w:eastAsia="宋体" w:cs="宋体"/>
          <w:b/>
          <w:color w:val="auto"/>
          <w:kern w:val="2"/>
          <w:sz w:val="21"/>
          <w:szCs w:val="21"/>
          <w:highlight w:val="none"/>
          <w:lang w:val="en-US" w:eastAsia="zh-CN" w:bidi="ar-SA"/>
        </w:rPr>
        <w:t xml:space="preserve">   </w:t>
      </w:r>
      <w:r>
        <w:rPr>
          <w:rFonts w:hint="eastAsia" w:ascii="宋体" w:hAnsi="宋体" w:eastAsia="宋体" w:cs="宋体"/>
          <w:b/>
          <w:color w:val="auto"/>
          <w:szCs w:val="21"/>
          <w:highlight w:val="none"/>
          <w:lang w:val="zh-CN"/>
        </w:rPr>
        <w:t>合格投标人资格要求：</w:t>
      </w:r>
    </w:p>
    <w:p>
      <w:pPr>
        <w:pStyle w:val="16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60"/>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2.2 投标人必须是投标产品的制造商，或取得投标产品制造商就本次投标独家授权的经销商；</w:t>
      </w:r>
    </w:p>
    <w:p>
      <w:pPr>
        <w:pStyle w:val="160"/>
        <w:spacing w:line="360" w:lineRule="auto"/>
        <w:ind w:right="-29" w:rightChars="-14" w:firstLine="0" w:firstLineChars="0"/>
        <w:jc w:val="both"/>
        <w:rPr>
          <w:rFonts w:hint="eastAsia" w:hAnsi="宋体" w:eastAsia="宋体" w:cs="宋体"/>
          <w:b/>
          <w:color w:val="auto"/>
          <w:sz w:val="21"/>
          <w:szCs w:val="21"/>
          <w:highlight w:val="none"/>
          <w:lang w:val="zh-CN"/>
        </w:rPr>
      </w:pPr>
      <w:r>
        <w:rPr>
          <w:rFonts w:hint="eastAsia" w:hAnsi="宋体" w:eastAsia="宋体" w:cs="宋体"/>
          <w:b/>
          <w:color w:val="auto"/>
          <w:sz w:val="21"/>
          <w:szCs w:val="21"/>
          <w:highlight w:val="none"/>
          <w:lang w:val="zh-CN"/>
        </w:rPr>
        <w:t xml:space="preserve">2.3 </w:t>
      </w:r>
      <w:r>
        <w:rPr>
          <w:rFonts w:hint="eastAsia" w:hAnsi="宋体" w:eastAsia="宋体"/>
          <w:b/>
          <w:color w:val="auto"/>
          <w:sz w:val="21"/>
          <w:szCs w:val="21"/>
          <w:highlight w:val="none"/>
          <w:lang w:val="zh-CN"/>
        </w:rPr>
        <w:t>投标人</w:t>
      </w:r>
      <w:r>
        <w:rPr>
          <w:rFonts w:hint="eastAsia" w:hAnsi="宋体" w:eastAsia="宋体"/>
          <w:b/>
          <w:color w:val="auto"/>
          <w:sz w:val="21"/>
          <w:szCs w:val="21"/>
          <w:highlight w:val="none"/>
          <w:lang w:val="en-US" w:eastAsia="zh-CN"/>
        </w:rPr>
        <w:t>2023年1月1日</w:t>
      </w:r>
      <w:r>
        <w:rPr>
          <w:rFonts w:hint="eastAsia" w:hAnsi="宋体" w:eastAsia="宋体"/>
          <w:b/>
          <w:color w:val="auto"/>
          <w:sz w:val="21"/>
          <w:szCs w:val="21"/>
          <w:highlight w:val="none"/>
          <w:lang w:val="zh-CN"/>
        </w:rPr>
        <w:t>以来具有一</w:t>
      </w:r>
      <w:r>
        <w:rPr>
          <w:rFonts w:hint="default" w:hAnsi="宋体" w:eastAsia="宋体"/>
          <w:b/>
          <w:color w:val="auto"/>
          <w:sz w:val="21"/>
          <w:szCs w:val="21"/>
          <w:highlight w:val="none"/>
          <w:lang w:val="en-US"/>
        </w:rPr>
        <w:t>份</w:t>
      </w:r>
      <w:r>
        <w:rPr>
          <w:rFonts w:hint="eastAsia" w:hAnsi="宋体" w:eastAsia="宋体"/>
          <w:b/>
          <w:color w:val="auto"/>
          <w:sz w:val="21"/>
          <w:szCs w:val="21"/>
          <w:highlight w:val="none"/>
          <w:lang w:val="zh-CN"/>
        </w:rPr>
        <w:t>投标品牌的</w:t>
      </w:r>
      <w:r>
        <w:rPr>
          <w:rFonts w:hint="eastAsia" w:hAnsi="宋体" w:eastAsia="宋体"/>
          <w:b/>
          <w:color w:val="auto"/>
          <w:sz w:val="21"/>
          <w:szCs w:val="21"/>
          <w:highlight w:val="none"/>
          <w:lang w:val="en-US" w:eastAsia="zh-CN"/>
        </w:rPr>
        <w:t>小苏打</w:t>
      </w:r>
      <w:r>
        <w:rPr>
          <w:rFonts w:hint="eastAsia" w:hAnsi="宋体" w:eastAsia="宋体"/>
          <w:b/>
          <w:color w:val="auto"/>
          <w:sz w:val="21"/>
          <w:szCs w:val="21"/>
          <w:highlight w:val="none"/>
          <w:lang w:val="zh-CN"/>
        </w:rPr>
        <w:t>供货业绩（合同签订日期为</w:t>
      </w:r>
      <w:r>
        <w:rPr>
          <w:rFonts w:hint="eastAsia" w:hAnsi="宋体" w:eastAsia="宋体"/>
          <w:b/>
          <w:color w:val="auto"/>
          <w:sz w:val="21"/>
          <w:szCs w:val="21"/>
          <w:highlight w:val="none"/>
          <w:lang w:val="en-US" w:eastAsia="zh-CN"/>
        </w:rPr>
        <w:t>2023年1月1日</w:t>
      </w:r>
      <w:r>
        <w:rPr>
          <w:rFonts w:hint="eastAsia" w:hAnsi="宋体" w:eastAsia="宋体"/>
          <w:b/>
          <w:color w:val="auto"/>
          <w:sz w:val="21"/>
          <w:szCs w:val="21"/>
          <w:highlight w:val="none"/>
          <w:lang w:val="zh-CN"/>
        </w:rPr>
        <w:t>或以后）</w:t>
      </w:r>
      <w:r>
        <w:rPr>
          <w:rFonts w:hint="eastAsia" w:hAnsi="宋体" w:eastAsia="宋体" w:cs="宋体"/>
          <w:b/>
          <w:color w:val="auto"/>
          <w:sz w:val="21"/>
          <w:szCs w:val="21"/>
          <w:highlight w:val="none"/>
          <w:lang w:val="zh-CN"/>
        </w:rPr>
        <w:t>；</w:t>
      </w:r>
    </w:p>
    <w:p>
      <w:pPr>
        <w:pStyle w:val="160"/>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bookmarkStart w:id="16" w:name="_Toc25819"/>
      <w:r>
        <w:rPr>
          <w:rFonts w:hint="eastAsia" w:ascii="宋体" w:hAnsi="宋体" w:eastAsia="宋体" w:cs="宋体"/>
          <w:b/>
          <w:color w:val="auto"/>
          <w:sz w:val="21"/>
          <w:szCs w:val="21"/>
          <w:highlight w:val="none"/>
          <w:lang w:val="zh-CN"/>
        </w:rPr>
        <w:t>本项目不接受联合体投标</w:t>
      </w:r>
      <w:bookmarkEnd w:id="16"/>
      <w:r>
        <w:rPr>
          <w:rFonts w:hint="eastAsia" w:hAnsi="宋体" w:eastAsia="宋体" w:cs="宋体"/>
          <w:b/>
          <w:color w:val="auto"/>
          <w:sz w:val="21"/>
          <w:szCs w:val="21"/>
          <w:highlight w:val="none"/>
          <w:lang w:val="zh-CN"/>
        </w:rPr>
        <w:t>。</w:t>
      </w:r>
    </w:p>
    <w:p>
      <w:pPr>
        <w:pStyle w:val="160"/>
        <w:spacing w:line="360" w:lineRule="auto"/>
        <w:ind w:right="-29" w:rightChars="-14" w:firstLine="0" w:firstLineChars="0"/>
        <w:jc w:val="both"/>
        <w:rPr>
          <w:rFonts w:hint="eastAsia" w:hAnsi="宋体" w:eastAsia="宋体" w:cs="宋体"/>
          <w:b/>
          <w:color w:val="auto"/>
          <w:sz w:val="21"/>
          <w:szCs w:val="21"/>
          <w:highlight w:val="none"/>
          <w:lang w:val="en-US" w:eastAsia="zh-CN"/>
        </w:rPr>
      </w:pPr>
    </w:p>
    <w:p>
      <w:pPr>
        <w:pStyle w:val="160"/>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hAnsi="宋体" w:eastAsia="宋体" w:cs="宋体"/>
          <w:b/>
          <w:color w:val="auto"/>
          <w:sz w:val="21"/>
          <w:szCs w:val="21"/>
          <w:highlight w:val="none"/>
          <w:lang w:val="en-US" w:eastAsia="zh-CN"/>
        </w:rPr>
        <w:t xml:space="preserve">3   </w:t>
      </w:r>
      <w:r>
        <w:rPr>
          <w:rFonts w:hint="eastAsia" w:ascii="宋体" w:hAnsi="宋体" w:eastAsia="宋体" w:cs="宋体"/>
          <w:b/>
          <w:color w:val="auto"/>
          <w:sz w:val="21"/>
          <w:szCs w:val="21"/>
          <w:highlight w:val="none"/>
          <w:lang w:val="zh-CN"/>
        </w:rPr>
        <w:t>其他要求：</w:t>
      </w:r>
    </w:p>
    <w:p>
      <w:pPr>
        <w:pStyle w:val="160"/>
        <w:keepNext w:val="0"/>
        <w:keepLines w:val="0"/>
        <w:pageBreakBefore w:val="0"/>
        <w:kinsoku/>
        <w:overflowPunct/>
        <w:topLinePunct w:val="0"/>
        <w:autoSpaceDE/>
        <w:autoSpaceDN/>
        <w:bidi w:val="0"/>
        <w:spacing w:line="360" w:lineRule="auto"/>
        <w:ind w:left="0" w:leftChars="0" w:firstLine="0" w:firstLineChars="0"/>
        <w:jc w:val="both"/>
        <w:outlineLvl w:val="9"/>
        <w:rPr>
          <w:rFonts w:hint="eastAsia" w:ascii="宋体" w:hAnsi="宋体" w:eastAsia="宋体" w:cs="宋体"/>
          <w:b/>
          <w:color w:val="auto"/>
          <w:sz w:val="21"/>
          <w:szCs w:val="21"/>
          <w:highlight w:val="none"/>
          <w:lang w:val="zh-CN"/>
        </w:rPr>
      </w:pPr>
      <w:bookmarkStart w:id="17" w:name="_Toc19234"/>
      <w:bookmarkStart w:id="18" w:name="_Toc26562"/>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.1</w:t>
      </w:r>
      <w:r>
        <w:rPr>
          <w:rFonts w:hint="eastAsia"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投标人应在东莞市公共资源交易企业库建档；</w:t>
      </w:r>
      <w:bookmarkEnd w:id="17"/>
      <w:bookmarkEnd w:id="18"/>
    </w:p>
    <w:p>
      <w:pPr>
        <w:pStyle w:val="160"/>
        <w:keepNext w:val="0"/>
        <w:keepLines w:val="0"/>
        <w:pageBreakBefore w:val="0"/>
        <w:kinsoku/>
        <w:overflowPunct/>
        <w:topLinePunct w:val="0"/>
        <w:autoSpaceDE/>
        <w:autoSpaceDN/>
        <w:bidi w:val="0"/>
        <w:spacing w:line="360" w:lineRule="auto"/>
        <w:ind w:left="422" w:leftChars="0" w:hanging="422" w:hangingChars="200"/>
        <w:jc w:val="both"/>
        <w:outlineLvl w:val="9"/>
        <w:rPr>
          <w:rFonts w:hint="eastAsia" w:ascii="宋体" w:hAnsi="宋体" w:eastAsia="宋体" w:cs="宋体"/>
          <w:b/>
          <w:color w:val="auto"/>
          <w:sz w:val="21"/>
          <w:szCs w:val="21"/>
          <w:highlight w:val="none"/>
          <w:lang w:val="zh-CN"/>
        </w:rPr>
      </w:pP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w:t>
      </w:r>
      <w:r>
        <w:rPr>
          <w:rFonts w:hint="eastAsia" w:hAnsi="宋体" w:eastAsia="宋体" w:cs="宋体"/>
          <w:b/>
          <w:color w:val="auto"/>
          <w:sz w:val="21"/>
          <w:szCs w:val="21"/>
          <w:highlight w:val="none"/>
          <w:lang w:val="en-US" w:eastAsia="zh-CN"/>
        </w:rPr>
        <w:t xml:space="preserve">2 </w:t>
      </w:r>
      <w:r>
        <w:rPr>
          <w:rFonts w:hint="eastAsia" w:ascii="宋体" w:hAnsi="宋体" w:eastAsia="宋体" w:cs="宋体"/>
          <w:b/>
          <w:color w:val="auto"/>
          <w:sz w:val="21"/>
          <w:szCs w:val="21"/>
          <w:highlight w:val="none"/>
          <w:lang w:val="zh-CN"/>
        </w:rPr>
        <w:t>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pPr>
        <w:autoSpaceDE w:val="0"/>
        <w:autoSpaceDN w:val="0"/>
        <w:adjustRightInd w:val="0"/>
        <w:spacing w:line="360" w:lineRule="auto"/>
        <w:ind w:right="-29" w:rightChars="-14" w:firstLine="0" w:firstLineChars="0"/>
        <w:outlineLvl w:val="9"/>
        <w:rPr>
          <w:rFonts w:hint="eastAsia" w:ascii="宋体" w:hAnsi="宋体" w:eastAsia="宋体" w:cs="宋体"/>
          <w:color w:val="auto"/>
          <w:szCs w:val="21"/>
          <w:highlight w:val="none"/>
          <w:lang w:val="zh-CN"/>
        </w:rPr>
      </w:pPr>
    </w:p>
    <w:p>
      <w:pPr>
        <w:numPr>
          <w:ilvl w:val="0"/>
          <w:numId w:val="0"/>
        </w:numPr>
        <w:autoSpaceDE/>
        <w:autoSpaceDN/>
        <w:adjustRightInd w:val="0"/>
        <w:snapToGrid w:val="0"/>
        <w:spacing w:line="360" w:lineRule="auto"/>
        <w:ind w:left="420" w:right="0" w:hanging="420" w:hangingChars="2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lang w:val="zh-CN"/>
        </w:rPr>
        <w:t>获取招标文件的方式：凡有意参加投标者，可于</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en-US" w:eastAsia="zh-CN"/>
        </w:rPr>
        <w:t xml:space="preserve"> 3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en-US" w:eastAsia="zh-CN"/>
        </w:rPr>
        <w:t xml:space="preserve"> 27 </w:t>
      </w:r>
      <w:r>
        <w:rPr>
          <w:rFonts w:hint="eastAsia" w:ascii="宋体" w:hAnsi="宋体" w:eastAsia="宋体" w:cs="宋体"/>
          <w:color w:val="auto"/>
          <w:szCs w:val="21"/>
          <w:highlight w:val="none"/>
          <w:lang w:val="zh-CN"/>
        </w:rPr>
        <w:t>日至投标截止时间前登录交易系统下载本次招标项目的招标文件等资料。</w:t>
      </w:r>
    </w:p>
    <w:p>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pPr>
        <w:numPr>
          <w:ilvl w:val="0"/>
          <w:numId w:val="0"/>
        </w:numPr>
        <w:autoSpaceDE/>
        <w:autoSpaceDN/>
        <w:adjustRightInd w:val="0"/>
        <w:snapToGrid w:val="0"/>
        <w:spacing w:line="360" w:lineRule="auto"/>
        <w:ind w:left="420" w:right="0" w:hanging="420" w:hangingChars="2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5   </w:t>
      </w: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pPr>
        <w:pStyle w:val="46"/>
        <w:outlineLvl w:val="9"/>
        <w:rPr>
          <w:rFonts w:hint="eastAsia"/>
          <w:color w:val="auto"/>
          <w:highlight w:val="none"/>
          <w:lang w:val="zh-CN"/>
        </w:rPr>
      </w:pPr>
    </w:p>
    <w:p>
      <w:pPr>
        <w:keepNext w:val="0"/>
        <w:keepLines w:val="0"/>
        <w:pageBreakBefore w:val="0"/>
        <w:numPr>
          <w:ilvl w:val="0"/>
          <w:numId w:val="0"/>
        </w:numPr>
        <w:kinsoku/>
        <w:overflowPunct/>
        <w:topLinePunct w:val="0"/>
        <w:autoSpaceDE/>
        <w:autoSpaceDN/>
        <w:bidi w:val="0"/>
        <w:adjustRightInd w:val="0"/>
        <w:snapToGrid w:val="0"/>
        <w:spacing w:line="360" w:lineRule="auto"/>
        <w:ind w:left="420" w:right="0" w:hanging="420" w:hangingChars="200"/>
        <w:jc w:val="left"/>
        <w:outlineLvl w:val="9"/>
        <w:rPr>
          <w:rFonts w:hint="eastAsia" w:ascii="宋体" w:hAnsi="宋体" w:eastAsia="宋体" w:cs="宋体"/>
          <w:color w:val="auto"/>
          <w:szCs w:val="21"/>
          <w:highlight w:val="none"/>
          <w:lang w:val="zh-CN"/>
        </w:rPr>
      </w:pPr>
      <w:bookmarkStart w:id="19" w:name="_Toc15579"/>
      <w:bookmarkStart w:id="20" w:name="_Toc10505"/>
      <w:r>
        <w:rPr>
          <w:rFonts w:hint="eastAsia" w:ascii="宋体" w:hAnsi="宋体" w:eastAsia="宋体" w:cs="宋体"/>
          <w:color w:val="auto"/>
          <w:szCs w:val="21"/>
          <w:highlight w:val="none"/>
          <w:lang w:val="en-US" w:eastAsia="zh-CN"/>
        </w:rPr>
        <w:t xml:space="preserve">6   </w:t>
      </w:r>
      <w:r>
        <w:rPr>
          <w:rFonts w:hint="eastAsia" w:ascii="宋体" w:hAnsi="宋体" w:eastAsia="宋体" w:cs="宋体"/>
          <w:color w:val="auto"/>
          <w:szCs w:val="21"/>
          <w:highlight w:val="none"/>
          <w:lang w:val="zh-CN"/>
        </w:rPr>
        <w:t>投标会时间、地点及投标文件提交截止时间：</w:t>
      </w:r>
      <w:bookmarkEnd w:id="19"/>
      <w:bookmarkEnd w:id="20"/>
    </w:p>
    <w:p>
      <w:pPr>
        <w:pStyle w:val="160"/>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 xml:space="preserve">.1 </w:t>
      </w:r>
      <w:r>
        <w:rPr>
          <w:rFonts w:hint="eastAsia" w:ascii="宋体"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 xml:space="preserve"> 4 </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 xml:space="preserve"> 20 </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 xml:space="preserve"> 9 </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 xml:space="preserve"> 30 </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lang w:val="zh-CN"/>
        </w:rPr>
        <w:t>，投标会召开地点：东莞市南城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 xml:space="preserve"> 7 </w:t>
      </w:r>
      <w:r>
        <w:rPr>
          <w:rFonts w:hint="eastAsia" w:ascii="宋体" w:hAnsi="宋体" w:eastAsia="宋体" w:cs="宋体"/>
          <w:bCs/>
          <w:color w:val="auto"/>
          <w:sz w:val="21"/>
          <w:szCs w:val="21"/>
          <w:highlight w:val="none"/>
          <w:lang w:val="zh-CN"/>
        </w:rPr>
        <w:t>）；</w:t>
      </w:r>
    </w:p>
    <w:p>
      <w:pPr>
        <w:pStyle w:val="160"/>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 xml:space="preserve"> 4 </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 xml:space="preserve"> 20 </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 xml:space="preserve"> 9 </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 xml:space="preserve"> 30 </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u w:val="none"/>
          <w:lang w:val="zh-CN"/>
        </w:rPr>
        <w:t>，</w:t>
      </w:r>
      <w:r>
        <w:rPr>
          <w:rFonts w:hint="eastAsia" w:ascii="宋体" w:hAnsi="宋体" w:eastAsia="宋体" w:cs="宋体"/>
          <w:bCs/>
          <w:color w:val="auto"/>
          <w:sz w:val="21"/>
          <w:szCs w:val="21"/>
          <w:highlight w:val="none"/>
          <w:lang w:val="zh-CN"/>
        </w:rPr>
        <w:t>地点：通过东莞市公共资源交易E网通管理平台建设工程交易系统网上提交；</w:t>
      </w:r>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pPr>
        <w:keepNext w:val="0"/>
        <w:keepLines w:val="0"/>
        <w:pageBreakBefore w:val="0"/>
        <w:numPr>
          <w:ilvl w:val="0"/>
          <w:numId w:val="0"/>
        </w:numPr>
        <w:kinsoku/>
        <w:overflowPunct/>
        <w:topLinePunct w:val="0"/>
        <w:bidi w:val="0"/>
        <w:snapToGrid w:val="0"/>
        <w:spacing w:line="360" w:lineRule="auto"/>
        <w:ind w:left="0" w:right="-34" w:firstLine="0"/>
        <w:outlineLvl w:val="9"/>
        <w:rPr>
          <w:rFonts w:hint="eastAsia" w:ascii="宋体" w:hAnsi="宋体" w:eastAsia="宋体" w:cs="宋体"/>
          <w:bCs/>
          <w:color w:val="auto"/>
          <w:sz w:val="21"/>
          <w:szCs w:val="21"/>
          <w:highlight w:val="none"/>
          <w:lang w:val="zh-CN"/>
        </w:rPr>
      </w:pPr>
      <w:bookmarkStart w:id="21" w:name="_Toc19461"/>
      <w:bookmarkStart w:id="22" w:name="_Toc8363"/>
      <w:r>
        <w:rPr>
          <w:rFonts w:hint="eastAsia" w:ascii="宋体" w:hAnsi="宋体" w:eastAsia="宋体" w:cs="宋体"/>
          <w:bCs/>
          <w:color w:val="auto"/>
          <w:sz w:val="21"/>
          <w:szCs w:val="21"/>
          <w:highlight w:val="none"/>
          <w:lang w:val="en-US" w:eastAsia="zh-CN"/>
        </w:rPr>
        <w:t xml:space="preserve">7   </w:t>
      </w:r>
      <w:r>
        <w:rPr>
          <w:rFonts w:hint="eastAsia" w:ascii="宋体" w:hAnsi="宋体" w:eastAsia="宋体" w:cs="宋体"/>
          <w:bCs/>
          <w:color w:val="auto"/>
          <w:sz w:val="21"/>
          <w:szCs w:val="21"/>
          <w:highlight w:val="none"/>
          <w:lang w:val="zh-CN"/>
        </w:rPr>
        <w:t>开标时间和地点：</w:t>
      </w:r>
      <w:bookmarkEnd w:id="21"/>
      <w:bookmarkEnd w:id="22"/>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3" w:name="_Toc15059"/>
      <w:bookmarkStart w:id="24" w:name="_Toc8817"/>
      <w:r>
        <w:rPr>
          <w:rFonts w:hint="eastAsia"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CN" w:eastAsia="zh-CN"/>
        </w:rPr>
        <w:t xml:space="preserve">.1 </w:t>
      </w:r>
      <w:r>
        <w:rPr>
          <w:rFonts w:hint="eastAsia" w:ascii="宋体" w:hAnsi="宋体" w:eastAsia="宋体" w:cs="宋体"/>
          <w:bCs/>
          <w:color w:val="auto"/>
          <w:sz w:val="21"/>
          <w:szCs w:val="21"/>
          <w:highlight w:val="none"/>
          <w:lang w:val="zh-CN"/>
        </w:rPr>
        <w:t>开标时间：同投标截止时间；</w:t>
      </w:r>
      <w:bookmarkEnd w:id="23"/>
      <w:bookmarkEnd w:id="24"/>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CN" w:eastAsia="zh-CN"/>
        </w:rPr>
        <w:t xml:space="preserve">.2 </w:t>
      </w:r>
      <w:r>
        <w:rPr>
          <w:rFonts w:hint="eastAsia" w:ascii="宋体" w:hAnsi="宋体" w:eastAsia="宋体" w:cs="宋体"/>
          <w:bCs/>
          <w:color w:val="auto"/>
          <w:sz w:val="21"/>
          <w:szCs w:val="21"/>
          <w:highlight w:val="none"/>
          <w:lang w:val="zh-CN"/>
        </w:rPr>
        <w:t>开标地点：东莞市南城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 xml:space="preserve"> 7 </w:t>
      </w:r>
      <w:r>
        <w:rPr>
          <w:rFonts w:hint="eastAsia" w:ascii="宋体" w:hAnsi="宋体" w:eastAsia="宋体" w:cs="宋体"/>
          <w:bCs/>
          <w:color w:val="auto"/>
          <w:sz w:val="21"/>
          <w:szCs w:val="21"/>
          <w:highlight w:val="none"/>
          <w:lang w:val="zh-CN"/>
        </w:rPr>
        <w:t>）。</w:t>
      </w:r>
    </w:p>
    <w:p>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ind w:left="363" w:right="-34" w:hanging="363"/>
        <w:jc w:val="left"/>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8   </w:t>
      </w:r>
      <w:r>
        <w:rPr>
          <w:rFonts w:hint="eastAsia" w:ascii="宋体" w:hAnsi="宋体" w:eastAsia="宋体" w:cs="宋体"/>
          <w:bCs/>
          <w:color w:val="auto"/>
          <w:szCs w:val="21"/>
          <w:highlight w:val="none"/>
        </w:rPr>
        <w:t>本项目相关公告在以下媒介发布：全国公共资源交易平台（广东省·东莞市）（https://ygp.gdzwfw.gov.cn/#/441900/index）</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bCs/>
          <w:color w:val="auto"/>
          <w:szCs w:val="21"/>
          <w:highlight w:val="none"/>
        </w:rPr>
        <w:t>（www.</w:t>
      </w:r>
      <w:r>
        <w:rPr>
          <w:rFonts w:hint="eastAsia" w:ascii="宋体" w:hAnsi="宋体" w:eastAsia="宋体" w:cs="宋体"/>
          <w:bCs/>
          <w:color w:val="auto"/>
          <w:szCs w:val="21"/>
          <w:highlight w:val="none"/>
          <w:lang w:eastAsia="zh-CN"/>
        </w:rPr>
        <w:t>dgweg</w:t>
      </w:r>
      <w:r>
        <w:rPr>
          <w:rFonts w:hint="eastAsia" w:ascii="宋体" w:hAnsi="宋体" w:eastAsia="宋体" w:cs="宋体"/>
          <w:bCs/>
          <w:color w:val="auto"/>
          <w:szCs w:val="21"/>
          <w:highlight w:val="none"/>
        </w:rPr>
        <w: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t>
      </w:r>
      <w:r>
        <w:rPr>
          <w:rFonts w:hint="eastAsia" w:ascii="宋体" w:hAnsi="宋体" w:eastAsia="宋体" w:cs="宋体"/>
          <w:bCs/>
          <w:color w:val="auto"/>
          <w:szCs w:val="21"/>
          <w:highlight w:val="none"/>
          <w:u w:val="none"/>
          <w:lang w:eastAsia="zh-CN"/>
        </w:rPr>
        <w:t>http://www.gxtzfz.cn/</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val="zh-CN"/>
        </w:rPr>
        <w:t>。</w:t>
      </w:r>
    </w:p>
    <w:p>
      <w:pPr>
        <w:pStyle w:val="46"/>
        <w:outlineLvl w:val="9"/>
        <w:rPr>
          <w:rFonts w:hint="eastAsia" w:ascii="宋体" w:hAnsi="宋体" w:eastAsia="宋体" w:cs="宋体"/>
          <w:color w:val="auto"/>
          <w:highlight w:val="none"/>
        </w:rPr>
      </w:pPr>
    </w:p>
    <w:p>
      <w:pPr>
        <w:keepNext w:val="0"/>
        <w:keepLines w:val="0"/>
        <w:pageBreakBefore w:val="0"/>
        <w:numPr>
          <w:ilvl w:val="0"/>
          <w:numId w:val="0"/>
        </w:numPr>
        <w:kinsoku/>
        <w:overflowPunct/>
        <w:topLinePunct w:val="0"/>
        <w:autoSpaceDE w:val="0"/>
        <w:autoSpaceDN w:val="0"/>
        <w:bidi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bookmarkStart w:id="25" w:name="_Toc3809"/>
      <w:bookmarkStart w:id="26" w:name="_Toc16545"/>
      <w:r>
        <w:rPr>
          <w:rFonts w:hint="eastAsia" w:ascii="宋体" w:hAnsi="宋体" w:eastAsia="宋体" w:cs="宋体"/>
          <w:color w:val="auto"/>
          <w:szCs w:val="21"/>
          <w:highlight w:val="none"/>
          <w:lang w:val="en-US" w:eastAsia="zh-CN"/>
        </w:rPr>
        <w:t xml:space="preserve">9   </w:t>
      </w:r>
      <w:r>
        <w:rPr>
          <w:rFonts w:hint="eastAsia" w:ascii="宋体" w:hAnsi="宋体" w:eastAsia="宋体" w:cs="宋体"/>
          <w:color w:val="auto"/>
          <w:szCs w:val="21"/>
          <w:highlight w:val="none"/>
        </w:rPr>
        <w:t>投标保证金</w:t>
      </w:r>
      <w:bookmarkEnd w:id="25"/>
      <w:bookmarkEnd w:id="26"/>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.1 本次招标投标人须提交投标保证金金额：</w:t>
      </w:r>
      <w:r>
        <w:rPr>
          <w:rFonts w:hint="eastAsia" w:hAnsi="宋体" w:eastAsia="宋体" w:cs="宋体"/>
          <w:bCs/>
          <w:color w:val="auto"/>
          <w:sz w:val="21"/>
          <w:szCs w:val="21"/>
          <w:highlight w:val="none"/>
          <w:lang w:val="en-US" w:eastAsia="zh-CN"/>
        </w:rPr>
        <w:t>210,000.00</w:t>
      </w:r>
      <w:r>
        <w:rPr>
          <w:rFonts w:hint="eastAsia" w:ascii="宋体" w:hAnsi="宋体" w:eastAsia="宋体" w:cs="宋体"/>
          <w:bCs/>
          <w:color w:val="auto"/>
          <w:sz w:val="21"/>
          <w:szCs w:val="21"/>
          <w:highlight w:val="none"/>
          <w:lang w:val="zh-CN"/>
        </w:rPr>
        <w:t>元。</w:t>
      </w:r>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.2</w:t>
      </w:r>
      <w:r>
        <w:rPr>
          <w:rFonts w:hint="eastAsia"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zh-CN"/>
        </w:rPr>
        <w:t>投标保证金形式：单项投标保证金；银行电子保函；保险电子保单；</w:t>
      </w:r>
    </w:p>
    <w:p>
      <w:pPr>
        <w:pStyle w:val="160"/>
        <w:keepNext w:val="0"/>
        <w:keepLines w:val="0"/>
        <w:pageBreakBefore w:val="0"/>
        <w:kinsoku/>
        <w:overflowPunct/>
        <w:topLinePunct w:val="0"/>
        <w:bidi w:val="0"/>
        <w:spacing w:line="360" w:lineRule="auto"/>
        <w:ind w:left="420" w:leftChars="200" w:firstLine="0" w:firstLineChars="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其它：</w:t>
      </w:r>
      <w:r>
        <w:rPr>
          <w:rFonts w:hint="eastAsia" w:ascii="宋体" w:hAnsi="宋体" w:eastAsia="宋体" w:cs="宋体"/>
          <w:bCs/>
          <w:color w:val="auto"/>
          <w:sz w:val="21"/>
          <w:szCs w:val="21"/>
          <w:highlight w:val="none"/>
          <w:u w:val="single"/>
          <w:lang w:val="zh-CN"/>
        </w:rPr>
        <w:t xml:space="preserve">      /       </w:t>
      </w:r>
      <w:r>
        <w:rPr>
          <w:rFonts w:hint="eastAsia" w:ascii="宋体" w:hAnsi="宋体" w:eastAsia="宋体" w:cs="宋体"/>
          <w:bCs/>
          <w:color w:val="auto"/>
          <w:sz w:val="21"/>
          <w:szCs w:val="21"/>
          <w:highlight w:val="none"/>
          <w:lang w:val="zh-CN"/>
        </w:rPr>
        <w:t>。</w:t>
      </w:r>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7" w:name="_Toc31252"/>
      <w:bookmarkStart w:id="28" w:name="_Toc14886"/>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zh-CN"/>
        </w:rPr>
        <w:t>投标保证金形式注意事项：</w:t>
      </w:r>
      <w:bookmarkEnd w:id="27"/>
      <w:bookmarkEnd w:id="28"/>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9" w:name="_Toc21912"/>
      <w:bookmarkStart w:id="30" w:name="_Toc26630"/>
      <w:r>
        <w:rPr>
          <w:rFonts w:hint="eastAsia" w:ascii="宋体" w:hAnsi="宋体" w:eastAsia="宋体" w:cs="宋体"/>
          <w:bCs/>
          <w:color w:val="auto"/>
          <w:sz w:val="21"/>
          <w:szCs w:val="21"/>
          <w:highlight w:val="none"/>
          <w:lang w:val="zh-CN"/>
        </w:rPr>
        <w:t>（1）投标保证金到账时间应为投标保证金的关联时间。</w:t>
      </w:r>
      <w:bookmarkEnd w:id="29"/>
      <w:bookmarkEnd w:id="30"/>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（2）投标保证金数据超过投标截止时间后到达交易系统的，无法关联。</w:t>
      </w:r>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31" w:name="_Toc2829"/>
      <w:bookmarkStart w:id="32" w:name="_Toc12832"/>
      <w:r>
        <w:rPr>
          <w:rFonts w:hint="eastAsia" w:ascii="宋体" w:hAnsi="宋体" w:eastAsia="宋体" w:cs="宋体"/>
          <w:bCs/>
          <w:color w:val="auto"/>
          <w:sz w:val="21"/>
          <w:szCs w:val="21"/>
          <w:highlight w:val="none"/>
          <w:lang w:val="zh-CN"/>
        </w:rPr>
        <w:t>（3）投标人应提前办理投标保证金手续，自行承担数据延误风险。</w:t>
      </w:r>
      <w:bookmarkEnd w:id="31"/>
      <w:bookmarkEnd w:id="32"/>
    </w:p>
    <w:p>
      <w:pPr>
        <w:numPr>
          <w:ilvl w:val="-1"/>
          <w:numId w:val="0"/>
        </w:numPr>
        <w:autoSpaceDE w:val="0"/>
        <w:autoSpaceDN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p>
    <w:p>
      <w:pPr>
        <w:numPr>
          <w:ilvl w:val="0"/>
          <w:numId w:val="0"/>
        </w:numPr>
        <w:autoSpaceDE w:val="0"/>
        <w:autoSpaceDN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 xml:space="preserve">10  </w:t>
      </w:r>
      <w:r>
        <w:rPr>
          <w:rFonts w:hint="eastAsia" w:ascii="宋体" w:hAnsi="宋体" w:eastAsia="宋体" w:cs="宋体"/>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招标人：东莞市尚源环能科技有限公司</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Times New Roman"/>
          <w:color w:val="auto"/>
          <w:kern w:val="0"/>
          <w:szCs w:val="21"/>
          <w:highlight w:val="none"/>
        </w:rPr>
        <w:t>广东省东莞市南城街道滨河路100号</w:t>
      </w:r>
      <w:r>
        <w:rPr>
          <w:rFonts w:hint="eastAsia" w:ascii="宋体" w:hAnsi="宋体" w:eastAsia="宋体" w:cs="Times New Roman"/>
          <w:color w:val="auto"/>
          <w:kern w:val="0"/>
          <w:szCs w:val="21"/>
          <w:highlight w:val="none"/>
          <w:lang w:val="en-US" w:eastAsia="zh-CN"/>
        </w:rPr>
        <w:t>二</w:t>
      </w:r>
      <w:r>
        <w:rPr>
          <w:rFonts w:hint="eastAsia" w:ascii="宋体" w:hAnsi="宋体" w:eastAsia="宋体" w:cs="Times New Roman"/>
          <w:color w:val="auto"/>
          <w:kern w:val="0"/>
          <w:szCs w:val="21"/>
          <w:highlight w:val="none"/>
        </w:rPr>
        <w:t>期1号楼101室</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莫佩欣</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Times New Roman"/>
          <w:color w:val="auto"/>
          <w:kern w:val="0"/>
          <w:szCs w:val="21"/>
          <w:highlight w:val="none"/>
        </w:rPr>
        <w:t>0769-23286160</w:t>
      </w:r>
    </w:p>
    <w:p>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pPr>
        <w:numPr>
          <w:ilvl w:val="0"/>
          <w:numId w:val="0"/>
        </w:numPr>
        <w:autoSpaceDE w:val="0"/>
        <w:autoSpaceDN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 xml:space="preserve">1  </w:t>
      </w:r>
      <w:r>
        <w:rPr>
          <w:rFonts w:hint="eastAsia" w:ascii="宋体" w:hAnsi="宋体" w:eastAsia="宋体" w:cs="宋体"/>
          <w:color w:val="auto"/>
          <w:szCs w:val="21"/>
          <w:highlight w:val="none"/>
        </w:rPr>
        <w:t>招标代理机构</w:t>
      </w:r>
      <w:r>
        <w:rPr>
          <w:rFonts w:hint="eastAsia" w:ascii="宋体" w:hAnsi="宋体" w:eastAsia="宋体" w:cs="Times New Roman"/>
          <w:color w:val="auto"/>
          <w:szCs w:val="21"/>
          <w:highlight w:val="none"/>
        </w:rPr>
        <w:t>及异议受理</w:t>
      </w:r>
      <w:r>
        <w:rPr>
          <w:rFonts w:hint="eastAsia" w:ascii="宋体" w:hAnsi="宋体" w:eastAsia="宋体" w:cs="宋体"/>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33" w:name="_Toc31764_WPSOffice_Level1"/>
      <w:bookmarkStart w:id="34" w:name="_Toc486167661"/>
      <w:bookmarkStart w:id="35" w:name="_Toc450662847"/>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 w:val="21"/>
          <w:szCs w:val="21"/>
          <w:highlight w:val="none"/>
          <w:lang w:val="en-US" w:eastAsia="zh-CN" w:bidi="ar-SA"/>
        </w:rPr>
        <w:t>广西同泽工程项目管理股份有限公司</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  址：</w:t>
      </w:r>
      <w:r>
        <w:rPr>
          <w:rFonts w:hint="eastAsia" w:ascii="宋体" w:hAnsi="宋体" w:eastAsia="宋体" w:cs="Times New Roman"/>
          <w:color w:val="auto"/>
          <w:szCs w:val="21"/>
          <w:highlight w:val="none"/>
          <w:u w:val="none"/>
          <w:lang w:val="en-US" w:eastAsia="zh-CN"/>
        </w:rPr>
        <w:t>东莞市南城区塘贝北路福特大厦A区811</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张晓彬</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0769-21688191</w:t>
      </w: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36" w:name="_Toc15359"/>
      <w:bookmarkStart w:id="37" w:name="_Toc2720"/>
      <w:bookmarkStart w:id="38" w:name="_Toc15111"/>
      <w:bookmarkStart w:id="39" w:name="_Toc18212"/>
      <w:bookmarkStart w:id="40" w:name="_Toc2476"/>
      <w:bookmarkStart w:id="41" w:name="_Toc17076"/>
      <w:bookmarkStart w:id="42" w:name="_Toc1425083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3"/>
      <w:bookmarkEnd w:id="34"/>
      <w:bookmarkEnd w:id="35"/>
      <w:bookmarkEnd w:id="36"/>
      <w:bookmarkEnd w:id="37"/>
      <w:bookmarkEnd w:id="38"/>
      <w:bookmarkEnd w:id="39"/>
      <w:bookmarkEnd w:id="40"/>
      <w:bookmarkEnd w:id="41"/>
      <w:bookmarkEnd w:id="42"/>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43" w:name="_Toc16416"/>
      <w:bookmarkStart w:id="44" w:name="_Toc450662848"/>
      <w:bookmarkStart w:id="45" w:name="_Toc23552"/>
      <w:bookmarkStart w:id="46" w:name="_Toc9555"/>
      <w:bookmarkStart w:id="47" w:name="_Toc142508312"/>
      <w:bookmarkStart w:id="48" w:name="_Toc14832"/>
      <w:bookmarkStart w:id="49" w:name="_Toc24479"/>
      <w:bookmarkStart w:id="50" w:name="_Toc31939"/>
      <w:bookmarkStart w:id="51" w:name="_Toc486167662"/>
      <w:bookmarkStart w:id="52" w:name="_Toc140596871"/>
      <w:bookmarkStart w:id="53" w:name="_Toc15366_WPSOffice_Level2"/>
      <w:r>
        <w:rPr>
          <w:rFonts w:hint="eastAsia" w:ascii="宋体" w:hAnsi="宋体" w:eastAsia="宋体" w:cs="宋体"/>
          <w:b/>
          <w:bCs/>
          <w:color w:val="auto"/>
          <w:kern w:val="44"/>
          <w:szCs w:val="21"/>
          <w:highlight w:val="none"/>
          <w:lang w:val="zh-CN"/>
        </w:rPr>
        <w:t>一、总则</w:t>
      </w:r>
      <w:bookmarkEnd w:id="43"/>
      <w:bookmarkEnd w:id="44"/>
      <w:bookmarkEnd w:id="45"/>
      <w:bookmarkEnd w:id="46"/>
      <w:bookmarkEnd w:id="47"/>
      <w:bookmarkEnd w:id="48"/>
      <w:bookmarkEnd w:id="49"/>
      <w:bookmarkEnd w:id="50"/>
      <w:bookmarkEnd w:id="51"/>
      <w:bookmarkEnd w:id="52"/>
      <w:bookmarkEnd w:id="53"/>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4" w:name="_Toc486167663"/>
      <w:bookmarkStart w:id="55" w:name="_Toc450662849"/>
      <w:bookmarkStart w:id="56" w:name="_Toc9608"/>
      <w:bookmarkStart w:id="57" w:name="_Toc16288"/>
      <w:bookmarkStart w:id="58" w:name="_Toc21710_WPSOffice_Level3"/>
      <w:bookmarkStart w:id="59" w:name="_Toc142508313"/>
      <w:bookmarkStart w:id="60" w:name="_Toc7500"/>
      <w:bookmarkStart w:id="61" w:name="_Toc31133"/>
      <w:bookmarkStart w:id="62" w:name="_Toc23333"/>
      <w:r>
        <w:rPr>
          <w:rFonts w:hint="eastAsia" w:ascii="宋体" w:hAnsi="宋体" w:eastAsia="宋体" w:cs="宋体"/>
          <w:color w:val="auto"/>
          <w:szCs w:val="21"/>
          <w:highlight w:val="none"/>
          <w:lang w:val="zh-CN"/>
        </w:rPr>
        <w:t>1 资金来源：企业自筹资金。</w:t>
      </w:r>
      <w:bookmarkEnd w:id="54"/>
      <w:bookmarkEnd w:id="55"/>
      <w:bookmarkEnd w:id="56"/>
      <w:bookmarkEnd w:id="57"/>
      <w:bookmarkEnd w:id="58"/>
      <w:bookmarkEnd w:id="59"/>
      <w:bookmarkEnd w:id="60"/>
      <w:bookmarkEnd w:id="61"/>
      <w:bookmarkEnd w:id="62"/>
    </w:p>
    <w:p>
      <w:pPr>
        <w:autoSpaceDE w:val="0"/>
        <w:autoSpaceDN w:val="0"/>
        <w:adjustRightInd w:val="0"/>
        <w:jc w:val="left"/>
        <w:rPr>
          <w:rFonts w:hint="eastAsia"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63" w:name="_Toc18557"/>
      <w:bookmarkStart w:id="64" w:name="_Toc4951"/>
      <w:bookmarkStart w:id="65" w:name="_Toc450662850"/>
      <w:bookmarkStart w:id="66" w:name="_Toc31095"/>
      <w:bookmarkStart w:id="67" w:name="_Toc486167664"/>
      <w:bookmarkStart w:id="68" w:name="_Toc142508314"/>
      <w:bookmarkStart w:id="69" w:name="_Toc32244"/>
      <w:bookmarkStart w:id="70" w:name="_Toc80_WPSOffice_Level3"/>
      <w:bookmarkStart w:id="71" w:name="_Toc25982"/>
      <w:r>
        <w:rPr>
          <w:rFonts w:hint="eastAsia" w:ascii="宋体" w:hAnsi="宋体" w:eastAsia="宋体" w:cs="宋体"/>
          <w:b/>
          <w:color w:val="auto"/>
          <w:szCs w:val="21"/>
          <w:highlight w:val="none"/>
          <w:lang w:val="zh-CN"/>
        </w:rPr>
        <w:t>2 合格的投标人</w:t>
      </w:r>
      <w:bookmarkEnd w:id="63"/>
      <w:bookmarkEnd w:id="64"/>
      <w:bookmarkEnd w:id="65"/>
      <w:bookmarkEnd w:id="66"/>
      <w:bookmarkEnd w:id="67"/>
      <w:bookmarkEnd w:id="68"/>
      <w:bookmarkEnd w:id="69"/>
      <w:bookmarkEnd w:id="70"/>
      <w:bookmarkEnd w:id="71"/>
    </w:p>
    <w:p>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72" w:name="_Toc11689"/>
      <w:bookmarkStart w:id="73" w:name="_Toc23847_WPSOffice_Level3"/>
      <w:bookmarkStart w:id="74" w:name="_Toc2516"/>
      <w:bookmarkStart w:id="75" w:name="_Toc142508315"/>
      <w:bookmarkStart w:id="76" w:name="_Toc8522"/>
      <w:bookmarkStart w:id="77" w:name="_Toc20209"/>
      <w:bookmarkStart w:id="78" w:name="_Toc19774"/>
      <w:bookmarkStart w:id="79" w:name="_Toc450662851"/>
      <w:bookmarkStart w:id="80" w:name="_Toc486167665"/>
      <w:r>
        <w:rPr>
          <w:rFonts w:hint="eastAsia" w:ascii="宋体" w:hAnsi="宋体" w:eastAsia="宋体" w:cs="宋体"/>
          <w:b/>
          <w:color w:val="auto"/>
          <w:szCs w:val="21"/>
          <w:highlight w:val="none"/>
          <w:lang w:val="zh-CN"/>
        </w:rPr>
        <w:t>3 合格的货物</w:t>
      </w:r>
      <w:bookmarkEnd w:id="72"/>
      <w:bookmarkEnd w:id="73"/>
      <w:bookmarkEnd w:id="74"/>
      <w:bookmarkEnd w:id="75"/>
      <w:bookmarkEnd w:id="76"/>
      <w:bookmarkEnd w:id="77"/>
      <w:bookmarkEnd w:id="7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1" w:name="_Toc1977664"/>
      <w:bookmarkStart w:id="82" w:name="_Toc533708064"/>
      <w:r>
        <w:rPr>
          <w:rFonts w:hint="eastAsia" w:ascii="宋体" w:hAnsi="宋体" w:eastAsia="宋体" w:cs="宋体"/>
          <w:color w:val="auto"/>
          <w:szCs w:val="21"/>
          <w:highlight w:val="none"/>
          <w:lang w:val="zh-CN"/>
        </w:rPr>
        <w:t>3.</w:t>
      </w:r>
      <w:bookmarkEnd w:id="81"/>
      <w:bookmarkEnd w:id="82"/>
      <w:r>
        <w:rPr>
          <w:rFonts w:hint="eastAsia" w:ascii="宋体" w:hAnsi="宋体" w:eastAsia="宋体" w:cs="宋体"/>
          <w:color w:val="auto"/>
          <w:szCs w:val="21"/>
          <w:highlight w:val="none"/>
          <w:lang w:val="zh-CN"/>
        </w:rPr>
        <w:t>3  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jc w:val="left"/>
        <w:rPr>
          <w:rFonts w:hint="eastAsia"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3" w:name="_Toc9658_WPSOffice_Level3"/>
      <w:bookmarkStart w:id="84" w:name="_Toc7422"/>
      <w:bookmarkStart w:id="85" w:name="_Toc23153"/>
      <w:bookmarkStart w:id="86" w:name="_Toc3404"/>
      <w:bookmarkStart w:id="87" w:name="_Toc142508316"/>
      <w:bookmarkStart w:id="88" w:name="_Toc11533"/>
      <w:bookmarkStart w:id="89" w:name="_Toc638"/>
      <w:r>
        <w:rPr>
          <w:rFonts w:hint="eastAsia" w:ascii="宋体" w:hAnsi="宋体" w:eastAsia="宋体" w:cs="宋体"/>
          <w:color w:val="auto"/>
          <w:szCs w:val="21"/>
          <w:highlight w:val="none"/>
          <w:lang w:val="zh-CN"/>
        </w:rPr>
        <w:t>4 其它说明</w:t>
      </w:r>
      <w:bookmarkEnd w:id="83"/>
      <w:bookmarkEnd w:id="84"/>
      <w:bookmarkEnd w:id="85"/>
      <w:bookmarkEnd w:id="86"/>
      <w:bookmarkEnd w:id="87"/>
      <w:bookmarkEnd w:id="88"/>
      <w:bookmarkEnd w:id="89"/>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90" w:name="_Toc1977670"/>
      <w:bookmarkStart w:id="91" w:name="_Toc533708070"/>
      <w:r>
        <w:rPr>
          <w:rFonts w:hint="eastAsia" w:ascii="宋体" w:hAnsi="宋体" w:eastAsia="宋体" w:cs="宋体"/>
          <w:color w:val="auto"/>
          <w:szCs w:val="21"/>
          <w:highlight w:val="none"/>
          <w:lang w:val="zh-CN"/>
        </w:rPr>
        <w:t>4.1  投标费用</w:t>
      </w:r>
      <w:bookmarkEnd w:id="90"/>
      <w:bookmarkEnd w:id="91"/>
    </w:p>
    <w:p>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92" w:name="_Toc1977672"/>
      <w:bookmarkStart w:id="93"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92"/>
      <w:bookmarkEnd w:id="93"/>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94" w:name="_Toc1977673"/>
      <w:bookmarkStart w:id="95" w:name="_Toc533708073"/>
      <w:r>
        <w:rPr>
          <w:rFonts w:hint="eastAsia" w:ascii="宋体" w:hAnsi="宋体" w:eastAsia="宋体" w:cs="宋体"/>
          <w:color w:val="auto"/>
          <w:szCs w:val="21"/>
          <w:highlight w:val="none"/>
          <w:lang w:val="zh-CN"/>
        </w:rPr>
        <w:t>4.2  踏勘现场</w:t>
      </w:r>
      <w:bookmarkEnd w:id="94"/>
      <w:bookmarkEnd w:id="95"/>
    </w:p>
    <w:p>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96" w:name="_Toc533708076"/>
      <w:bookmarkStart w:id="97" w:name="_Toc1977676"/>
      <w:r>
        <w:rPr>
          <w:rFonts w:hint="eastAsia" w:ascii="宋体" w:hAnsi="宋体" w:eastAsia="宋体" w:cs="宋体"/>
          <w:color w:val="auto"/>
          <w:kern w:val="0"/>
          <w:szCs w:val="21"/>
          <w:highlight w:val="none"/>
        </w:rPr>
        <w:t>（1）本项目不组织集中踏勘现场和答疑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投标人应自行到实地踏勘考察</w:t>
      </w:r>
      <w:r>
        <w:rPr>
          <w:rFonts w:hint="eastAsia" w:ascii="宋体" w:hAnsi="宋体" w:eastAsia="宋体" w:cs="宋体"/>
          <w:color w:val="auto"/>
          <w:kern w:val="0"/>
          <w:szCs w:val="21"/>
          <w:highlight w:val="none"/>
        </w:rPr>
        <w:t>。</w:t>
      </w:r>
    </w:p>
    <w:p>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79"/>
      <w:bookmarkEnd w:id="80"/>
      <w:bookmarkEnd w:id="96"/>
      <w:bookmarkEnd w:id="97"/>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98" w:name="_Toc30507_WPSOffice_Level2"/>
      <w:bookmarkStart w:id="99" w:name="_Toc5462"/>
      <w:bookmarkStart w:id="100" w:name="_Toc450662853"/>
      <w:bookmarkStart w:id="101" w:name="_Toc5395"/>
      <w:bookmarkStart w:id="102" w:name="_Toc1565"/>
      <w:bookmarkStart w:id="103" w:name="_Toc4656"/>
      <w:bookmarkStart w:id="104" w:name="_Toc142508317"/>
      <w:bookmarkStart w:id="105" w:name="_Toc21611"/>
      <w:bookmarkStart w:id="106" w:name="_Toc486167667"/>
      <w:bookmarkStart w:id="107" w:name="_Toc20516"/>
      <w:bookmarkStart w:id="108" w:name="_Toc140596876"/>
      <w:r>
        <w:rPr>
          <w:rFonts w:hint="eastAsia" w:ascii="宋体" w:hAnsi="宋体" w:eastAsia="宋体" w:cs="宋体"/>
          <w:b/>
          <w:bCs/>
          <w:color w:val="auto"/>
          <w:kern w:val="44"/>
          <w:szCs w:val="21"/>
          <w:highlight w:val="none"/>
          <w:lang w:val="zh-CN"/>
        </w:rPr>
        <w:t>二、招标文件</w:t>
      </w:r>
      <w:bookmarkEnd w:id="98"/>
      <w:bookmarkEnd w:id="99"/>
      <w:bookmarkEnd w:id="100"/>
      <w:bookmarkEnd w:id="101"/>
      <w:bookmarkEnd w:id="102"/>
      <w:bookmarkEnd w:id="103"/>
      <w:bookmarkEnd w:id="104"/>
      <w:bookmarkEnd w:id="105"/>
      <w:bookmarkEnd w:id="106"/>
      <w:bookmarkEnd w:id="107"/>
      <w:bookmarkEnd w:id="108"/>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9" w:name="_Toc486167668"/>
      <w:bookmarkStart w:id="110" w:name="_Toc26635_WPSOffice_Level3"/>
      <w:bookmarkStart w:id="111" w:name="_Toc450662854"/>
      <w:bookmarkStart w:id="112" w:name="_Toc142508318"/>
      <w:bookmarkStart w:id="113" w:name="_Toc2406"/>
      <w:bookmarkStart w:id="114" w:name="_Toc7417"/>
      <w:bookmarkStart w:id="115" w:name="_Toc13820"/>
      <w:bookmarkStart w:id="116" w:name="_Toc2283"/>
      <w:bookmarkStart w:id="117" w:name="_Toc28893"/>
      <w:r>
        <w:rPr>
          <w:rFonts w:hint="eastAsia" w:ascii="宋体" w:hAnsi="宋体" w:eastAsia="宋体" w:cs="宋体"/>
          <w:color w:val="auto"/>
          <w:szCs w:val="21"/>
          <w:highlight w:val="none"/>
          <w:lang w:val="zh-CN"/>
        </w:rPr>
        <w:t>5 招标文件的构成</w:t>
      </w:r>
      <w:bookmarkEnd w:id="109"/>
      <w:bookmarkEnd w:id="110"/>
      <w:bookmarkEnd w:id="111"/>
      <w:bookmarkEnd w:id="112"/>
      <w:bookmarkEnd w:id="113"/>
      <w:bookmarkEnd w:id="114"/>
      <w:bookmarkEnd w:id="115"/>
      <w:bookmarkEnd w:id="116"/>
      <w:bookmarkEnd w:id="117"/>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lang w:val="en-US" w:eastAsia="zh-CN"/>
        </w:rPr>
        <w:t>格式</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东莞市尚源环能科技有限公司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广西同泽工程项目管理股份有限公司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东莞市污泥集中处理处置项目小苏打采购项目</w:t>
      </w:r>
      <w:r>
        <w:rPr>
          <w:rFonts w:hint="eastAsia" w:ascii="宋体" w:hAnsi="宋体" w:eastAsia="宋体" w:cs="宋体"/>
          <w:color w:val="auto"/>
          <w:kern w:val="0"/>
          <w:szCs w:val="21"/>
          <w:highlight w:val="none"/>
        </w:rPr>
        <w:t>所需的货物及有关</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w:t>
      </w:r>
      <w:r>
        <w:rPr>
          <w:rFonts w:hint="eastAsia" w:ascii="宋体" w:hAnsi="宋体" w:eastAsia="宋体" w:cs="宋体"/>
          <w:color w:val="auto"/>
          <w:szCs w:val="21"/>
          <w:highlight w:val="none"/>
          <w:lang w:val="zh-CN"/>
        </w:rPr>
        <w:t>交易系统在线上传</w:t>
      </w:r>
      <w:r>
        <w:rPr>
          <w:rFonts w:hint="eastAsia" w:ascii="宋体" w:hAnsi="宋体" w:eastAsia="宋体" w:cs="宋体"/>
          <w:color w:val="auto"/>
          <w:kern w:val="0"/>
          <w:szCs w:val="21"/>
          <w:highlight w:val="none"/>
        </w:rPr>
        <w:t>投标文件的当事人；</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w:t>
      </w:r>
      <w:r>
        <w:rPr>
          <w:rFonts w:hint="eastAsia" w:ascii="宋体" w:hAnsi="宋体" w:eastAsia="宋体" w:cs="Times New Roman"/>
          <w:color w:val="auto"/>
          <w:kern w:val="0"/>
          <w:szCs w:val="21"/>
          <w:highlight w:val="none"/>
        </w:rPr>
        <w:t>购买货物及有关服务</w:t>
      </w:r>
      <w:r>
        <w:rPr>
          <w:rFonts w:hint="eastAsia" w:ascii="宋体" w:hAnsi="宋体" w:eastAsia="宋体" w:cs="宋体"/>
          <w:color w:val="auto"/>
          <w:kern w:val="0"/>
          <w:szCs w:val="21"/>
          <w:highlight w:val="none"/>
        </w:rPr>
        <w:t>的单位，即东莞市尚源环能科技有限公司；</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w:t>
      </w:r>
      <w:r>
        <w:rPr>
          <w:rFonts w:hint="eastAsia" w:ascii="宋体" w:hAnsi="宋体" w:eastAsia="宋体" w:cs="Times New Roman"/>
          <w:color w:val="auto"/>
          <w:kern w:val="0"/>
          <w:szCs w:val="21"/>
          <w:highlight w:val="none"/>
        </w:rPr>
        <w:t>提供货物及有关服务</w:t>
      </w:r>
      <w:r>
        <w:rPr>
          <w:rFonts w:hint="eastAsia" w:ascii="宋体" w:hAnsi="宋体" w:eastAsia="宋体" w:cs="宋体"/>
          <w:color w:val="auto"/>
          <w:kern w:val="0"/>
          <w:szCs w:val="21"/>
          <w:highlight w:val="none"/>
        </w:rPr>
        <w:t>的公司或实体；</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（8）“招标文件”指招标公告和招标文件及其补充、变更和澄清等一系列文件；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w:t>
      </w:r>
      <w:r>
        <w:rPr>
          <w:rFonts w:hint="eastAsia" w:ascii="宋体" w:hAnsi="宋体" w:eastAsia="宋体" w:cs="宋体"/>
          <w:color w:val="auto"/>
          <w:kern w:val="0"/>
          <w:szCs w:val="21"/>
          <w:highlight w:val="none"/>
          <w:lang w:val="en-US" w:eastAsia="zh-CN"/>
        </w:rPr>
        <w:t>交易系统在线上传</w:t>
      </w:r>
      <w:r>
        <w:rPr>
          <w:rFonts w:hint="eastAsia" w:ascii="宋体" w:hAnsi="宋体" w:eastAsia="宋体" w:cs="宋体"/>
          <w:color w:val="auto"/>
          <w:kern w:val="0"/>
          <w:szCs w:val="21"/>
          <w:highlight w:val="none"/>
        </w:rPr>
        <w:t>的全部文件；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法》及其实施条例规定的销售额。本招标文件所称的不含税价和不含税合同价是指不含本采购项目投标人的销项税额，包含了投标人完成合同义务（含投标人代缴代扣、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8" w:name="_Toc21023"/>
      <w:bookmarkStart w:id="119" w:name="_Toc27518"/>
      <w:bookmarkStart w:id="120" w:name="_Toc11346"/>
      <w:bookmarkStart w:id="121" w:name="_Toc142508319"/>
      <w:bookmarkStart w:id="122" w:name="_Toc486167669"/>
      <w:bookmarkStart w:id="123" w:name="_Toc3727"/>
      <w:bookmarkStart w:id="124" w:name="_Toc450662855"/>
      <w:bookmarkStart w:id="125" w:name="_Toc19474"/>
      <w:bookmarkStart w:id="126" w:name="_Toc29125_WPSOffice_Level3"/>
      <w:r>
        <w:rPr>
          <w:rFonts w:hint="eastAsia" w:ascii="宋体" w:hAnsi="宋体" w:eastAsia="宋体" w:cs="宋体"/>
          <w:color w:val="auto"/>
          <w:szCs w:val="21"/>
          <w:highlight w:val="none"/>
          <w:lang w:val="zh-CN"/>
        </w:rPr>
        <w:t>6 招标文件的异议</w:t>
      </w:r>
      <w:bookmarkEnd w:id="118"/>
      <w:bookmarkEnd w:id="119"/>
      <w:bookmarkEnd w:id="120"/>
      <w:bookmarkEnd w:id="121"/>
      <w:bookmarkEnd w:id="122"/>
      <w:bookmarkEnd w:id="123"/>
      <w:bookmarkEnd w:id="124"/>
      <w:bookmarkEnd w:id="125"/>
      <w:bookmarkEnd w:id="126"/>
    </w:p>
    <w:p>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7" w:name="_Toc26961"/>
      <w:bookmarkStart w:id="128" w:name="_Toc18648"/>
      <w:bookmarkStart w:id="129" w:name="_Toc29864"/>
      <w:bookmarkStart w:id="130" w:name="_Toc23483_WPSOffice_Level3"/>
      <w:bookmarkStart w:id="131" w:name="_Toc142508320"/>
      <w:bookmarkStart w:id="132" w:name="_Toc450662856"/>
      <w:bookmarkStart w:id="133" w:name="_Toc486167670"/>
      <w:bookmarkStart w:id="134" w:name="_Toc9867"/>
      <w:bookmarkStart w:id="135" w:name="_Toc17145"/>
      <w:r>
        <w:rPr>
          <w:rFonts w:hint="eastAsia" w:ascii="宋体" w:hAnsi="宋体" w:eastAsia="宋体" w:cs="宋体"/>
          <w:color w:val="auto"/>
          <w:szCs w:val="21"/>
          <w:highlight w:val="none"/>
          <w:lang w:val="zh-CN"/>
        </w:rPr>
        <w:t>7 招标文件的澄清及修改</w:t>
      </w:r>
      <w:bookmarkEnd w:id="127"/>
      <w:bookmarkEnd w:id="128"/>
      <w:bookmarkEnd w:id="129"/>
      <w:bookmarkEnd w:id="130"/>
      <w:bookmarkEnd w:id="131"/>
      <w:bookmarkEnd w:id="132"/>
      <w:bookmarkEnd w:id="133"/>
      <w:bookmarkEnd w:id="134"/>
      <w:bookmarkEnd w:id="135"/>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招标文件的修改、补充通知在全国公共资源交易平台（广东省·东莞市）（https://ygp.gdzwfw.gov.cn/#/441900/index）、中国招标投标公共服务平台（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www.dgweg.cn）、招标代理机构网站（</w:t>
      </w:r>
      <w:r>
        <w:rPr>
          <w:rFonts w:hint="eastAsia" w:ascii="宋体" w:hAnsi="宋体" w:eastAsia="宋体" w:cs="宋体"/>
          <w:color w:val="auto"/>
          <w:szCs w:val="21"/>
          <w:highlight w:val="none"/>
          <w:lang w:val="zh-CN" w:eastAsia="zh-CN"/>
        </w:rPr>
        <w:t>http://www.gxtzfz.cn/</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36" w:name="_Toc142508321"/>
      <w:bookmarkStart w:id="137" w:name="_Toc12410"/>
      <w:bookmarkStart w:id="138" w:name="_Toc8711"/>
      <w:bookmarkStart w:id="139" w:name="_Toc140596880"/>
      <w:bookmarkStart w:id="140" w:name="_Toc3479"/>
      <w:bookmarkStart w:id="141" w:name="_Toc24583"/>
      <w:bookmarkStart w:id="142" w:name="_Toc29659_WPSOffice_Level2"/>
      <w:bookmarkStart w:id="143" w:name="_Toc19940"/>
      <w:bookmarkStart w:id="144" w:name="_Toc450662857"/>
      <w:bookmarkStart w:id="145" w:name="_Toc23342"/>
      <w:bookmarkStart w:id="146" w:name="_Toc486167671"/>
      <w:r>
        <w:rPr>
          <w:rFonts w:hint="eastAsia" w:ascii="宋体" w:hAnsi="宋体" w:eastAsia="宋体" w:cs="宋体"/>
          <w:b/>
          <w:bCs/>
          <w:color w:val="auto"/>
          <w:kern w:val="44"/>
          <w:szCs w:val="21"/>
          <w:highlight w:val="none"/>
          <w:lang w:val="zh-CN"/>
        </w:rPr>
        <w:t>三、投标文件的编制</w:t>
      </w:r>
      <w:bookmarkEnd w:id="136"/>
      <w:bookmarkEnd w:id="137"/>
      <w:bookmarkEnd w:id="138"/>
      <w:bookmarkEnd w:id="139"/>
      <w:bookmarkEnd w:id="140"/>
      <w:bookmarkEnd w:id="141"/>
      <w:bookmarkEnd w:id="142"/>
      <w:bookmarkEnd w:id="143"/>
      <w:bookmarkEnd w:id="144"/>
      <w:bookmarkEnd w:id="145"/>
      <w:bookmarkEnd w:id="146"/>
    </w:p>
    <w:p>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7" w:name="_Toc6244"/>
      <w:bookmarkStart w:id="148" w:name="_Toc31162"/>
      <w:bookmarkStart w:id="149" w:name="_Toc486167672"/>
      <w:bookmarkStart w:id="150" w:name="_Toc14344"/>
      <w:bookmarkStart w:id="151" w:name="_Toc142508322"/>
      <w:bookmarkStart w:id="152" w:name="_Toc30579"/>
      <w:bookmarkStart w:id="153" w:name="_Toc10015_WPSOffice_Level3"/>
      <w:bookmarkStart w:id="154" w:name="_Toc450662858"/>
      <w:bookmarkStart w:id="155" w:name="_Toc4453"/>
      <w:r>
        <w:rPr>
          <w:rFonts w:hint="eastAsia" w:ascii="宋体" w:hAnsi="宋体" w:eastAsia="宋体" w:cs="宋体"/>
          <w:color w:val="auto"/>
          <w:szCs w:val="21"/>
          <w:highlight w:val="none"/>
          <w:lang w:val="zh-CN"/>
        </w:rPr>
        <w:t>8 投标使用的文字及度量衡单位</w:t>
      </w:r>
      <w:bookmarkEnd w:id="147"/>
      <w:bookmarkEnd w:id="148"/>
      <w:bookmarkEnd w:id="149"/>
      <w:bookmarkEnd w:id="150"/>
      <w:bookmarkEnd w:id="151"/>
      <w:bookmarkEnd w:id="152"/>
      <w:bookmarkEnd w:id="153"/>
      <w:bookmarkEnd w:id="154"/>
      <w:bookmarkEnd w:id="155"/>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hint="eastAsia"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56" w:name="_Toc24738"/>
      <w:bookmarkStart w:id="157" w:name="_Toc7348"/>
      <w:bookmarkStart w:id="158" w:name="_Toc31286"/>
      <w:bookmarkStart w:id="159" w:name="_Toc486167673"/>
      <w:bookmarkStart w:id="160" w:name="_Toc14943"/>
      <w:bookmarkStart w:id="161" w:name="_Toc16511"/>
      <w:bookmarkStart w:id="162" w:name="_Toc142508323"/>
      <w:bookmarkStart w:id="163" w:name="_Toc450662859"/>
      <w:bookmarkStart w:id="164" w:name="_Toc24916_WPSOffice_Level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56"/>
      <w:bookmarkEnd w:id="157"/>
      <w:bookmarkEnd w:id="158"/>
      <w:bookmarkEnd w:id="159"/>
      <w:bookmarkEnd w:id="160"/>
      <w:bookmarkEnd w:id="161"/>
      <w:bookmarkEnd w:id="162"/>
      <w:bookmarkEnd w:id="163"/>
      <w:bookmarkEnd w:id="164"/>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r>
        <w:rPr>
          <w:rFonts w:hint="eastAsia" w:ascii="宋体" w:hAnsi="宋体" w:eastAsia="宋体" w:cs="宋体"/>
          <w:b/>
          <w:color w:val="auto"/>
          <w:kern w:val="0"/>
          <w:szCs w:val="21"/>
          <w:highlight w:val="none"/>
        </w:rPr>
        <w:t>。</w:t>
      </w:r>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kern w:val="0"/>
          <w:szCs w:val="21"/>
          <w:highlight w:val="none"/>
          <w:lang w:val="en-US" w:eastAsia="zh-CN"/>
        </w:rPr>
        <w:t>原件扫</w:t>
      </w:r>
      <w:r>
        <w:rPr>
          <w:rFonts w:hint="eastAsia" w:ascii="宋体" w:hAnsi="宋体" w:eastAsia="宋体" w:cs="宋体"/>
          <w:color w:val="auto"/>
          <w:szCs w:val="21"/>
          <w:highlight w:val="none"/>
          <w:lang w:val="zh-CN"/>
        </w:rPr>
        <w:t>描件；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pPr>
        <w:tabs>
          <w:tab w:val="left" w:pos="1276"/>
        </w:tabs>
        <w:spacing w:line="360" w:lineRule="auto"/>
        <w:ind w:left="283" w:hanging="283" w:hangingChars="135"/>
        <w:outlineLvl w:val="9"/>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制造商资格声明和独家授权销售及售后服务承诺函（若投标人为制造商，必须提供制造商资格声明；若投标人为经销商，必须提供制造商资格声明和投标产品制造商出具的《独家授权销售及售后服务承诺函》）；</w:t>
      </w:r>
    </w:p>
    <w:p>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2023年1月1日</w:t>
      </w:r>
      <w:r>
        <w:rPr>
          <w:rFonts w:hint="eastAsia" w:ascii="宋体" w:hAnsi="宋体" w:eastAsia="宋体"/>
          <w:color w:val="auto"/>
          <w:szCs w:val="21"/>
          <w:highlight w:val="none"/>
        </w:rPr>
        <w:t>以来</w:t>
      </w:r>
      <w:r>
        <w:rPr>
          <w:rFonts w:hint="eastAsia" w:ascii="宋体" w:hAnsi="宋体" w:eastAsia="宋体"/>
          <w:color w:val="auto"/>
          <w:szCs w:val="21"/>
          <w:highlight w:val="none"/>
          <w:lang w:val="en-US" w:eastAsia="zh-CN"/>
        </w:rPr>
        <w:t>具有一份投标品牌小苏打供货</w:t>
      </w:r>
      <w:r>
        <w:rPr>
          <w:rFonts w:hint="eastAsia" w:ascii="宋体" w:hAnsi="宋体" w:eastAsia="宋体" w:cs="宋体"/>
          <w:b w:val="0"/>
          <w:bCs/>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2023年1月1日</w:t>
      </w:r>
      <w:r>
        <w:rPr>
          <w:rFonts w:hint="eastAsia" w:ascii="宋体" w:hAnsi="宋体" w:eastAsia="宋体"/>
          <w:color w:val="auto"/>
          <w:szCs w:val="21"/>
          <w:highlight w:val="none"/>
        </w:rPr>
        <w:t>或以后），资格业绩证明材料提交要求详见招标文件第六篇投标文件格式</w:t>
      </w:r>
      <w:r>
        <w:rPr>
          <w:rFonts w:hint="eastAsia" w:ascii="宋体" w:hAnsi="宋体" w:eastAsia="宋体"/>
          <w:color w:val="auto"/>
          <w:szCs w:val="21"/>
          <w:highlight w:val="none"/>
          <w:u w:val="single"/>
          <w:lang w:val="en-US" w:eastAsia="zh-CN"/>
        </w:rPr>
        <w:t>4</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（2）投标产品技术指标承诺书</w:t>
      </w:r>
      <w:r>
        <w:rPr>
          <w:rFonts w:hint="eastAsia" w:ascii="宋体" w:hAnsi="宋体" w:eastAsia="宋体" w:cs="宋体"/>
          <w:color w:val="auto"/>
          <w:kern w:val="0"/>
          <w:sz w:val="21"/>
          <w:szCs w:val="21"/>
          <w:highlight w:val="none"/>
          <w:lang w:eastAsia="zh-CN"/>
        </w:rPr>
        <w:t>；</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（3）生产工艺</w:t>
      </w:r>
      <w:r>
        <w:rPr>
          <w:rFonts w:hint="eastAsia" w:ascii="宋体" w:hAnsi="宋体" w:eastAsia="宋体" w:cs="宋体"/>
          <w:color w:val="auto"/>
          <w:kern w:val="0"/>
          <w:szCs w:val="21"/>
          <w:highlight w:val="none"/>
        </w:rPr>
        <w:t>；</w:t>
      </w:r>
    </w:p>
    <w:p>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生产供货保障能力</w:t>
      </w:r>
      <w:r>
        <w:rPr>
          <w:rFonts w:hint="eastAsia" w:ascii="宋体" w:hAnsi="宋体" w:eastAsia="宋体" w:cs="宋体"/>
          <w:color w:val="auto"/>
          <w:kern w:val="0"/>
          <w:szCs w:val="21"/>
          <w:highlight w:val="none"/>
        </w:rPr>
        <w:t>；</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质量保证体系和措施</w:t>
      </w:r>
      <w:r>
        <w:rPr>
          <w:rFonts w:hint="eastAsia" w:ascii="宋体" w:hAnsi="宋体" w:eastAsia="宋体" w:cs="宋体"/>
          <w:color w:val="auto"/>
          <w:kern w:val="0"/>
          <w:szCs w:val="21"/>
          <w:highlight w:val="none"/>
        </w:rPr>
        <w:t>；</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企业运输能力</w:t>
      </w:r>
      <w:r>
        <w:rPr>
          <w:rFonts w:hint="eastAsia" w:ascii="宋体" w:hAnsi="宋体" w:eastAsia="宋体" w:cs="宋体"/>
          <w:color w:val="auto"/>
          <w:kern w:val="0"/>
          <w:szCs w:val="21"/>
          <w:highlight w:val="none"/>
          <w:lang w:eastAsia="zh-CN"/>
        </w:rPr>
        <w:t>；</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投标人认为有必要提供的其它材料（不做强制要求）</w:t>
      </w:r>
      <w:r>
        <w:rPr>
          <w:rFonts w:hint="eastAsia" w:ascii="宋体" w:hAnsi="宋体" w:eastAsia="宋体" w:cs="宋体"/>
          <w:color w:val="auto"/>
          <w:kern w:val="0"/>
          <w:szCs w:val="21"/>
          <w:highlight w:val="none"/>
        </w:rPr>
        <w:t>。</w:t>
      </w:r>
    </w:p>
    <w:p>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bookmarkStart w:id="165" w:name="_Toc25590"/>
      <w:bookmarkStart w:id="166" w:name="_Toc27336"/>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165"/>
      <w:bookmarkEnd w:id="166"/>
    </w:p>
    <w:p>
      <w:pPr>
        <w:autoSpaceDE w:val="0"/>
        <w:autoSpaceDN w:val="0"/>
        <w:adjustRightInd w:val="0"/>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pPr>
        <w:autoSpaceDE w:val="0"/>
        <w:autoSpaceDN w:val="0"/>
        <w:adjustRightInd w:val="0"/>
        <w:spacing w:line="360" w:lineRule="auto"/>
        <w:ind w:left="317" w:leftChars="-100" w:hanging="527" w:hangingChars="250"/>
        <w:outlineLvl w:val="9"/>
        <w:rPr>
          <w:rFonts w:hint="eastAsia" w:ascii="宋体" w:hAnsi="宋体" w:eastAsia="宋体" w:cs="宋体"/>
          <w:b/>
          <w:bCs/>
          <w:color w:val="auto"/>
          <w:szCs w:val="21"/>
          <w:highlight w:val="none"/>
        </w:rPr>
      </w:pPr>
      <w:bookmarkStart w:id="167" w:name="_Toc10574"/>
      <w:bookmarkStart w:id="168" w:name="_Toc4502"/>
      <w:r>
        <w:rPr>
          <w:rFonts w:hint="eastAsia" w:ascii="宋体" w:hAnsi="宋体" w:eastAsia="宋体" w:cs="宋体"/>
          <w:b/>
          <w:bCs/>
          <w:color w:val="auto"/>
          <w:szCs w:val="21"/>
          <w:highlight w:val="none"/>
        </w:rPr>
        <w:t>9.2  投标文件格式</w:t>
      </w:r>
      <w:bookmarkEnd w:id="167"/>
      <w:bookmarkEnd w:id="168"/>
      <w:r>
        <w:rPr>
          <w:rFonts w:hint="eastAsia" w:ascii="宋体" w:hAnsi="宋体" w:eastAsia="宋体" w:cs="宋体"/>
          <w:b/>
          <w:bCs/>
          <w:color w:val="auto"/>
          <w:szCs w:val="21"/>
          <w:highlight w:val="none"/>
        </w:rPr>
        <w:t xml:space="preserve"> </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w:t>
      </w:r>
      <w:r>
        <w:rPr>
          <w:rFonts w:hint="eastAsia" w:ascii="宋体" w:hAnsi="宋体" w:eastAsia="宋体" w:cs="宋体"/>
          <w:color w:val="auto"/>
          <w:szCs w:val="21"/>
          <w:highlight w:val="none"/>
          <w:lang w:val="en-US" w:eastAsia="zh-CN"/>
        </w:rPr>
        <w:t>原件</w:t>
      </w:r>
      <w:r>
        <w:rPr>
          <w:rFonts w:hint="eastAsia" w:ascii="宋体" w:hAnsi="宋体" w:eastAsia="宋体" w:cs="宋体"/>
          <w:color w:val="auto"/>
          <w:szCs w:val="21"/>
          <w:highlight w:val="none"/>
          <w:lang w:val="zh-CN"/>
        </w:rPr>
        <w:t>、照片可为该资料扫描件。</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9" w:name="_Toc142508324"/>
      <w:bookmarkStart w:id="170" w:name="_Toc486167674"/>
      <w:bookmarkStart w:id="171" w:name="_Toc11170"/>
      <w:bookmarkStart w:id="172" w:name="_Toc28788"/>
      <w:bookmarkStart w:id="173" w:name="_Toc8675_WPSOffice_Level3"/>
      <w:bookmarkStart w:id="174" w:name="_Toc13214"/>
      <w:bookmarkStart w:id="175" w:name="_Toc23588"/>
      <w:bookmarkStart w:id="176" w:name="_Toc17386"/>
      <w:bookmarkStart w:id="177" w:name="_Toc450662860"/>
      <w:r>
        <w:rPr>
          <w:rFonts w:hint="eastAsia" w:ascii="宋体" w:hAnsi="宋体" w:eastAsia="宋体" w:cs="宋体"/>
          <w:color w:val="auto"/>
          <w:szCs w:val="21"/>
          <w:highlight w:val="none"/>
          <w:lang w:val="zh-CN"/>
        </w:rPr>
        <w:t>10 投标函</w:t>
      </w:r>
      <w:bookmarkEnd w:id="169"/>
      <w:bookmarkEnd w:id="170"/>
      <w:bookmarkEnd w:id="171"/>
      <w:bookmarkEnd w:id="172"/>
      <w:bookmarkEnd w:id="173"/>
      <w:bookmarkEnd w:id="174"/>
      <w:bookmarkEnd w:id="175"/>
      <w:bookmarkEnd w:id="176"/>
      <w:bookmarkEnd w:id="177"/>
    </w:p>
    <w:p>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8" w:name="_Toc15427"/>
      <w:bookmarkStart w:id="179" w:name="_Toc7391"/>
      <w:bookmarkStart w:id="180" w:name="_Toc29381"/>
      <w:bookmarkStart w:id="181" w:name="_Toc10252"/>
      <w:bookmarkStart w:id="182" w:name="_Toc24311"/>
      <w:bookmarkStart w:id="183" w:name="_Toc450662861"/>
      <w:bookmarkStart w:id="184" w:name="_Toc4385_WPSOffice_Level3"/>
      <w:bookmarkStart w:id="185" w:name="_Toc486167675"/>
      <w:bookmarkStart w:id="186" w:name="_Toc142508325"/>
      <w:r>
        <w:rPr>
          <w:rFonts w:hint="eastAsia" w:ascii="宋体" w:hAnsi="宋体" w:eastAsia="宋体" w:cs="宋体"/>
          <w:color w:val="auto"/>
          <w:szCs w:val="21"/>
          <w:highlight w:val="none"/>
          <w:lang w:val="zh-CN"/>
        </w:rPr>
        <w:t>11 投标报价</w:t>
      </w:r>
      <w:bookmarkEnd w:id="178"/>
      <w:bookmarkEnd w:id="179"/>
      <w:bookmarkEnd w:id="180"/>
      <w:bookmarkEnd w:id="181"/>
      <w:bookmarkEnd w:id="182"/>
      <w:bookmarkEnd w:id="183"/>
      <w:bookmarkEnd w:id="184"/>
      <w:bookmarkEnd w:id="185"/>
      <w:bookmarkEnd w:id="186"/>
    </w:p>
    <w:p>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若出现下列情形之一的，评审委员会应启动异常低价投标审查程序：</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（1）投标报价低于合格</w:t>
      </w:r>
      <w:r>
        <w:rPr>
          <w:rFonts w:hint="eastAsia" w:ascii="宋体" w:hAnsi="宋体" w:eastAsia="宋体" w:cs="宋体"/>
          <w:b/>
          <w:color w:val="auto"/>
          <w:kern w:val="2"/>
          <w:sz w:val="21"/>
          <w:szCs w:val="21"/>
          <w:highlight w:val="none"/>
          <w:lang w:val="zh-CN"/>
        </w:rPr>
        <w:t>投标人</w:t>
      </w:r>
      <w:r>
        <w:rPr>
          <w:rFonts w:hint="eastAsia" w:ascii="宋体" w:hAnsi="宋体" w:eastAsia="宋体" w:cs="宋体"/>
          <w:b/>
          <w:color w:val="auto"/>
          <w:szCs w:val="21"/>
          <w:highlight w:val="none"/>
          <w:lang w:val="zh-CN"/>
        </w:rPr>
        <w:t>报价平均值50%的；</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（2）投标报价低于合格且报价次低</w:t>
      </w:r>
      <w:r>
        <w:rPr>
          <w:rFonts w:hint="eastAsia" w:ascii="宋体" w:hAnsi="宋体" w:eastAsia="宋体" w:cs="宋体"/>
          <w:b/>
          <w:color w:val="auto"/>
          <w:kern w:val="2"/>
          <w:sz w:val="21"/>
          <w:szCs w:val="21"/>
          <w:highlight w:val="none"/>
          <w:lang w:val="zh-CN"/>
        </w:rPr>
        <w:t>投标人</w:t>
      </w:r>
      <w:r>
        <w:rPr>
          <w:rFonts w:hint="eastAsia" w:ascii="宋体" w:hAnsi="宋体" w:eastAsia="宋体" w:cs="宋体"/>
          <w:b/>
          <w:color w:val="auto"/>
          <w:szCs w:val="21"/>
          <w:highlight w:val="none"/>
          <w:lang w:val="zh-CN"/>
        </w:rPr>
        <w:t>报价50%的；</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（3）投标报价低于采购项目采购限价45%的；</w:t>
      </w:r>
    </w:p>
    <w:p>
      <w:pPr>
        <w:tabs>
          <w:tab w:val="left" w:pos="567"/>
        </w:tabs>
        <w:autoSpaceDE/>
        <w:autoSpaceDN/>
        <w:adjustRightInd/>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（4）评审委员会认为投标</w:t>
      </w:r>
      <w:r>
        <w:rPr>
          <w:rFonts w:hint="eastAsia" w:ascii="宋体" w:hAnsi="宋体" w:eastAsia="宋体" w:cs="宋体"/>
          <w:b/>
          <w:color w:val="auto"/>
          <w:szCs w:val="21"/>
          <w:highlight w:val="none"/>
          <w:lang w:val="en-US" w:eastAsia="zh-CN"/>
        </w:rPr>
        <w:t>人</w:t>
      </w:r>
      <w:r>
        <w:rPr>
          <w:rFonts w:hint="eastAsia" w:ascii="宋体" w:hAnsi="宋体" w:eastAsia="宋体" w:cs="宋体"/>
          <w:b/>
          <w:color w:val="auto"/>
          <w:szCs w:val="21"/>
          <w:highlight w:val="none"/>
          <w:lang w:val="zh-CN"/>
        </w:rPr>
        <w:t>报价过低，有可能影响产品质量或者不能诚信履约的。</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投标人的报价为综合单价(元/吨)。合同履约过程中，在供货期内按投标时的综合单价(元/吨)乘以实际供货数量进行结算。</w:t>
      </w:r>
      <w:r>
        <w:rPr>
          <w:rFonts w:hint="eastAsia" w:ascii="宋体" w:hAnsi="宋体" w:eastAsia="宋体" w:cs="宋体"/>
          <w:b/>
          <w:color w:val="auto"/>
          <w:szCs w:val="21"/>
          <w:highlight w:val="none"/>
          <w:u w:val="single"/>
          <w:lang w:val="zh-CN"/>
        </w:rPr>
        <w:t>本项目投标报价为不含税价，即为《中华人民共和国增值税法》及其实施条例规定的销售额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（1）招标范围内所有货物的研究、采购、制造、检验、配合试验（含小试）、包装、储存、运输（退换货运输）、称重、装卸、安全、保险、培训、验收</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val="zh-CN"/>
        </w:rPr>
        <w:t>费用；</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（3）货物及其工艺所有制造方、使用方应支付的对专有技术、商标权、专利权和版权、设计或其他知识产权而需要向其他方支付的版税；</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w:t>
      </w:r>
      <w:r>
        <w:rPr>
          <w:rFonts w:hint="eastAsia" w:ascii="宋体" w:hAnsi="宋体" w:eastAsia="宋体" w:cs="宋体"/>
          <w:color w:val="auto"/>
          <w:szCs w:val="21"/>
          <w:highlight w:val="none"/>
          <w:lang w:val="en-US" w:eastAsia="zh-CN"/>
        </w:rPr>
        <w:t>退换货服务</w:t>
      </w:r>
      <w:r>
        <w:rPr>
          <w:rFonts w:hint="eastAsia" w:ascii="宋体" w:hAnsi="宋体" w:eastAsia="宋体" w:cs="宋体"/>
          <w:color w:val="auto"/>
          <w:szCs w:val="21"/>
          <w:highlight w:val="none"/>
          <w:lang w:val="zh-CN"/>
        </w:rPr>
        <w:t>，包括但不限于免费对具有质量问题的货物进行处理或更换，按招标人要求小试，并以招标人确认的最优化的产品成分配比向招标人供货；</w:t>
      </w:r>
    </w:p>
    <w:p>
      <w:pPr>
        <w:spacing w:line="360" w:lineRule="auto"/>
        <w:ind w:left="357" w:leftChars="-100" w:hanging="567"/>
        <w:outlineLvl w:val="9"/>
        <w:rPr>
          <w:rFonts w:hint="eastAsia" w:ascii="宋体" w:hAnsi="宋体" w:eastAsia="宋体" w:cs="宋体"/>
          <w:color w:val="auto"/>
          <w:szCs w:val="21"/>
          <w:highlight w:val="none"/>
          <w:lang w:val="zh-CN"/>
        </w:rPr>
      </w:pPr>
      <w:bookmarkStart w:id="187" w:name="_Toc16129"/>
      <w:bookmarkStart w:id="188" w:name="_Toc12620"/>
      <w:r>
        <w:rPr>
          <w:rFonts w:hint="eastAsia" w:ascii="宋体" w:hAnsi="宋体" w:eastAsia="宋体" w:cs="宋体"/>
          <w:color w:val="auto"/>
          <w:szCs w:val="21"/>
          <w:highlight w:val="none"/>
          <w:lang w:val="zh-CN"/>
        </w:rPr>
        <w:t>（5）合理利润、投标人销项税额以外的税费、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bookmarkEnd w:id="187"/>
      <w:bookmarkEnd w:id="188"/>
    </w:p>
    <w:p>
      <w:pPr>
        <w:spacing w:line="360" w:lineRule="auto"/>
        <w:ind w:left="357" w:leftChars="-100" w:hanging="56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pPr>
        <w:spacing w:line="360" w:lineRule="auto"/>
        <w:ind w:firstLine="394" w:firstLineChars="187"/>
        <w:rPr>
          <w:rFonts w:hint="eastAsia"/>
          <w:color w:val="auto"/>
          <w:highlight w:val="none"/>
          <w:lang w:val="zh-CN"/>
        </w:rPr>
      </w:pPr>
      <w:r>
        <w:rPr>
          <w:rFonts w:hint="eastAsia" w:ascii="宋体" w:hAnsi="宋体" w:eastAsia="宋体" w:cs="宋体"/>
          <w:b/>
          <w:bCs/>
          <w:color w:val="auto"/>
          <w:kern w:val="2"/>
          <w:sz w:val="21"/>
          <w:szCs w:val="21"/>
          <w:highlight w:val="none"/>
          <w:lang w:val="zh-CN"/>
        </w:rPr>
        <w:t>小苏打的供货须按照</w:t>
      </w:r>
      <w:r>
        <w:rPr>
          <w:rFonts w:hint="eastAsia" w:ascii="宋体" w:hAnsi="宋体" w:eastAsia="宋体" w:cs="宋体"/>
          <w:b/>
          <w:bCs/>
          <w:color w:val="auto"/>
          <w:kern w:val="2"/>
          <w:sz w:val="21"/>
          <w:szCs w:val="21"/>
          <w:highlight w:val="none"/>
          <w:lang w:val="en-US" w:eastAsia="zh-CN"/>
        </w:rPr>
        <w:t>招标人</w:t>
      </w:r>
      <w:r>
        <w:rPr>
          <w:rFonts w:hint="eastAsia" w:ascii="宋体" w:hAnsi="宋体" w:eastAsia="宋体" w:cs="宋体"/>
          <w:b/>
          <w:bCs/>
          <w:color w:val="auto"/>
          <w:kern w:val="2"/>
          <w:sz w:val="21"/>
          <w:szCs w:val="21"/>
          <w:highlight w:val="none"/>
          <w:lang w:val="zh-CN"/>
        </w:rPr>
        <w:t>的实际供货需求，将会存在不同时间分次供货的情况，投标人应充分考虑上述因素可能导致的增加成本，并且该成本已包含在上述全部费用内。</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rPr>
        <w:t>货物及有关</w:t>
      </w:r>
      <w:r>
        <w:rPr>
          <w:rFonts w:hint="eastAsia" w:ascii="宋体" w:hAnsi="宋体" w:eastAsia="宋体" w:cs="宋体"/>
          <w:b/>
          <w:bCs/>
          <w:color w:val="auto"/>
          <w:szCs w:val="21"/>
          <w:highlight w:val="none"/>
          <w:lang w:val="zh-CN"/>
        </w:rPr>
        <w:t>服务所需的费用，投标人都应计入投标报价。</w:t>
      </w:r>
    </w:p>
    <w:p>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non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w:t>
      </w:r>
      <w:r>
        <w:rPr>
          <w:rFonts w:hint="eastAsia" w:ascii="宋体" w:hAnsi="宋体" w:eastAsia="宋体" w:cs="宋体"/>
          <w:b/>
          <w:color w:val="auto"/>
          <w:szCs w:val="21"/>
          <w:highlight w:val="none"/>
          <w:u w:val="single"/>
          <w:lang w:val="zh-CN"/>
        </w:rPr>
        <w:t>综合单价报价</w:t>
      </w:r>
      <w:r>
        <w:rPr>
          <w:rFonts w:hint="eastAsia" w:ascii="宋体" w:hAnsi="宋体" w:eastAsia="宋体" w:cs="宋体"/>
          <w:b/>
          <w:color w:val="auto"/>
          <w:szCs w:val="21"/>
          <w:highlight w:val="none"/>
          <w:u w:val="single"/>
          <w:lang w:val="en-US" w:eastAsia="zh-CN"/>
        </w:rPr>
        <w:t>高于</w:t>
      </w:r>
      <w:r>
        <w:rPr>
          <w:rFonts w:hint="eastAsia" w:ascii="宋体" w:hAnsi="宋体" w:eastAsia="宋体" w:cs="宋体"/>
          <w:b/>
          <w:color w:val="auto"/>
          <w:szCs w:val="21"/>
          <w:highlight w:val="none"/>
          <w:u w:val="single"/>
          <w:lang w:val="zh-CN"/>
        </w:rPr>
        <w:t>不含税采购限价综合单价</w:t>
      </w:r>
      <w:r>
        <w:rPr>
          <w:rFonts w:hint="eastAsia" w:ascii="宋体" w:hAnsi="宋体" w:eastAsia="宋体" w:cs="宋体"/>
          <w:b/>
          <w:bCs/>
          <w:color w:val="auto"/>
          <w:kern w:val="0"/>
          <w:szCs w:val="24"/>
          <w:highlight w:val="none"/>
          <w:u w:val="single"/>
        </w:rPr>
        <w:t>的，该投标人的投标文件将被视为无效投标</w:t>
      </w:r>
      <w:r>
        <w:rPr>
          <w:rFonts w:hint="eastAsia" w:ascii="宋体" w:hAnsi="宋体" w:eastAsia="宋体" w:cs="宋体"/>
          <w:b/>
          <w:color w:val="auto"/>
          <w:szCs w:val="21"/>
          <w:highlight w:val="none"/>
          <w:u w:val="single"/>
          <w:lang w:val="zh-CN"/>
        </w:rPr>
        <w:t>。本项目不含税采购限价综合单价为</w:t>
      </w:r>
      <w:r>
        <w:rPr>
          <w:rFonts w:hint="eastAsia" w:ascii="宋体" w:hAnsi="宋体" w:eastAsia="宋体" w:cs="宋体"/>
          <w:b/>
          <w:color w:val="auto"/>
          <w:szCs w:val="21"/>
          <w:highlight w:val="none"/>
          <w:u w:val="single"/>
          <w:lang w:val="en-US" w:eastAsia="zh-CN"/>
        </w:rPr>
        <w:t>1,461.65</w:t>
      </w:r>
      <w:r>
        <w:rPr>
          <w:rFonts w:hint="eastAsia" w:ascii="宋体" w:hAnsi="宋体" w:eastAsia="宋体" w:cs="宋体"/>
          <w:b/>
          <w:color w:val="auto"/>
          <w:szCs w:val="21"/>
          <w:highlight w:val="none"/>
          <w:u w:val="single"/>
          <w:lang w:val="zh-CN" w:eastAsia="zh-CN"/>
        </w:rPr>
        <w:t>元</w:t>
      </w:r>
      <w:r>
        <w:rPr>
          <w:rFonts w:hint="eastAsia" w:ascii="宋体" w:hAnsi="宋体" w:eastAsia="宋体" w:cs="Times New Roman"/>
          <w:b/>
          <w:bCs/>
          <w:color w:val="auto"/>
          <w:szCs w:val="21"/>
          <w:highlight w:val="none"/>
          <w:u w:val="single"/>
        </w:rPr>
        <w:t>/吨</w:t>
      </w:r>
      <w:r>
        <w:rPr>
          <w:rFonts w:hint="eastAsia" w:ascii="宋体" w:hAnsi="宋体" w:eastAsia="宋体" w:cs="宋体"/>
          <w:b/>
          <w:color w:val="auto"/>
          <w:szCs w:val="21"/>
          <w:highlight w:val="none"/>
          <w:u w:val="single"/>
          <w:lang w:val="zh-CN"/>
        </w:rPr>
        <w:t>（大写：</w:t>
      </w:r>
      <w:r>
        <w:rPr>
          <w:rFonts w:hint="eastAsia" w:ascii="宋体" w:hAnsi="宋体" w:eastAsia="宋体" w:cs="Times New Roman"/>
          <w:b/>
          <w:bCs/>
          <w:color w:val="auto"/>
          <w:szCs w:val="21"/>
          <w:highlight w:val="none"/>
          <w:u w:val="single"/>
          <w:lang w:val="en-US" w:eastAsia="zh-CN"/>
        </w:rPr>
        <w:t>人民币</w:t>
      </w:r>
      <w:r>
        <w:rPr>
          <w:rFonts w:hint="eastAsia" w:ascii="宋体" w:hAnsi="宋体" w:eastAsia="宋体" w:cs="Times New Roman"/>
          <w:b/>
          <w:bCs/>
          <w:color w:val="auto"/>
          <w:szCs w:val="21"/>
          <w:highlight w:val="none"/>
          <w:u w:val="single"/>
        </w:rPr>
        <w:t>每吨</w:t>
      </w:r>
      <w:r>
        <w:rPr>
          <w:rFonts w:hint="eastAsia" w:ascii="宋体" w:hAnsi="宋体" w:eastAsia="宋体" w:cs="Times New Roman"/>
          <w:b/>
          <w:bCs/>
          <w:color w:val="auto"/>
          <w:szCs w:val="21"/>
          <w:highlight w:val="none"/>
          <w:u w:val="single"/>
          <w:lang w:val="en-US" w:eastAsia="zh-CN"/>
        </w:rPr>
        <w:t>壹仟肆佰陆拾壹元陆角伍分</w:t>
      </w:r>
      <w:r>
        <w:rPr>
          <w:rFonts w:hint="eastAsia" w:ascii="宋体" w:hAnsi="宋体" w:eastAsia="宋体" w:cs="宋体"/>
          <w:b/>
          <w:color w:val="auto"/>
          <w:szCs w:val="21"/>
          <w:highlight w:val="none"/>
          <w:u w:val="single"/>
          <w:lang w:val="zh-CN"/>
        </w:rPr>
        <w:t>）。</w:t>
      </w:r>
    </w:p>
    <w:p>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89" w:name="_Toc3469"/>
      <w:bookmarkStart w:id="190" w:name="_Toc450662862"/>
      <w:bookmarkStart w:id="191" w:name="_Toc486167676"/>
      <w:bookmarkStart w:id="192" w:name="_Toc20312"/>
      <w:bookmarkStart w:id="193" w:name="_Toc12427"/>
      <w:bookmarkStart w:id="194" w:name="_Toc142508326"/>
      <w:bookmarkStart w:id="195" w:name="_Toc6177"/>
      <w:bookmarkStart w:id="196" w:name="_Toc30042_WPSOffice_Level3"/>
      <w:bookmarkStart w:id="197" w:name="_Toc7573"/>
      <w:r>
        <w:rPr>
          <w:rFonts w:hint="eastAsia" w:ascii="宋体" w:hAnsi="宋体" w:eastAsia="宋体" w:cs="宋体"/>
          <w:b/>
          <w:color w:val="auto"/>
          <w:szCs w:val="21"/>
          <w:highlight w:val="none"/>
          <w:lang w:val="zh-CN"/>
        </w:rPr>
        <w:t>12 投标报价货币</w:t>
      </w:r>
      <w:bookmarkEnd w:id="189"/>
      <w:bookmarkEnd w:id="190"/>
      <w:bookmarkEnd w:id="191"/>
      <w:bookmarkEnd w:id="192"/>
      <w:bookmarkEnd w:id="193"/>
      <w:bookmarkEnd w:id="194"/>
      <w:bookmarkEnd w:id="195"/>
      <w:bookmarkEnd w:id="196"/>
      <w:bookmarkEnd w:id="197"/>
    </w:p>
    <w:p>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8" w:name="_Toc9411_WPSOffice_Level3"/>
      <w:bookmarkStart w:id="199" w:name="_Toc450662863"/>
      <w:bookmarkStart w:id="200" w:name="_Toc14981"/>
      <w:bookmarkStart w:id="201" w:name="_Toc20031"/>
      <w:bookmarkStart w:id="202" w:name="_Toc142508327"/>
      <w:bookmarkStart w:id="203" w:name="_Toc486167677"/>
      <w:bookmarkStart w:id="204" w:name="_Toc9955"/>
      <w:bookmarkStart w:id="205" w:name="_Toc3961"/>
      <w:bookmarkStart w:id="206" w:name="_Toc7151"/>
      <w:r>
        <w:rPr>
          <w:rFonts w:hint="eastAsia" w:ascii="宋体" w:hAnsi="宋体" w:eastAsia="宋体" w:cs="宋体"/>
          <w:color w:val="auto"/>
          <w:szCs w:val="21"/>
          <w:highlight w:val="none"/>
          <w:lang w:val="zh-CN"/>
        </w:rPr>
        <w:t>13 证明投标人的合格性和资格的声明文件</w:t>
      </w:r>
      <w:bookmarkEnd w:id="198"/>
      <w:bookmarkEnd w:id="199"/>
      <w:bookmarkEnd w:id="200"/>
      <w:bookmarkEnd w:id="201"/>
      <w:bookmarkEnd w:id="202"/>
      <w:bookmarkEnd w:id="203"/>
      <w:bookmarkEnd w:id="204"/>
      <w:bookmarkEnd w:id="205"/>
      <w:bookmarkEnd w:id="206"/>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7" w:name="_Toc21262"/>
      <w:bookmarkStart w:id="208" w:name="_Toc29754"/>
      <w:bookmarkStart w:id="209" w:name="_Toc486167678"/>
      <w:bookmarkStart w:id="210" w:name="_Toc7708"/>
      <w:bookmarkStart w:id="211" w:name="_Toc29029"/>
      <w:bookmarkStart w:id="212" w:name="_Toc27771_WPSOffice_Level3"/>
      <w:bookmarkStart w:id="213" w:name="_Toc450662864"/>
      <w:bookmarkStart w:id="214" w:name="_Toc142508328"/>
      <w:bookmarkStart w:id="215" w:name="_Toc8615"/>
      <w:r>
        <w:rPr>
          <w:rFonts w:hint="eastAsia" w:ascii="宋体" w:hAnsi="宋体" w:eastAsia="宋体" w:cs="宋体"/>
          <w:color w:val="auto"/>
          <w:szCs w:val="21"/>
          <w:highlight w:val="none"/>
          <w:lang w:val="zh-CN"/>
        </w:rPr>
        <w:t>14 证明</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的合格性并符合招标文件规定的声明文件</w:t>
      </w:r>
      <w:bookmarkEnd w:id="207"/>
      <w:bookmarkEnd w:id="208"/>
      <w:bookmarkEnd w:id="209"/>
      <w:bookmarkEnd w:id="210"/>
      <w:bookmarkEnd w:id="211"/>
      <w:bookmarkEnd w:id="212"/>
      <w:bookmarkEnd w:id="213"/>
      <w:bookmarkEnd w:id="214"/>
      <w:bookmarkEnd w:id="215"/>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证明货物及有关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pPr>
        <w:autoSpaceDE w:val="0"/>
        <w:autoSpaceDN w:val="0"/>
        <w:adjustRightInd w:val="0"/>
        <w:spacing w:line="360" w:lineRule="auto"/>
        <w:rPr>
          <w:rFonts w:hint="eastAsia"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6" w:name="_Toc8644"/>
      <w:bookmarkStart w:id="217" w:name="_Toc7860"/>
      <w:bookmarkStart w:id="218" w:name="_Toc5356_WPSOffice_Level3"/>
      <w:bookmarkStart w:id="219" w:name="_Toc3206"/>
      <w:bookmarkStart w:id="220" w:name="_Toc486167679"/>
      <w:bookmarkStart w:id="221" w:name="_Toc195714233"/>
      <w:bookmarkStart w:id="222" w:name="_Toc30555"/>
      <w:bookmarkStart w:id="223" w:name="_Toc142508329"/>
      <w:bookmarkStart w:id="224" w:name="_Toc27132"/>
      <w:bookmarkStart w:id="225" w:name="_Toc12879"/>
      <w:r>
        <w:rPr>
          <w:rFonts w:hint="eastAsia" w:ascii="宋体" w:hAnsi="宋体" w:eastAsia="宋体" w:cs="宋体"/>
          <w:color w:val="auto"/>
          <w:szCs w:val="21"/>
          <w:highlight w:val="none"/>
          <w:lang w:val="zh-CN"/>
        </w:rPr>
        <w:t>15 投标保证金</w:t>
      </w:r>
      <w:bookmarkEnd w:id="216"/>
      <w:bookmarkEnd w:id="217"/>
      <w:bookmarkEnd w:id="218"/>
      <w:bookmarkEnd w:id="219"/>
      <w:bookmarkEnd w:id="220"/>
      <w:bookmarkEnd w:id="221"/>
      <w:bookmarkEnd w:id="222"/>
      <w:bookmarkEnd w:id="223"/>
      <w:bookmarkEnd w:id="224"/>
      <w:bookmarkEnd w:id="225"/>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pPr>
        <w:autoSpaceDE w:val="0"/>
        <w:autoSpaceDN w:val="0"/>
        <w:adjustRightInd w:val="0"/>
        <w:spacing w:line="360" w:lineRule="auto"/>
        <w:ind w:left="225" w:leftChars="107" w:firstLine="489" w:firstLineChars="233"/>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投标截止时间前，已在公共资源交易企业库建档的投标人应将保证金关联至本</w:t>
      </w:r>
      <w:r>
        <w:rPr>
          <w:rFonts w:hint="eastAsia" w:ascii="宋体" w:hAnsi="宋体" w:eastAsia="宋体" w:cs="宋体"/>
          <w:bCs w:val="0"/>
          <w:color w:val="auto"/>
          <w:kern w:val="0"/>
          <w:szCs w:val="21"/>
          <w:highlight w:val="none"/>
          <w:lang w:val="en-US" w:eastAsia="zh-CN"/>
        </w:rPr>
        <w:t>项目</w:t>
      </w:r>
      <w:r>
        <w:rPr>
          <w:rFonts w:hint="eastAsia" w:ascii="宋体" w:hAnsi="宋体" w:eastAsia="宋体" w:cs="宋体"/>
          <w:bCs w:val="0"/>
          <w:color w:val="auto"/>
          <w:kern w:val="0"/>
          <w:szCs w:val="21"/>
          <w:highlight w:val="none"/>
          <w:lang w:val="zh-CN"/>
        </w:rPr>
        <w:t>。具体要求详见全国公共资源交易平台（广东省·东莞市）（网址：https://ygp.gdzwfw.gov.cn/#/441900/index）办事指南中的相关规定。</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pPr>
        <w:autoSpaceDE w:val="0"/>
        <w:autoSpaceDN w:val="0"/>
        <w:adjustRightInd w:val="0"/>
        <w:spacing w:line="360" w:lineRule="auto"/>
        <w:ind w:left="401" w:leftChars="191" w:firstLine="436" w:firstLineChars="208"/>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bookmarkStart w:id="226" w:name="_Toc3875"/>
      <w:bookmarkStart w:id="227" w:name="_Toc19219"/>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bookmarkEnd w:id="226"/>
      <w:bookmarkEnd w:id="227"/>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条规定签署合同。</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en-US"/>
        </w:rPr>
      </w:pPr>
      <w:bookmarkStart w:id="228" w:name="_Toc22708"/>
      <w:bookmarkStart w:id="229" w:name="_Toc30462"/>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bookmarkEnd w:id="228"/>
      <w:bookmarkEnd w:id="229"/>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lang w:val="en-US" w:eastAsia="zh-CN"/>
        </w:rPr>
        <w:t>账</w:t>
      </w:r>
      <w:r>
        <w:rPr>
          <w:rFonts w:hint="eastAsia" w:ascii="宋体" w:hAnsi="宋体" w:eastAsia="宋体" w:cs="宋体"/>
          <w:bCs/>
          <w:color w:val="auto"/>
          <w:kern w:val="0"/>
          <w:szCs w:val="21"/>
          <w:highlight w:val="none"/>
          <w:lang w:val="zh-CN"/>
        </w:rPr>
        <w:t>户见全国公共资源交易平台（广东省·东莞市）办事指南。</w:t>
      </w:r>
    </w:p>
    <w:p>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0" w:name="_Toc14272"/>
      <w:bookmarkStart w:id="231" w:name="_Toc1458"/>
      <w:bookmarkStart w:id="232" w:name="_Toc24580"/>
      <w:bookmarkStart w:id="233" w:name="_Toc450662865"/>
      <w:bookmarkStart w:id="234" w:name="_Toc142508330"/>
      <w:bookmarkStart w:id="235" w:name="_Toc486167680"/>
      <w:bookmarkStart w:id="236" w:name="_Toc22649_WPSOffice_Level3"/>
      <w:bookmarkStart w:id="237" w:name="_Toc29607"/>
      <w:bookmarkStart w:id="238" w:name="_Toc16351"/>
      <w:r>
        <w:rPr>
          <w:rFonts w:hint="eastAsia" w:ascii="宋体" w:hAnsi="宋体" w:eastAsia="宋体" w:cs="宋体"/>
          <w:color w:val="auto"/>
          <w:szCs w:val="21"/>
          <w:highlight w:val="none"/>
          <w:lang w:val="zh-CN"/>
        </w:rPr>
        <w:t>16 投标有效期</w:t>
      </w:r>
      <w:bookmarkEnd w:id="230"/>
      <w:bookmarkEnd w:id="231"/>
      <w:bookmarkEnd w:id="232"/>
      <w:bookmarkEnd w:id="233"/>
      <w:bookmarkEnd w:id="234"/>
      <w:bookmarkEnd w:id="235"/>
      <w:bookmarkEnd w:id="236"/>
      <w:bookmarkEnd w:id="237"/>
      <w:bookmarkEnd w:id="238"/>
    </w:p>
    <w:p>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9" w:name="_Toc450662866"/>
      <w:bookmarkStart w:id="240" w:name="_Toc142508331"/>
      <w:bookmarkStart w:id="241" w:name="_Toc15065"/>
      <w:bookmarkStart w:id="242" w:name="_Toc486167681"/>
      <w:bookmarkStart w:id="243" w:name="_Toc25637_WPSOffice_Level3"/>
      <w:bookmarkStart w:id="244" w:name="_Toc119"/>
      <w:bookmarkStart w:id="245" w:name="_Toc16430"/>
      <w:bookmarkStart w:id="246" w:name="_Toc195714235"/>
      <w:bookmarkStart w:id="247" w:name="_Toc20422"/>
      <w:bookmarkStart w:id="248" w:name="_Toc932"/>
      <w:bookmarkStart w:id="249" w:name="_Toc25462"/>
      <w:r>
        <w:rPr>
          <w:rFonts w:hint="eastAsia" w:ascii="宋体" w:hAnsi="宋体" w:eastAsia="宋体" w:cs="宋体"/>
          <w:color w:val="auto"/>
          <w:szCs w:val="21"/>
          <w:highlight w:val="none"/>
          <w:lang w:val="zh-CN"/>
        </w:rPr>
        <w:t>17 投标文件的编制和签署</w:t>
      </w:r>
      <w:bookmarkEnd w:id="239"/>
      <w:bookmarkEnd w:id="240"/>
      <w:bookmarkEnd w:id="241"/>
      <w:bookmarkEnd w:id="242"/>
      <w:bookmarkEnd w:id="243"/>
      <w:bookmarkEnd w:id="244"/>
      <w:bookmarkEnd w:id="245"/>
      <w:bookmarkEnd w:id="246"/>
      <w:bookmarkEnd w:id="247"/>
      <w:bookmarkEnd w:id="248"/>
      <w:bookmarkEnd w:id="249"/>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50" w:name="_Toc26960"/>
      <w:bookmarkStart w:id="251" w:name="_Toc9587"/>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bookmarkEnd w:id="250"/>
      <w:bookmarkEnd w:id="251"/>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52" w:name="_Toc19767"/>
      <w:bookmarkStart w:id="253" w:name="_Toc3092"/>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252"/>
      <w:bookmarkEnd w:id="253"/>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 </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54" w:name="_Toc26313"/>
      <w:bookmarkStart w:id="255" w:name="_Toc3854"/>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254"/>
      <w:bookmarkEnd w:id="255"/>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pPr>
        <w:autoSpaceDE w:val="0"/>
        <w:autoSpaceDN w:val="0"/>
        <w:adjustRightInd w:val="0"/>
        <w:jc w:val="left"/>
        <w:rPr>
          <w:rFonts w:hint="eastAsia" w:ascii="宋体" w:hAnsi="宋体" w:eastAsia="宋体" w:cs="宋体"/>
          <w:color w:val="auto"/>
          <w:kern w:val="0"/>
          <w:sz w:val="24"/>
          <w:szCs w:val="24"/>
          <w:highlight w:val="none"/>
        </w:rPr>
      </w:pPr>
      <w:bookmarkStart w:id="256" w:name="_Toc450662867"/>
    </w:p>
    <w:bookmarkEnd w:id="256"/>
    <w:p>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57" w:name="_Toc7829"/>
      <w:bookmarkStart w:id="258" w:name="_Toc142508332"/>
      <w:bookmarkStart w:id="259" w:name="_Toc26605"/>
      <w:bookmarkStart w:id="260" w:name="_Toc140596891"/>
      <w:bookmarkStart w:id="261" w:name="_Toc17199"/>
      <w:bookmarkStart w:id="262" w:name="_Toc11307"/>
      <w:bookmarkStart w:id="263" w:name="_Toc195714236"/>
      <w:bookmarkStart w:id="264" w:name="_Toc486167682"/>
      <w:bookmarkStart w:id="265" w:name="_Toc22356_WPSOffice_Level2"/>
      <w:bookmarkStart w:id="266" w:name="_Toc7244"/>
      <w:bookmarkStart w:id="267" w:name="_Toc4919"/>
      <w:r>
        <w:rPr>
          <w:rFonts w:hint="eastAsia" w:ascii="宋体" w:hAnsi="宋体" w:eastAsia="宋体" w:cs="宋体"/>
          <w:b/>
          <w:bCs/>
          <w:color w:val="auto"/>
          <w:kern w:val="44"/>
          <w:szCs w:val="21"/>
          <w:highlight w:val="none"/>
          <w:lang w:val="zh-CN"/>
        </w:rPr>
        <w:t>四、投标</w:t>
      </w:r>
      <w:bookmarkEnd w:id="257"/>
      <w:bookmarkEnd w:id="258"/>
      <w:bookmarkEnd w:id="259"/>
      <w:bookmarkEnd w:id="260"/>
      <w:bookmarkEnd w:id="261"/>
      <w:bookmarkEnd w:id="262"/>
      <w:bookmarkEnd w:id="263"/>
      <w:bookmarkEnd w:id="264"/>
      <w:bookmarkEnd w:id="265"/>
      <w:bookmarkEnd w:id="266"/>
      <w:bookmarkEnd w:id="267"/>
    </w:p>
    <w:p>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68" w:name="_Toc195714237"/>
      <w:bookmarkStart w:id="269" w:name="_Toc12192_WPSOffice_Level3"/>
      <w:bookmarkStart w:id="270" w:name="_Toc31551"/>
      <w:bookmarkStart w:id="271" w:name="_Toc450662868"/>
      <w:bookmarkStart w:id="272" w:name="_Toc486167683"/>
      <w:bookmarkStart w:id="273" w:name="_Toc142508333"/>
      <w:bookmarkStart w:id="274" w:name="_Toc29885"/>
      <w:bookmarkStart w:id="275" w:name="_Toc19325"/>
      <w:bookmarkStart w:id="276" w:name="_Toc3466"/>
      <w:bookmarkStart w:id="277" w:name="_Toc11690"/>
      <w:bookmarkStart w:id="278" w:name="_Toc22475"/>
      <w:r>
        <w:rPr>
          <w:rFonts w:hint="eastAsia" w:ascii="宋体" w:hAnsi="宋体" w:eastAsia="宋体" w:cs="宋体"/>
          <w:color w:val="auto"/>
          <w:szCs w:val="21"/>
          <w:highlight w:val="none"/>
          <w:lang w:val="zh-CN"/>
        </w:rPr>
        <w:t xml:space="preserve">18 </w:t>
      </w:r>
      <w:bookmarkEnd w:id="268"/>
      <w:bookmarkEnd w:id="269"/>
      <w:bookmarkEnd w:id="270"/>
      <w:bookmarkEnd w:id="271"/>
      <w:bookmarkEnd w:id="272"/>
      <w:bookmarkEnd w:id="273"/>
      <w:bookmarkEnd w:id="274"/>
      <w:r>
        <w:rPr>
          <w:rFonts w:hint="eastAsia" w:ascii="宋体" w:hAnsi="宋体" w:eastAsia="宋体" w:cs="宋体"/>
          <w:color w:val="auto"/>
          <w:szCs w:val="21"/>
          <w:highlight w:val="none"/>
          <w:lang w:val="zh-CN"/>
        </w:rPr>
        <w:t>投标文件的加密</w:t>
      </w:r>
      <w:bookmarkEnd w:id="275"/>
      <w:bookmarkEnd w:id="276"/>
      <w:bookmarkEnd w:id="277"/>
      <w:bookmarkEnd w:id="278"/>
    </w:p>
    <w:p>
      <w:pPr>
        <w:tabs>
          <w:tab w:val="left" w:pos="567"/>
        </w:tabs>
        <w:adjustRightInd w:val="0"/>
        <w:spacing w:line="360" w:lineRule="auto"/>
        <w:ind w:firstLine="144" w:firstLineChars="6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rPr>
      </w:pPr>
    </w:p>
    <w:p>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79" w:name="_Toc4570"/>
      <w:bookmarkStart w:id="280" w:name="_Toc3867"/>
      <w:bookmarkStart w:id="281" w:name="_Toc32766"/>
      <w:bookmarkStart w:id="282" w:name="_Toc195714238"/>
      <w:bookmarkStart w:id="283" w:name="_Toc27535"/>
      <w:r>
        <w:rPr>
          <w:rFonts w:hint="eastAsia" w:ascii="宋体" w:hAnsi="宋体" w:eastAsia="宋体" w:cs="宋体"/>
          <w:color w:val="auto"/>
          <w:szCs w:val="21"/>
          <w:highlight w:val="none"/>
          <w:lang w:val="zh-CN"/>
        </w:rPr>
        <w:t>19 投标文件的提交</w:t>
      </w:r>
      <w:bookmarkEnd w:id="279"/>
      <w:bookmarkEnd w:id="280"/>
      <w:bookmarkEnd w:id="281"/>
      <w:bookmarkEnd w:id="282"/>
      <w:bookmarkEnd w:id="283"/>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bookmarkStart w:id="284" w:name="_Toc10837"/>
      <w:bookmarkStart w:id="285" w:name="_Toc8570"/>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bookmarkEnd w:id="284"/>
      <w:bookmarkEnd w:id="285"/>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86" w:name="_Toc10027"/>
      <w:bookmarkStart w:id="287" w:name="_Toc8540"/>
      <w:bookmarkStart w:id="288" w:name="_Toc30880"/>
      <w:bookmarkStart w:id="289" w:name="_Toc195714239"/>
      <w:bookmarkStart w:id="290" w:name="_Toc2123"/>
      <w:r>
        <w:rPr>
          <w:rFonts w:hint="eastAsia" w:ascii="宋体" w:hAnsi="宋体" w:eastAsia="宋体" w:cs="宋体"/>
          <w:color w:val="auto"/>
          <w:szCs w:val="21"/>
          <w:highlight w:val="none"/>
          <w:lang w:val="zh-CN"/>
        </w:rPr>
        <w:t>20 投标会时间、地点及投标文件提交的截止时间</w:t>
      </w:r>
      <w:bookmarkEnd w:id="286"/>
      <w:bookmarkEnd w:id="287"/>
      <w:bookmarkEnd w:id="288"/>
      <w:bookmarkEnd w:id="289"/>
      <w:bookmarkEnd w:id="290"/>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91" w:name="_Toc20231"/>
      <w:bookmarkStart w:id="292" w:name="_Toc5699"/>
      <w:bookmarkStart w:id="293" w:name="_Toc195714240"/>
      <w:bookmarkStart w:id="294" w:name="_Toc13760"/>
      <w:bookmarkStart w:id="295" w:name="_Toc11228"/>
      <w:r>
        <w:rPr>
          <w:rFonts w:hint="eastAsia" w:ascii="宋体" w:hAnsi="宋体" w:eastAsia="宋体" w:cs="宋体"/>
          <w:color w:val="auto"/>
          <w:szCs w:val="21"/>
          <w:highlight w:val="none"/>
          <w:lang w:val="zh-CN"/>
        </w:rPr>
        <w:t>21 投标文件的拒绝</w:t>
      </w:r>
      <w:bookmarkEnd w:id="291"/>
      <w:bookmarkEnd w:id="292"/>
      <w:bookmarkEnd w:id="293"/>
      <w:bookmarkEnd w:id="294"/>
      <w:bookmarkEnd w:id="295"/>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6" w:name="_Toc1676"/>
      <w:bookmarkStart w:id="297" w:name="_Toc195714241"/>
      <w:bookmarkStart w:id="298" w:name="_Toc26166"/>
      <w:bookmarkStart w:id="299" w:name="_Toc32469"/>
      <w:bookmarkStart w:id="300" w:name="_Toc2654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96"/>
      <w:bookmarkEnd w:id="297"/>
      <w:bookmarkEnd w:id="298"/>
      <w:bookmarkEnd w:id="299"/>
      <w:bookmarkEnd w:id="300"/>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01" w:name="_Toc3055"/>
      <w:bookmarkStart w:id="302" w:name="_Toc450662872"/>
      <w:bookmarkStart w:id="303" w:name="_Toc142508337"/>
      <w:bookmarkStart w:id="304" w:name="_Toc30428"/>
      <w:bookmarkStart w:id="305" w:name="_Toc5498"/>
      <w:bookmarkStart w:id="306" w:name="_Toc28824"/>
      <w:bookmarkStart w:id="307" w:name="_Toc7367"/>
      <w:bookmarkStart w:id="308" w:name="_Toc140596896"/>
      <w:bookmarkStart w:id="309" w:name="_Toc1049_WPSOffice_Level2"/>
      <w:bookmarkStart w:id="310" w:name="_Toc486167687"/>
      <w:bookmarkStart w:id="311" w:name="_Toc29729"/>
      <w:bookmarkStart w:id="312" w:name="_Toc195714242"/>
      <w:bookmarkStart w:id="313" w:name="_Toc450662880"/>
      <w:r>
        <w:rPr>
          <w:rFonts w:hint="eastAsia" w:ascii="宋体" w:hAnsi="宋体" w:eastAsia="宋体" w:cs="宋体"/>
          <w:b/>
          <w:bCs/>
          <w:color w:val="auto"/>
          <w:kern w:val="44"/>
          <w:szCs w:val="21"/>
          <w:highlight w:val="none"/>
          <w:lang w:val="zh-CN"/>
        </w:rPr>
        <w:t>五、开标与评标</w:t>
      </w:r>
      <w:bookmarkEnd w:id="301"/>
      <w:bookmarkEnd w:id="302"/>
      <w:bookmarkEnd w:id="303"/>
      <w:bookmarkEnd w:id="304"/>
      <w:bookmarkEnd w:id="305"/>
      <w:bookmarkEnd w:id="306"/>
      <w:bookmarkEnd w:id="307"/>
      <w:bookmarkEnd w:id="308"/>
      <w:bookmarkEnd w:id="309"/>
      <w:bookmarkEnd w:id="310"/>
      <w:bookmarkEnd w:id="311"/>
      <w:bookmarkEnd w:id="312"/>
    </w:p>
    <w:p>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314" w:name="_Toc195714243"/>
      <w:bookmarkStart w:id="315" w:name="_Toc19111"/>
      <w:bookmarkStart w:id="316" w:name="_Toc18414"/>
      <w:bookmarkStart w:id="317" w:name="_Toc17477"/>
      <w:bookmarkStart w:id="318" w:name="_Toc3129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314"/>
      <w:bookmarkEnd w:id="315"/>
      <w:bookmarkEnd w:id="316"/>
      <w:bookmarkEnd w:id="317"/>
      <w:bookmarkEnd w:id="318"/>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23.6 由招标人及其委托的招标代理机构开启投标文件的报价信封进行唱标。</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9" w:name="_Toc23059"/>
      <w:bookmarkStart w:id="320" w:name="_Toc5684"/>
      <w:bookmarkStart w:id="321" w:name="_Toc29774"/>
      <w:bookmarkStart w:id="322" w:name="_Toc32534"/>
      <w:bookmarkStart w:id="323" w:name="_Toc14180"/>
      <w:bookmarkStart w:id="324" w:name="_Toc195714244"/>
      <w:bookmarkStart w:id="325" w:name="_Toc486167689"/>
      <w:bookmarkStart w:id="326" w:name="_Toc9682"/>
      <w:bookmarkStart w:id="327" w:name="_Toc142508339"/>
      <w:bookmarkStart w:id="328" w:name="_Toc450662874"/>
      <w:bookmarkStart w:id="329" w:name="_Toc12165_WPSOffice_Level3"/>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19"/>
      <w:bookmarkEnd w:id="320"/>
      <w:bookmarkEnd w:id="321"/>
      <w:bookmarkEnd w:id="322"/>
      <w:bookmarkEnd w:id="323"/>
      <w:bookmarkEnd w:id="324"/>
      <w:bookmarkEnd w:id="325"/>
      <w:bookmarkEnd w:id="326"/>
      <w:bookmarkEnd w:id="327"/>
      <w:bookmarkEnd w:id="328"/>
      <w:bookmarkEnd w:id="329"/>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0" w:name="_Toc142508340"/>
      <w:bookmarkStart w:id="331" w:name="_Toc16920"/>
      <w:bookmarkStart w:id="332" w:name="_Toc15565_WPSOffice_Level3"/>
      <w:bookmarkStart w:id="333" w:name="_Toc19681"/>
      <w:bookmarkStart w:id="334" w:name="_Toc195714245"/>
      <w:bookmarkStart w:id="335" w:name="_Toc32615"/>
      <w:bookmarkStart w:id="336" w:name="_Toc486167690"/>
      <w:bookmarkStart w:id="337" w:name="_Toc450662875"/>
      <w:bookmarkStart w:id="338" w:name="_Toc29387"/>
      <w:bookmarkStart w:id="339" w:name="_Toc800"/>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330"/>
      <w:bookmarkEnd w:id="331"/>
      <w:bookmarkEnd w:id="332"/>
      <w:bookmarkEnd w:id="333"/>
      <w:bookmarkEnd w:id="334"/>
      <w:bookmarkEnd w:id="335"/>
      <w:bookmarkEnd w:id="336"/>
      <w:bookmarkEnd w:id="337"/>
      <w:bookmarkEnd w:id="338"/>
      <w:bookmarkEnd w:id="339"/>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340" w:name="_Toc2532"/>
      <w:bookmarkStart w:id="341" w:name="_Toc4946"/>
      <w:bookmarkStart w:id="342" w:name="_Toc13854"/>
      <w:bookmarkStart w:id="343" w:name="_Toc195714246"/>
      <w:bookmarkStart w:id="344" w:name="_Toc29870"/>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340"/>
      <w:bookmarkEnd w:id="341"/>
      <w:bookmarkEnd w:id="342"/>
      <w:bookmarkEnd w:id="343"/>
      <w:bookmarkEnd w:id="344"/>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开标（评标）时，投标文件出现下列情形之一的，应当作为无效投标文件：</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45" w:name="_Toc125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345"/>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投标文件签名使用的数字证书与签到的投标人名称不一致的；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投标文件附有招标人不能接受的条件的；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2条</w:t>
      </w:r>
      <w:r>
        <w:rPr>
          <w:rFonts w:hint="eastAsia" w:ascii="宋体" w:hAnsi="宋体" w:eastAsia="宋体" w:cs="宋体"/>
          <w:color w:val="auto"/>
          <w:szCs w:val="21"/>
          <w:highlight w:val="none"/>
          <w:lang w:val="zh-CN"/>
        </w:rPr>
        <w:t>的要求；</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投标人未按招标文件要求交纳投标保证金的；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投标文件报价信封中填报的投标单价报价高于不含税采购限价综合单价的；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投标人以低于企业成本价报价，且投标人不能合理说明或不能提供相关证明材料；</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lang w:val="zh-CN"/>
        </w:rPr>
        <w:t>的要求编制、使用企业数字证书或个人数字证书电子签名的；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46" w:name="_Toc30574"/>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投标有效期限不符合要求；</w:t>
      </w:r>
      <w:bookmarkEnd w:id="346"/>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投标文件未对招标范围内的全部内容进行投标报价或投标方案不是唯一；</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未提供或虚假填写《合同条款偏离表》，或对《合同条款偏离表》有负偏离的；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47" w:name="_Toc3291"/>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未填写或虚假填写《用户需求偏离表》的；</w:t>
      </w:r>
      <w:bookmarkEnd w:id="347"/>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未响应招标文件提出的实质性要求和条件（标注★的条款）；</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26.1.18投标产品的制造商及取得投标产品制造商就本次投标独家授权的经销商同时参与本项目投标的</w:t>
      </w:r>
      <w:r>
        <w:rPr>
          <w:rFonts w:hint="eastAsia" w:ascii="宋体" w:hAnsi="宋体" w:eastAsia="宋体" w:cs="宋体"/>
          <w:color w:val="auto"/>
          <w:szCs w:val="21"/>
          <w:highlight w:val="none"/>
          <w:lang w:val="zh-CN"/>
        </w:rPr>
        <w:t>；</w:t>
      </w:r>
    </w:p>
    <w:p>
      <w:pPr>
        <w:spacing w:line="360" w:lineRule="auto"/>
        <w:ind w:left="357" w:leftChars="-100" w:hanging="567"/>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26.1.19</w:t>
      </w:r>
      <w:r>
        <w:rPr>
          <w:rFonts w:hint="eastAsia" w:ascii="宋体" w:hAnsi="宋体" w:eastAsia="宋体" w:cs="宋体"/>
          <w:color w:val="auto"/>
          <w:szCs w:val="21"/>
          <w:highlight w:val="none"/>
          <w:lang w:val="en-US"/>
        </w:rPr>
        <w:t>同一投标产品的制造商通过两家或以上就本次投标独家授权的经销商同时参与本项目投标的</w:t>
      </w:r>
      <w:r>
        <w:rPr>
          <w:rFonts w:hint="eastAsia" w:ascii="宋体" w:hAnsi="宋体" w:eastAsia="宋体" w:cs="宋体"/>
          <w:color w:val="auto"/>
          <w:szCs w:val="21"/>
          <w:highlight w:val="none"/>
          <w:lang w:val="en-US" w:eastAsia="zh-CN"/>
        </w:rPr>
        <w:t>；</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48" w:name="_Toc12715"/>
      <w:bookmarkStart w:id="349" w:name="_Toc29883"/>
      <w:bookmarkStart w:id="350" w:name="_Toc486167691"/>
      <w:bookmarkStart w:id="351" w:name="_Toc18668"/>
      <w:bookmarkStart w:id="352" w:name="_Toc142508341"/>
      <w:bookmarkStart w:id="353" w:name="_Toc28910_WPSOffice_Level3"/>
      <w:bookmarkStart w:id="354" w:name="_Toc22266"/>
      <w:bookmarkStart w:id="355" w:name="_Toc195714247"/>
      <w:bookmarkStart w:id="356" w:name="_Toc3068"/>
      <w:bookmarkStart w:id="357" w:name="_Toc450662876"/>
      <w:bookmarkStart w:id="358" w:name="_Toc8692"/>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348"/>
      <w:bookmarkEnd w:id="349"/>
      <w:bookmarkEnd w:id="350"/>
      <w:bookmarkEnd w:id="351"/>
      <w:bookmarkEnd w:id="352"/>
      <w:bookmarkEnd w:id="353"/>
      <w:bookmarkEnd w:id="354"/>
      <w:bookmarkEnd w:id="355"/>
      <w:bookmarkEnd w:id="356"/>
      <w:bookmarkEnd w:id="357"/>
      <w:bookmarkEnd w:id="358"/>
    </w:p>
    <w:p>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9" w:name="_Toc338_WPSOffice_Level3"/>
      <w:bookmarkStart w:id="360" w:name="_Toc4837"/>
      <w:bookmarkStart w:id="361" w:name="_Toc450662877"/>
      <w:bookmarkStart w:id="362" w:name="_Toc195714248"/>
      <w:bookmarkStart w:id="363" w:name="_Toc30225"/>
      <w:bookmarkStart w:id="364" w:name="_Toc14701"/>
      <w:bookmarkStart w:id="365" w:name="_Toc486167692"/>
      <w:bookmarkStart w:id="366" w:name="_Toc142508342"/>
      <w:bookmarkStart w:id="367" w:name="_Toc25922"/>
      <w:bookmarkStart w:id="368" w:name="_Toc27027"/>
      <w:bookmarkStart w:id="369" w:name="_Toc6362"/>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359"/>
      <w:bookmarkEnd w:id="360"/>
      <w:bookmarkEnd w:id="361"/>
      <w:bookmarkEnd w:id="362"/>
      <w:bookmarkEnd w:id="363"/>
      <w:bookmarkEnd w:id="364"/>
      <w:bookmarkEnd w:id="365"/>
      <w:bookmarkEnd w:id="366"/>
      <w:bookmarkEnd w:id="367"/>
      <w:bookmarkEnd w:id="368"/>
      <w:bookmarkEnd w:id="369"/>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370"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370"/>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1" w:name="_Toc19871"/>
      <w:bookmarkStart w:id="372" w:name="_Toc31802"/>
      <w:bookmarkStart w:id="373" w:name="_Toc522047355"/>
      <w:bookmarkStart w:id="374" w:name="_Toc10967"/>
      <w:bookmarkStart w:id="375" w:name="_Toc18368_WPSOffice_Level3"/>
      <w:bookmarkStart w:id="376" w:name="_Toc142508343"/>
      <w:bookmarkStart w:id="377" w:name="_Toc10292"/>
      <w:bookmarkStart w:id="378" w:name="_Toc521918096"/>
      <w:bookmarkStart w:id="379" w:name="_Toc6675"/>
      <w:bookmarkStart w:id="380" w:name="_Toc22065"/>
      <w:bookmarkStart w:id="381" w:name="_Toc19571424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371"/>
      <w:bookmarkEnd w:id="372"/>
      <w:bookmarkEnd w:id="373"/>
      <w:bookmarkEnd w:id="374"/>
      <w:bookmarkEnd w:id="375"/>
      <w:bookmarkEnd w:id="376"/>
      <w:bookmarkEnd w:id="377"/>
      <w:bookmarkEnd w:id="378"/>
      <w:bookmarkEnd w:id="379"/>
      <w:bookmarkEnd w:id="380"/>
      <w:bookmarkEnd w:id="381"/>
    </w:p>
    <w:p>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29.4 </w:t>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82" w:name="_Toc521918097"/>
      <w:bookmarkStart w:id="383" w:name="_Toc522047356"/>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4" w:name="_Toc12693"/>
      <w:bookmarkStart w:id="385" w:name="_Toc16591"/>
      <w:bookmarkStart w:id="386" w:name="_Toc19095"/>
      <w:bookmarkStart w:id="387" w:name="_Toc142508344"/>
      <w:bookmarkStart w:id="388" w:name="_Toc195714250"/>
      <w:bookmarkStart w:id="389" w:name="_Toc14804"/>
      <w:bookmarkStart w:id="390" w:name="_Toc27026"/>
      <w:bookmarkStart w:id="391" w:name="_Toc18614"/>
      <w:bookmarkStart w:id="392" w:name="_Toc21460_WPSOffice_Level3"/>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382"/>
      <w:bookmarkEnd w:id="383"/>
      <w:bookmarkEnd w:id="384"/>
      <w:bookmarkEnd w:id="385"/>
      <w:bookmarkEnd w:id="386"/>
      <w:bookmarkEnd w:id="387"/>
      <w:bookmarkEnd w:id="388"/>
      <w:bookmarkEnd w:id="389"/>
      <w:bookmarkEnd w:id="390"/>
      <w:bookmarkEnd w:id="391"/>
      <w:bookmarkEnd w:id="392"/>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bookmarkStart w:id="393" w:name="_Toc4225"/>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393"/>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w:t>
      </w:r>
      <w:r>
        <w:rPr>
          <w:rFonts w:hint="eastAsia" w:ascii="宋体" w:hAnsi="宋体" w:eastAsia="宋体" w:cs="宋体"/>
          <w:b/>
          <w:bCs/>
          <w:color w:val="auto"/>
          <w:szCs w:val="21"/>
          <w:highlight w:val="none"/>
          <w:lang w:val="zh-CN" w:eastAsia="zh-CN"/>
        </w:rPr>
        <w:t>1</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zh-CN" w:eastAsia="zh-CN"/>
        </w:rPr>
        <w:t>若本次招标过程中，参与投标的投标人不足3个时，本项目公开招标失败。</w:t>
      </w:r>
    </w:p>
    <w:p>
      <w:pPr>
        <w:tabs>
          <w:tab w:val="left" w:pos="360"/>
        </w:tabs>
        <w:autoSpaceDE/>
        <w:autoSpaceDN/>
        <w:adjustRightInd w:val="0"/>
        <w:spacing w:line="360" w:lineRule="auto"/>
        <w:ind w:left="311" w:leftChars="148" w:right="44" w:rightChars="21" w:firstLine="0" w:firstLineChars="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eastAsia="zh-CN"/>
        </w:rPr>
        <w:t>（2）当参与投标的投标人不少于3个，经评标委员会评审，有效投标人只有2个时，经评标委员会对招标文件进行论证，招标文件没有不合理条款、招标程序符合规定的，本项目将根据招标文件附件一 评标工作大纲的要求继续进行评审；当有效投标人只有1个时，本项目公开招标失败。</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94" w:name="_Toc24751"/>
      <w:bookmarkStart w:id="395" w:name="_Toc465358969"/>
      <w:bookmarkStart w:id="396" w:name="_Toc142508345"/>
      <w:bookmarkStart w:id="397" w:name="_Toc11615"/>
      <w:bookmarkStart w:id="398" w:name="_Toc486167694"/>
      <w:bookmarkStart w:id="399" w:name="_Toc466882017"/>
      <w:bookmarkStart w:id="400" w:name="_Toc15217"/>
      <w:bookmarkStart w:id="401" w:name="_Toc4819"/>
      <w:bookmarkStart w:id="402" w:name="_Toc32484"/>
      <w:bookmarkStart w:id="403" w:name="_Toc195714251"/>
      <w:bookmarkStart w:id="404" w:name="_Toc15343"/>
      <w:bookmarkStart w:id="405" w:name="_Toc32498_WPSOffice_Level3"/>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394"/>
      <w:bookmarkEnd w:id="395"/>
      <w:bookmarkEnd w:id="396"/>
      <w:bookmarkEnd w:id="397"/>
      <w:bookmarkEnd w:id="398"/>
      <w:bookmarkEnd w:id="399"/>
      <w:bookmarkEnd w:id="400"/>
      <w:bookmarkEnd w:id="401"/>
      <w:bookmarkEnd w:id="402"/>
      <w:bookmarkEnd w:id="403"/>
      <w:bookmarkEnd w:id="404"/>
      <w:bookmarkEnd w:id="405"/>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w:t>
      </w:r>
      <w:r>
        <w:rPr>
          <w:rFonts w:hint="eastAsia" w:ascii="宋体" w:hAnsi="宋体" w:eastAsia="宋体" w:cs="宋体"/>
          <w:color w:val="auto"/>
          <w:szCs w:val="21"/>
          <w:highlight w:val="none"/>
          <w:lang w:val="en-US" w:eastAsia="zh-CN"/>
        </w:rPr>
        <w:t>复印件</w:t>
      </w:r>
      <w:r>
        <w:rPr>
          <w:rFonts w:hint="eastAsia" w:ascii="宋体" w:hAnsi="宋体" w:eastAsia="宋体" w:cs="宋体"/>
          <w:color w:val="auto"/>
          <w:szCs w:val="21"/>
          <w:highlight w:val="none"/>
          <w:lang w:val="zh-CN"/>
        </w:rPr>
        <w:t>（加盖法人公章）、以及合法来源的证据证明材料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406" w:name="_Toc466882018"/>
      <w:bookmarkStart w:id="407" w:name="_Toc195714252"/>
      <w:bookmarkStart w:id="408" w:name="_Toc14405"/>
      <w:bookmarkStart w:id="409" w:name="_Toc3154"/>
      <w:bookmarkStart w:id="410" w:name="_Toc1848_WPSOffice_Level3"/>
      <w:bookmarkStart w:id="411" w:name="_Toc465358970"/>
      <w:bookmarkStart w:id="412" w:name="_Toc5535"/>
      <w:bookmarkStart w:id="413" w:name="_Toc486167695"/>
      <w:bookmarkStart w:id="414" w:name="_Toc26354"/>
      <w:bookmarkStart w:id="415" w:name="_Toc30599"/>
      <w:bookmarkStart w:id="416" w:name="_Toc142508346"/>
      <w:bookmarkStart w:id="417" w:name="_Toc26283"/>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406"/>
      <w:bookmarkEnd w:id="407"/>
      <w:bookmarkEnd w:id="408"/>
      <w:bookmarkEnd w:id="409"/>
      <w:bookmarkEnd w:id="410"/>
      <w:bookmarkEnd w:id="411"/>
      <w:bookmarkEnd w:id="412"/>
      <w:bookmarkEnd w:id="413"/>
      <w:bookmarkEnd w:id="414"/>
      <w:bookmarkEnd w:id="415"/>
      <w:bookmarkEnd w:id="416"/>
      <w:bookmarkEnd w:id="417"/>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w:t>
      </w:r>
      <w:r>
        <w:rPr>
          <w:rFonts w:hint="eastAsia" w:ascii="宋体" w:hAnsi="宋体" w:eastAsia="宋体" w:cs="宋体"/>
          <w:b/>
          <w:color w:val="auto"/>
          <w:szCs w:val="21"/>
          <w:highlight w:val="none"/>
          <w:lang w:eastAsia="zh-CN"/>
        </w:rPr>
        <w:t>本须知</w:t>
      </w:r>
      <w:r>
        <w:rPr>
          <w:rFonts w:hint="eastAsia" w:ascii="宋体" w:hAnsi="宋体" w:eastAsia="宋体" w:cs="宋体"/>
          <w:b/>
          <w:color w:val="auto"/>
          <w:szCs w:val="21"/>
          <w:highlight w:val="none"/>
        </w:rPr>
        <w:t>31.2款约定按时提供原件进行核查的，或不按照投标文件承诺履约或</w:t>
      </w:r>
      <w:r>
        <w:rPr>
          <w:rFonts w:hint="eastAsia" w:ascii="宋体" w:hAnsi="宋体" w:eastAsia="宋体" w:cs="宋体"/>
          <w:b/>
          <w:color w:val="auto"/>
          <w:szCs w:val="21"/>
          <w:highlight w:val="none"/>
          <w:lang w:val="en-US" w:eastAsia="zh-CN"/>
        </w:rPr>
        <w:t>撤销</w:t>
      </w:r>
      <w:r>
        <w:rPr>
          <w:rFonts w:hint="eastAsia" w:ascii="宋体" w:hAnsi="宋体" w:eastAsia="宋体" w:cs="宋体"/>
          <w:b/>
          <w:color w:val="auto"/>
          <w:szCs w:val="21"/>
          <w:highlight w:val="none"/>
        </w:rPr>
        <w:t>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418" w:name="_Toc465358971"/>
      <w:bookmarkStart w:id="419" w:name="_Toc466882019"/>
    </w:p>
    <w:p>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420" w:name="_Toc30340"/>
      <w:bookmarkStart w:id="421" w:name="_Toc8654"/>
      <w:bookmarkStart w:id="422" w:name="_Toc142508347"/>
      <w:bookmarkStart w:id="423" w:name="_Toc10867_WPSOffice_Level3"/>
      <w:bookmarkStart w:id="424" w:name="_Toc11255"/>
      <w:bookmarkStart w:id="425" w:name="_Toc8903"/>
      <w:bookmarkStart w:id="426" w:name="_Toc23672"/>
      <w:bookmarkStart w:id="427" w:name="_Toc6704"/>
      <w:bookmarkStart w:id="428" w:name="_Toc486167696"/>
      <w:bookmarkStart w:id="429" w:name="_Toc195714253"/>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418"/>
      <w:bookmarkEnd w:id="419"/>
      <w:bookmarkEnd w:id="420"/>
      <w:bookmarkEnd w:id="421"/>
      <w:bookmarkEnd w:id="422"/>
      <w:bookmarkEnd w:id="423"/>
      <w:bookmarkEnd w:id="424"/>
      <w:bookmarkEnd w:id="425"/>
      <w:bookmarkEnd w:id="426"/>
      <w:bookmarkEnd w:id="427"/>
      <w:bookmarkEnd w:id="428"/>
      <w:bookmarkEnd w:id="429"/>
    </w:p>
    <w:p>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p>
    <w:bookmarkEnd w:id="313"/>
    <w:p>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430" w:name="_Toc195714254"/>
      <w:bookmarkStart w:id="431" w:name="_Toc27936"/>
      <w:bookmarkStart w:id="432" w:name="_Toc25011"/>
      <w:bookmarkStart w:id="433" w:name="_Toc16789"/>
      <w:bookmarkStart w:id="434" w:name="_Toc486167697"/>
      <w:bookmarkStart w:id="435" w:name="_Toc140596907"/>
      <w:bookmarkStart w:id="436" w:name="_Toc32732"/>
      <w:bookmarkStart w:id="437" w:name="_Toc18769"/>
      <w:bookmarkStart w:id="438" w:name="_Toc16848_WPSOffice_Level2"/>
      <w:bookmarkStart w:id="439" w:name="_Toc16748"/>
      <w:bookmarkStart w:id="440" w:name="_Toc142508348"/>
      <w:bookmarkStart w:id="441" w:name="_Toc465358977"/>
      <w:bookmarkStart w:id="442" w:name="_Toc466882025"/>
      <w:r>
        <w:rPr>
          <w:rFonts w:hint="eastAsia" w:ascii="宋体" w:hAnsi="宋体" w:eastAsia="宋体" w:cs="宋体"/>
          <w:b/>
          <w:bCs/>
          <w:color w:val="auto"/>
          <w:kern w:val="44"/>
          <w:szCs w:val="21"/>
          <w:highlight w:val="none"/>
          <w:lang w:val="zh-CN"/>
        </w:rPr>
        <w:t>六、授予合同</w:t>
      </w:r>
      <w:bookmarkEnd w:id="430"/>
      <w:bookmarkEnd w:id="431"/>
      <w:bookmarkEnd w:id="432"/>
      <w:bookmarkEnd w:id="433"/>
      <w:bookmarkEnd w:id="434"/>
      <w:bookmarkEnd w:id="435"/>
      <w:bookmarkEnd w:id="436"/>
      <w:bookmarkEnd w:id="437"/>
      <w:bookmarkEnd w:id="438"/>
      <w:bookmarkEnd w:id="439"/>
      <w:bookmarkEnd w:id="440"/>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43" w:name="_Toc486167698"/>
      <w:bookmarkStart w:id="444" w:name="_Toc142508349"/>
      <w:bookmarkStart w:id="445" w:name="_Toc16417"/>
      <w:bookmarkStart w:id="446" w:name="_Toc450662881"/>
      <w:bookmarkStart w:id="447" w:name="_Toc4578"/>
      <w:bookmarkStart w:id="448" w:name="_Toc8531"/>
      <w:bookmarkStart w:id="449" w:name="_Toc8164"/>
      <w:bookmarkStart w:id="450" w:name="_Toc29383"/>
      <w:bookmarkStart w:id="451" w:name="_Toc6401_WPSOffice_Level3"/>
      <w:bookmarkStart w:id="452" w:name="_Toc195714255"/>
      <w:bookmarkStart w:id="453" w:name="_Toc31713"/>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443"/>
      <w:bookmarkEnd w:id="444"/>
      <w:bookmarkEnd w:id="445"/>
      <w:bookmarkEnd w:id="446"/>
      <w:bookmarkEnd w:id="447"/>
      <w:bookmarkEnd w:id="448"/>
      <w:bookmarkEnd w:id="449"/>
      <w:bookmarkEnd w:id="450"/>
      <w:bookmarkEnd w:id="451"/>
      <w:bookmarkEnd w:id="452"/>
      <w:bookmarkEnd w:id="453"/>
    </w:p>
    <w:p>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54" w:name="_Toc450662885"/>
    </w:p>
    <w:p>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5" w:name="_Toc8196"/>
      <w:bookmarkStart w:id="456" w:name="_Toc6726_WPSOffice_Level3"/>
      <w:bookmarkStart w:id="457" w:name="_Toc195714256"/>
      <w:bookmarkStart w:id="458" w:name="_Toc486167699"/>
      <w:bookmarkStart w:id="459" w:name="_Toc13906"/>
      <w:bookmarkStart w:id="460" w:name="_Toc1669"/>
      <w:bookmarkStart w:id="461" w:name="_Toc24354"/>
      <w:bookmarkStart w:id="462" w:name="_Toc21308"/>
      <w:bookmarkStart w:id="463" w:name="_Toc142508350"/>
      <w:bookmarkStart w:id="464" w:name="_Toc18984"/>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454"/>
      <w:bookmarkEnd w:id="455"/>
      <w:bookmarkEnd w:id="456"/>
      <w:bookmarkEnd w:id="457"/>
      <w:bookmarkEnd w:id="458"/>
      <w:bookmarkEnd w:id="459"/>
      <w:bookmarkEnd w:id="460"/>
      <w:bookmarkEnd w:id="461"/>
      <w:bookmarkEnd w:id="462"/>
      <w:bookmarkEnd w:id="463"/>
      <w:bookmarkEnd w:id="464"/>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65"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66" w:name="_Toc9694_WPSOffice_Level3"/>
      <w:bookmarkStart w:id="467" w:name="_Toc4722"/>
      <w:bookmarkStart w:id="468" w:name="_Toc11408"/>
      <w:bookmarkStart w:id="469" w:name="_Toc195714257"/>
      <w:bookmarkStart w:id="470" w:name="_Toc28020"/>
      <w:bookmarkStart w:id="471" w:name="_Toc31041"/>
      <w:bookmarkStart w:id="472" w:name="_Toc1257"/>
      <w:bookmarkStart w:id="473" w:name="_Toc486167700"/>
      <w:bookmarkStart w:id="474" w:name="_Toc142508351"/>
      <w:bookmarkStart w:id="475" w:name="_Toc19127"/>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465"/>
      <w:bookmarkEnd w:id="466"/>
      <w:bookmarkEnd w:id="467"/>
      <w:bookmarkEnd w:id="468"/>
      <w:bookmarkEnd w:id="469"/>
      <w:bookmarkEnd w:id="470"/>
      <w:bookmarkEnd w:id="471"/>
      <w:bookmarkEnd w:id="472"/>
      <w:bookmarkEnd w:id="473"/>
      <w:bookmarkEnd w:id="474"/>
      <w:bookmarkEnd w:id="475"/>
    </w:p>
    <w:p>
      <w:pPr>
        <w:tabs>
          <w:tab w:val="left" w:pos="540"/>
        </w:tabs>
        <w:autoSpaceDE w:val="0"/>
        <w:autoSpaceDN w:val="0"/>
        <w:adjustRightInd w:val="0"/>
        <w:snapToGrid/>
        <w:spacing w:line="360" w:lineRule="auto"/>
        <w:ind w:left="330" w:leftChars="-100" w:right="15" w:rightChars="7" w:hanging="540" w:firstLineChars="0"/>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w:t>
      </w:r>
      <w:r>
        <w:rPr>
          <w:rFonts w:hint="eastAsia" w:ascii="宋体" w:hAnsi="宋体" w:eastAsia="宋体" w:cs="宋体"/>
          <w:b/>
          <w:bCs/>
          <w:i w:val="0"/>
          <w:iCs w:val="0"/>
          <w:color w:val="auto"/>
          <w:kern w:val="2"/>
          <w:sz w:val="21"/>
          <w:szCs w:val="21"/>
          <w:highlight w:val="none"/>
          <w:u w:val="single"/>
          <w:lang w:val="zh-CN"/>
        </w:rPr>
        <w:t>招标人</w:t>
      </w:r>
      <w:r>
        <w:rPr>
          <w:rFonts w:hint="eastAsia" w:ascii="宋体" w:hAnsi="宋体" w:eastAsia="宋体" w:cs="宋体"/>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u w:val="none"/>
          <w:lang w:val="zh-CN"/>
        </w:rPr>
        <w:t>。</w:t>
      </w:r>
    </w:p>
    <w:p>
      <w:pPr>
        <w:tabs>
          <w:tab w:val="left" w:pos="540"/>
        </w:tabs>
        <w:autoSpaceDE w:val="0"/>
        <w:autoSpaceDN w:val="0"/>
        <w:adjustRightInd w:val="0"/>
        <w:snapToGrid/>
        <w:spacing w:line="360" w:lineRule="auto"/>
        <w:ind w:left="330" w:leftChars="-100" w:right="15" w:rightChars="7" w:hanging="540" w:firstLineChars="0"/>
        <w:rPr>
          <w:rFonts w:hint="eastAsia" w:ascii="宋体" w:hAnsi="宋体" w:eastAsia="宋体" w:cs="宋体"/>
          <w:color w:val="auto"/>
          <w:szCs w:val="21"/>
          <w:highlight w:val="none"/>
          <w:u w:val="none"/>
          <w:lang w:val="zh-CN"/>
        </w:rPr>
      </w:pPr>
    </w:p>
    <w:p>
      <w:pPr>
        <w:tabs>
          <w:tab w:val="left" w:pos="540"/>
        </w:tabs>
        <w:autoSpaceDE w:val="0"/>
        <w:autoSpaceDN w:val="0"/>
        <w:adjustRightInd w:val="0"/>
        <w:snapToGrid/>
        <w:spacing w:line="360" w:lineRule="auto"/>
        <w:ind w:left="330" w:leftChars="-100" w:right="15" w:rightChars="7" w:hanging="540" w:firstLineChars="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 xml:space="preserve"> 本项目</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lang w:val="zh-CN"/>
        </w:rPr>
        <w:t>单位（即中标人）合同履约期间，如因</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lang w:val="zh-CN"/>
        </w:rPr>
        <w:t>单位（即中标人）存在违约行为或因其他合同约定或法定事由，导致招标人依法依规解除本合同的，招标人有权按照本项目综合评审结果，</w:t>
      </w:r>
      <w:r>
        <w:rPr>
          <w:rFonts w:hint="eastAsia" w:ascii="宋体" w:hAnsi="宋体" w:eastAsia="宋体" w:cs="Times New Roman"/>
          <w:color w:val="auto"/>
          <w:szCs w:val="21"/>
          <w:highlight w:val="none"/>
          <w:lang w:val="en-US" w:eastAsia="zh-CN"/>
        </w:rPr>
        <w:t>从以下方式中择一确定后续安排：</w:t>
      </w:r>
    </w:p>
    <w:p>
      <w:pPr>
        <w:snapToGrid w:val="0"/>
        <w:spacing w:line="360" w:lineRule="auto"/>
        <w:ind w:left="315" w:leftChars="-100" w:hanging="525" w:hangingChars="250"/>
        <w:rPr>
          <w:rFonts w:hint="eastAsia" w:ascii="宋体" w:hAnsi="宋体" w:eastAsia="宋体" w:cs="Times New Roman"/>
          <w:color w:val="auto"/>
          <w:szCs w:val="21"/>
          <w:highlight w:val="none"/>
          <w:lang w:val="zh-CN"/>
        </w:rPr>
      </w:pPr>
      <w:r>
        <w:rPr>
          <w:rFonts w:hint="eastAsia" w:ascii="宋体" w:hAnsi="宋体" w:eastAsia="宋体" w:cs="Times New Roman"/>
          <w:b w:val="0"/>
          <w:bCs w:val="0"/>
          <w:color w:val="auto"/>
          <w:szCs w:val="21"/>
          <w:highlight w:val="none"/>
          <w:lang w:val="en-US" w:eastAsia="zh-CN"/>
        </w:rPr>
        <w:t>36.2.1</w:t>
      </w:r>
      <w:r>
        <w:rPr>
          <w:rFonts w:hint="eastAsia" w:ascii="宋体" w:hAnsi="宋体" w:eastAsia="宋体" w:cs="Times New Roman"/>
          <w:b/>
          <w:bCs/>
          <w:color w:val="auto"/>
          <w:szCs w:val="21"/>
          <w:highlight w:val="none"/>
        </w:rPr>
        <w:t>替补</w:t>
      </w:r>
      <w:r>
        <w:rPr>
          <w:rFonts w:hint="eastAsia" w:ascii="宋体" w:hAnsi="宋体" w:eastAsia="宋体" w:cs="Times New Roman"/>
          <w:b/>
          <w:bCs/>
          <w:color w:val="auto"/>
          <w:szCs w:val="21"/>
          <w:highlight w:val="none"/>
          <w:lang w:val="en-US" w:eastAsia="zh-CN"/>
        </w:rPr>
        <w:t>投标人</w:t>
      </w:r>
      <w:r>
        <w:rPr>
          <w:rFonts w:hint="eastAsia" w:ascii="宋体" w:hAnsi="宋体" w:eastAsia="宋体" w:cs="Times New Roman"/>
          <w:b/>
          <w:bCs/>
          <w:color w:val="auto"/>
          <w:szCs w:val="21"/>
          <w:highlight w:val="none"/>
        </w:rPr>
        <w:t>承接：</w:t>
      </w:r>
      <w:r>
        <w:rPr>
          <w:rFonts w:hint="eastAsia" w:ascii="宋体" w:hAnsi="宋体" w:eastAsia="宋体" w:cs="Times New Roman"/>
          <w:b w:val="0"/>
          <w:bCs w:val="0"/>
          <w:color w:val="auto"/>
          <w:szCs w:val="21"/>
          <w:highlight w:val="none"/>
        </w:rPr>
        <w:t>招标人有权根据剩余有效投标人数量，在原评审排名基础上邀请相应投标人，通过谈判或其他招标人认可的方式，择优确定新的</w:t>
      </w:r>
      <w:r>
        <w:rPr>
          <w:rFonts w:hint="eastAsia" w:ascii="宋体" w:hAnsi="宋体" w:eastAsia="宋体" w:cs="Times New Roman"/>
          <w:b w:val="0"/>
          <w:bCs w:val="0"/>
          <w:color w:val="auto"/>
          <w:szCs w:val="21"/>
          <w:highlight w:val="none"/>
          <w:lang w:val="en-US" w:eastAsia="zh-CN"/>
        </w:rPr>
        <w:t>供货</w:t>
      </w:r>
      <w:r>
        <w:rPr>
          <w:rFonts w:hint="eastAsia" w:ascii="宋体" w:hAnsi="宋体" w:eastAsia="宋体" w:cs="Times New Roman"/>
          <w:b w:val="0"/>
          <w:bCs w:val="0"/>
          <w:color w:val="auto"/>
          <w:szCs w:val="21"/>
          <w:highlight w:val="none"/>
        </w:rPr>
        <w:t>单位承接本合同项下未履行部分的服务内容</w:t>
      </w: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lang w:val="en-US" w:eastAsia="zh-CN"/>
        </w:rPr>
        <w:t>邀请规则如下：</w:t>
      </w:r>
      <w:r>
        <w:rPr>
          <w:rFonts w:hint="eastAsia" w:ascii="宋体" w:hAnsi="宋体" w:eastAsia="宋体" w:cs="Times New Roman"/>
          <w:color w:val="auto"/>
          <w:szCs w:val="21"/>
          <w:highlight w:val="none"/>
          <w:lang w:val="en-US" w:eastAsia="zh-CN"/>
        </w:rPr>
        <w:t>当剩余有效投标人为2家时，邀请综合评审排名第2名及第3名的投标人，当剩余有效投标人≥3家时，邀请综合评审排名第2名至第4名的投标人</w:t>
      </w:r>
      <w:r>
        <w:rPr>
          <w:rFonts w:hint="eastAsia" w:ascii="宋体" w:hAnsi="宋体" w:eastAsia="宋体" w:cs="Times New Roman"/>
          <w:color w:val="auto"/>
          <w:szCs w:val="21"/>
          <w:highlight w:val="none"/>
          <w:lang w:val="zh-CN"/>
        </w:rPr>
        <w:t>。替补</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lang w:val="zh-CN"/>
        </w:rPr>
        <w:t>单位一经确定，应与招标人另行签订书面合同，</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lang w:val="zh-CN"/>
        </w:rPr>
        <w:t>标准、履约要求原则上不得低于投标时承诺的标准。</w:t>
      </w:r>
    </w:p>
    <w:p>
      <w:pPr>
        <w:autoSpaceDE/>
        <w:autoSpaceDN/>
        <w:adjustRightInd/>
        <w:snapToGrid w:val="0"/>
        <w:spacing w:line="360" w:lineRule="auto"/>
        <w:ind w:left="315" w:leftChars="-100" w:right="0" w:rightChars="0" w:hanging="525" w:hangingChars="250"/>
        <w:rPr>
          <w:rFonts w:hint="eastAsia" w:ascii="宋体" w:hAnsi="宋体" w:eastAsia="宋体" w:cs="宋体"/>
          <w:color w:val="auto"/>
          <w:szCs w:val="21"/>
          <w:highlight w:val="none"/>
          <w:u w:val="single"/>
          <w:lang w:val="zh-CN"/>
        </w:rPr>
      </w:pPr>
      <w:r>
        <w:rPr>
          <w:rFonts w:hint="eastAsia" w:ascii="宋体" w:hAnsi="宋体" w:eastAsia="宋体" w:cs="Times New Roman"/>
          <w:color w:val="auto"/>
          <w:szCs w:val="21"/>
          <w:highlight w:val="none"/>
          <w:lang w:val="en-US" w:eastAsia="zh-CN"/>
        </w:rPr>
        <w:t>36.2.2</w:t>
      </w:r>
      <w:r>
        <w:rPr>
          <w:rFonts w:hint="eastAsia" w:ascii="宋体" w:hAnsi="宋体" w:eastAsia="宋体" w:cs="Times New Roman"/>
          <w:b/>
          <w:bCs/>
          <w:color w:val="auto"/>
          <w:szCs w:val="21"/>
          <w:highlight w:val="none"/>
          <w:lang w:val="en-US" w:eastAsia="zh-CN"/>
        </w:rPr>
        <w:t>重新招标：</w:t>
      </w:r>
      <w:r>
        <w:rPr>
          <w:rFonts w:hint="eastAsia" w:ascii="宋体" w:hAnsi="宋体" w:eastAsia="宋体" w:cs="Times New Roman"/>
          <w:color w:val="auto"/>
          <w:szCs w:val="21"/>
          <w:highlight w:val="none"/>
          <w:lang w:val="en-US" w:eastAsia="zh-CN"/>
        </w:rPr>
        <w:t>招标人亦有权根据实际情况，重新组织招标。</w:t>
      </w:r>
    </w:p>
    <w:p>
      <w:pPr>
        <w:autoSpaceDE w:val="0"/>
        <w:autoSpaceDN w:val="0"/>
        <w:adjustRightInd w:val="0"/>
        <w:snapToGrid w:val="0"/>
        <w:spacing w:line="360" w:lineRule="auto"/>
        <w:ind w:left="0" w:leftChars="0" w:firstLine="0" w:firstLineChars="0"/>
        <w:jc w:val="left"/>
        <w:rPr>
          <w:rFonts w:hint="eastAsia"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76" w:name="_Toc20148"/>
      <w:bookmarkStart w:id="477" w:name="_Toc195714258"/>
      <w:bookmarkStart w:id="478" w:name="_Toc6114"/>
      <w:bookmarkStart w:id="479" w:name="_Toc5304"/>
      <w:bookmarkStart w:id="480" w:name="_Toc486167701"/>
      <w:bookmarkStart w:id="481" w:name="_Toc10371"/>
      <w:bookmarkStart w:id="482" w:name="_Toc8181"/>
      <w:bookmarkStart w:id="483" w:name="_Toc10513_WPSOffice_Level3"/>
      <w:bookmarkStart w:id="484" w:name="_Toc142508352"/>
      <w:bookmarkStart w:id="485" w:name="_Toc450662887"/>
      <w:bookmarkStart w:id="486" w:name="_Toc8633"/>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476"/>
      <w:bookmarkEnd w:id="477"/>
      <w:bookmarkEnd w:id="478"/>
      <w:bookmarkEnd w:id="479"/>
      <w:bookmarkEnd w:id="480"/>
      <w:bookmarkEnd w:id="481"/>
      <w:bookmarkEnd w:id="482"/>
      <w:bookmarkEnd w:id="483"/>
      <w:bookmarkEnd w:id="484"/>
      <w:bookmarkEnd w:id="485"/>
      <w:bookmarkEnd w:id="486"/>
    </w:p>
    <w:p>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 w:val="21"/>
          <w:szCs w:val="21"/>
          <w:highlight w:val="none"/>
          <w:u w:val="single"/>
          <w:lang w:val="en-US" w:eastAsia="zh-CN"/>
        </w:rPr>
        <w:t>不含税暂定合同价</w:t>
      </w:r>
      <w:r>
        <w:rPr>
          <w:rFonts w:hint="eastAsia" w:ascii="宋体" w:hAnsi="宋体" w:eastAsia="宋体" w:cs="宋体"/>
          <w:b/>
          <w:bCs/>
          <w:color w:val="auto"/>
          <w:szCs w:val="21"/>
          <w:highlight w:val="none"/>
          <w:u w:val="single"/>
          <w:lang w:val="zh-CN"/>
        </w:rPr>
        <w:t>的5%；采用不可撤销银行履约保函（或履约保证保险）形式的金额为</w:t>
      </w:r>
      <w:r>
        <w:rPr>
          <w:rFonts w:hint="eastAsia" w:ascii="宋体" w:hAnsi="宋体" w:eastAsia="宋体" w:cs="宋体"/>
          <w:b/>
          <w:bCs/>
          <w:color w:val="auto"/>
          <w:sz w:val="21"/>
          <w:szCs w:val="21"/>
          <w:highlight w:val="none"/>
          <w:u w:val="single"/>
          <w:lang w:val="en-US" w:eastAsia="zh-CN"/>
        </w:rPr>
        <w:t>不含税暂定合同价</w:t>
      </w:r>
      <w:r>
        <w:rPr>
          <w:rFonts w:hint="eastAsia" w:ascii="宋体" w:hAnsi="宋体" w:eastAsia="宋体" w:cs="宋体"/>
          <w:b/>
          <w:bCs/>
          <w:color w:val="auto"/>
          <w:szCs w:val="21"/>
          <w:highlight w:val="none"/>
          <w:u w:val="single"/>
          <w:lang w:val="zh-CN"/>
        </w:rPr>
        <w:t>的8%</w:t>
      </w:r>
      <w:r>
        <w:rPr>
          <w:rFonts w:hint="eastAsia" w:ascii="宋体" w:hAnsi="宋体" w:eastAsia="宋体" w:cs="Times New Roman"/>
          <w:b/>
          <w:bCs/>
          <w:color w:val="auto"/>
          <w:szCs w:val="21"/>
          <w:highlight w:val="none"/>
          <w:u w:val="single"/>
          <w:lang w:val="zh-CN"/>
        </w:rPr>
        <w:t>；</w:t>
      </w:r>
      <w:r>
        <w:rPr>
          <w:rFonts w:hint="eastAsia" w:ascii="宋体" w:hAnsi="宋体" w:eastAsia="宋体" w:cs="宋体"/>
          <w:b/>
          <w:bCs/>
          <w:color w:val="auto"/>
          <w:szCs w:val="21"/>
          <w:highlight w:val="none"/>
          <w:u w:val="single"/>
          <w:lang w:val="zh-CN"/>
        </w:rPr>
        <w:t>采用担保公司履约担保书形式的金额为</w:t>
      </w:r>
      <w:r>
        <w:rPr>
          <w:rFonts w:hint="eastAsia" w:ascii="宋体" w:hAnsi="宋体" w:eastAsia="宋体" w:cs="宋体"/>
          <w:b/>
          <w:bCs/>
          <w:color w:val="auto"/>
          <w:sz w:val="21"/>
          <w:szCs w:val="21"/>
          <w:highlight w:val="none"/>
          <w:u w:val="single"/>
          <w:lang w:val="en-US" w:eastAsia="zh-CN"/>
        </w:rPr>
        <w:t>不含税暂定合同价</w:t>
      </w:r>
      <w:r>
        <w:rPr>
          <w:rFonts w:hint="eastAsia" w:ascii="宋体" w:hAnsi="宋体" w:eastAsia="宋体" w:cs="宋体"/>
          <w:b/>
          <w:bCs/>
          <w:color w:val="auto"/>
          <w:szCs w:val="21"/>
          <w:highlight w:val="none"/>
          <w:u w:val="single"/>
          <w:lang w:val="zh-CN"/>
        </w:rPr>
        <w:t>的10%</w:t>
      </w:r>
      <w:bookmarkStart w:id="487" w:name="OLE_LINK387"/>
      <w:r>
        <w:rPr>
          <w:rFonts w:hint="eastAsia" w:ascii="宋体" w:hAnsi="宋体" w:eastAsia="宋体" w:cs="宋体"/>
          <w:b/>
          <w:bCs/>
          <w:color w:val="auto"/>
          <w:szCs w:val="21"/>
          <w:highlight w:val="none"/>
          <w:u w:val="single"/>
          <w:lang w:val="zh-CN"/>
        </w:rPr>
        <w:t>。</w:t>
      </w:r>
      <w:r>
        <w:rPr>
          <w:rFonts w:hint="eastAsia" w:ascii="宋体" w:hAnsi="宋体" w:eastAsia="宋体" w:cs="宋体"/>
          <w:b/>
          <w:bCs/>
          <w:color w:val="auto"/>
          <w:sz w:val="21"/>
          <w:szCs w:val="21"/>
          <w:highlight w:val="none"/>
        </w:rPr>
        <w:t>如</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提供不可撤销银行履约保函或履约保证保险或担保公司履约担保书作为履约担保的，</w:t>
      </w:r>
      <w:r>
        <w:rPr>
          <w:rFonts w:hint="eastAsia" w:ascii="宋体" w:hAnsi="宋体" w:eastAsia="宋体" w:cs="宋体"/>
          <w:b/>
          <w:bCs/>
          <w:color w:val="auto"/>
          <w:sz w:val="21"/>
          <w:szCs w:val="21"/>
          <w:highlight w:val="none"/>
          <w:lang w:val="en-US" w:eastAsia="zh-CN"/>
        </w:rPr>
        <w:t>其受益人应为东莞市尚源环能科技有限公司。</w:t>
      </w:r>
      <w:bookmarkEnd w:id="487"/>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履约担保用于补偿招标人因中标人不能完全履行其合同义务而蒙受的损失或其他合同约定的事项。如发生下列任一情况时，招标人有权依合同追究</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违约责任外，同时有权提取履约担保并进行相应处理：</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（1）在合同履行期间，因中标人货物、服务质量问题造成损害、侵权损失</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包括但不限于招标人经济损失、第三人人身财产损失等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）在合同履行期间，中标人违约产生的违约金、赔偿、罚款或其他应付费用等款项，招标人有权直接从未付</w:t>
      </w:r>
      <w:r>
        <w:rPr>
          <w:rFonts w:hint="eastAsia" w:ascii="宋体" w:hAnsi="宋体" w:eastAsia="宋体" w:cs="宋体"/>
          <w:color w:val="auto"/>
          <w:kern w:val="0"/>
          <w:szCs w:val="21"/>
          <w:highlight w:val="none"/>
          <w:lang w:val="en-US" w:eastAsia="zh-CN"/>
        </w:rPr>
        <w:t>货</w:t>
      </w:r>
      <w:r>
        <w:rPr>
          <w:rFonts w:hint="eastAsia" w:ascii="宋体" w:hAnsi="宋体" w:eastAsia="宋体" w:cs="宋体"/>
          <w:color w:val="auto"/>
          <w:kern w:val="0"/>
          <w:szCs w:val="21"/>
          <w:highlight w:val="none"/>
        </w:rPr>
        <w:t>款中扣除或启用履约担保予以支付。</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）合同期内，中标人不能及时完成合同某项义务的，招标人有权</w:t>
      </w:r>
      <w:r>
        <w:rPr>
          <w:rFonts w:hint="eastAsia" w:ascii="宋体" w:hAnsi="宋体" w:eastAsia="宋体" w:cs="宋体"/>
          <w:color w:val="auto"/>
          <w:kern w:val="0"/>
          <w:szCs w:val="21"/>
          <w:highlight w:val="none"/>
          <w:lang w:val="en-US" w:eastAsia="zh-CN"/>
        </w:rPr>
        <w:t>使用</w:t>
      </w:r>
      <w:r>
        <w:rPr>
          <w:rFonts w:hint="eastAsia" w:ascii="宋体" w:hAnsi="宋体" w:eastAsia="宋体" w:cs="宋体"/>
          <w:color w:val="auto"/>
          <w:kern w:val="0"/>
          <w:szCs w:val="21"/>
          <w:highlight w:val="none"/>
        </w:rPr>
        <w:t>履约担保用于处理该项工作。</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）其他根据本合同约定或法律规定，招标人可启用履约担保的情形。</w:t>
      </w:r>
    </w:p>
    <w:p>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488" w:name="_Toc32290"/>
      <w:r>
        <w:rPr>
          <w:rFonts w:hint="eastAsia" w:ascii="宋体" w:hAnsi="宋体" w:eastAsia="宋体" w:cs="宋体"/>
          <w:color w:val="auto"/>
          <w:kern w:val="0"/>
          <w:szCs w:val="21"/>
          <w:highlight w:val="none"/>
        </w:rPr>
        <w:t>37.3  履约担保应符合如下规定：</w:t>
      </w:r>
      <w:bookmarkEnd w:id="488"/>
    </w:p>
    <w:p>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书面同意。</w:t>
      </w:r>
    </w:p>
    <w:p>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pPr>
        <w:tabs>
          <w:tab w:val="left" w:pos="360"/>
          <w:tab w:val="left" w:pos="4725"/>
        </w:tabs>
        <w:autoSpaceDE w:val="0"/>
        <w:autoSpaceDN w:val="0"/>
        <w:adjustRightInd w:val="0"/>
        <w:spacing w:line="360" w:lineRule="auto"/>
        <w:ind w:left="357" w:leftChars="-100" w:hanging="567" w:hangingChars="270"/>
        <w:jc w:val="left"/>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w:t>
      </w:r>
      <w:r>
        <w:rPr>
          <w:rFonts w:hint="eastAsia" w:ascii="宋体" w:hAnsi="宋体" w:eastAsia="宋体" w:cs="宋体"/>
          <w:color w:val="auto"/>
          <w:szCs w:val="21"/>
          <w:highlight w:val="none"/>
        </w:rPr>
        <w:t>无条件办理办妥符合</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要求的延期手续或重新提供不可撤销银行履约保函（或履约保证保险或担保公司履约担保书）</w:t>
      </w:r>
      <w:r>
        <w:rPr>
          <w:rFonts w:hint="eastAsia" w:ascii="宋体" w:hAnsi="宋体" w:eastAsia="宋体" w:cs="宋体"/>
          <w:color w:val="auto"/>
          <w:kern w:val="0"/>
          <w:szCs w:val="21"/>
          <w:highlight w:val="none"/>
        </w:rPr>
        <w:t>，否则视为中标人违约，招标人有权在不可撤销银行履约保函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或履约保证保险或担保公司履约担保书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到期前向出具履约担保的机构提取履约担保金。在不可撤销银行履约保函（或履约保证保险或担保公司履约担保书）到期后中标人未按招标人要求重新提供的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】元违约金</w:t>
      </w:r>
      <w:r>
        <w:rPr>
          <w:rFonts w:hint="eastAsia" w:ascii="宋体" w:hAnsi="宋体" w:eastAsia="宋体" w:cs="宋体"/>
          <w:color w:val="auto"/>
          <w:kern w:val="0"/>
          <w:szCs w:val="21"/>
          <w:highlight w:val="none"/>
        </w:rPr>
        <w:t>，违约金可直接从未付采购合同费用中扣除。</w:t>
      </w:r>
      <w:r>
        <w:rPr>
          <w:rFonts w:hint="eastAsia" w:ascii="宋体" w:hAnsi="宋体" w:eastAsia="宋体" w:cs="宋体"/>
          <w:color w:val="auto"/>
          <w:kern w:val="0"/>
          <w:szCs w:val="21"/>
          <w:highlight w:val="none"/>
          <w:lang w:val="en-US" w:eastAsia="zh-CN"/>
        </w:rPr>
        <w:t>在中标人重新提供前招标人无需向中标人支付合同款项</w:t>
      </w:r>
      <w:r>
        <w:rPr>
          <w:rFonts w:hint="eastAsia" w:ascii="宋体" w:hAnsi="宋体" w:eastAsia="宋体" w:cs="宋体"/>
          <w:color w:val="auto"/>
          <w:sz w:val="21"/>
          <w:szCs w:val="21"/>
          <w:highlight w:val="none"/>
          <w:lang w:val="en-US" w:eastAsia="zh-CN"/>
        </w:rPr>
        <w:t>，且不视为招标人违约</w:t>
      </w:r>
      <w:r>
        <w:rPr>
          <w:rFonts w:hint="eastAsia" w:ascii="宋体" w:hAnsi="宋体" w:eastAsia="宋体" w:cs="宋体"/>
          <w:color w:val="auto"/>
          <w:kern w:val="0"/>
          <w:szCs w:val="21"/>
          <w:highlight w:val="none"/>
          <w:lang w:val="en-US" w:eastAsia="zh-CN"/>
        </w:rPr>
        <w:t>。</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限期补足</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lang w:val="en-US" w:eastAsia="zh-CN"/>
        </w:rPr>
        <w:t>在中标人补足前，招标人无需向中标人支付合同款项，且不视为招标人违约</w:t>
      </w:r>
      <w:r>
        <w:rPr>
          <w:rFonts w:hint="eastAsia" w:ascii="宋体" w:hAnsi="宋体" w:eastAsia="宋体" w:cs="宋体"/>
          <w:color w:val="auto"/>
          <w:sz w:val="21"/>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（6）不可撤销银行履约保函（或履约保证保险或担保公司履约担保书）应从合同签订之日起（或签订合同前）至合同期限届满并全部货物经最终验收合格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招标人向中标人支付全部货款（除质保金）后二十八（28）日内</w:t>
      </w:r>
      <w:r>
        <w:rPr>
          <w:rFonts w:hint="eastAsia" w:ascii="宋体" w:hAnsi="宋体" w:eastAsia="宋体" w:cs="宋体"/>
          <w:color w:val="auto"/>
          <w:kern w:val="0"/>
          <w:szCs w:val="21"/>
          <w:highlight w:val="none"/>
          <w:lang w:eastAsia="zh-CN"/>
        </w:rPr>
        <w:t>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489" w:name="_Toc26730"/>
      <w:r>
        <w:rPr>
          <w:rFonts w:hint="eastAsia" w:ascii="宋体" w:hAnsi="宋体" w:eastAsia="宋体" w:cs="宋体"/>
          <w:color w:val="auto"/>
          <w:kern w:val="0"/>
          <w:szCs w:val="21"/>
          <w:highlight w:val="none"/>
        </w:rPr>
        <w:t>37.4  履约保证金应用本合同货币。</w:t>
      </w:r>
      <w:bookmarkEnd w:id="489"/>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bookmarkStart w:id="490" w:name="_Toc26661"/>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490"/>
    </w:p>
    <w:p>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开户名称：东莞市尚源环能科技有限公司</w:t>
      </w:r>
    </w:p>
    <w:p>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银行账号：2010021309200624846</w:t>
      </w:r>
    </w:p>
    <w:p>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bookmarkEnd w:id="441"/>
    <w:bookmarkEnd w:id="442"/>
    <w:p>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上</w:t>
      </w:r>
      <w:r>
        <w:rPr>
          <w:rFonts w:hint="eastAsia" w:ascii="宋体" w:hAnsi="宋体" w:eastAsia="宋体" w:cs="宋体"/>
          <w:color w:val="auto"/>
          <w:szCs w:val="21"/>
          <w:highlight w:val="none"/>
          <w:lang w:val="zh-CN"/>
        </w:rPr>
        <w:t>注明“原件已收”及签收人、日期后，中标人在每份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szCs w:val="21"/>
          <w:highlight w:val="none"/>
          <w:lang w:val="zh-CN"/>
        </w:rPr>
        <w:t>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eastAsia="zh-CN"/>
        </w:rPr>
        <w:t>在合同期限届满并全部货物经最终验收合格</w:t>
      </w:r>
      <w:r>
        <w:rPr>
          <w:rFonts w:hint="eastAsia" w:ascii="宋体" w:hAnsi="宋体" w:eastAsia="宋体" w:cs="Times New Roman"/>
          <w:color w:val="auto"/>
          <w:kern w:val="0"/>
          <w:szCs w:val="21"/>
          <w:highlight w:val="none"/>
          <w:lang w:val="zh-CN" w:eastAsia="zh-CN"/>
        </w:rPr>
        <w:t>，</w:t>
      </w:r>
      <w:r>
        <w:rPr>
          <w:rFonts w:hint="eastAsia" w:ascii="宋体" w:hAnsi="宋体" w:eastAsia="宋体" w:cs="宋体"/>
          <w:color w:val="auto"/>
          <w:kern w:val="0"/>
          <w:szCs w:val="21"/>
          <w:highlight w:val="none"/>
        </w:rPr>
        <w:t>招标人向中标人支付全部</w:t>
      </w:r>
      <w:r>
        <w:rPr>
          <w:rFonts w:hint="eastAsia" w:ascii="宋体" w:hAnsi="宋体" w:eastAsia="宋体" w:cs="宋体"/>
          <w:color w:val="auto"/>
          <w:kern w:val="0"/>
          <w:szCs w:val="21"/>
          <w:highlight w:val="none"/>
          <w:lang w:val="en-US" w:eastAsia="zh-CN"/>
        </w:rPr>
        <w:t>货款</w:t>
      </w:r>
      <w:r>
        <w:rPr>
          <w:rFonts w:hint="eastAsia" w:ascii="宋体" w:hAnsi="宋体" w:eastAsia="宋体" w:cs="宋体"/>
          <w:color w:val="auto"/>
          <w:kern w:val="0"/>
          <w:szCs w:val="21"/>
          <w:highlight w:val="none"/>
        </w:rPr>
        <w:t>（除质保金）二十八（28）日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91" w:name="_Toc11309"/>
      <w:bookmarkStart w:id="492" w:name="_Toc27162"/>
      <w:bookmarkStart w:id="493" w:name="_Toc195714259"/>
      <w:bookmarkStart w:id="494" w:name="_Toc486167702"/>
      <w:bookmarkStart w:id="495" w:name="_Toc21728"/>
      <w:bookmarkStart w:id="496" w:name="_Toc142508353"/>
      <w:bookmarkStart w:id="497" w:name="_Toc10548"/>
      <w:bookmarkStart w:id="498" w:name="_Toc21397"/>
      <w:bookmarkStart w:id="499" w:name="_Toc331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491"/>
      <w:bookmarkEnd w:id="492"/>
      <w:bookmarkEnd w:id="493"/>
      <w:bookmarkEnd w:id="494"/>
      <w:bookmarkEnd w:id="495"/>
      <w:bookmarkEnd w:id="496"/>
      <w:bookmarkEnd w:id="497"/>
      <w:bookmarkEnd w:id="498"/>
      <w:bookmarkEnd w:id="499"/>
    </w:p>
    <w:p>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500" w:name="_Toc450662888"/>
    </w:p>
    <w:p>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01" w:name="_Toc2401"/>
      <w:bookmarkStart w:id="502" w:name="_Toc29802"/>
      <w:bookmarkStart w:id="503" w:name="_Toc6369"/>
      <w:bookmarkStart w:id="504" w:name="_Toc486167703"/>
      <w:bookmarkStart w:id="505" w:name="_Toc14850"/>
      <w:bookmarkStart w:id="506" w:name="_Toc195714260"/>
      <w:bookmarkStart w:id="507" w:name="_Toc22944"/>
      <w:bookmarkStart w:id="508" w:name="_Toc23218"/>
      <w:bookmarkStart w:id="509" w:name="_Toc28921_WPSOffice_Level3"/>
      <w:bookmarkStart w:id="510" w:name="_Toc142508354"/>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bookmarkEnd w:id="500"/>
      <w:bookmarkEnd w:id="501"/>
      <w:bookmarkEnd w:id="502"/>
      <w:bookmarkEnd w:id="503"/>
      <w:bookmarkEnd w:id="504"/>
      <w:bookmarkEnd w:id="505"/>
      <w:bookmarkEnd w:id="506"/>
      <w:bookmarkEnd w:id="507"/>
      <w:bookmarkEnd w:id="508"/>
      <w:bookmarkEnd w:id="509"/>
      <w:bookmarkEnd w:id="510"/>
    </w:p>
    <w:p>
      <w:pPr>
        <w:tabs>
          <w:tab w:val="left" w:pos="567"/>
        </w:tabs>
        <w:autoSpaceDE w:val="0"/>
        <w:autoSpaceDN w:val="0"/>
        <w:adjustRightInd w:val="0"/>
        <w:spacing w:line="360" w:lineRule="auto"/>
        <w:ind w:left="0" w:leftChars="0" w:firstLine="420" w:firstLineChars="200"/>
        <w:rPr>
          <w:rFonts w:hint="eastAsia" w:ascii="宋体" w:hAnsi="宋体" w:eastAsia="宋体" w:cs="宋体"/>
          <w:b w:val="0"/>
          <w:bCs w:val="0"/>
          <w:color w:val="auto"/>
          <w:szCs w:val="21"/>
          <w:highlight w:val="none"/>
          <w:lang w:val="en-US" w:eastAsia="zh-CN"/>
        </w:rPr>
      </w:pPr>
      <w:bookmarkStart w:id="511" w:name="_Toc450662889"/>
      <w:r>
        <w:rPr>
          <w:rFonts w:hint="eastAsia" w:ascii="宋体" w:hAnsi="宋体" w:eastAsia="宋体" w:cs="宋体"/>
          <w:color w:val="auto"/>
          <w:szCs w:val="21"/>
          <w:highlight w:val="none"/>
        </w:rPr>
        <w:t>39.1 中标人应向招标代理机构一次性交纳中标服务费</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lang w:eastAsia="zh-CN"/>
        </w:rPr>
        <w:t>中标通知书中的中标综合单价计算得出的不含税暂定总价金额为计费额，本项目业务性质：按</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eastAsia="zh-CN"/>
        </w:rPr>
        <w:t>类招标代理服务收费，</w:t>
      </w:r>
      <w:r>
        <w:rPr>
          <w:rFonts w:hint="eastAsia" w:ascii="宋体" w:hAnsi="宋体" w:eastAsia="宋体" w:cs="宋体"/>
          <w:b w:val="0"/>
          <w:bCs w:val="0"/>
          <w:color w:val="auto"/>
          <w:szCs w:val="21"/>
          <w:highlight w:val="none"/>
          <w:lang w:val="en-US" w:eastAsia="zh-CN"/>
        </w:rPr>
        <w:t>依次按以下第（1）（2）款计算得出服务费基价，服务费基价</w:t>
      </w:r>
      <w:r>
        <w:rPr>
          <w:rFonts w:hint="eastAsia" w:ascii="宋体" w:hAnsi="宋体" w:eastAsia="宋体" w:cs="宋体"/>
          <w:b w:val="0"/>
          <w:bCs w:val="0"/>
          <w:color w:val="auto"/>
          <w:szCs w:val="21"/>
          <w:highlight w:val="none"/>
          <w:lang w:val="zh-CN" w:eastAsia="zh-CN"/>
        </w:rPr>
        <w:t>实行全额分档折扣计算，</w:t>
      </w:r>
      <w:r>
        <w:rPr>
          <w:rFonts w:hint="eastAsia" w:ascii="宋体" w:hAnsi="宋体" w:eastAsia="宋体" w:cs="宋体"/>
          <w:b w:val="0"/>
          <w:bCs w:val="0"/>
          <w:color w:val="auto"/>
          <w:szCs w:val="21"/>
          <w:highlight w:val="none"/>
          <w:lang w:val="en-US" w:eastAsia="zh-CN"/>
        </w:rPr>
        <w:t>按第（3）款计算折扣得出代理服务费</w:t>
      </w: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具体如下。</w:t>
      </w:r>
    </w:p>
    <w:p>
      <w:pPr>
        <w:tabs>
          <w:tab w:val="left" w:pos="567"/>
        </w:tabs>
        <w:autoSpaceDE w:val="0"/>
        <w:autoSpaceDN w:val="0"/>
        <w:adjustRightInd w:val="0"/>
        <w:spacing w:line="360" w:lineRule="auto"/>
        <w:ind w:left="0" w:leftChars="0"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zh-CN"/>
        </w:rPr>
        <w:t>参照</w:t>
      </w:r>
      <w:r>
        <w:rPr>
          <w:rFonts w:hint="eastAsia" w:ascii="宋体" w:hAnsi="宋体" w:eastAsia="宋体" w:cs="宋体"/>
          <w:b w:val="0"/>
          <w:bCs w:val="0"/>
          <w:color w:val="auto"/>
          <w:szCs w:val="21"/>
          <w:highlight w:val="none"/>
          <w:lang w:val="en-US" w:eastAsia="zh-CN"/>
        </w:rPr>
        <w:t>以下标准按差额定率累进法计算：</w:t>
      </w:r>
    </w:p>
    <w:tbl>
      <w:tblPr>
        <w:tblStyle w:val="44"/>
        <w:tblW w:w="10182"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544"/>
        <w:gridCol w:w="2544"/>
        <w:gridCol w:w="2544"/>
        <w:gridCol w:w="25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vMerge w:val="restart"/>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中标金额（万元）</w:t>
            </w:r>
          </w:p>
        </w:tc>
        <w:tc>
          <w:tcPr>
            <w:tcW w:w="7638" w:type="dxa"/>
            <w:gridSpan w:val="3"/>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vMerge w:val="continue"/>
            <w:shd w:val="clear" w:color="auto" w:fill="FFEEBB"/>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7638" w:type="dxa"/>
            <w:gridSpan w:val="3"/>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费率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vMerge w:val="continue"/>
            <w:shd w:val="clear" w:color="auto" w:fill="FFEEBB"/>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2544"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货物招标</w:t>
            </w:r>
          </w:p>
        </w:tc>
        <w:tc>
          <w:tcPr>
            <w:tcW w:w="2544"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服务招标</w:t>
            </w:r>
          </w:p>
        </w:tc>
        <w:tc>
          <w:tcPr>
            <w:tcW w:w="2550"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工程招标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0.45%</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0.1%</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10000-100000</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bl>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en-US" w:eastAsia="zh-CN"/>
        </w:rPr>
        <w:t>（2）</w:t>
      </w:r>
      <w:r>
        <w:rPr>
          <w:rFonts w:hint="default" w:ascii="宋体" w:hAnsi="宋体" w:eastAsia="宋体" w:cs="宋体"/>
          <w:b w:val="0"/>
          <w:bCs/>
          <w:color w:val="auto"/>
          <w:szCs w:val="21"/>
          <w:highlight w:val="none"/>
          <w:lang w:val="en-US" w:eastAsia="zh-CN"/>
        </w:rPr>
        <w:t>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en-US" w:eastAsia="zh-CN"/>
        </w:rPr>
        <w:t>（3）服务费基价</w:t>
      </w:r>
      <w:r>
        <w:rPr>
          <w:rFonts w:hint="eastAsia" w:ascii="宋体" w:hAnsi="宋体" w:eastAsia="宋体" w:cs="宋体"/>
          <w:b w:val="0"/>
          <w:bCs/>
          <w:color w:val="auto"/>
          <w:szCs w:val="21"/>
          <w:highlight w:val="none"/>
          <w:lang w:val="zh-CN" w:eastAsia="zh-CN"/>
        </w:rPr>
        <w:t>实行全额分档折扣计算，</w:t>
      </w:r>
      <w:r>
        <w:rPr>
          <w:rFonts w:hint="eastAsia" w:ascii="宋体" w:hAnsi="宋体" w:eastAsia="宋体" w:cs="宋体"/>
          <w:b w:val="0"/>
          <w:bCs/>
          <w:color w:val="auto"/>
          <w:szCs w:val="21"/>
          <w:highlight w:val="none"/>
          <w:lang w:val="en-US" w:eastAsia="zh-CN"/>
        </w:rPr>
        <w:t>得出代理服务费。</w:t>
      </w:r>
      <w:r>
        <w:rPr>
          <w:rFonts w:hint="eastAsia" w:ascii="宋体" w:hAnsi="宋体" w:eastAsia="宋体" w:cs="宋体"/>
          <w:b w:val="0"/>
          <w:bCs/>
          <w:color w:val="auto"/>
          <w:szCs w:val="21"/>
          <w:highlight w:val="none"/>
          <w:lang w:val="zh-CN" w:eastAsia="zh-CN"/>
        </w:rPr>
        <w:t>具体为：</w:t>
      </w:r>
      <w:r>
        <w:rPr>
          <w:rFonts w:hint="eastAsia" w:ascii="宋体" w:hAnsi="宋体" w:eastAsia="宋体" w:cs="宋体"/>
          <w:b w:val="0"/>
          <w:bCs/>
          <w:color w:val="auto"/>
          <w:szCs w:val="21"/>
          <w:highlight w:val="none"/>
          <w:lang w:val="en-US" w:eastAsia="zh-CN"/>
        </w:rPr>
        <w:t>服务费基价</w:t>
      </w:r>
      <w:r>
        <w:rPr>
          <w:rFonts w:hint="eastAsia" w:ascii="宋体" w:hAnsi="宋体" w:eastAsia="宋体" w:cs="宋体"/>
          <w:b w:val="0"/>
          <w:bCs/>
          <w:color w:val="auto"/>
          <w:szCs w:val="21"/>
          <w:highlight w:val="none"/>
          <w:lang w:val="zh-CN" w:eastAsia="zh-CN"/>
        </w:rPr>
        <w:t>10万元（不含）以下的，按80%执行；</w:t>
      </w:r>
      <w:r>
        <w:rPr>
          <w:rFonts w:hint="eastAsia" w:ascii="宋体" w:hAnsi="宋体" w:eastAsia="宋体" w:cs="宋体"/>
          <w:b w:val="0"/>
          <w:bCs/>
          <w:color w:val="auto"/>
          <w:szCs w:val="21"/>
          <w:highlight w:val="none"/>
          <w:lang w:val="en-US" w:eastAsia="zh-CN"/>
        </w:rPr>
        <w:t>服务费基价</w:t>
      </w:r>
      <w:r>
        <w:rPr>
          <w:rFonts w:hint="eastAsia" w:ascii="宋体" w:hAnsi="宋体" w:eastAsia="宋体" w:cs="宋体"/>
          <w:b w:val="0"/>
          <w:bCs/>
          <w:color w:val="auto"/>
          <w:szCs w:val="21"/>
          <w:highlight w:val="none"/>
          <w:lang w:val="zh-CN" w:eastAsia="zh-CN"/>
        </w:rPr>
        <w:t>10万元（含）—20万元（不含）的，按70%执行；</w:t>
      </w:r>
      <w:r>
        <w:rPr>
          <w:rFonts w:hint="eastAsia" w:ascii="宋体" w:hAnsi="宋体" w:eastAsia="宋体" w:cs="宋体"/>
          <w:b w:val="0"/>
          <w:bCs/>
          <w:color w:val="auto"/>
          <w:szCs w:val="21"/>
          <w:highlight w:val="none"/>
          <w:lang w:val="en-US" w:eastAsia="zh-CN"/>
        </w:rPr>
        <w:t>服务费基价</w:t>
      </w:r>
      <w:r>
        <w:rPr>
          <w:rFonts w:hint="eastAsia" w:ascii="宋体" w:hAnsi="宋体" w:eastAsia="宋体" w:cs="宋体"/>
          <w:b w:val="0"/>
          <w:bCs/>
          <w:color w:val="auto"/>
          <w:szCs w:val="21"/>
          <w:highlight w:val="none"/>
          <w:lang w:val="zh-CN" w:eastAsia="zh-CN"/>
        </w:rPr>
        <w:t>20万元（含）—30万元（不含）的，按60%执行；</w:t>
      </w:r>
      <w:r>
        <w:rPr>
          <w:rFonts w:hint="eastAsia" w:ascii="宋体" w:hAnsi="宋体" w:eastAsia="宋体" w:cs="宋体"/>
          <w:b w:val="0"/>
          <w:bCs/>
          <w:color w:val="auto"/>
          <w:szCs w:val="21"/>
          <w:highlight w:val="none"/>
          <w:lang w:val="en-US" w:eastAsia="zh-CN"/>
        </w:rPr>
        <w:t>服务费基价</w:t>
      </w:r>
      <w:r>
        <w:rPr>
          <w:rFonts w:hint="eastAsia" w:ascii="宋体" w:hAnsi="宋体" w:eastAsia="宋体" w:cs="宋体"/>
          <w:b w:val="0"/>
          <w:bCs/>
          <w:color w:val="auto"/>
          <w:szCs w:val="21"/>
          <w:highlight w:val="none"/>
          <w:lang w:val="zh-CN" w:eastAsia="zh-CN"/>
        </w:rPr>
        <w:t>30万元（含）以上的，按50%计取，且单个项目最高代理费为30万元封顶</w:t>
      </w: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同时，</w:t>
      </w:r>
      <w:r>
        <w:rPr>
          <w:rFonts w:hint="eastAsia" w:ascii="宋体" w:hAnsi="宋体" w:eastAsia="宋体" w:cs="宋体"/>
          <w:b w:val="0"/>
          <w:bCs/>
          <w:color w:val="auto"/>
          <w:szCs w:val="21"/>
          <w:highlight w:val="none"/>
          <w:lang w:val="zh-CN" w:eastAsia="zh-CN"/>
        </w:rPr>
        <w:t>为保障项目服务质量与库管理的可持续性，设置单个项目代理费最低为8000元，即按上述收费标准计取后不足8000元的，以8000元作为代理费。若无法按上述标准计取代理费的（如无中标金额的框架协议项目等），由</w:t>
      </w:r>
      <w:r>
        <w:rPr>
          <w:rFonts w:hint="eastAsia" w:ascii="宋体" w:hAnsi="宋体" w:eastAsia="宋体" w:cs="宋体"/>
          <w:b w:val="0"/>
          <w:bCs/>
          <w:color w:val="auto"/>
          <w:szCs w:val="21"/>
          <w:highlight w:val="none"/>
          <w:lang w:val="en-US" w:eastAsia="zh-CN"/>
        </w:rPr>
        <w:t>甲方</w:t>
      </w:r>
      <w:r>
        <w:rPr>
          <w:rFonts w:hint="eastAsia" w:ascii="宋体" w:hAnsi="宋体" w:eastAsia="宋体" w:cs="宋体"/>
          <w:b w:val="0"/>
          <w:bCs/>
          <w:color w:val="auto"/>
          <w:sz w:val="21"/>
          <w:szCs w:val="21"/>
          <w:highlight w:val="none"/>
          <w:lang w:val="en-US" w:eastAsia="zh-CN"/>
        </w:rPr>
        <w:t>或其</w:t>
      </w:r>
      <w:r>
        <w:rPr>
          <w:rFonts w:hint="eastAsia" w:ascii="宋体" w:hAnsi="宋体" w:eastAsia="宋体" w:cs="宋体"/>
          <w:b w:val="0"/>
          <w:bCs/>
          <w:color w:val="auto"/>
          <w:sz w:val="21"/>
          <w:szCs w:val="21"/>
          <w:highlight w:val="none"/>
        </w:rPr>
        <w:t>下属企业</w:t>
      </w:r>
      <w:r>
        <w:rPr>
          <w:rFonts w:hint="eastAsia" w:ascii="宋体" w:hAnsi="宋体" w:eastAsia="宋体" w:cs="宋体"/>
          <w:b w:val="0"/>
          <w:bCs/>
          <w:color w:val="auto"/>
          <w:szCs w:val="21"/>
          <w:highlight w:val="none"/>
          <w:lang w:val="zh-CN" w:eastAsia="zh-CN"/>
        </w:rPr>
        <w:t>与</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lang w:val="zh-CN" w:eastAsia="zh-CN"/>
        </w:rPr>
        <w:t>另行商定代理费用。</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例子：某项目招标代理业务中标金额为2000万元（货物类），计算代理服务费额如下：</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0-100万元部分：100万元×1.5%=15000元</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100-500万元部分：400万元×1.1%=44000元</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500-1000万元部分：500万元×0.8%=40000元</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1000-2000万元部分：1000万元×0.5%=50000元</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各部分累计得出服务费基价：149000.00元</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按70%计算得出代理服务费：149000元×70%=104300元</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eastAsia="zh-CN"/>
        </w:rPr>
        <w:t>广西同泽工程项目管理股份有限公司</w:t>
      </w:r>
      <w:r>
        <w:rPr>
          <w:rFonts w:hint="eastAsia" w:ascii="宋体" w:hAnsi="宋体" w:eastAsia="宋体" w:cs="宋体"/>
          <w:color w:val="auto"/>
          <w:szCs w:val="21"/>
          <w:highlight w:val="none"/>
        </w:rPr>
        <w:t>东莞分公司</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号：</w:t>
      </w:r>
      <w:r>
        <w:rPr>
          <w:rFonts w:hint="eastAsia" w:ascii="宋体" w:hAnsi="宋体" w:eastAsia="宋体" w:cs="宋体"/>
          <w:color w:val="auto"/>
          <w:kern w:val="0"/>
          <w:szCs w:val="21"/>
          <w:highlight w:val="none"/>
        </w:rPr>
        <w:t>2010045209100165935</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w:t>
      </w:r>
      <w:r>
        <w:rPr>
          <w:rFonts w:hint="eastAsia" w:ascii="宋体" w:hAnsi="宋体" w:eastAsia="宋体" w:cs="宋体"/>
          <w:color w:val="auto"/>
          <w:kern w:val="0"/>
          <w:szCs w:val="21"/>
          <w:highlight w:val="none"/>
        </w:rPr>
        <w:t>中国工商银行股份有限公司东莞会展支行</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12" w:name="_Toc1473"/>
      <w:bookmarkStart w:id="513" w:name="_Toc142508355"/>
      <w:bookmarkStart w:id="514" w:name="_Toc28513"/>
      <w:bookmarkStart w:id="515" w:name="_Toc6796"/>
      <w:bookmarkStart w:id="516" w:name="_Toc21985"/>
      <w:bookmarkStart w:id="517" w:name="_Toc486167704"/>
      <w:bookmarkStart w:id="518" w:name="_Toc23317"/>
      <w:bookmarkStart w:id="519" w:name="_Toc195714261"/>
      <w:bookmarkStart w:id="520" w:name="_Toc31030"/>
      <w:bookmarkStart w:id="521" w:name="_Toc6764_WPSOffice_Level3"/>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511"/>
      <w:bookmarkEnd w:id="512"/>
      <w:bookmarkEnd w:id="513"/>
      <w:bookmarkEnd w:id="514"/>
      <w:bookmarkEnd w:id="515"/>
      <w:bookmarkEnd w:id="516"/>
      <w:bookmarkEnd w:id="517"/>
      <w:bookmarkEnd w:id="518"/>
      <w:bookmarkEnd w:id="519"/>
      <w:bookmarkEnd w:id="520"/>
      <w:bookmarkEnd w:id="521"/>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522" w:name="_Toc486167705"/>
      <w:bookmarkStart w:id="523"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524" w:name="_Toc7977"/>
      <w:bookmarkStart w:id="525" w:name="_Toc5624"/>
      <w:bookmarkStart w:id="526" w:name="_Toc195714262"/>
      <w:bookmarkStart w:id="527" w:name="_Toc142508356"/>
      <w:bookmarkStart w:id="528" w:name="_Toc24547"/>
      <w:bookmarkStart w:id="529" w:name="_Toc9223"/>
      <w:bookmarkStart w:id="530" w:name="_Toc8619"/>
      <w:bookmarkStart w:id="531" w:name="_Toc10243"/>
      <w:r>
        <w:rPr>
          <w:rFonts w:hint="eastAsia" w:ascii="宋体" w:hAnsi="宋体" w:eastAsia="宋体" w:cs="宋体"/>
          <w:b/>
          <w:color w:val="auto"/>
          <w:szCs w:val="21"/>
          <w:highlight w:val="none"/>
        </w:rPr>
        <w:t>41 招标相关补充约定</w:t>
      </w:r>
      <w:bookmarkEnd w:id="524"/>
      <w:bookmarkEnd w:id="525"/>
      <w:bookmarkEnd w:id="526"/>
      <w:bookmarkEnd w:id="527"/>
      <w:bookmarkEnd w:id="528"/>
      <w:bookmarkEnd w:id="529"/>
      <w:bookmarkEnd w:id="530"/>
      <w:bookmarkEnd w:id="531"/>
    </w:p>
    <w:p>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532" w:name="_Toc195714263"/>
      <w:bookmarkStart w:id="533" w:name="_Toc142508357"/>
      <w:bookmarkStart w:id="534" w:name="_Toc21193"/>
      <w:bookmarkStart w:id="535" w:name="_Toc26594"/>
      <w:bookmarkStart w:id="536" w:name="_Toc20859"/>
      <w:bookmarkStart w:id="537" w:name="_Toc22346"/>
      <w:bookmarkStart w:id="538" w:name="_Toc7075"/>
      <w:bookmarkStart w:id="539" w:name="_Toc29758"/>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本次招标活动的最终解释权归招标代理机构及招标人所有。</w:t>
      </w:r>
      <w:bookmarkEnd w:id="522"/>
      <w:bookmarkEnd w:id="523"/>
      <w:bookmarkEnd w:id="532"/>
      <w:bookmarkEnd w:id="533"/>
      <w:bookmarkEnd w:id="534"/>
      <w:bookmarkEnd w:id="535"/>
      <w:bookmarkEnd w:id="536"/>
      <w:bookmarkEnd w:id="537"/>
      <w:bookmarkEnd w:id="538"/>
      <w:bookmarkEnd w:id="539"/>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rPr>
          <w:rFonts w:hint="eastAsia"/>
          <w:color w:val="auto"/>
          <w:highlight w:val="none"/>
          <w:lang w:val="zh-CN"/>
        </w:rPr>
      </w:pPr>
      <w:bookmarkStart w:id="540" w:name="_Toc27939_WPSOffice_Level1"/>
      <w:bookmarkStart w:id="541" w:name="_Toc28218"/>
      <w:bookmarkStart w:id="542" w:name="_Toc450662891"/>
      <w:bookmarkStart w:id="543" w:name="_Toc4217"/>
      <w:bookmarkStart w:id="544" w:name="_Toc486167706"/>
      <w:bookmarkStart w:id="545" w:name="_Toc142508358"/>
      <w:bookmarkStart w:id="546" w:name="_Toc29361"/>
      <w:bookmarkStart w:id="547" w:name="_Toc486167708"/>
      <w:bookmarkStart w:id="548" w:name="_Toc25246"/>
      <w:bookmarkStart w:id="549" w:name="_Toc142508361"/>
      <w:bookmarkStart w:id="550" w:name="_Toc32761_WPSOffice_Level1"/>
      <w:bookmarkStart w:id="551" w:name="_Toc9840"/>
      <w:bookmarkStart w:id="552" w:name="_Toc15817"/>
      <w:bookmarkStart w:id="553" w:name="_Toc450662895"/>
      <w:r>
        <w:rPr>
          <w:rFonts w:hint="eastAsia"/>
          <w:color w:val="auto"/>
          <w:highlight w:val="none"/>
          <w:lang w:val="zh-CN"/>
        </w:rPr>
        <w:br w:type="page"/>
      </w:r>
    </w:p>
    <w:bookmarkEnd w:id="540"/>
    <w:bookmarkEnd w:id="541"/>
    <w:bookmarkEnd w:id="542"/>
    <w:bookmarkEnd w:id="543"/>
    <w:bookmarkEnd w:id="544"/>
    <w:bookmarkEnd w:id="545"/>
    <w:bookmarkEnd w:id="546"/>
    <w:p>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0" w:leftChars="0" w:firstLine="0"/>
        <w:jc w:val="center"/>
        <w:textAlignment w:val="auto"/>
        <w:outlineLvl w:val="1"/>
        <w:rPr>
          <w:rFonts w:ascii="宋体" w:hAnsi="宋体" w:eastAsia="宋体" w:cs="宋体"/>
          <w:b/>
          <w:bCs/>
          <w:color w:val="auto"/>
          <w:kern w:val="44"/>
          <w:sz w:val="32"/>
          <w:szCs w:val="32"/>
          <w:highlight w:val="none"/>
          <w:lang w:val="zh-CN"/>
        </w:rPr>
      </w:pPr>
      <w:bookmarkStart w:id="554" w:name="_Toc8600"/>
      <w:bookmarkStart w:id="555" w:name="_Toc6282"/>
      <w:bookmarkStart w:id="556" w:name="_Toc22810"/>
      <w:bookmarkStart w:id="557" w:name="_Toc29705"/>
      <w:bookmarkStart w:id="558" w:name="_Toc20393"/>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54"/>
      <w:bookmarkEnd w:id="555"/>
    </w:p>
    <w:bookmarkEnd w:id="556"/>
    <w:p>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rPr>
      </w:pPr>
    </w:p>
    <w:p>
      <w:pPr>
        <w:autoSpaceDE/>
        <w:autoSpaceDN/>
        <w:adjustRightInd/>
        <w:spacing w:line="360" w:lineRule="auto"/>
        <w:jc w:val="both"/>
        <w:rPr>
          <w:rFonts w:ascii="Times New Roman" w:hAnsi="Aptos" w:eastAsia="等线" w:cs="Times New Roman"/>
          <w:b/>
          <w:color w:val="auto"/>
          <w:kern w:val="2"/>
          <w:sz w:val="21"/>
          <w:szCs w:val="21"/>
          <w:highlight w:val="none"/>
        </w:rPr>
      </w:pPr>
      <w:bookmarkStart w:id="559" w:name="_Toc146625403"/>
      <w:r>
        <w:rPr>
          <w:rFonts w:hint="eastAsia" w:ascii="Times New Roman" w:hAnsi="Aptos" w:eastAsia="等线" w:cs="Times New Roman"/>
          <w:b/>
          <w:color w:val="auto"/>
          <w:kern w:val="2"/>
          <w:sz w:val="21"/>
          <w:szCs w:val="21"/>
          <w:highlight w:val="none"/>
        </w:rPr>
        <w:t>一</w:t>
      </w:r>
      <w:r>
        <w:rPr>
          <w:rFonts w:ascii="Times New Roman" w:hAnsi="Aptos" w:eastAsia="等线" w:cs="Times New Roman"/>
          <w:b/>
          <w:color w:val="auto"/>
          <w:kern w:val="2"/>
          <w:sz w:val="21"/>
          <w:szCs w:val="21"/>
          <w:highlight w:val="none"/>
        </w:rPr>
        <w:t>、</w:t>
      </w:r>
      <w:r>
        <w:rPr>
          <w:rFonts w:hint="eastAsia" w:ascii="宋体" w:hAnsi="宋体" w:eastAsia="宋体" w:cs="宋体"/>
          <w:b/>
          <w:color w:val="auto"/>
          <w:kern w:val="2"/>
          <w:sz w:val="21"/>
          <w:szCs w:val="21"/>
          <w:highlight w:val="none"/>
        </w:rPr>
        <w:t>总体要求</w:t>
      </w:r>
    </w:p>
    <w:p>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所</w:t>
      </w:r>
      <w:bookmarkStart w:id="560" w:name="OLE_LINK4"/>
      <w:r>
        <w:rPr>
          <w:rFonts w:hint="eastAsia" w:ascii="宋体" w:hAnsi="宋体" w:eastAsia="宋体" w:cs="宋体"/>
          <w:color w:val="auto"/>
          <w:kern w:val="2"/>
          <w:sz w:val="21"/>
          <w:szCs w:val="21"/>
          <w:highlight w:val="none"/>
        </w:rPr>
        <w:t>供</w:t>
      </w:r>
      <w:bookmarkEnd w:id="560"/>
      <w:r>
        <w:rPr>
          <w:rFonts w:hint="eastAsia" w:ascii="宋体" w:hAnsi="宋体" w:eastAsia="宋体" w:cs="宋体"/>
          <w:color w:val="auto"/>
          <w:kern w:val="2"/>
          <w:sz w:val="21"/>
          <w:szCs w:val="21"/>
          <w:highlight w:val="none"/>
        </w:rPr>
        <w:t>小苏打必须适用于市政污泥焚烧烟气净化系统，用于脱除烟气中的</w:t>
      </w:r>
      <w:r>
        <w:rPr>
          <w:rFonts w:hint="eastAsia" w:ascii="宋体" w:hAnsi="宋体" w:eastAsia="宋体" w:cs="宋体"/>
          <w:color w:val="auto"/>
          <w:kern w:val="0"/>
          <w:sz w:val="21"/>
          <w:szCs w:val="21"/>
          <w:highlight w:val="none"/>
        </w:rPr>
        <w:t>SO</w:t>
      </w:r>
      <w:r>
        <w:rPr>
          <w:rFonts w:hint="eastAsia" w:ascii="宋体" w:hAnsi="宋体" w:eastAsia="宋体" w:cs="宋体"/>
          <w:color w:val="auto"/>
          <w:kern w:val="0"/>
          <w:sz w:val="21"/>
          <w:szCs w:val="21"/>
          <w:highlight w:val="none"/>
          <w:vertAlign w:val="subscript"/>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0"/>
          <w:sz w:val="21"/>
          <w:szCs w:val="21"/>
          <w:highlight w:val="none"/>
        </w:rPr>
        <w:t>HCl、HF等酸性物质。小苏打经研磨机研磨后投加至干法脱酸塔。</w:t>
      </w:r>
      <w:r>
        <w:rPr>
          <w:rFonts w:hint="eastAsia" w:ascii="宋体" w:hAnsi="宋体" w:eastAsia="宋体" w:cs="宋体"/>
          <w:color w:val="auto"/>
          <w:kern w:val="0"/>
          <w:sz w:val="21"/>
          <w:szCs w:val="21"/>
          <w:highlight w:val="none"/>
          <w:lang w:val="en-US" w:eastAsia="zh-CN"/>
        </w:rPr>
        <w:t>本项目的</w:t>
      </w:r>
      <w:r>
        <w:rPr>
          <w:rFonts w:hint="eastAsia" w:ascii="宋体" w:hAnsi="宋体" w:eastAsia="宋体" w:cs="宋体"/>
          <w:color w:val="auto"/>
          <w:kern w:val="2"/>
          <w:sz w:val="21"/>
          <w:highlight w:val="none"/>
        </w:rPr>
        <w:t>小苏打料仓进料管管径为DN100，料仓高度约为19米，容积250m³，共2个料仓</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lang w:val="en-US" w:eastAsia="zh-CN"/>
        </w:rPr>
        <w:t>暂估单次送货量为400吨，</w:t>
      </w:r>
      <w:r>
        <w:rPr>
          <w:rFonts w:hint="eastAsia" w:ascii="宋体" w:hAnsi="宋体" w:eastAsia="宋体" w:cs="宋体"/>
          <w:b w:val="0"/>
          <w:bCs/>
          <w:color w:val="auto"/>
          <w:kern w:val="0"/>
          <w:sz w:val="21"/>
          <w:szCs w:val="21"/>
          <w:highlight w:val="none"/>
        </w:rPr>
        <w:t>实际需求数量以招标人每次的供货通知为准</w:t>
      </w:r>
      <w:r>
        <w:rPr>
          <w:rFonts w:hint="eastAsia" w:ascii="宋体" w:hAnsi="宋体" w:eastAsia="宋体" w:cs="宋体"/>
          <w:b w:val="0"/>
          <w:bCs/>
          <w:color w:val="auto"/>
          <w:kern w:val="0"/>
          <w:sz w:val="21"/>
          <w:szCs w:val="21"/>
          <w:highlight w:val="none"/>
          <w:lang w:eastAsia="zh-CN"/>
        </w:rPr>
        <w:t>。</w:t>
      </w:r>
    </w:p>
    <w:p>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本次采购所需生产药剂：白色结晶粉末小苏打。具体供货量根据实际运营需求，并结合</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使用</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提供的药剂样品所做的小试及实际使用</w:t>
      </w:r>
      <w:r>
        <w:rPr>
          <w:rFonts w:hint="eastAsia" w:ascii="宋体" w:hAnsi="宋体" w:eastAsia="宋体" w:cs="宋体"/>
          <w:color w:val="auto"/>
          <w:kern w:val="2"/>
          <w:sz w:val="21"/>
          <w:szCs w:val="21"/>
          <w:highlight w:val="none"/>
          <w:lang w:val="en-US" w:eastAsia="zh-CN"/>
        </w:rPr>
        <w:t>效果确定</w:t>
      </w:r>
      <w:r>
        <w:rPr>
          <w:rFonts w:hint="eastAsia" w:ascii="宋体" w:hAnsi="宋体" w:eastAsia="宋体" w:cs="宋体"/>
          <w:color w:val="auto"/>
          <w:kern w:val="2"/>
          <w:sz w:val="21"/>
          <w:szCs w:val="21"/>
          <w:highlight w:val="none"/>
        </w:rPr>
        <w:t>。</w:t>
      </w:r>
    </w:p>
    <w:p>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供货期：</w:t>
      </w:r>
      <w:r>
        <w:rPr>
          <w:rFonts w:hint="default" w:ascii="宋体" w:hAnsi="宋体" w:eastAsia="宋体" w:cs="宋体"/>
          <w:color w:val="auto"/>
          <w:kern w:val="2"/>
          <w:sz w:val="21"/>
          <w:szCs w:val="21"/>
          <w:highlight w:val="none"/>
          <w:lang w:val="en-US" w:eastAsia="zh-CN"/>
        </w:rPr>
        <w:t>供货期从合同签订之日至2026年12月31日</w:t>
      </w:r>
      <w:r>
        <w:rPr>
          <w:rFonts w:hint="eastAsia" w:ascii="宋体" w:hAnsi="宋体" w:eastAsia="宋体" w:cs="宋体"/>
          <w:color w:val="auto"/>
          <w:kern w:val="2"/>
          <w:sz w:val="21"/>
          <w:szCs w:val="21"/>
          <w:highlight w:val="none"/>
        </w:rPr>
        <w:t>，具体供货起始日期以</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书面通知为准，</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收到</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通知后必须无条件按照</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的要求开始供货。</w:t>
      </w:r>
    </w:p>
    <w:p>
      <w:pPr>
        <w:autoSpaceDE/>
        <w:autoSpaceDN/>
        <w:adjustRightInd/>
        <w:spacing w:line="360" w:lineRule="auto"/>
        <w:jc w:val="both"/>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二、药剂要求</w:t>
      </w:r>
    </w:p>
    <w:p>
      <w:pPr>
        <w:autoSpaceDE w:val="0"/>
        <w:autoSpaceDN w:val="0"/>
        <w:adjustRightInd w:val="0"/>
        <w:spacing w:line="360" w:lineRule="auto"/>
        <w:ind w:firstLine="48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1、产品名称：小苏打</w:t>
      </w:r>
    </w:p>
    <w:p>
      <w:pPr>
        <w:autoSpaceDE w:val="0"/>
        <w:autoSpaceDN w:val="0"/>
        <w:adjustRightInd w:val="0"/>
        <w:spacing w:line="360" w:lineRule="auto"/>
        <w:ind w:firstLine="48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2、分子式：NaHCO</w:t>
      </w:r>
      <w:r>
        <w:rPr>
          <w:rFonts w:hint="eastAsia" w:ascii="宋体" w:hAnsi="宋体" w:eastAsia="宋体" w:cs="宋体"/>
          <w:color w:val="auto"/>
          <w:kern w:val="2"/>
          <w:sz w:val="21"/>
          <w:highlight w:val="none"/>
          <w:vertAlign w:val="subscript"/>
        </w:rPr>
        <w:t>3</w:t>
      </w:r>
    </w:p>
    <w:p>
      <w:pPr>
        <w:autoSpaceDE w:val="0"/>
        <w:autoSpaceDN w:val="0"/>
        <w:adjustRightInd w:val="0"/>
        <w:spacing w:line="360" w:lineRule="auto"/>
        <w:ind w:firstLine="480"/>
        <w:jc w:val="both"/>
        <w:rPr>
          <w:rFonts w:ascii="宋体" w:hAnsi="Times New Roman" w:eastAsia="宋体" w:cs="Times New Roman"/>
          <w:color w:val="auto"/>
          <w:kern w:val="0"/>
          <w:sz w:val="24"/>
          <w:highlight w:val="none"/>
        </w:rPr>
      </w:pPr>
      <w:r>
        <w:rPr>
          <w:rFonts w:hint="eastAsia" w:ascii="宋体" w:hAnsi="宋体" w:eastAsia="宋体" w:cs="宋体"/>
          <w:color w:val="auto"/>
          <w:kern w:val="2"/>
          <w:sz w:val="21"/>
          <w:highlight w:val="none"/>
        </w:rPr>
        <w:t>3、</w:t>
      </w:r>
      <w:r>
        <w:rPr>
          <w:rFonts w:hint="eastAsia" w:ascii="宋体" w:hAnsi="宋体" w:eastAsia="宋体" w:cs="宋体"/>
          <w:color w:val="auto"/>
          <w:kern w:val="0"/>
          <w:sz w:val="21"/>
          <w:szCs w:val="21"/>
          <w:highlight w:val="none"/>
        </w:rPr>
        <w:t>暂定采购数量：</w:t>
      </w:r>
      <w:r>
        <w:rPr>
          <w:rFonts w:hint="eastAsia" w:ascii="宋体" w:hAnsi="宋体" w:eastAsia="宋体" w:cs="宋体"/>
          <w:i w:val="0"/>
          <w:iCs w:val="0"/>
          <w:color w:val="auto"/>
          <w:kern w:val="2"/>
          <w:sz w:val="21"/>
          <w:szCs w:val="21"/>
          <w:highlight w:val="none"/>
          <w:u w:val="none"/>
          <w:lang w:val="en-US" w:eastAsia="zh-CN" w:bidi="ar"/>
        </w:rPr>
        <w:t>7336</w:t>
      </w:r>
      <w:r>
        <w:rPr>
          <w:rFonts w:hint="eastAsia" w:ascii="宋体" w:hAnsi="宋体" w:eastAsia="宋体" w:cs="宋体"/>
          <w:b w:val="0"/>
          <w:bCs w:val="0"/>
          <w:color w:val="auto"/>
          <w:kern w:val="2"/>
          <w:sz w:val="21"/>
          <w:highlight w:val="none"/>
        </w:rPr>
        <w:t>吨</w:t>
      </w:r>
      <w:r>
        <w:rPr>
          <w:rFonts w:hint="eastAsia" w:ascii="宋体" w:hAnsi="宋体" w:eastAsia="宋体" w:cs="宋体"/>
          <w:b w:val="0"/>
          <w:bCs w:val="0"/>
          <w:color w:val="auto"/>
          <w:kern w:val="2"/>
          <w:sz w:val="21"/>
          <w:highlight w:val="none"/>
          <w:lang w:eastAsia="zh-CN"/>
        </w:rPr>
        <w:t>。</w:t>
      </w:r>
    </w:p>
    <w:p>
      <w:pPr>
        <w:autoSpaceDE w:val="0"/>
        <w:autoSpaceDN w:val="0"/>
        <w:adjustRightInd w:val="0"/>
        <w:spacing w:line="360" w:lineRule="auto"/>
        <w:ind w:firstLine="482" w:firstLineChars="200"/>
        <w:jc w:val="left"/>
        <w:rPr>
          <w:rFonts w:hint="eastAsia" w:ascii="宋体" w:hAnsi="Times New Roman" w:eastAsia="宋体" w:cs="Times New Roman"/>
          <w:color w:val="auto"/>
          <w:kern w:val="0"/>
          <w:sz w:val="21"/>
          <w:szCs w:val="21"/>
          <w:highlight w:val="none"/>
        </w:rPr>
      </w:pPr>
      <w:r>
        <w:rPr>
          <w:rFonts w:hint="eastAsia" w:ascii="宋体" w:hAnsi="宋体" w:eastAsia="宋体" w:cs="宋体"/>
          <w:b/>
          <w:color w:val="auto"/>
          <w:kern w:val="0"/>
          <w:sz w:val="24"/>
          <w:szCs w:val="21"/>
          <w:highlight w:val="none"/>
        </w:rPr>
        <w:t>★</w:t>
      </w:r>
      <w:r>
        <w:rPr>
          <w:rFonts w:hint="eastAsia" w:ascii="宋体" w:hAnsi="宋体" w:eastAsia="宋体" w:cs="宋体"/>
          <w:b/>
          <w:color w:val="auto"/>
          <w:kern w:val="0"/>
          <w:sz w:val="24"/>
          <w:szCs w:val="21"/>
          <w:highlight w:val="none"/>
          <w:lang w:val="en-US" w:eastAsia="zh-CN"/>
        </w:rPr>
        <w:t>4</w:t>
      </w:r>
      <w:r>
        <w:rPr>
          <w:rFonts w:hint="eastAsia" w:ascii="宋体" w:hAnsi="宋体" w:eastAsia="宋体" w:cs="宋体"/>
          <w:b/>
          <w:color w:val="auto"/>
          <w:kern w:val="0"/>
          <w:sz w:val="21"/>
          <w:szCs w:val="21"/>
          <w:highlight w:val="none"/>
        </w:rPr>
        <w:t>、本次采购涉及采购数量为暂定，仅为便于计算暂定合同价使用，不作为招标人最终采购数量的保证。招标人的实际需求数量以招标人每次的供货通知为准，在供货期内中标人不得因招标人实际采购数量的减少或增加而要求提供任何形式的补偿或赔偿，或要求招标人按暂定采购数量采购相应货物。</w:t>
      </w:r>
    </w:p>
    <w:p>
      <w:pPr>
        <w:autoSpaceDE w:val="0"/>
        <w:autoSpaceDN w:val="0"/>
        <w:adjustRightInd w:val="0"/>
        <w:spacing w:line="360" w:lineRule="auto"/>
        <w:ind w:firstLine="48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5</w:t>
      </w:r>
      <w:r>
        <w:rPr>
          <w:rFonts w:hint="eastAsia" w:ascii="宋体" w:hAnsi="宋体" w:eastAsia="宋体" w:cs="宋体"/>
          <w:color w:val="auto"/>
          <w:kern w:val="2"/>
          <w:sz w:val="21"/>
          <w:highlight w:val="none"/>
        </w:rPr>
        <w:t>、主要技术指标</w:t>
      </w:r>
    </w:p>
    <w:p>
      <w:pPr>
        <w:widowControl w:val="0"/>
        <w:numPr>
          <w:ilvl w:val="-1"/>
          <w:numId w:val="0"/>
        </w:numPr>
        <w:autoSpaceDE w:val="0"/>
        <w:autoSpaceDN w:val="0"/>
        <w:adjustRightInd w:val="0"/>
        <w:spacing w:line="360" w:lineRule="auto"/>
        <w:ind w:left="420" w:leftChars="200" w:firstLine="0" w:firstLineChars="0"/>
        <w:contextualSpacing/>
        <w:jc w:val="both"/>
        <w:rPr>
          <w:rFonts w:hint="eastAsia" w:ascii="宋体" w:hAnsi="宋体" w:eastAsia="宋体" w:cs="宋体"/>
          <w:color w:val="auto"/>
          <w:kern w:val="2"/>
          <w:sz w:val="21"/>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t>★</w:t>
      </w:r>
      <w:r>
        <w:rPr>
          <w:rFonts w:hint="eastAsia" w:ascii="宋体" w:hAnsi="Times New Roman" w:eastAsia="宋体" w:cs="Times New Roman"/>
          <w:b/>
          <w:bCs/>
          <w:color w:val="auto"/>
          <w:sz w:val="24"/>
          <w:szCs w:val="24"/>
          <w:highlight w:val="none"/>
          <w:lang w:val="en-US" w:eastAsia="zh-CN" w:bidi="ar-SA"/>
        </w:rPr>
        <w:t>（1）</w:t>
      </w:r>
      <w:r>
        <w:rPr>
          <w:rFonts w:hint="eastAsia" w:ascii="宋体" w:hAnsi="宋体" w:eastAsia="宋体" w:cs="宋体"/>
          <w:b/>
          <w:bCs/>
          <w:color w:val="auto"/>
          <w:kern w:val="2"/>
          <w:sz w:val="21"/>
          <w:szCs w:val="24"/>
          <w:highlight w:val="none"/>
          <w:lang w:val="en-US" w:eastAsia="zh-CN" w:bidi="ar-SA"/>
        </w:rPr>
        <w:t xml:space="preserve">产品必须符合GB1886.2《食品添加剂 碳酸氢钠》最新标准，并采用前述标准的相关试验、检验方法进行试验及检验。其中，主要技术指标要求如下表： </w:t>
      </w:r>
    </w:p>
    <w:p>
      <w:pPr>
        <w:widowControl w:val="0"/>
        <w:numPr>
          <w:ilvl w:val="-1"/>
          <w:numId w:val="0"/>
        </w:numPr>
        <w:autoSpaceDE w:val="0"/>
        <w:autoSpaceDN w:val="0"/>
        <w:adjustRightInd w:val="0"/>
        <w:spacing w:line="360" w:lineRule="auto"/>
        <w:ind w:left="420" w:leftChars="200" w:firstLine="0" w:firstLineChars="0"/>
        <w:contextualSpacing/>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表1  小苏打主要技术指标</w:t>
      </w:r>
    </w:p>
    <w:tbl>
      <w:tblPr>
        <w:tblStyle w:val="45"/>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5"/>
        <w:gridCol w:w="5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105" w:type="dxa"/>
            <w:shd w:val="clear" w:color="auto" w:fill="F1F1F1"/>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指标项目</w:t>
            </w:r>
          </w:p>
        </w:tc>
        <w:tc>
          <w:tcPr>
            <w:tcW w:w="5265" w:type="dxa"/>
            <w:shd w:val="clear" w:color="auto" w:fill="F1F1F1"/>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05" w:type="dxa"/>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总碱量（以 NaHCO₃计）w/%</w:t>
            </w:r>
          </w:p>
        </w:tc>
        <w:tc>
          <w:tcPr>
            <w:tcW w:w="5265" w:type="dxa"/>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99.0~100.5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05" w:type="dxa"/>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干燥减量 w/%</w:t>
            </w:r>
          </w:p>
        </w:tc>
        <w:tc>
          <w:tcPr>
            <w:tcW w:w="5265" w:type="dxa"/>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05" w:type="dxa"/>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pH（10 g/L 水溶液）</w:t>
            </w:r>
          </w:p>
        </w:tc>
        <w:tc>
          <w:tcPr>
            <w:tcW w:w="5265" w:type="dxa"/>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05" w:type="dxa"/>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氯化物（以Cl计）w/%</w:t>
            </w:r>
          </w:p>
        </w:tc>
        <w:tc>
          <w:tcPr>
            <w:tcW w:w="5265" w:type="dxa"/>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05" w:type="dxa"/>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砷（As）mg/kg</w:t>
            </w:r>
          </w:p>
        </w:tc>
        <w:tc>
          <w:tcPr>
            <w:tcW w:w="5265" w:type="dxa"/>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05" w:type="dxa"/>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重金属（以Pb计）mg/kg</w:t>
            </w:r>
          </w:p>
        </w:tc>
        <w:tc>
          <w:tcPr>
            <w:tcW w:w="5265" w:type="dxa"/>
          </w:tcPr>
          <w:p>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≤5.0</w:t>
            </w:r>
          </w:p>
        </w:tc>
      </w:tr>
    </w:tbl>
    <w:p>
      <w:pPr>
        <w:autoSpaceDE/>
        <w:autoSpaceDN/>
        <w:adjustRightInd/>
        <w:spacing w:line="360" w:lineRule="auto"/>
        <w:ind w:firstLine="422" w:firstLineChars="200"/>
        <w:jc w:val="both"/>
        <w:rPr>
          <w:rFonts w:hint="eastAsia" w:ascii="宋体" w:hAnsi="宋体" w:eastAsia="宋体" w:cs="宋体"/>
          <w:color w:val="auto"/>
          <w:kern w:val="2"/>
          <w:sz w:val="21"/>
          <w:highlight w:val="none"/>
        </w:rPr>
      </w:pPr>
      <w:r>
        <w:rPr>
          <w:rFonts w:hint="eastAsia" w:ascii="宋体" w:hAnsi="宋体" w:eastAsia="宋体" w:cs="宋体"/>
          <w:b/>
          <w:bCs/>
          <w:color w:val="auto"/>
          <w:kern w:val="2"/>
          <w:sz w:val="21"/>
          <w:highlight w:val="none"/>
        </w:rPr>
        <w:t>备注</w:t>
      </w:r>
      <w:r>
        <w:rPr>
          <w:rFonts w:hint="eastAsia" w:ascii="宋体" w:hAnsi="宋体" w:eastAsia="宋体" w:cs="宋体"/>
          <w:b/>
          <w:bCs/>
          <w:color w:val="auto"/>
          <w:kern w:val="2"/>
          <w:sz w:val="21"/>
          <w:highlight w:val="none"/>
          <w:lang w:eastAsia="zh-CN"/>
        </w:rPr>
        <w:t>：中标人</w:t>
      </w:r>
      <w:r>
        <w:rPr>
          <w:rFonts w:hint="eastAsia" w:ascii="宋体" w:hAnsi="宋体" w:eastAsia="宋体" w:cs="宋体"/>
          <w:b/>
          <w:bCs/>
          <w:color w:val="auto"/>
          <w:kern w:val="2"/>
          <w:sz w:val="21"/>
          <w:highlight w:val="none"/>
        </w:rPr>
        <w:t>在供货时，需注明所供小苏打</w:t>
      </w:r>
      <w:r>
        <w:rPr>
          <w:rFonts w:hint="eastAsia" w:ascii="宋体" w:hAnsi="宋体" w:eastAsia="宋体" w:cs="宋体"/>
          <w:b/>
          <w:bCs/>
          <w:color w:val="auto"/>
          <w:kern w:val="2"/>
          <w:sz w:val="21"/>
          <w:highlight w:val="none"/>
          <w:lang w:val="en-US" w:eastAsia="zh-CN"/>
        </w:rPr>
        <w:t>符合的国家规范</w:t>
      </w:r>
      <w:r>
        <w:rPr>
          <w:rFonts w:hint="eastAsia" w:ascii="宋体" w:hAnsi="宋体" w:eastAsia="宋体" w:cs="宋体"/>
          <w:b/>
          <w:bCs/>
          <w:color w:val="auto"/>
          <w:kern w:val="2"/>
          <w:sz w:val="21"/>
          <w:highlight w:val="none"/>
        </w:rPr>
        <w:t>、总碱量等技术指标</w:t>
      </w:r>
      <w:r>
        <w:rPr>
          <w:rFonts w:hint="eastAsia" w:ascii="宋体" w:hAnsi="宋体" w:eastAsia="宋体" w:cs="宋体"/>
          <w:b/>
          <w:bCs/>
          <w:color w:val="auto"/>
          <w:kern w:val="2"/>
          <w:sz w:val="21"/>
          <w:highlight w:val="none"/>
          <w:lang w:eastAsia="zh-CN"/>
        </w:rPr>
        <w:t>；</w:t>
      </w:r>
      <w:r>
        <w:rPr>
          <w:rFonts w:hint="eastAsia" w:ascii="宋体" w:hAnsi="宋体" w:eastAsia="宋体" w:cs="宋体"/>
          <w:b/>
          <w:bCs/>
          <w:color w:val="auto"/>
          <w:kern w:val="2"/>
          <w:sz w:val="21"/>
          <w:highlight w:val="none"/>
          <w:lang w:val="en-US" w:eastAsia="zh-CN"/>
        </w:rPr>
        <w:t>上</w:t>
      </w:r>
      <w:r>
        <w:rPr>
          <w:rFonts w:hint="eastAsia" w:ascii="宋体" w:hAnsi="宋体" w:eastAsia="宋体" w:cs="宋体"/>
          <w:b/>
          <w:bCs/>
          <w:color w:val="auto"/>
          <w:kern w:val="2"/>
          <w:sz w:val="21"/>
          <w:highlight w:val="none"/>
        </w:rPr>
        <w:t>述</w:t>
      </w:r>
      <w:r>
        <w:rPr>
          <w:rFonts w:hint="eastAsia" w:ascii="宋体" w:hAnsi="宋体" w:eastAsia="宋体" w:cs="宋体"/>
          <w:b/>
          <w:bCs/>
          <w:color w:val="auto"/>
          <w:kern w:val="2"/>
          <w:sz w:val="21"/>
          <w:highlight w:val="none"/>
          <w:lang w:val="en-US" w:eastAsia="zh-CN"/>
        </w:rPr>
        <w:t>表格</w:t>
      </w:r>
      <w:r>
        <w:rPr>
          <w:rFonts w:hint="eastAsia" w:ascii="宋体" w:hAnsi="宋体" w:eastAsia="宋体" w:cs="宋体"/>
          <w:b/>
          <w:bCs/>
          <w:color w:val="auto"/>
          <w:kern w:val="2"/>
          <w:sz w:val="21"/>
          <w:highlight w:val="none"/>
        </w:rPr>
        <w:t>未包含全部技术指标，详见GB1886.2《食品添加剂 碳酸氢钠》最新标准。</w:t>
      </w:r>
    </w:p>
    <w:p>
      <w:pPr>
        <w:widowControl w:val="0"/>
        <w:numPr>
          <w:ilvl w:val="-1"/>
          <w:numId w:val="0"/>
        </w:numPr>
        <w:autoSpaceDE w:val="0"/>
        <w:autoSpaceDN w:val="0"/>
        <w:adjustRightInd w:val="0"/>
        <w:spacing w:line="360" w:lineRule="auto"/>
        <w:ind w:left="420" w:leftChars="200" w:firstLine="0" w:firstLineChars="0"/>
        <w:contextualSpacing/>
        <w:jc w:val="both"/>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★（2）粒径要求在50~120目。</w:t>
      </w:r>
    </w:p>
    <w:p>
      <w:pPr>
        <w:widowControl w:val="0"/>
        <w:numPr>
          <w:ilvl w:val="-1"/>
          <w:numId w:val="0"/>
        </w:numPr>
        <w:autoSpaceDE w:val="0"/>
        <w:autoSpaceDN w:val="0"/>
        <w:adjustRightInd w:val="0"/>
        <w:spacing w:line="360" w:lineRule="auto"/>
        <w:ind w:left="420" w:leftChars="200" w:firstLine="0" w:firstLineChars="0"/>
        <w:contextualSpacing/>
        <w:jc w:val="both"/>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★（3）性状：白色结晶粉末，无臭、味咸，常温干燥环境性质稳定，易吸潮。无肉眼可见机械杂质，无结块。</w:t>
      </w:r>
    </w:p>
    <w:p>
      <w:pPr>
        <w:widowControl w:val="0"/>
        <w:numPr>
          <w:ilvl w:val="-1"/>
          <w:numId w:val="0"/>
        </w:numPr>
        <w:autoSpaceDE w:val="0"/>
        <w:autoSpaceDN w:val="0"/>
        <w:adjustRightInd w:val="0"/>
        <w:spacing w:line="360" w:lineRule="auto"/>
        <w:ind w:left="420" w:leftChars="200" w:firstLine="0" w:firstLineChars="0"/>
        <w:contextualSpacing/>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（4）供货期间，如有发布最新的行业标准或国家标准，招标人有权根据项目实际情况及有关行业标准或国家标准对合同的主要技术指标进行变更调整，中标人应无条件接受。</w:t>
      </w:r>
    </w:p>
    <w:p>
      <w:pPr>
        <w:widowControl w:val="0"/>
        <w:numPr>
          <w:ilvl w:val="-1"/>
          <w:numId w:val="0"/>
        </w:numPr>
        <w:autoSpaceDE w:val="0"/>
        <w:autoSpaceDN w:val="0"/>
        <w:adjustRightInd w:val="0"/>
        <w:spacing w:line="360" w:lineRule="auto"/>
        <w:ind w:left="420" w:leftChars="200" w:firstLine="0" w:firstLineChars="0"/>
        <w:contextualSpacing/>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（5）中标人所供产品的真实质量，必须满足本用户需求书的所有技术指标。</w:t>
      </w:r>
    </w:p>
    <w:p>
      <w:pPr>
        <w:widowControl w:val="0"/>
        <w:numPr>
          <w:ilvl w:val="-1"/>
          <w:numId w:val="0"/>
        </w:numPr>
        <w:autoSpaceDE w:val="0"/>
        <w:autoSpaceDN w:val="0"/>
        <w:adjustRightInd w:val="0"/>
        <w:spacing w:line="360" w:lineRule="auto"/>
        <w:ind w:left="420" w:leftChars="200" w:firstLine="0" w:firstLineChars="0"/>
        <w:contextualSpacing/>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（6）中标人须根据招标人的情况，提供满足招标人厂区正常生产运营的产品。</w:t>
      </w:r>
    </w:p>
    <w:p>
      <w:pPr>
        <w:autoSpaceDE/>
        <w:autoSpaceDN/>
        <w:adjustRightInd/>
        <w:spacing w:line="360" w:lineRule="auto"/>
        <w:ind w:firstLine="0" w:firstLineChars="0"/>
        <w:jc w:val="both"/>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三、交货要求</w:t>
      </w:r>
    </w:p>
    <w:p>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1、交货地点：东莞市污泥集中处理处置项目现场（广东省东莞市沙田镇立沙中路）。</w:t>
      </w:r>
    </w:p>
    <w:p>
      <w:pPr>
        <w:autoSpaceDE/>
        <w:autoSpaceDN/>
        <w:adjustRightInd/>
        <w:spacing w:line="360" w:lineRule="auto"/>
        <w:ind w:firstLine="420" w:firstLineChars="200"/>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2、产品</w:t>
      </w:r>
      <w:r>
        <w:rPr>
          <w:rFonts w:hint="eastAsia" w:ascii="宋体" w:hAnsi="宋体" w:eastAsia="宋体" w:cs="宋体"/>
          <w:color w:val="auto"/>
          <w:kern w:val="2"/>
          <w:sz w:val="21"/>
          <w:highlight w:val="none"/>
          <w:lang w:val="en-US" w:eastAsia="zh-CN"/>
        </w:rPr>
        <w:t>包装：</w:t>
      </w:r>
      <w:r>
        <w:rPr>
          <w:rFonts w:hint="eastAsia" w:ascii="宋体" w:hAnsi="宋体" w:eastAsia="宋体" w:cs="宋体"/>
          <w:color w:val="auto"/>
          <w:kern w:val="2"/>
          <w:sz w:val="21"/>
          <w:highlight w:val="none"/>
        </w:rPr>
        <w:t>小苏打无需包装，采用槽罐车运输，装卸至小苏打料仓。</w:t>
      </w:r>
    </w:p>
    <w:p>
      <w:pPr>
        <w:numPr>
          <w:ilvl w:val="0"/>
          <w:numId w:val="1"/>
        </w:numPr>
        <w:autoSpaceDE/>
        <w:autoSpaceDN/>
        <w:adjustRightInd/>
        <w:spacing w:line="360" w:lineRule="auto"/>
        <w:ind w:firstLine="420" w:firstLineChars="200"/>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产品运输、装卸</w:t>
      </w:r>
      <w:r>
        <w:rPr>
          <w:rFonts w:hint="eastAsia" w:ascii="宋体" w:hAnsi="宋体" w:eastAsia="宋体" w:cs="宋体"/>
          <w:color w:val="auto"/>
          <w:kern w:val="2"/>
          <w:sz w:val="21"/>
          <w:highlight w:val="none"/>
          <w:lang w:val="en-US" w:eastAsia="zh-CN"/>
        </w:rPr>
        <w:t>的要求：</w:t>
      </w:r>
      <w:r>
        <w:rPr>
          <w:rFonts w:hint="eastAsia" w:ascii="宋体" w:hAnsi="宋体" w:eastAsia="宋体" w:cs="宋体"/>
          <w:color w:val="auto"/>
          <w:kern w:val="2"/>
          <w:sz w:val="21"/>
          <w:highlight w:val="none"/>
        </w:rPr>
        <w:t>需专用槽罐车密闭装运，装运容器应防潮。应使用专用槽罐车运输，运输、贮存过程中不得与其他货物混装（放），防止混入其他有毒或有害的物质，并自备卸货设备。</w:t>
      </w:r>
    </w:p>
    <w:p>
      <w:pPr>
        <w:numPr>
          <w:ilvl w:val="0"/>
          <w:numId w:val="1"/>
        </w:numPr>
        <w:autoSpaceDE/>
        <w:autoSpaceDN/>
        <w:adjustRightInd/>
        <w:spacing w:line="360" w:lineRule="auto"/>
        <w:ind w:left="0" w:leftChars="0" w:firstLine="420" w:firstLineChars="20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应急供货的要求：招标人由于特殊情况需要使用吨包运输、装卸时，中标人应根据招标人需求无条件配合供应吨包小苏打，并负责将吨包小苏打卸料至招标人料仓；吨包小苏打的供应费用（包括运输、装卸至料仓等全过程费用）已包含在合同单价中</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lang w:val="en-US" w:eastAsia="zh-CN"/>
        </w:rPr>
        <w:t>中标人</w:t>
      </w:r>
      <w:r>
        <w:rPr>
          <w:rFonts w:hint="eastAsia" w:ascii="宋体" w:hAnsi="宋体" w:eastAsia="宋体" w:cs="宋体"/>
          <w:color w:val="auto"/>
          <w:kern w:val="2"/>
          <w:sz w:val="21"/>
          <w:highlight w:val="none"/>
        </w:rPr>
        <w:t>不得以此为由调整价格。</w:t>
      </w:r>
      <w:r>
        <w:rPr>
          <w:rFonts w:hint="eastAsia" w:ascii="宋体" w:hAnsi="宋体" w:eastAsia="宋体" w:cs="宋体"/>
          <w:color w:val="auto"/>
          <w:kern w:val="2"/>
          <w:sz w:val="21"/>
          <w:highlight w:val="none"/>
          <w:lang w:val="en-US" w:eastAsia="zh-CN"/>
        </w:rPr>
        <w:t>中标人提供的</w:t>
      </w:r>
      <w:r>
        <w:rPr>
          <w:rFonts w:hint="eastAsia" w:ascii="宋体" w:hAnsi="宋体" w:eastAsia="宋体" w:cs="宋体"/>
          <w:color w:val="auto"/>
          <w:kern w:val="2"/>
          <w:sz w:val="21"/>
          <w:highlight w:val="none"/>
        </w:rPr>
        <w:t>吨包</w:t>
      </w:r>
      <w:r>
        <w:rPr>
          <w:rFonts w:hint="eastAsia" w:ascii="宋体" w:hAnsi="宋体" w:eastAsia="宋体" w:cs="宋体"/>
          <w:color w:val="auto"/>
          <w:kern w:val="2"/>
          <w:sz w:val="21"/>
          <w:highlight w:val="none"/>
          <w:lang w:val="en-US" w:eastAsia="zh-CN"/>
        </w:rPr>
        <w:t>小苏打应</w:t>
      </w:r>
      <w:r>
        <w:rPr>
          <w:rFonts w:hint="eastAsia" w:ascii="宋体" w:hAnsi="宋体" w:eastAsia="宋体" w:cs="宋体"/>
          <w:color w:val="auto"/>
          <w:kern w:val="2"/>
          <w:sz w:val="21"/>
          <w:highlight w:val="none"/>
        </w:rPr>
        <w:t>适用于电动葫芦吊装，</w:t>
      </w:r>
      <w:r>
        <w:rPr>
          <w:rFonts w:hint="eastAsia" w:ascii="宋体" w:hAnsi="宋体" w:eastAsia="宋体" w:cs="宋体"/>
          <w:color w:val="auto"/>
          <w:kern w:val="2"/>
          <w:sz w:val="21"/>
          <w:highlight w:val="none"/>
          <w:lang w:val="en-US" w:eastAsia="zh-CN"/>
        </w:rPr>
        <w:t>本项目的小苏打</w:t>
      </w:r>
      <w:r>
        <w:rPr>
          <w:rFonts w:hint="eastAsia" w:ascii="宋体" w:hAnsi="宋体" w:eastAsia="宋体" w:cs="宋体"/>
          <w:color w:val="auto"/>
          <w:kern w:val="2"/>
          <w:sz w:val="21"/>
          <w:highlight w:val="none"/>
        </w:rPr>
        <w:t>料仓接料口</w:t>
      </w:r>
      <w:r>
        <w:rPr>
          <w:rFonts w:hint="eastAsia" w:ascii="宋体" w:hAnsi="宋体" w:eastAsia="宋体" w:cs="宋体"/>
          <w:color w:val="auto"/>
          <w:kern w:val="2"/>
          <w:sz w:val="21"/>
          <w:highlight w:val="none"/>
          <w:lang w:val="en-US" w:eastAsia="zh-CN"/>
        </w:rPr>
        <w:t>已</w:t>
      </w:r>
      <w:r>
        <w:rPr>
          <w:rFonts w:hint="eastAsia" w:ascii="宋体" w:hAnsi="宋体" w:eastAsia="宋体" w:cs="宋体"/>
          <w:color w:val="auto"/>
          <w:kern w:val="2"/>
          <w:sz w:val="21"/>
          <w:highlight w:val="none"/>
        </w:rPr>
        <w:t>配有破袋刀，见下图；不同包装规格的具体数量以</w:t>
      </w:r>
      <w:r>
        <w:rPr>
          <w:rFonts w:hint="eastAsia" w:ascii="宋体" w:hAnsi="宋体" w:eastAsia="宋体" w:cs="宋体"/>
          <w:color w:val="auto"/>
          <w:kern w:val="2"/>
          <w:sz w:val="21"/>
          <w:highlight w:val="none"/>
          <w:lang w:eastAsia="zh-CN"/>
        </w:rPr>
        <w:t>招标人</w:t>
      </w:r>
      <w:r>
        <w:rPr>
          <w:rFonts w:hint="eastAsia" w:ascii="宋体" w:hAnsi="宋体" w:eastAsia="宋体" w:cs="宋体"/>
          <w:color w:val="auto"/>
          <w:kern w:val="2"/>
          <w:sz w:val="21"/>
          <w:highlight w:val="none"/>
        </w:rPr>
        <w:t>的通知为准。</w:t>
      </w:r>
    </w:p>
    <w:p>
      <w:pPr>
        <w:autoSpaceDE/>
        <w:autoSpaceDN/>
        <w:adjustRightInd/>
        <w:spacing w:line="360" w:lineRule="auto"/>
        <w:jc w:val="center"/>
        <w:rPr>
          <w:rFonts w:ascii="宋体" w:hAnsi="宋体" w:eastAsia="宋体" w:cs="宋体"/>
          <w:color w:val="auto"/>
          <w:kern w:val="2"/>
          <w:sz w:val="21"/>
          <w:highlight w:val="none"/>
        </w:rPr>
      </w:pPr>
      <w:r>
        <w:rPr>
          <w:rFonts w:hint="eastAsia" w:ascii="宋体" w:hAnsi="宋体" w:eastAsia="宋体" w:cs="宋体"/>
          <w:color w:val="auto"/>
          <w:kern w:val="0"/>
          <w:sz w:val="24"/>
          <w:highlight w:val="none"/>
        </w:rPr>
        <w:drawing>
          <wp:inline distT="0" distB="0" distL="0" distR="0">
            <wp:extent cx="2341245" cy="1799590"/>
            <wp:effectExtent l="0" t="0" r="1905" b="10160"/>
            <wp:docPr id="710282885" name="Picture 1" descr="A drawing of a cylin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82885" name="Picture 1" descr="A drawing of a cylinder&#10;&#10;AI-generated content may be incorrect."/>
                    <pic:cNvPicPr>
                      <a:picLocks noChangeAspect="1"/>
                    </pic:cNvPicPr>
                  </pic:nvPicPr>
                  <pic:blipFill>
                    <a:blip r:embed="rId14"/>
                    <a:srcRect l="9628"/>
                    <a:stretch>
                      <a:fillRect/>
                    </a:stretch>
                  </pic:blipFill>
                  <pic:spPr>
                    <a:xfrm>
                      <a:off x="0" y="0"/>
                      <a:ext cx="2341245" cy="1799590"/>
                    </a:xfrm>
                    <a:prstGeom prst="rect">
                      <a:avLst/>
                    </a:prstGeom>
                  </pic:spPr>
                </pic:pic>
              </a:graphicData>
            </a:graphic>
          </wp:inline>
        </w:drawing>
      </w:r>
    </w:p>
    <w:p>
      <w:pPr>
        <w:autoSpaceDE/>
        <w:autoSpaceDN/>
        <w:adjustRightInd/>
        <w:spacing w:line="360" w:lineRule="auto"/>
        <w:ind w:firstLine="420" w:firstLineChars="200"/>
        <w:jc w:val="center"/>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图：小苏打料仓吨包接料斗</w:t>
      </w:r>
    </w:p>
    <w:p>
      <w:pPr>
        <w:numPr>
          <w:ilvl w:val="0"/>
          <w:numId w:val="1"/>
        </w:numPr>
        <w:autoSpaceDE/>
        <w:autoSpaceDN/>
        <w:adjustRightInd/>
        <w:spacing w:line="360" w:lineRule="auto"/>
        <w:ind w:firstLine="420" w:firstLineChars="200"/>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交货时间：</w:t>
      </w:r>
    </w:p>
    <w:p>
      <w:pPr>
        <w:autoSpaceDE/>
        <w:autoSpaceDN/>
        <w:adjustRightInd/>
        <w:spacing w:line="360" w:lineRule="auto"/>
        <w:ind w:firstLine="42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日常供货（</w:t>
      </w:r>
      <w:r>
        <w:rPr>
          <w:rFonts w:hint="eastAsia" w:ascii="宋体" w:hAnsi="宋体" w:eastAsia="宋体" w:cs="宋体"/>
          <w:color w:val="auto"/>
          <w:kern w:val="2"/>
          <w:sz w:val="21"/>
          <w:highlight w:val="none"/>
        </w:rPr>
        <w:t>非加急供货)为接到供货通知</w:t>
      </w:r>
      <w:r>
        <w:rPr>
          <w:rFonts w:hint="eastAsia" w:ascii="宋体" w:hAnsi="宋体" w:eastAsia="宋体" w:cs="宋体"/>
          <w:color w:val="auto"/>
          <w:kern w:val="2"/>
          <w:sz w:val="21"/>
          <w:highlight w:val="none"/>
          <w:lang w:val="en-US" w:eastAsia="zh-CN"/>
        </w:rPr>
        <w:t>4日</w:t>
      </w:r>
      <w:r>
        <w:rPr>
          <w:rFonts w:hint="eastAsia" w:ascii="宋体" w:hAnsi="宋体" w:eastAsia="宋体" w:cs="宋体"/>
          <w:color w:val="auto"/>
          <w:kern w:val="2"/>
          <w:sz w:val="21"/>
          <w:highlight w:val="none"/>
        </w:rPr>
        <w:t>内，加急供货为接到供货通知</w:t>
      </w:r>
      <w:r>
        <w:rPr>
          <w:rFonts w:hint="eastAsia" w:ascii="宋体" w:hAnsi="宋体" w:eastAsia="宋体" w:cs="宋体"/>
          <w:color w:val="auto"/>
          <w:kern w:val="2"/>
          <w:sz w:val="21"/>
          <w:highlight w:val="none"/>
          <w:lang w:val="en-US" w:eastAsia="zh-CN"/>
        </w:rPr>
        <w:t>24</w:t>
      </w:r>
      <w:r>
        <w:rPr>
          <w:rFonts w:hint="eastAsia" w:ascii="宋体" w:hAnsi="宋体" w:eastAsia="宋体" w:cs="宋体"/>
          <w:color w:val="auto"/>
          <w:kern w:val="2"/>
          <w:sz w:val="21"/>
          <w:highlight w:val="none"/>
        </w:rPr>
        <w:t>小时内，具体交货时间以</w:t>
      </w:r>
      <w:r>
        <w:rPr>
          <w:rFonts w:hint="eastAsia" w:ascii="宋体" w:hAnsi="宋体" w:eastAsia="宋体" w:cs="宋体"/>
          <w:color w:val="auto"/>
          <w:kern w:val="2"/>
          <w:sz w:val="21"/>
          <w:highlight w:val="none"/>
          <w:lang w:eastAsia="zh-CN"/>
        </w:rPr>
        <w:t>招标人</w:t>
      </w:r>
      <w:r>
        <w:rPr>
          <w:rFonts w:hint="eastAsia" w:ascii="宋体" w:hAnsi="宋体" w:eastAsia="宋体" w:cs="宋体"/>
          <w:color w:val="auto"/>
          <w:kern w:val="2"/>
          <w:sz w:val="21"/>
          <w:highlight w:val="none"/>
        </w:rPr>
        <w:t>供货通知为准。</w:t>
      </w:r>
      <w:r>
        <w:rPr>
          <w:rFonts w:hint="eastAsia" w:ascii="宋体" w:hAnsi="宋体" w:eastAsia="宋体" w:cs="宋体"/>
          <w:color w:val="auto"/>
          <w:kern w:val="2"/>
          <w:sz w:val="21"/>
          <w:highlight w:val="none"/>
          <w:lang w:eastAsia="zh-CN"/>
        </w:rPr>
        <w:t>招标人</w:t>
      </w:r>
      <w:r>
        <w:rPr>
          <w:rFonts w:hint="eastAsia" w:ascii="宋体" w:hAnsi="宋体" w:eastAsia="宋体" w:cs="宋体"/>
          <w:color w:val="auto"/>
          <w:kern w:val="2"/>
          <w:sz w:val="21"/>
          <w:highlight w:val="none"/>
        </w:rPr>
        <w:t>无需因加急供货而额外支付任何费用。</w:t>
      </w:r>
    </w:p>
    <w:p>
      <w:pPr>
        <w:numPr>
          <w:ilvl w:val="0"/>
          <w:numId w:val="1"/>
        </w:numPr>
        <w:autoSpaceDE/>
        <w:autoSpaceDN/>
        <w:adjustRightInd/>
        <w:spacing w:line="360" w:lineRule="auto"/>
        <w:ind w:firstLine="420" w:firstLineChars="200"/>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lang w:eastAsia="zh-CN"/>
        </w:rPr>
        <w:t>中标人</w:t>
      </w:r>
      <w:r>
        <w:rPr>
          <w:rFonts w:hint="eastAsia" w:ascii="宋体" w:hAnsi="宋体" w:eastAsia="宋体" w:cs="宋体"/>
          <w:color w:val="auto"/>
          <w:kern w:val="2"/>
          <w:sz w:val="21"/>
          <w:highlight w:val="none"/>
        </w:rPr>
        <w:t>自行负责将生产药剂运送至</w:t>
      </w:r>
      <w:r>
        <w:rPr>
          <w:rFonts w:hint="eastAsia" w:ascii="宋体" w:hAnsi="宋体" w:eastAsia="宋体" w:cs="宋体"/>
          <w:color w:val="auto"/>
          <w:kern w:val="2"/>
          <w:sz w:val="21"/>
          <w:highlight w:val="none"/>
          <w:lang w:eastAsia="zh-CN"/>
        </w:rPr>
        <w:t>招标人</w:t>
      </w:r>
      <w:r>
        <w:rPr>
          <w:rFonts w:hint="eastAsia" w:ascii="宋体" w:hAnsi="宋体" w:eastAsia="宋体" w:cs="宋体"/>
          <w:color w:val="auto"/>
          <w:kern w:val="2"/>
          <w:sz w:val="21"/>
          <w:highlight w:val="none"/>
        </w:rPr>
        <w:t>指定位置（生产药剂储存罐），</w:t>
      </w:r>
      <w:r>
        <w:rPr>
          <w:rFonts w:hint="eastAsia" w:ascii="宋体" w:hAnsi="宋体" w:eastAsia="宋体" w:cs="宋体"/>
          <w:b/>
          <w:bCs/>
          <w:color w:val="auto"/>
          <w:kern w:val="2"/>
          <w:sz w:val="21"/>
          <w:highlight w:val="none"/>
        </w:rPr>
        <w:t>未经</w:t>
      </w:r>
      <w:r>
        <w:rPr>
          <w:rFonts w:hint="eastAsia" w:ascii="宋体" w:hAnsi="宋体" w:eastAsia="宋体" w:cs="宋体"/>
          <w:b/>
          <w:bCs/>
          <w:color w:val="auto"/>
          <w:kern w:val="2"/>
          <w:sz w:val="21"/>
          <w:highlight w:val="none"/>
          <w:lang w:eastAsia="zh-CN"/>
        </w:rPr>
        <w:t>招标人</w:t>
      </w:r>
      <w:r>
        <w:rPr>
          <w:rFonts w:hint="eastAsia" w:ascii="宋体" w:hAnsi="宋体" w:eastAsia="宋体" w:cs="宋体"/>
          <w:b/>
          <w:bCs/>
          <w:color w:val="auto"/>
          <w:kern w:val="2"/>
          <w:sz w:val="21"/>
          <w:highlight w:val="none"/>
        </w:rPr>
        <w:t>书面同意，</w:t>
      </w:r>
      <w:r>
        <w:rPr>
          <w:rFonts w:hint="eastAsia" w:ascii="宋体" w:hAnsi="宋体" w:eastAsia="宋体" w:cs="宋体"/>
          <w:b/>
          <w:bCs/>
          <w:color w:val="auto"/>
          <w:kern w:val="2"/>
          <w:sz w:val="21"/>
          <w:highlight w:val="none"/>
          <w:lang w:eastAsia="zh-CN"/>
        </w:rPr>
        <w:t>中标人</w:t>
      </w:r>
      <w:r>
        <w:rPr>
          <w:rFonts w:hint="eastAsia" w:ascii="宋体" w:hAnsi="宋体" w:eastAsia="宋体" w:cs="宋体"/>
          <w:b/>
          <w:bCs/>
          <w:color w:val="auto"/>
          <w:kern w:val="2"/>
          <w:sz w:val="21"/>
          <w:highlight w:val="none"/>
        </w:rPr>
        <w:t>不得私自将本合同项下的货物运输义务委托第三方个人或企业。</w:t>
      </w:r>
      <w:r>
        <w:rPr>
          <w:rFonts w:hint="eastAsia" w:ascii="宋体" w:hAnsi="宋体" w:eastAsia="宋体" w:cs="宋体"/>
          <w:color w:val="auto"/>
          <w:kern w:val="2"/>
          <w:sz w:val="21"/>
          <w:highlight w:val="none"/>
          <w:lang w:eastAsia="zh-CN"/>
        </w:rPr>
        <w:t>中标人</w:t>
      </w:r>
      <w:r>
        <w:rPr>
          <w:rFonts w:hint="eastAsia" w:ascii="宋体" w:hAnsi="宋体" w:eastAsia="宋体" w:cs="宋体"/>
          <w:color w:val="auto"/>
          <w:kern w:val="2"/>
          <w:sz w:val="21"/>
          <w:highlight w:val="none"/>
        </w:rPr>
        <w:t>承担相应的运输、装卸、二次搬运等费用，运输人员应配备足够防护器具。如在运输及装卸过程中，生产药剂发生泄漏，应由</w:t>
      </w:r>
      <w:r>
        <w:rPr>
          <w:rFonts w:hint="eastAsia" w:ascii="宋体" w:hAnsi="宋体" w:eastAsia="宋体" w:cs="宋体"/>
          <w:color w:val="auto"/>
          <w:kern w:val="2"/>
          <w:sz w:val="21"/>
          <w:highlight w:val="none"/>
          <w:lang w:eastAsia="zh-CN"/>
        </w:rPr>
        <w:t>中标人</w:t>
      </w:r>
      <w:r>
        <w:rPr>
          <w:rFonts w:hint="eastAsia" w:ascii="宋体" w:hAnsi="宋体" w:eastAsia="宋体" w:cs="宋体"/>
          <w:color w:val="auto"/>
          <w:kern w:val="2"/>
          <w:sz w:val="21"/>
          <w:highlight w:val="none"/>
        </w:rPr>
        <w:t>负责清理收集，避免造成人员伤害或环境污染。</w:t>
      </w:r>
    </w:p>
    <w:p>
      <w:pPr>
        <w:numPr>
          <w:ilvl w:val="0"/>
          <w:numId w:val="1"/>
        </w:num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每次送货，中标人须提供电子地磅的称重单（含载货时的称重单和卸货后的称重单），相关费用由中标人承担。实际供货数量以招标人和中标人双方确认的电子地磅的称重单为准。</w:t>
      </w:r>
      <w:r>
        <w:rPr>
          <w:rFonts w:hint="eastAsia" w:ascii="宋体" w:hAnsi="宋体" w:eastAsia="宋体" w:cs="宋体"/>
          <w:color w:val="auto"/>
          <w:kern w:val="2"/>
          <w:sz w:val="21"/>
          <w:highlight w:val="none"/>
        </w:rPr>
        <w:t>厂内</w:t>
      </w:r>
      <w:r>
        <w:rPr>
          <w:rFonts w:hint="eastAsia" w:ascii="宋体" w:hAnsi="宋体" w:eastAsia="宋体" w:cs="宋体"/>
          <w:color w:val="auto"/>
          <w:kern w:val="2"/>
          <w:sz w:val="21"/>
          <w:highlight w:val="none"/>
          <w:lang w:val="en-US" w:eastAsia="zh-CN"/>
        </w:rPr>
        <w:t>有</w:t>
      </w:r>
      <w:r>
        <w:rPr>
          <w:rFonts w:hint="eastAsia" w:ascii="宋体" w:hAnsi="宋体" w:eastAsia="宋体" w:cs="宋体"/>
          <w:color w:val="auto"/>
          <w:kern w:val="2"/>
          <w:sz w:val="21"/>
          <w:highlight w:val="none"/>
        </w:rPr>
        <w:t>电子地磅</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szCs w:val="21"/>
          <w:highlight w:val="none"/>
          <w:lang w:val="en-US" w:eastAsia="zh-CN" w:bidi="ar"/>
        </w:rPr>
        <w:t>原则上在招标人厂内过磅。招标人厂内地磅或电子地磅因检修等原因不可用的，在交货地点附近的电子地磅过磅。招标人电子地磅的称重服务不含税单价为1.51元/吨，称重服务相关条款由招标人与中标人签订称重服务合同另行约定。</w:t>
      </w:r>
    </w:p>
    <w:p>
      <w:pPr>
        <w:numPr>
          <w:ilvl w:val="0"/>
          <w:numId w:val="1"/>
        </w:numPr>
        <w:autoSpaceDE/>
        <w:autoSpaceDN/>
        <w:adjustRightInd/>
        <w:spacing w:line="360" w:lineRule="auto"/>
        <w:ind w:firstLine="420" w:firstLineChars="200"/>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每次送货，</w:t>
      </w:r>
      <w:r>
        <w:rPr>
          <w:rFonts w:hint="eastAsia" w:ascii="宋体" w:hAnsi="宋体" w:eastAsia="宋体" w:cs="宋体"/>
          <w:color w:val="auto"/>
          <w:kern w:val="2"/>
          <w:sz w:val="21"/>
          <w:highlight w:val="none"/>
          <w:lang w:eastAsia="zh-CN"/>
        </w:rPr>
        <w:t>中标人</w:t>
      </w:r>
      <w:r>
        <w:rPr>
          <w:rFonts w:hint="eastAsia" w:ascii="宋体" w:hAnsi="宋体" w:eastAsia="宋体" w:cs="宋体"/>
          <w:color w:val="auto"/>
          <w:kern w:val="2"/>
          <w:sz w:val="21"/>
          <w:highlight w:val="none"/>
        </w:rPr>
        <w:t>须随货提供生产厂家出具的具有生产厂家、产品名称、出厂批号、</w:t>
      </w:r>
      <w:r>
        <w:rPr>
          <w:rFonts w:hint="eastAsia" w:ascii="宋体" w:hAnsi="宋体" w:eastAsia="宋体" w:cs="宋体"/>
          <w:color w:val="auto"/>
          <w:kern w:val="2"/>
          <w:sz w:val="21"/>
          <w:highlight w:val="none"/>
          <w:lang w:val="en-US" w:eastAsia="zh-CN"/>
        </w:rPr>
        <w:t>符合的国家规范</w:t>
      </w:r>
      <w:r>
        <w:rPr>
          <w:rFonts w:hint="eastAsia" w:ascii="宋体" w:hAnsi="宋体" w:eastAsia="宋体" w:cs="宋体"/>
          <w:color w:val="auto"/>
          <w:kern w:val="2"/>
          <w:sz w:val="21"/>
          <w:highlight w:val="none"/>
        </w:rPr>
        <w:t>、总碱量、执行标准等主要信息的产品质量检验报告（如出厂检验报告、质量检验报告等）、供货单据等资料，</w:t>
      </w:r>
      <w:r>
        <w:rPr>
          <w:rFonts w:hint="eastAsia" w:ascii="宋体" w:hAnsi="宋体" w:eastAsia="宋体" w:cs="宋体"/>
          <w:color w:val="auto"/>
          <w:kern w:val="2"/>
          <w:sz w:val="21"/>
          <w:highlight w:val="none"/>
          <w:lang w:eastAsia="zh-CN"/>
        </w:rPr>
        <w:t>中标人</w:t>
      </w:r>
      <w:r>
        <w:rPr>
          <w:rFonts w:hint="eastAsia" w:ascii="宋体" w:hAnsi="宋体" w:eastAsia="宋体" w:cs="宋体"/>
          <w:color w:val="auto"/>
          <w:kern w:val="2"/>
          <w:sz w:val="21"/>
          <w:highlight w:val="none"/>
        </w:rPr>
        <w:t>提供的检验报告只作为</w:t>
      </w:r>
      <w:r>
        <w:rPr>
          <w:rFonts w:hint="eastAsia" w:ascii="宋体" w:hAnsi="宋体" w:eastAsia="宋体" w:cs="宋体"/>
          <w:color w:val="auto"/>
          <w:kern w:val="2"/>
          <w:sz w:val="21"/>
          <w:highlight w:val="none"/>
          <w:lang w:eastAsia="zh-CN"/>
        </w:rPr>
        <w:t>招标人</w:t>
      </w:r>
      <w:r>
        <w:rPr>
          <w:rFonts w:hint="eastAsia" w:ascii="宋体" w:hAnsi="宋体" w:eastAsia="宋体" w:cs="宋体"/>
          <w:color w:val="auto"/>
          <w:kern w:val="2"/>
          <w:sz w:val="21"/>
          <w:highlight w:val="none"/>
        </w:rPr>
        <w:t>参考。</w:t>
      </w:r>
    </w:p>
    <w:p>
      <w:pPr>
        <w:numPr>
          <w:ilvl w:val="0"/>
          <w:numId w:val="1"/>
        </w:numPr>
        <w:autoSpaceDE/>
        <w:autoSpaceDN/>
        <w:adjustRightInd/>
        <w:spacing w:line="360" w:lineRule="auto"/>
        <w:ind w:firstLine="420" w:firstLineChars="200"/>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供货期间，在收到</w:t>
      </w:r>
      <w:r>
        <w:rPr>
          <w:rFonts w:hint="eastAsia" w:ascii="宋体" w:hAnsi="宋体" w:eastAsia="宋体" w:cs="宋体"/>
          <w:color w:val="auto"/>
          <w:kern w:val="2"/>
          <w:sz w:val="21"/>
          <w:highlight w:val="none"/>
          <w:lang w:eastAsia="zh-CN"/>
        </w:rPr>
        <w:t>招标人</w:t>
      </w:r>
      <w:r>
        <w:rPr>
          <w:rFonts w:hint="eastAsia" w:ascii="宋体" w:hAnsi="宋体" w:eastAsia="宋体" w:cs="宋体"/>
          <w:color w:val="auto"/>
          <w:kern w:val="2"/>
          <w:sz w:val="21"/>
          <w:highlight w:val="none"/>
        </w:rPr>
        <w:t>供货通知前，</w:t>
      </w:r>
      <w:r>
        <w:rPr>
          <w:rFonts w:hint="eastAsia" w:ascii="宋体" w:hAnsi="宋体" w:eastAsia="宋体" w:cs="宋体"/>
          <w:color w:val="auto"/>
          <w:kern w:val="2"/>
          <w:sz w:val="21"/>
          <w:highlight w:val="none"/>
          <w:lang w:eastAsia="zh-CN"/>
        </w:rPr>
        <w:t>中标人</w:t>
      </w:r>
      <w:r>
        <w:rPr>
          <w:rFonts w:hint="eastAsia" w:ascii="宋体" w:hAnsi="宋体" w:eastAsia="宋体" w:cs="宋体"/>
          <w:color w:val="auto"/>
          <w:kern w:val="2"/>
          <w:sz w:val="21"/>
          <w:highlight w:val="none"/>
        </w:rPr>
        <w:t>无需为合同履行做准备工作。</w:t>
      </w:r>
    </w:p>
    <w:p>
      <w:pPr>
        <w:numPr>
          <w:ilvl w:val="0"/>
          <w:numId w:val="1"/>
        </w:numPr>
        <w:autoSpaceDE/>
        <w:autoSpaceDN/>
        <w:adjustRightInd/>
        <w:spacing w:line="360" w:lineRule="auto"/>
        <w:ind w:firstLine="420" w:firstLineChars="200"/>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生产药剂的运送及输送方式应符合国家或行业规范标准。</w:t>
      </w:r>
    </w:p>
    <w:p>
      <w:pPr>
        <w:numPr>
          <w:ilvl w:val="0"/>
          <w:numId w:val="1"/>
        </w:numPr>
        <w:autoSpaceDE/>
        <w:autoSpaceDN/>
        <w:adjustRightInd/>
        <w:spacing w:line="360" w:lineRule="auto"/>
        <w:ind w:firstLine="420" w:firstLineChars="200"/>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生产药剂的贮存装置、贮存条件等信息，</w:t>
      </w:r>
      <w:r>
        <w:rPr>
          <w:rFonts w:hint="eastAsia" w:ascii="宋体" w:hAnsi="宋体" w:eastAsia="宋体" w:cs="宋体"/>
          <w:color w:val="auto"/>
          <w:kern w:val="2"/>
          <w:sz w:val="21"/>
          <w:highlight w:val="none"/>
          <w:lang w:eastAsia="zh-CN"/>
        </w:rPr>
        <w:t>中标人</w:t>
      </w:r>
      <w:r>
        <w:rPr>
          <w:rFonts w:hint="eastAsia" w:ascii="宋体" w:hAnsi="宋体" w:eastAsia="宋体" w:cs="宋体"/>
          <w:color w:val="auto"/>
          <w:kern w:val="2"/>
          <w:sz w:val="21"/>
          <w:highlight w:val="none"/>
        </w:rPr>
        <w:t>应以书面形式详细告知</w:t>
      </w:r>
      <w:r>
        <w:rPr>
          <w:rFonts w:hint="eastAsia" w:ascii="宋体" w:hAnsi="宋体" w:eastAsia="宋体" w:cs="宋体"/>
          <w:color w:val="auto"/>
          <w:kern w:val="2"/>
          <w:sz w:val="21"/>
          <w:highlight w:val="none"/>
          <w:lang w:eastAsia="zh-CN"/>
        </w:rPr>
        <w:t>招标人</w:t>
      </w:r>
      <w:r>
        <w:rPr>
          <w:rFonts w:hint="eastAsia" w:ascii="宋体" w:hAnsi="宋体" w:eastAsia="宋体" w:cs="宋体"/>
          <w:color w:val="auto"/>
          <w:kern w:val="2"/>
          <w:sz w:val="21"/>
          <w:highlight w:val="none"/>
        </w:rPr>
        <w:t>。</w:t>
      </w:r>
    </w:p>
    <w:p>
      <w:pPr>
        <w:numPr>
          <w:ilvl w:val="0"/>
          <w:numId w:val="1"/>
        </w:numPr>
        <w:autoSpaceDE/>
        <w:autoSpaceDN/>
        <w:adjustRightInd/>
        <w:spacing w:line="360" w:lineRule="auto"/>
        <w:ind w:firstLine="420" w:firstLineChars="200"/>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小苏打产品的标志、包装要求必须符合前述标准要求。</w:t>
      </w:r>
    </w:p>
    <w:p>
      <w:pPr>
        <w:autoSpaceDE/>
        <w:autoSpaceDN/>
        <w:adjustRightInd/>
        <w:spacing w:line="360" w:lineRule="auto"/>
        <w:jc w:val="both"/>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四、验收要求</w:t>
      </w:r>
    </w:p>
    <w:p>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（1）初步验收：</w:t>
      </w:r>
    </w:p>
    <w:p>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共同验货。</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按照本项目合同及用户需求书，对货物的数量、品种、随车产品质量检验报告、供货单据等进行核对。</w:t>
      </w:r>
    </w:p>
    <w:p>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核对完成后，招标人、中标人双方对随车产品质量检验报告、供货单据进行签收手续视为完成初步验收，初步验收仅限于双方共同对中标人所供货物数量、品种、随车产品质量检验报告、供货单据等符合用户需求书技术指标要求的书面确认。</w:t>
      </w:r>
    </w:p>
    <w:p>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（2）最终验收：</w:t>
      </w:r>
    </w:p>
    <w:p>
      <w:pPr>
        <w:autoSpaceDE w:val="0"/>
        <w:autoSpaceDN w:val="0"/>
        <w:adjustRightIn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对每次供货货物检验，检验指标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包括</w:t>
      </w:r>
      <w:r>
        <w:rPr>
          <w:rFonts w:hint="eastAsia" w:ascii="宋体" w:hAnsi="宋体" w:eastAsia="宋体" w:cs="宋体"/>
          <w:color w:val="auto"/>
          <w:kern w:val="2"/>
          <w:sz w:val="21"/>
          <w:szCs w:val="21"/>
          <w:highlight w:val="none"/>
          <w:lang w:eastAsia="zh-CN"/>
        </w:rPr>
        <w:t>★技术指标）</w:t>
      </w:r>
      <w:r>
        <w:rPr>
          <w:rFonts w:hint="eastAsia" w:ascii="宋体" w:hAnsi="宋体" w:eastAsia="宋体" w:cs="宋体"/>
          <w:color w:val="auto"/>
          <w:kern w:val="2"/>
          <w:sz w:val="21"/>
          <w:szCs w:val="21"/>
          <w:highlight w:val="none"/>
        </w:rPr>
        <w:t>由</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根据需要选择，货物按需</w:t>
      </w:r>
      <w:r>
        <w:rPr>
          <w:rFonts w:hint="eastAsia" w:ascii="宋体" w:hAnsi="宋体" w:eastAsia="宋体" w:cs="宋体"/>
          <w:color w:val="auto"/>
          <w:kern w:val="2"/>
          <w:sz w:val="21"/>
          <w:szCs w:val="21"/>
          <w:highlight w:val="none"/>
          <w:lang w:val="en-US" w:eastAsia="zh-CN"/>
        </w:rPr>
        <w:t>求</w:t>
      </w:r>
      <w:r>
        <w:rPr>
          <w:rFonts w:hint="eastAsia" w:ascii="宋体" w:hAnsi="宋体" w:eastAsia="宋体" w:cs="宋体"/>
          <w:color w:val="auto"/>
          <w:kern w:val="2"/>
          <w:sz w:val="21"/>
          <w:szCs w:val="21"/>
          <w:highlight w:val="none"/>
        </w:rPr>
        <w:t>检验指标由</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根据</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关于药剂的管理制度及要求适时调整。每次货到现场时应由双方共同取样封存。若中标人无正当理由拒绝或未能按</w:t>
      </w:r>
      <w:r>
        <w:rPr>
          <w:rFonts w:hint="eastAsia" w:ascii="宋体" w:hAnsi="宋体" w:eastAsia="宋体" w:cs="宋体"/>
          <w:color w:val="auto"/>
          <w:kern w:val="2"/>
          <w:sz w:val="21"/>
          <w:szCs w:val="21"/>
          <w:highlight w:val="none"/>
          <w:lang w:val="en-US" w:eastAsia="zh-CN"/>
        </w:rPr>
        <w:t>招标人</w:t>
      </w:r>
      <w:r>
        <w:rPr>
          <w:rFonts w:hint="eastAsia" w:ascii="宋体" w:hAnsi="宋体" w:eastAsia="宋体" w:cs="宋体"/>
          <w:color w:val="auto"/>
          <w:kern w:val="2"/>
          <w:sz w:val="21"/>
          <w:szCs w:val="21"/>
          <w:highlight w:val="none"/>
        </w:rPr>
        <w:t>通知按时派员参与共同取样，则视为中标人授权招标人单独取样，该取样结果及据此进行的检验结果对中标人具有同等约束力。供货货物合格判定以招标人实验室检验结果为准。招标人根据需要可委托具有CMA认证资质的第三方检测机构检测，招标人委托的具有CMA认证资质的第三方检测机构的检验结果与招标人实验室不一致的，该次的供货货物质量判定以招标人委托的具有CMA认证资质的第三方检测机构的检验结果为准。若中标人对招标人验收结果有异议，中标人应自招标人书面告知中标人检验结果24小时内，书面要求通过中标人和招标人双方确认的具有检测产品CMA认证资质的第三方单位对留样货物进行检测，最终供货产品质量判定以中标人和招标人双方确认的具有检测产品CMA认证资质的第三方检测机构检验结果为准；因此产生的检测费、运输费等全部费用均由中标人承担。</w:t>
      </w:r>
    </w:p>
    <w:p>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2)供货期间，如有发布最新的行业标准或国家标准，货物检验方法按发布的最新行业标准或国家标准执行。</w:t>
      </w:r>
    </w:p>
    <w:p>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向</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出具书面的验收报告并由双方书面确认验收结果，</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需对验收报告加盖公章或业务章确认。验收报告作为对货物供货数量及主要技术指标验收的证明，不代表对货物使用效果的认可。</w:t>
      </w:r>
    </w:p>
    <w:p>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招标人</w:t>
      </w:r>
      <w:r>
        <w:rPr>
          <w:rFonts w:hint="eastAsia" w:ascii="宋体" w:hAnsi="宋体" w:eastAsia="宋体" w:cs="宋体"/>
          <w:color w:val="auto"/>
          <w:kern w:val="2"/>
          <w:sz w:val="21"/>
          <w:szCs w:val="21"/>
          <w:highlight w:val="none"/>
        </w:rPr>
        <w:t>根据本条规定对货物所做出的验收，仅作为起算付款之用，不能免除</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的质量责任，也不能排除其后因产品实际情况与要求不符而导致的</w:t>
      </w:r>
      <w:r>
        <w:rPr>
          <w:rFonts w:hint="eastAsia" w:ascii="宋体" w:hAnsi="宋体" w:eastAsia="宋体" w:cs="宋体"/>
          <w:color w:val="auto"/>
          <w:kern w:val="2"/>
          <w:sz w:val="21"/>
          <w:szCs w:val="21"/>
          <w:highlight w:val="none"/>
          <w:lang w:val="en-US" w:eastAsia="zh-CN"/>
        </w:rPr>
        <w:t>招标人</w:t>
      </w:r>
      <w:r>
        <w:rPr>
          <w:rFonts w:hint="eastAsia" w:ascii="宋体" w:hAnsi="宋体" w:eastAsia="宋体" w:cs="宋体"/>
          <w:color w:val="auto"/>
          <w:kern w:val="2"/>
          <w:sz w:val="21"/>
          <w:szCs w:val="21"/>
          <w:highlight w:val="none"/>
        </w:rPr>
        <w:t>退货。</w:t>
      </w:r>
    </w:p>
    <w:p>
      <w:pPr>
        <w:autoSpaceDE w:val="0"/>
        <w:autoSpaceDN w:val="0"/>
        <w:adjustRightIn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所提供的货物不能通过</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验收的，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要求无条件予以退换货，给</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须承担全部的赔偿责任。</w:t>
      </w:r>
    </w:p>
    <w:p>
      <w:pPr>
        <w:autoSpaceDE w:val="0"/>
        <w:autoSpaceDN w:val="0"/>
        <w:adjustRightInd w:val="0"/>
        <w:spacing w:line="360" w:lineRule="auto"/>
        <w:ind w:firstLine="0" w:firstLineChars="0"/>
        <w:jc w:val="both"/>
        <w:rPr>
          <w:rFonts w:ascii="宋体" w:hAnsi="Times New Roman" w:eastAsia="宋体" w:cs="Times New Roman"/>
          <w:color w:val="auto"/>
          <w:kern w:val="0"/>
          <w:sz w:val="24"/>
          <w:highlight w:val="none"/>
        </w:rPr>
      </w:pPr>
      <w:r>
        <w:rPr>
          <w:rFonts w:hint="eastAsia" w:ascii="宋体" w:hAnsi="宋体" w:eastAsia="宋体" w:cs="宋体"/>
          <w:b/>
          <w:color w:val="auto"/>
          <w:kern w:val="2"/>
          <w:sz w:val="21"/>
          <w:szCs w:val="21"/>
          <w:highlight w:val="none"/>
        </w:rPr>
        <w:t>五、</w:t>
      </w:r>
      <w:r>
        <w:rPr>
          <w:rFonts w:hint="eastAsia" w:ascii="宋体" w:hAnsi="宋体" w:eastAsia="宋体" w:cs="宋体"/>
          <w:b/>
          <w:color w:val="auto"/>
          <w:kern w:val="2"/>
          <w:sz w:val="21"/>
          <w:szCs w:val="21"/>
          <w:highlight w:val="none"/>
          <w:lang w:val="en-US" w:eastAsia="zh-CN"/>
        </w:rPr>
        <w:t>资料</w:t>
      </w:r>
      <w:r>
        <w:rPr>
          <w:rFonts w:hint="eastAsia" w:ascii="宋体" w:hAnsi="宋体" w:eastAsia="宋体" w:cs="宋体"/>
          <w:b/>
          <w:color w:val="auto"/>
          <w:kern w:val="2"/>
          <w:sz w:val="21"/>
          <w:szCs w:val="21"/>
          <w:highlight w:val="none"/>
        </w:rPr>
        <w:t>要求</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2"/>
          <w:sz w:val="21"/>
          <w:szCs w:val="21"/>
          <w:highlight w:val="none"/>
        </w:rPr>
      </w:pPr>
      <w:bookmarkStart w:id="561" w:name="_Toc24104"/>
      <w:bookmarkStart w:id="562" w:name="_Toc28578"/>
      <w:r>
        <w:rPr>
          <w:rFonts w:hint="eastAsia" w:ascii="宋体" w:hAnsi="宋体" w:eastAsia="宋体" w:cs="宋体"/>
          <w:bCs/>
          <w:color w:val="auto"/>
          <w:kern w:val="2"/>
          <w:sz w:val="21"/>
          <w:szCs w:val="21"/>
          <w:highlight w:val="none"/>
        </w:rPr>
        <w:t>1、中标人需向招标人提供但不限于下述技术资料：</w:t>
      </w:r>
      <w:bookmarkEnd w:id="561"/>
      <w:bookmarkEnd w:id="562"/>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（1）符合第三条交货要求第</w:t>
      </w:r>
      <w:r>
        <w:rPr>
          <w:rFonts w:hint="eastAsia" w:ascii="宋体" w:hAnsi="宋体" w:eastAsia="宋体" w:cs="宋体"/>
          <w:bCs/>
          <w:color w:val="auto"/>
          <w:kern w:val="2"/>
          <w:sz w:val="21"/>
          <w:szCs w:val="21"/>
          <w:highlight w:val="none"/>
          <w:lang w:eastAsia="zh-CN"/>
        </w:rPr>
        <w:t>8</w:t>
      </w:r>
      <w:r>
        <w:rPr>
          <w:rFonts w:hint="eastAsia" w:ascii="宋体" w:hAnsi="宋体" w:eastAsia="宋体" w:cs="宋体"/>
          <w:bCs/>
          <w:color w:val="auto"/>
          <w:kern w:val="2"/>
          <w:sz w:val="21"/>
          <w:szCs w:val="21"/>
          <w:highlight w:val="none"/>
        </w:rPr>
        <w:t>点要求的产品质量检验报告（如出厂检验报告、质量检验报告等）、供货单据；</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（2）验收报告；</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（3）与货物使用相关的其他文件；</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（4）招标人要求提供的其他技术资料。</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2、中标人需将上述资料（若上述资料为复印件的，则须加盖中标人公章）在交货时交给招标人，有关资料的收集和整理由中标人负责，招标人予以配合。</w:t>
      </w:r>
    </w:p>
    <w:p>
      <w:pPr>
        <w:autoSpaceDE w:val="0"/>
        <w:autoSpaceDN w:val="0"/>
        <w:adjustRightInd w:val="0"/>
        <w:snapToGrid/>
        <w:spacing w:line="360" w:lineRule="auto"/>
        <w:ind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3</w:t>
      </w:r>
      <w:r>
        <w:rPr>
          <w:rFonts w:hint="eastAsia" w:ascii="宋体" w:hAnsi="宋体" w:eastAsia="宋体" w:cs="宋体"/>
          <w:bCs/>
          <w:color w:val="auto"/>
          <w:kern w:val="2"/>
          <w:sz w:val="21"/>
          <w:szCs w:val="21"/>
          <w:highlight w:val="none"/>
        </w:rPr>
        <w:t>、中标人提交的技术资料在出现遗漏或发现错误时，应及时补充或更正后提交招标人。</w:t>
      </w:r>
    </w:p>
    <w:bookmarkEnd w:id="559"/>
    <w:p>
      <w:pPr>
        <w:autoSpaceDE w:val="0"/>
        <w:autoSpaceDN w:val="0"/>
        <w:adjustRightInd w:val="0"/>
        <w:spacing w:line="360" w:lineRule="auto"/>
        <w:ind w:firstLine="0" w:firstLineChars="0"/>
        <w:jc w:val="left"/>
        <w:rPr>
          <w:rFonts w:ascii="宋体" w:hAnsi="宋体" w:eastAsia="宋体" w:cs="宋体"/>
          <w:bCs/>
          <w:color w:val="auto"/>
          <w:kern w:val="2"/>
          <w:sz w:val="21"/>
          <w:szCs w:val="21"/>
          <w:highlight w:val="none"/>
        </w:rPr>
      </w:pPr>
      <w:r>
        <w:rPr>
          <w:rFonts w:hint="eastAsia" w:ascii="宋体" w:hAnsi="Times New Roman" w:eastAsia="宋体" w:cs="Times New Roman"/>
          <w:b/>
          <w:bCs/>
          <w:color w:val="auto"/>
          <w:kern w:val="0"/>
          <w:sz w:val="21"/>
          <w:szCs w:val="21"/>
          <w:highlight w:val="none"/>
          <w:lang w:val="en-US" w:eastAsia="zh-CN"/>
        </w:rPr>
        <w:t>六</w:t>
      </w:r>
      <w:r>
        <w:rPr>
          <w:rFonts w:hint="eastAsia" w:ascii="宋体" w:hAnsi="宋体" w:eastAsia="宋体" w:cs="宋体"/>
          <w:b/>
          <w:color w:val="auto"/>
          <w:kern w:val="2"/>
          <w:sz w:val="21"/>
          <w:szCs w:val="21"/>
          <w:highlight w:val="none"/>
        </w:rPr>
        <w:t>、售后要求</w:t>
      </w:r>
    </w:p>
    <w:p>
      <w:pPr>
        <w:autoSpaceDE w:val="0"/>
        <w:autoSpaceDN w:val="0"/>
        <w:adjustRightInd w:val="0"/>
        <w:spacing w:line="360" w:lineRule="auto"/>
        <w:ind w:firstLine="420" w:firstLineChars="200"/>
        <w:jc w:val="left"/>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eastAsia="zh-CN"/>
        </w:rPr>
        <w:t>中标人</w:t>
      </w:r>
      <w:r>
        <w:rPr>
          <w:rFonts w:hint="eastAsia" w:ascii="宋体" w:hAnsi="宋体" w:eastAsia="宋体" w:cs="宋体"/>
          <w:bCs/>
          <w:color w:val="auto"/>
          <w:kern w:val="2"/>
          <w:sz w:val="21"/>
          <w:szCs w:val="21"/>
          <w:highlight w:val="none"/>
        </w:rPr>
        <w:t>应具有相应的技术人员，具备供货及售前售后的服务能力。</w:t>
      </w:r>
    </w:p>
    <w:p>
      <w:pPr>
        <w:autoSpaceDE w:val="0"/>
        <w:autoSpaceDN w:val="0"/>
        <w:adjustRightInd w:val="0"/>
        <w:spacing w:line="360" w:lineRule="auto"/>
        <w:ind w:firstLine="420" w:firstLineChars="200"/>
        <w:jc w:val="left"/>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eastAsia="zh-CN"/>
        </w:rPr>
        <w:t>中标人</w:t>
      </w:r>
      <w:r>
        <w:rPr>
          <w:rFonts w:hint="eastAsia" w:ascii="宋体" w:hAnsi="宋体" w:eastAsia="宋体" w:cs="宋体"/>
          <w:bCs/>
          <w:color w:val="auto"/>
          <w:kern w:val="2"/>
          <w:sz w:val="21"/>
          <w:szCs w:val="21"/>
          <w:highlight w:val="none"/>
        </w:rPr>
        <w:t>在接到质量问题通知后24小时内自费派工程师到达现场对问题进行处理。</w:t>
      </w:r>
    </w:p>
    <w:p>
      <w:pPr>
        <w:autoSpaceDE w:val="0"/>
        <w:autoSpaceDN w:val="0"/>
        <w:adjustRightInd w:val="0"/>
        <w:spacing w:line="360" w:lineRule="auto"/>
        <w:ind w:firstLine="420" w:firstLineChars="200"/>
        <w:jc w:val="left"/>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、在交货或合同履行过程中，若因所交货物（包括但不限于品种、型号、规格、质量）不符合</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要求、或货物使用过程中出现质量问题，导致</w:t>
      </w:r>
      <w:r>
        <w:rPr>
          <w:rFonts w:hint="eastAsia" w:ascii="宋体" w:hAnsi="宋体" w:eastAsia="宋体" w:cs="宋体"/>
          <w:bCs/>
          <w:color w:val="auto"/>
          <w:kern w:val="2"/>
          <w:sz w:val="21"/>
          <w:szCs w:val="21"/>
          <w:highlight w:val="none"/>
          <w:lang w:eastAsia="zh-CN"/>
        </w:rPr>
        <w:t>中标人</w:t>
      </w:r>
      <w:r>
        <w:rPr>
          <w:rFonts w:hint="eastAsia" w:ascii="宋体" w:hAnsi="宋体" w:eastAsia="宋体" w:cs="宋体"/>
          <w:bCs/>
          <w:color w:val="auto"/>
          <w:kern w:val="2"/>
          <w:sz w:val="21"/>
          <w:szCs w:val="21"/>
          <w:highlight w:val="none"/>
        </w:rPr>
        <w:t>提供的生产药剂不能通过</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验收的，</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可拒绝收货或要求</w:t>
      </w:r>
      <w:r>
        <w:rPr>
          <w:rFonts w:hint="eastAsia" w:ascii="宋体" w:hAnsi="宋体" w:eastAsia="宋体" w:cs="宋体"/>
          <w:bCs/>
          <w:color w:val="auto"/>
          <w:kern w:val="2"/>
          <w:sz w:val="21"/>
          <w:szCs w:val="21"/>
          <w:highlight w:val="none"/>
          <w:lang w:eastAsia="zh-CN"/>
        </w:rPr>
        <w:t>中标人</w:t>
      </w:r>
      <w:r>
        <w:rPr>
          <w:rFonts w:hint="eastAsia" w:ascii="宋体" w:hAnsi="宋体" w:eastAsia="宋体" w:cs="宋体"/>
          <w:bCs/>
          <w:color w:val="auto"/>
          <w:kern w:val="2"/>
          <w:sz w:val="21"/>
          <w:szCs w:val="21"/>
          <w:highlight w:val="none"/>
        </w:rPr>
        <w:t>承担退换货责任。原则上</w:t>
      </w:r>
      <w:r>
        <w:rPr>
          <w:rFonts w:hint="eastAsia" w:ascii="宋体" w:hAnsi="宋体" w:eastAsia="宋体" w:cs="宋体"/>
          <w:bCs/>
          <w:color w:val="auto"/>
          <w:kern w:val="2"/>
          <w:sz w:val="21"/>
          <w:szCs w:val="21"/>
          <w:highlight w:val="none"/>
          <w:lang w:eastAsia="zh-CN"/>
        </w:rPr>
        <w:t>中标人</w:t>
      </w:r>
      <w:r>
        <w:rPr>
          <w:rFonts w:hint="eastAsia" w:ascii="宋体" w:hAnsi="宋体" w:eastAsia="宋体" w:cs="宋体"/>
          <w:bCs/>
          <w:color w:val="auto"/>
          <w:kern w:val="2"/>
          <w:sz w:val="21"/>
          <w:szCs w:val="21"/>
          <w:highlight w:val="none"/>
        </w:rPr>
        <w:t>应该在不影响</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正常生产的情况下，自</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通知后24小时内无条件予以退换货，</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不承担因验收造成的货物损耗及运输等一切费用且不对货物承担保管责任，因此产生的费用及风险由</w:t>
      </w:r>
      <w:r>
        <w:rPr>
          <w:rFonts w:hint="eastAsia" w:ascii="宋体" w:hAnsi="宋体" w:eastAsia="宋体" w:cs="宋体"/>
          <w:bCs/>
          <w:color w:val="auto"/>
          <w:kern w:val="2"/>
          <w:sz w:val="21"/>
          <w:szCs w:val="21"/>
          <w:highlight w:val="none"/>
          <w:lang w:eastAsia="zh-CN"/>
        </w:rPr>
        <w:t>中标人</w:t>
      </w:r>
      <w:r>
        <w:rPr>
          <w:rFonts w:hint="eastAsia" w:ascii="宋体" w:hAnsi="宋体" w:eastAsia="宋体" w:cs="宋体"/>
          <w:bCs/>
          <w:color w:val="auto"/>
          <w:kern w:val="2"/>
          <w:sz w:val="21"/>
          <w:szCs w:val="21"/>
          <w:highlight w:val="none"/>
        </w:rPr>
        <w:t>承担。</w:t>
      </w:r>
    </w:p>
    <w:p>
      <w:pPr>
        <w:autoSpaceDE w:val="0"/>
        <w:autoSpaceDN w:val="0"/>
        <w:adjustRightInd w:val="0"/>
        <w:spacing w:line="360" w:lineRule="auto"/>
        <w:ind w:firstLine="420" w:firstLineChars="200"/>
        <w:jc w:val="left"/>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rPr>
        <w:t>、自</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通知货物检验不合格或货物使用过程中出现质量问题而要求</w:t>
      </w:r>
      <w:r>
        <w:rPr>
          <w:rFonts w:hint="eastAsia" w:ascii="宋体" w:hAnsi="宋体" w:eastAsia="宋体" w:cs="宋体"/>
          <w:bCs/>
          <w:color w:val="auto"/>
          <w:kern w:val="2"/>
          <w:sz w:val="21"/>
          <w:szCs w:val="21"/>
          <w:highlight w:val="none"/>
          <w:lang w:eastAsia="zh-CN"/>
        </w:rPr>
        <w:t>中标人</w:t>
      </w:r>
      <w:r>
        <w:rPr>
          <w:rFonts w:hint="eastAsia" w:ascii="宋体" w:hAnsi="宋体" w:eastAsia="宋体" w:cs="宋体"/>
          <w:bCs/>
          <w:color w:val="auto"/>
          <w:kern w:val="2"/>
          <w:sz w:val="21"/>
          <w:szCs w:val="21"/>
          <w:highlight w:val="none"/>
        </w:rPr>
        <w:t>按照前述条款进行退换货后24小时内</w:t>
      </w:r>
      <w:r>
        <w:rPr>
          <w:rFonts w:hint="eastAsia" w:ascii="宋体" w:hAnsi="宋体" w:eastAsia="宋体" w:cs="宋体"/>
          <w:bCs/>
          <w:color w:val="auto"/>
          <w:kern w:val="2"/>
          <w:sz w:val="21"/>
          <w:szCs w:val="21"/>
          <w:highlight w:val="none"/>
          <w:lang w:eastAsia="zh-CN"/>
        </w:rPr>
        <w:t>中标人</w:t>
      </w:r>
      <w:r>
        <w:rPr>
          <w:rFonts w:hint="eastAsia" w:ascii="宋体" w:hAnsi="宋体" w:eastAsia="宋体" w:cs="宋体"/>
          <w:bCs/>
          <w:color w:val="auto"/>
          <w:kern w:val="2"/>
          <w:sz w:val="21"/>
          <w:szCs w:val="21"/>
          <w:highlight w:val="none"/>
        </w:rPr>
        <w:t>未将不合格货物运离</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仓库，</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可自行或委托第三方对不合格货物进行处置，</w:t>
      </w:r>
      <w:r>
        <w:rPr>
          <w:rFonts w:hint="eastAsia" w:ascii="宋体" w:hAnsi="宋体" w:eastAsia="宋体" w:cs="宋体"/>
          <w:bCs/>
          <w:color w:val="auto"/>
          <w:kern w:val="2"/>
          <w:sz w:val="21"/>
          <w:szCs w:val="21"/>
          <w:highlight w:val="none"/>
          <w:lang w:eastAsia="zh-CN"/>
        </w:rPr>
        <w:t>中标人</w:t>
      </w:r>
      <w:r>
        <w:rPr>
          <w:rFonts w:hint="eastAsia" w:ascii="宋体" w:hAnsi="宋体" w:eastAsia="宋体" w:cs="宋体"/>
          <w:bCs/>
          <w:color w:val="auto"/>
          <w:kern w:val="2"/>
          <w:sz w:val="21"/>
          <w:szCs w:val="21"/>
          <w:highlight w:val="none"/>
        </w:rPr>
        <w:t>须承担</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处置该次不合格货物所需的全部费用，以及给</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造成的一切损失。</w:t>
      </w:r>
    </w:p>
    <w:p>
      <w:pPr>
        <w:autoSpaceDE w:val="0"/>
        <w:autoSpaceDN w:val="0"/>
        <w:adjustRightInd w:val="0"/>
        <w:spacing w:line="360" w:lineRule="auto"/>
        <w:ind w:firstLine="420" w:firstLineChars="200"/>
        <w:jc w:val="left"/>
        <w:rPr>
          <w:rFonts w:ascii="宋体" w:hAnsi="宋体" w:eastAsia="宋体" w:cs="宋体"/>
          <w:b/>
          <w:color w:val="auto"/>
          <w:kern w:val="2"/>
          <w:sz w:val="21"/>
          <w:szCs w:val="21"/>
          <w:highlight w:val="none"/>
        </w:rPr>
      </w:pP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、自</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通知</w:t>
      </w:r>
      <w:r>
        <w:rPr>
          <w:rFonts w:hint="eastAsia" w:ascii="宋体" w:hAnsi="宋体" w:eastAsia="宋体" w:cs="宋体"/>
          <w:bCs/>
          <w:color w:val="auto"/>
          <w:kern w:val="2"/>
          <w:sz w:val="21"/>
          <w:szCs w:val="21"/>
          <w:highlight w:val="none"/>
          <w:lang w:eastAsia="zh-CN"/>
        </w:rPr>
        <w:t>中标人</w:t>
      </w:r>
      <w:r>
        <w:rPr>
          <w:rFonts w:hint="eastAsia" w:ascii="宋体" w:hAnsi="宋体" w:eastAsia="宋体" w:cs="宋体"/>
          <w:bCs/>
          <w:color w:val="auto"/>
          <w:kern w:val="2"/>
          <w:sz w:val="21"/>
          <w:szCs w:val="21"/>
          <w:highlight w:val="none"/>
        </w:rPr>
        <w:t>货物检验不合格或货物使用过程中出现质量问题后，</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有权要求</w:t>
      </w:r>
      <w:r>
        <w:rPr>
          <w:rFonts w:hint="eastAsia" w:ascii="宋体" w:hAnsi="宋体" w:eastAsia="宋体" w:cs="宋体"/>
          <w:bCs/>
          <w:color w:val="auto"/>
          <w:kern w:val="2"/>
          <w:sz w:val="21"/>
          <w:szCs w:val="21"/>
          <w:highlight w:val="none"/>
          <w:lang w:eastAsia="zh-CN"/>
        </w:rPr>
        <w:t>中标人</w:t>
      </w:r>
      <w:r>
        <w:rPr>
          <w:rFonts w:hint="eastAsia" w:ascii="宋体" w:hAnsi="宋体" w:eastAsia="宋体" w:cs="宋体"/>
          <w:bCs/>
          <w:color w:val="auto"/>
          <w:kern w:val="2"/>
          <w:sz w:val="21"/>
          <w:szCs w:val="21"/>
          <w:highlight w:val="none"/>
        </w:rPr>
        <w:t>按照加急供货的规定，将等量的合格货物送交</w:t>
      </w:r>
      <w:r>
        <w:rPr>
          <w:rFonts w:hint="eastAsia" w:ascii="宋体" w:hAnsi="宋体" w:eastAsia="宋体" w:cs="宋体"/>
          <w:bCs/>
          <w:color w:val="auto"/>
          <w:kern w:val="2"/>
          <w:sz w:val="21"/>
          <w:szCs w:val="21"/>
          <w:highlight w:val="none"/>
          <w:lang w:eastAsia="zh-CN"/>
        </w:rPr>
        <w:t>招标人</w:t>
      </w:r>
      <w:r>
        <w:rPr>
          <w:rFonts w:hint="eastAsia" w:ascii="宋体" w:hAnsi="宋体" w:eastAsia="宋体" w:cs="宋体"/>
          <w:bCs/>
          <w:color w:val="auto"/>
          <w:kern w:val="2"/>
          <w:sz w:val="21"/>
          <w:szCs w:val="21"/>
          <w:highlight w:val="none"/>
        </w:rPr>
        <w:t>，否则按加急供货的违约规定进行处理。</w:t>
      </w:r>
    </w:p>
    <w:p>
      <w:pPr>
        <w:autoSpaceDE w:val="0"/>
        <w:autoSpaceDN w:val="0"/>
        <w:adjustRightInd w:val="0"/>
        <w:spacing w:line="360" w:lineRule="auto"/>
        <w:ind w:firstLine="0" w:firstLineChars="0"/>
        <w:jc w:val="left"/>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rPr>
        <w:t>七</w:t>
      </w:r>
      <w:r>
        <w:rPr>
          <w:rFonts w:hint="eastAsia" w:ascii="宋体" w:hAnsi="宋体" w:eastAsia="宋体" w:cs="宋体"/>
          <w:b/>
          <w:color w:val="auto"/>
          <w:kern w:val="2"/>
          <w:sz w:val="21"/>
          <w:szCs w:val="21"/>
          <w:highlight w:val="none"/>
        </w:rPr>
        <w:t>、</w:t>
      </w:r>
      <w:r>
        <w:rPr>
          <w:rFonts w:hint="eastAsia" w:ascii="宋体" w:hAnsi="宋体" w:eastAsia="宋体" w:cs="宋体"/>
          <w:b/>
          <w:color w:val="auto"/>
          <w:kern w:val="0"/>
          <w:sz w:val="21"/>
          <w:szCs w:val="21"/>
          <w:highlight w:val="none"/>
        </w:rPr>
        <w:t>货物的结算</w:t>
      </w:r>
    </w:p>
    <w:p>
      <w:pPr>
        <w:autoSpaceDE w:val="0"/>
        <w:autoSpaceDN w:val="0"/>
        <w:adjustRightInd w:val="0"/>
        <w:spacing w:line="360" w:lineRule="auto"/>
        <w:ind w:firstLine="420" w:firstLineChars="200"/>
        <w:jc w:val="left"/>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双方一致同意，中标人按规定提供了履约担保后，招标人通过以下方式以人民币支付合同款项给中标人：</w:t>
      </w:r>
    </w:p>
    <w:p>
      <w:pPr>
        <w:numPr>
          <w:ilvl w:val="-1"/>
          <w:numId w:val="0"/>
        </w:numPr>
        <w:autoSpaceDE w:val="0"/>
        <w:autoSpaceDN w:val="0"/>
        <w:adjustRightInd w:val="0"/>
        <w:spacing w:line="360" w:lineRule="auto"/>
        <w:ind w:firstLine="420" w:firstLineChars="200"/>
        <w:jc w:val="left"/>
        <w:rPr>
          <w:rFonts w:hint="eastAsia" w:ascii="宋体" w:hAnsi="宋体" w:eastAsia="宋体" w:cs="宋体"/>
          <w:b w:val="0"/>
          <w:bCs/>
          <w:color w:val="auto"/>
          <w:kern w:val="2"/>
          <w:sz w:val="21"/>
          <w:szCs w:val="21"/>
          <w:highlight w:val="none"/>
          <w:lang w:val="en-US" w:eastAsia="zh-CN"/>
        </w:rPr>
      </w:pPr>
      <w:bookmarkStart w:id="563" w:name="_Hlk142640500"/>
      <w:r>
        <w:rPr>
          <w:rFonts w:hint="eastAsia" w:ascii="宋体" w:hAnsi="宋体" w:eastAsia="宋体" w:cs="宋体"/>
          <w:b w:val="0"/>
          <w:bCs/>
          <w:color w:val="auto"/>
          <w:kern w:val="2"/>
          <w:sz w:val="21"/>
          <w:szCs w:val="21"/>
          <w:highlight w:val="none"/>
          <w:lang w:val="en-US" w:eastAsia="zh-CN"/>
        </w:rPr>
        <w:t>1、合同的履约过程中，中标人根据本项目合同书约定需向招标人支付违约金、赔偿金、或其他按法律规定及本合同约定应付费用等款项的，中标人应在收到招标人通知书之日起[20]日内支付，若中标人对该通知书内容存在异议的，应在收到通知之日起[10]日内向招标人书面提出异议并提供相关证明材料。若中标人逾期未提出异议或提出的异议证据不充分的，视为中标人无异议或异议不成立，中标人必须向招标人支付完相关款项后，招标人才根据本合同约定向中标人支付合同价和对应税额，且不视为招标人违约，若中标人未按通知书的要求支付前述款项的，招标人有权按本合同第十一条第2点第(2)款的约定履行，同时，中标人必须按照扣除前述费用前的合同价(销售额)开具增值税专用发票，保证增值税税额符合法律规定。</w:t>
      </w:r>
    </w:p>
    <w:p>
      <w:pPr>
        <w:numPr>
          <w:ilvl w:val="-1"/>
          <w:numId w:val="0"/>
        </w:numPr>
        <w:autoSpaceDE w:val="0"/>
        <w:autoSpaceDN w:val="0"/>
        <w:adjustRightInd w:val="0"/>
        <w:spacing w:line="360" w:lineRule="auto"/>
        <w:ind w:firstLine="420" w:firstLineChars="200"/>
        <w:jc w:val="left"/>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2、货物供货的款项招标人按月结算。招标人收到货物并最终验收合格后，每月中旬办理支付上月经最终验收合格的实际供货量的款项。</w:t>
      </w:r>
    </w:p>
    <w:p>
      <w:pPr>
        <w:autoSpaceDE w:val="0"/>
        <w:autoSpaceDN w:val="0"/>
        <w:adjustRightInd w:val="0"/>
        <w:spacing w:line="360" w:lineRule="auto"/>
        <w:ind w:firstLine="420" w:firstLineChars="200"/>
        <w:jc w:val="left"/>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3、中标人向招标人提交请款报告和请款金额等额的合法、有效的增值税专用发票，招标人在收到前述材料并确认无误后30个工作日内支付结算上月实际供货量的结算货款和该货款对应的税额给中标人。</w:t>
      </w:r>
    </w:p>
    <w:p>
      <w:pPr>
        <w:autoSpaceDE w:val="0"/>
        <w:autoSpaceDN w:val="0"/>
        <w:adjustRightInd w:val="0"/>
        <w:spacing w:line="360" w:lineRule="auto"/>
        <w:ind w:firstLine="420" w:firstLineChars="200"/>
        <w:jc w:val="left"/>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4、支付方式：支付方式为银行转账或银行承兑汇票，汇票期限不超过三个月，每期款项支付方式由</w:t>
      </w:r>
      <w:bookmarkStart w:id="564" w:name="OLE_LINK28"/>
      <w:r>
        <w:rPr>
          <w:rFonts w:hint="eastAsia" w:ascii="宋体" w:hAnsi="宋体" w:eastAsia="宋体" w:cs="宋体"/>
          <w:b w:val="0"/>
          <w:bCs/>
          <w:color w:val="auto"/>
          <w:kern w:val="2"/>
          <w:sz w:val="21"/>
          <w:szCs w:val="21"/>
          <w:highlight w:val="none"/>
          <w:lang w:val="en-US" w:eastAsia="zh-CN"/>
        </w:rPr>
        <w:t>招标人</w:t>
      </w:r>
      <w:bookmarkEnd w:id="564"/>
      <w:r>
        <w:rPr>
          <w:rFonts w:hint="eastAsia" w:ascii="宋体" w:hAnsi="宋体" w:eastAsia="宋体" w:cs="宋体"/>
          <w:b w:val="0"/>
          <w:bCs/>
          <w:color w:val="auto"/>
          <w:kern w:val="2"/>
          <w:sz w:val="21"/>
          <w:szCs w:val="21"/>
          <w:highlight w:val="none"/>
          <w:lang w:val="en-US" w:eastAsia="zh-CN"/>
        </w:rPr>
        <w:t>决定。</w:t>
      </w:r>
    </w:p>
    <w:p>
      <w:pPr>
        <w:autoSpaceDE w:val="0"/>
        <w:autoSpaceDN w:val="0"/>
        <w:adjustRightInd w:val="0"/>
        <w:spacing w:line="360" w:lineRule="auto"/>
        <w:ind w:firstLine="420" w:firstLineChars="200"/>
        <w:jc w:val="left"/>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5、中标人迟延提供发票及请款报告或提供的请款报告、发票不符合要求的，招标人的付款时间可相应顺延，且招标人不因此承担任何责任，中标人不得以此为由拒绝或迟延履行合同义务。因支付产生的相关银行手续费用，根据有关银行规定执行。由于中标人提供的发票不符合税法规定，给招标人造成的损失由中标人承担全部的赔偿责任</w:t>
      </w:r>
      <w:bookmarkEnd w:id="563"/>
      <w:r>
        <w:rPr>
          <w:rFonts w:hint="eastAsia" w:ascii="宋体" w:hAnsi="宋体" w:eastAsia="宋体" w:cs="宋体"/>
          <w:b w:val="0"/>
          <w:bCs/>
          <w:color w:val="auto"/>
          <w:kern w:val="2"/>
          <w:sz w:val="21"/>
          <w:szCs w:val="21"/>
          <w:highlight w:val="none"/>
          <w:lang w:val="en-US" w:eastAsia="zh-CN"/>
        </w:rPr>
        <w:t>。</w:t>
      </w:r>
    </w:p>
    <w:p>
      <w:pPr>
        <w:autoSpaceDE w:val="0"/>
        <w:autoSpaceDN w:val="0"/>
        <w:adjustRightInd w:val="0"/>
        <w:spacing w:line="360" w:lineRule="auto"/>
        <w:ind w:firstLine="0" w:firstLineChars="0"/>
        <w:jc w:val="left"/>
        <w:rPr>
          <w:rFonts w:ascii="宋体" w:hAnsi="宋体" w:eastAsia="宋体" w:cs="宋体"/>
          <w:b/>
          <w:color w:val="auto"/>
          <w:kern w:val="0"/>
          <w:sz w:val="21"/>
          <w:szCs w:val="21"/>
          <w:highlight w:val="none"/>
        </w:rPr>
      </w:pPr>
      <w:r>
        <w:rPr>
          <w:rFonts w:hint="eastAsia" w:ascii="宋体" w:hAnsi="宋体" w:eastAsia="宋体" w:cs="宋体"/>
          <w:b/>
          <w:color w:val="auto"/>
          <w:kern w:val="2"/>
          <w:sz w:val="21"/>
          <w:szCs w:val="21"/>
          <w:highlight w:val="none"/>
          <w:lang w:val="en-US" w:eastAsia="zh-CN"/>
        </w:rPr>
        <w:t>八</w:t>
      </w:r>
      <w:r>
        <w:rPr>
          <w:rFonts w:hint="eastAsia" w:ascii="宋体" w:hAnsi="宋体" w:eastAsia="宋体" w:cs="宋体"/>
          <w:b/>
          <w:color w:val="auto"/>
          <w:kern w:val="2"/>
          <w:sz w:val="21"/>
          <w:szCs w:val="21"/>
          <w:highlight w:val="none"/>
        </w:rPr>
        <w:t>、其他要求</w:t>
      </w:r>
    </w:p>
    <w:p>
      <w:pPr>
        <w:autoSpaceDE w:val="0"/>
        <w:autoSpaceDN w:val="0"/>
        <w:adjustRightInd w:val="0"/>
        <w:spacing w:line="360" w:lineRule="auto"/>
        <w:ind w:firstLine="420" w:firstLineChars="200"/>
        <w:jc w:val="left"/>
        <w:rPr>
          <w:rFonts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bookmarkStart w:id="565" w:name="_Hlk142640606"/>
      <w:r>
        <w:rPr>
          <w:rFonts w:hint="eastAsia" w:ascii="宋体" w:hAnsi="宋体" w:eastAsia="宋体" w:cs="宋体"/>
          <w:bCs/>
          <w:color w:val="auto"/>
          <w:kern w:val="2"/>
          <w:sz w:val="21"/>
          <w:szCs w:val="21"/>
          <w:highlight w:val="none"/>
          <w:lang w:val="en-US" w:eastAsia="zh-CN"/>
        </w:rPr>
        <w:t>日常供货（非加急供货）时，中标人未在约定的时间内完成交货，或未在规定的时间内承担相应的更换、退货责任的，每逾期2小时，招标人有权要求中标人按该次货物含税结算货款的1%向招标人支付违约金。中标人逾期超过12小时的，招标人有权要求中标人额外按该次货物含税结算货款的5%向招标人支付违约金，以上违约金总额不超过暂定合同价的【0.1】%，违约金不足以弥补招标人损失的，中标人还需足额赔偿。</w:t>
      </w:r>
      <w:bookmarkEnd w:id="565"/>
    </w:p>
    <w:p>
      <w:pPr>
        <w:autoSpaceDE w:val="0"/>
        <w:autoSpaceDN w:val="0"/>
        <w:adjustRightInd w:val="0"/>
        <w:spacing w:line="360" w:lineRule="auto"/>
        <w:ind w:firstLine="420" w:firstLineChars="200"/>
        <w:jc w:val="left"/>
        <w:rPr>
          <w:rFonts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w:t>
      </w:r>
      <w:bookmarkStart w:id="566" w:name="_Hlk142640612"/>
      <w:r>
        <w:rPr>
          <w:rFonts w:hint="eastAsia" w:ascii="宋体" w:hAnsi="宋体" w:eastAsia="宋体" w:cs="宋体"/>
          <w:bCs/>
          <w:color w:val="auto"/>
          <w:kern w:val="2"/>
          <w:sz w:val="21"/>
          <w:szCs w:val="21"/>
          <w:highlight w:val="none"/>
          <w:lang w:val="en-US" w:eastAsia="zh-CN"/>
        </w:rPr>
        <w:t>加急供货时，中标人未在约定的时间内完成交货的，或未在规定的时间内承担相应的更换、退货责任的，每逾期1小时，招标人有权要求中标人按该次货物含税结算货款的10%向招标人支付违约金，中标人逾期超过4小时的，招标人有权单方解除合同，并要求中标人额外按该次货物含税结算货款的20%向招标人支付违约金，以上违约金总额不超过暂定合同价的【0.2】%，违约金不足以弥补招标人损失的，中标人还需足额赔偿。</w:t>
      </w:r>
      <w:bookmarkEnd w:id="566"/>
    </w:p>
    <w:p>
      <w:pPr>
        <w:autoSpaceDE w:val="0"/>
        <w:autoSpaceDN w:val="0"/>
        <w:adjustRightInd w:val="0"/>
        <w:spacing w:line="360" w:lineRule="auto"/>
        <w:ind w:firstLine="420" w:firstLineChars="200"/>
        <w:jc w:val="left"/>
        <w:rPr>
          <w:rFonts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bookmarkStart w:id="567" w:name="OLE_LINK6"/>
      <w:bookmarkStart w:id="568" w:name="_Hlk142640625"/>
      <w:r>
        <w:rPr>
          <w:rFonts w:hint="eastAsia" w:ascii="宋体" w:hAnsi="宋体" w:eastAsia="宋体" w:cs="宋体"/>
          <w:bCs/>
          <w:color w:val="auto"/>
          <w:kern w:val="2"/>
          <w:sz w:val="21"/>
          <w:szCs w:val="21"/>
          <w:highlight w:val="none"/>
          <w:lang w:val="en-US" w:eastAsia="zh-CN"/>
        </w:rPr>
        <w:t>中标人所交货物经招标人实验室或招标人委托的第三方检测机构检验累计出现3次（含）</w:t>
      </w:r>
      <w:bookmarkEnd w:id="567"/>
      <w:r>
        <w:rPr>
          <w:rFonts w:hint="eastAsia" w:ascii="宋体" w:hAnsi="宋体" w:eastAsia="宋体" w:cs="宋体"/>
          <w:bCs/>
          <w:color w:val="auto"/>
          <w:kern w:val="2"/>
          <w:sz w:val="21"/>
          <w:szCs w:val="21"/>
          <w:highlight w:val="none"/>
          <w:lang w:val="en-US" w:eastAsia="zh-CN"/>
        </w:rPr>
        <w:t>以上不合格的(可以是非同批次货物累计次数)，招标人有权单方中止或解除合同，暂停或取消中标人的供货资格，并要求中标人一次性支付【¥25,000.00】元的违约金</w:t>
      </w:r>
      <w:bookmarkEnd w:id="568"/>
      <w:r>
        <w:rPr>
          <w:rFonts w:hint="eastAsia" w:ascii="宋体" w:hAnsi="宋体" w:eastAsia="宋体" w:cs="宋体"/>
          <w:bCs/>
          <w:color w:val="auto"/>
          <w:kern w:val="2"/>
          <w:sz w:val="21"/>
          <w:szCs w:val="21"/>
          <w:highlight w:val="none"/>
          <w:lang w:val="en-US" w:eastAsia="zh-CN"/>
        </w:rPr>
        <w:t>。</w:t>
      </w:r>
    </w:p>
    <w:p>
      <w:pPr>
        <w:autoSpaceDE w:val="0"/>
        <w:autoSpaceDN w:val="0"/>
        <w:adjustRightInd w:val="0"/>
        <w:spacing w:line="360" w:lineRule="auto"/>
        <w:ind w:firstLine="420" w:firstLineChars="200"/>
        <w:jc w:val="left"/>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rPr>
        <w:t>、对于货物最终验收不合格且招标人已经开始使用或者使用完毕无法退换的，货款按照以下方式处理：①若招标人已支付货款的，则中标人应向招标人退还已支付的货款；②若招标人未支付货款的，则招标人无需支付货款。</w:t>
      </w:r>
    </w:p>
    <w:p>
      <w:pPr>
        <w:autoSpaceDE w:val="0"/>
        <w:autoSpaceDN w:val="0"/>
        <w:adjustRightInd w:val="0"/>
        <w:spacing w:line="360" w:lineRule="auto"/>
        <w:ind w:firstLine="420" w:firstLineChars="200"/>
        <w:jc w:val="left"/>
        <w:rPr>
          <w:rFonts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授予合同前或合同履行中，招标人有权实地核查中标人在投标时提供的分支机构或服务机构的场地、生产/储存/运输设备设施及能力等材料的符合性，若发现虚假将取消中标资格，且招标人有权单方终止合同。因此给招标人造成损失的，全部由中标人承担。</w:t>
      </w:r>
    </w:p>
    <w:p>
      <w:pPr>
        <w:autoSpaceDE w:val="0"/>
        <w:autoSpaceDN w:val="0"/>
        <w:adjustRightInd w:val="0"/>
        <w:spacing w:line="360" w:lineRule="auto"/>
        <w:ind w:firstLine="420" w:firstLineChars="200"/>
        <w:jc w:val="left"/>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中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中标人自行承担。凡由于货物包装不良、运输方式不当或非法运输造成的事故、损失、行政处罚和由此产生的其他全部费用均由中标人全部承担。</w:t>
      </w:r>
    </w:p>
    <w:p>
      <w:pPr>
        <w:autoSpaceDE w:val="0"/>
        <w:autoSpaceDN w:val="0"/>
        <w:adjustRightInd w:val="0"/>
        <w:spacing w:line="360" w:lineRule="auto"/>
        <w:ind w:firstLine="420" w:firstLineChars="200"/>
        <w:jc w:val="left"/>
        <w:rPr>
          <w:rFonts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7、中标人有义务接受招标人的监督、评价及考核，且同意招标人关于供货资格供应商的管理规则及要求。招标人每月在付款手续前对中标人的履约情况进行评价，填写《</w:t>
      </w:r>
      <w:bookmarkStart w:id="569" w:name="OLE_LINK15"/>
      <w:r>
        <w:rPr>
          <w:rFonts w:hint="eastAsia" w:ascii="宋体" w:hAnsi="宋体" w:eastAsia="宋体" w:cs="宋体"/>
          <w:bCs/>
          <w:color w:val="auto"/>
          <w:kern w:val="2"/>
          <w:sz w:val="21"/>
          <w:szCs w:val="21"/>
          <w:highlight w:val="none"/>
          <w:lang w:val="en-US" w:eastAsia="zh-CN"/>
        </w:rPr>
        <w:t>供应商履约评价表</w:t>
      </w:r>
      <w:bookmarkEnd w:id="569"/>
      <w:r>
        <w:rPr>
          <w:rFonts w:hint="eastAsia" w:ascii="宋体" w:hAnsi="宋体" w:eastAsia="宋体" w:cs="宋体"/>
          <w:bCs/>
          <w:color w:val="auto"/>
          <w:kern w:val="2"/>
          <w:sz w:val="21"/>
          <w:szCs w:val="21"/>
          <w:highlight w:val="none"/>
          <w:lang w:val="en-US" w:eastAsia="zh-CN"/>
        </w:rPr>
        <w:t>》（详见附件2）。考核评分满分为100分，考核评分分数低于80分、达到60分时，中标人应按该月货物</w:t>
      </w:r>
      <w:bookmarkStart w:id="570" w:name="OLE_LINK30"/>
      <w:r>
        <w:rPr>
          <w:rFonts w:hint="eastAsia" w:ascii="宋体" w:hAnsi="宋体" w:eastAsia="宋体" w:cs="宋体"/>
          <w:bCs/>
          <w:color w:val="auto"/>
          <w:kern w:val="2"/>
          <w:sz w:val="21"/>
          <w:szCs w:val="21"/>
          <w:highlight w:val="none"/>
          <w:lang w:val="en-US" w:eastAsia="zh-CN"/>
        </w:rPr>
        <w:t>含税</w:t>
      </w:r>
      <w:bookmarkEnd w:id="570"/>
      <w:r>
        <w:rPr>
          <w:rFonts w:hint="eastAsia" w:ascii="宋体" w:hAnsi="宋体" w:eastAsia="宋体" w:cs="宋体"/>
          <w:bCs/>
          <w:color w:val="auto"/>
          <w:kern w:val="2"/>
          <w:sz w:val="21"/>
          <w:szCs w:val="21"/>
          <w:highlight w:val="none"/>
          <w:lang w:val="en-US" w:eastAsia="zh-CN"/>
        </w:rPr>
        <w:t>结算货款的20%向</w:t>
      </w:r>
      <w:bookmarkStart w:id="571" w:name="OLE_LINK10"/>
      <w:r>
        <w:rPr>
          <w:rFonts w:hint="eastAsia" w:ascii="宋体" w:hAnsi="宋体" w:eastAsia="宋体" w:cs="宋体"/>
          <w:bCs/>
          <w:color w:val="auto"/>
          <w:kern w:val="2"/>
          <w:sz w:val="21"/>
          <w:szCs w:val="21"/>
          <w:highlight w:val="none"/>
          <w:lang w:val="en-US" w:eastAsia="zh-CN"/>
        </w:rPr>
        <w:t>招标人</w:t>
      </w:r>
      <w:bookmarkEnd w:id="571"/>
      <w:r>
        <w:rPr>
          <w:rFonts w:hint="eastAsia" w:ascii="宋体" w:hAnsi="宋体" w:eastAsia="宋体" w:cs="宋体"/>
          <w:bCs/>
          <w:color w:val="auto"/>
          <w:kern w:val="2"/>
          <w:sz w:val="21"/>
          <w:szCs w:val="21"/>
          <w:highlight w:val="none"/>
          <w:lang w:val="en-US" w:eastAsia="zh-CN"/>
        </w:rPr>
        <w:t>对应支付违约金；考核评分分数低于60分时，中标人应按该月货物含税结算货款的30%向招标人对应支付违约金。以上违约金总额不超过暂定合同价的【5】%。若供货期内累计出现3次（含）以上评审结论为不合格的（考核评分分数低于80分），招标人有权取消中标人的供货资格并单方解除合同、并要求中标人一次性支付【¥20,000.00】元的违约金。</w:t>
      </w:r>
    </w:p>
    <w:p>
      <w:pPr>
        <w:autoSpaceDE w:val="0"/>
        <w:autoSpaceDN w:val="0"/>
        <w:adjustRightInd w:val="0"/>
        <w:spacing w:line="360" w:lineRule="auto"/>
        <w:ind w:firstLine="420" w:firstLineChars="200"/>
        <w:jc w:val="left"/>
        <w:rPr>
          <w:rFonts w:ascii="宋体" w:hAnsi="宋体" w:eastAsia="宋体" w:cs="宋体"/>
          <w:bCs/>
          <w:color w:val="auto"/>
          <w:kern w:val="2"/>
          <w:sz w:val="21"/>
          <w:szCs w:val="21"/>
          <w:highlight w:val="none"/>
        </w:rPr>
      </w:pPr>
    </w:p>
    <w:p>
      <w:pPr>
        <w:keepNext w:val="0"/>
        <w:keepLines w:val="0"/>
        <w:pageBreakBefore/>
        <w:widowControl w:val="0"/>
        <w:suppressLineNumbers w:val="0"/>
        <w:autoSpaceDE w:val="0"/>
        <w:autoSpaceDN w:val="0"/>
        <w:adjustRightInd w:val="0"/>
        <w:spacing w:before="0" w:beforeAutospacing="0" w:after="0" w:afterAutospacing="0"/>
        <w:ind w:left="0" w:right="0" w:firstLine="0" w:firstLineChars="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附件1：验收报告（模板）</w:t>
      </w:r>
    </w:p>
    <w:p>
      <w:pPr>
        <w:keepNext/>
        <w:keepLines/>
        <w:pageBreakBefore w:val="0"/>
        <w:widowControl/>
        <w:kinsoku/>
        <w:wordWrap/>
        <w:overflowPunct/>
        <w:topLinePunct w:val="0"/>
        <w:autoSpaceDE w:val="0"/>
        <w:autoSpaceDN w:val="0"/>
        <w:bidi w:val="0"/>
        <w:adjustRightInd w:val="0"/>
        <w:snapToGrid/>
        <w:spacing w:before="160" w:after="80"/>
        <w:textAlignment w:val="auto"/>
        <w:outlineLvl w:val="9"/>
        <w:rPr>
          <w:rFonts w:hint="eastAsia" w:ascii="宋体" w:hAnsi="Calibri" w:eastAsia="宋体" w:cs="Times New Roman"/>
          <w:color w:val="auto"/>
          <w:kern w:val="0"/>
          <w:sz w:val="24"/>
          <w:szCs w:val="24"/>
          <w:highlight w:val="none"/>
          <w:lang w:val="en-US" w:eastAsia="zh-CN" w:bidi="ar-SA"/>
        </w:rPr>
      </w:pPr>
      <w:r>
        <w:rPr>
          <w:rFonts w:hint="eastAsia" w:ascii="宋体" w:hAnsi="Calibri" w:eastAsia="宋体" w:cs="Times New Roman"/>
          <w:color w:val="auto"/>
          <w:kern w:val="0"/>
          <w:sz w:val="24"/>
          <w:szCs w:val="24"/>
          <w:highlight w:val="none"/>
          <w:lang w:val="en-US" w:eastAsia="zh-CN" w:bidi="ar-SA"/>
        </w:rPr>
        <w:t xml:space="preserve"> </w:t>
      </w:r>
    </w:p>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方正小标宋简体" w:hAnsi="等线" w:eastAsia="方正小标宋简体" w:cs="Times New Roman"/>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lang w:val="en-US" w:eastAsia="zh-CN" w:bidi="ar"/>
        </w:rPr>
        <w:t>验收报告</w:t>
      </w:r>
    </w:p>
    <w:tbl>
      <w:tblPr>
        <w:tblStyle w:val="44"/>
        <w:tblW w:w="100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等线"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合同名称</w:t>
            </w:r>
          </w:p>
        </w:tc>
        <w:tc>
          <w:tcPr>
            <w:tcW w:w="7864" w:type="dxa"/>
            <w:gridSpan w:val="6"/>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等线" w:cs="Times New Roman"/>
                <w:b/>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等线"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合同编号</w:t>
            </w:r>
          </w:p>
        </w:tc>
        <w:tc>
          <w:tcPr>
            <w:tcW w:w="7864" w:type="dxa"/>
            <w:gridSpan w:val="6"/>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等线" w:cs="Times New Roman"/>
                <w:b/>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供货单位</w:t>
            </w:r>
          </w:p>
        </w:tc>
        <w:tc>
          <w:tcPr>
            <w:tcW w:w="7864" w:type="dxa"/>
            <w:gridSpan w:val="6"/>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等线" w:cs="Times New Roman"/>
                <w:b/>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合同供货期</w:t>
            </w:r>
          </w:p>
        </w:tc>
        <w:tc>
          <w:tcPr>
            <w:tcW w:w="7864" w:type="dxa"/>
            <w:gridSpan w:val="6"/>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等线" w:cs="Times New Roman"/>
                <w:b/>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等线"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药剂名称</w:t>
            </w:r>
          </w:p>
        </w:tc>
        <w:tc>
          <w:tcPr>
            <w:tcW w:w="3144"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p>
        </w:tc>
        <w:tc>
          <w:tcPr>
            <w:tcW w:w="2204"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品    牌</w:t>
            </w:r>
          </w:p>
        </w:tc>
        <w:tc>
          <w:tcPr>
            <w:tcW w:w="2516"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供货时间</w:t>
            </w:r>
          </w:p>
        </w:tc>
        <w:tc>
          <w:tcPr>
            <w:tcW w:w="3144"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p>
        </w:tc>
        <w:tc>
          <w:tcPr>
            <w:tcW w:w="2204"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供货数量（吨）</w:t>
            </w:r>
          </w:p>
        </w:tc>
        <w:tc>
          <w:tcPr>
            <w:tcW w:w="2516"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4216"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指标信息</w:t>
            </w:r>
          </w:p>
        </w:tc>
        <w:tc>
          <w:tcPr>
            <w:tcW w:w="2204"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合同值</w:t>
            </w:r>
          </w:p>
        </w:tc>
        <w:tc>
          <w:tcPr>
            <w:tcW w:w="2516"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w:t>
            </w:r>
          </w:p>
        </w:tc>
        <w:tc>
          <w:tcPr>
            <w:tcW w:w="4216"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b/>
                <w:bCs/>
                <w:color w:val="auto"/>
                <w:kern w:val="2"/>
                <w:sz w:val="24"/>
                <w:szCs w:val="24"/>
                <w:highlight w:val="none"/>
              </w:rPr>
            </w:pPr>
          </w:p>
        </w:tc>
        <w:tc>
          <w:tcPr>
            <w:tcW w:w="2204"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p>
        </w:tc>
        <w:tc>
          <w:tcPr>
            <w:tcW w:w="2516"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等线 Light" w:hAnsi="等线 Light" w:eastAsia="等线 Light"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w:t>
            </w:r>
          </w:p>
        </w:tc>
        <w:tc>
          <w:tcPr>
            <w:tcW w:w="4216"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b/>
                <w:bCs/>
                <w:color w:val="auto"/>
                <w:kern w:val="2"/>
                <w:sz w:val="24"/>
                <w:szCs w:val="24"/>
                <w:highlight w:val="none"/>
              </w:rPr>
            </w:pPr>
          </w:p>
        </w:tc>
        <w:tc>
          <w:tcPr>
            <w:tcW w:w="2204"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p>
        </w:tc>
        <w:tc>
          <w:tcPr>
            <w:tcW w:w="2516"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等线 Light" w:hAnsi="等线 Light" w:eastAsia="等线 Light"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验收结论</w:t>
            </w:r>
          </w:p>
        </w:tc>
        <w:tc>
          <w:tcPr>
            <w:tcW w:w="7864" w:type="dxa"/>
            <w:gridSpan w:val="6"/>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备注</w:t>
            </w:r>
          </w:p>
        </w:tc>
        <w:tc>
          <w:tcPr>
            <w:tcW w:w="7864" w:type="dxa"/>
            <w:gridSpan w:val="6"/>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合同单价</w:t>
            </w:r>
          </w:p>
        </w:tc>
        <w:tc>
          <w:tcPr>
            <w:tcW w:w="157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color w:val="auto"/>
                <w:kern w:val="2"/>
                <w:sz w:val="24"/>
                <w:szCs w:val="24"/>
                <w:highlight w:val="none"/>
              </w:rPr>
            </w:pPr>
          </w:p>
        </w:tc>
        <w:tc>
          <w:tcPr>
            <w:tcW w:w="157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验收单价</w:t>
            </w:r>
          </w:p>
        </w:tc>
        <w:tc>
          <w:tcPr>
            <w:tcW w:w="157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color w:val="auto"/>
                <w:kern w:val="2"/>
                <w:sz w:val="24"/>
                <w:szCs w:val="24"/>
                <w:highlight w:val="none"/>
              </w:rPr>
            </w:pPr>
          </w:p>
        </w:tc>
        <w:tc>
          <w:tcPr>
            <w:tcW w:w="1572"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验收金额</w:t>
            </w:r>
          </w:p>
        </w:tc>
        <w:tc>
          <w:tcPr>
            <w:tcW w:w="1576"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2501" w:hRule="atLeast"/>
          <w:jc w:val="center"/>
        </w:trPr>
        <w:tc>
          <w:tcPr>
            <w:tcW w:w="5287"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等线" w:hAnsi="等线" w:eastAsia="等线" w:cs="Times New Roman"/>
                <w:b/>
                <w:bCs/>
                <w:color w:val="auto"/>
                <w:kern w:val="2"/>
                <w:sz w:val="21"/>
                <w:szCs w:val="21"/>
                <w:highlight w:val="none"/>
              </w:rPr>
            </w:pPr>
          </w:p>
          <w:p>
            <w:pPr>
              <w:keepNext w:val="0"/>
              <w:keepLines w:val="0"/>
              <w:widowControl/>
              <w:suppressLineNumbers w:val="0"/>
              <w:autoSpaceDE w:val="0"/>
              <w:autoSpaceDN w:val="0"/>
              <w:adjustRightInd w:val="0"/>
              <w:spacing w:before="0" w:beforeAutospacing="0" w:after="0" w:afterAutospacing="0"/>
              <w:ind w:left="0" w:right="0" w:firstLine="211" w:firstLineChars="100"/>
              <w:jc w:val="left"/>
              <w:textAlignment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验收单位：</w:t>
            </w:r>
          </w:p>
          <w:p>
            <w:pPr>
              <w:keepNext w:val="0"/>
              <w:keepLines w:val="0"/>
              <w:widowControl/>
              <w:suppressLineNumbers w:val="0"/>
              <w:autoSpaceDE w:val="0"/>
              <w:autoSpaceDN w:val="0"/>
              <w:adjustRightInd w:val="0"/>
              <w:spacing w:before="0" w:beforeAutospacing="0" w:after="0" w:afterAutospacing="0"/>
              <w:ind w:left="0" w:right="0" w:firstLine="0" w:firstLineChars="0"/>
              <w:jc w:val="left"/>
              <w:textAlignment w:val="center"/>
              <w:rPr>
                <w:rFonts w:hint="eastAsia" w:ascii="宋体" w:hAnsi="宋体" w:eastAsia="宋体" w:cs="宋体"/>
                <w:b/>
                <w:bCs w:val="0"/>
                <w:color w:val="auto"/>
                <w:kern w:val="2"/>
                <w:sz w:val="21"/>
                <w:szCs w:val="21"/>
                <w:highlight w:val="none"/>
              </w:rPr>
            </w:pPr>
          </w:p>
          <w:p>
            <w:pPr>
              <w:keepNext w:val="0"/>
              <w:keepLines w:val="0"/>
              <w:widowControl/>
              <w:suppressLineNumbers w:val="0"/>
              <w:autoSpaceDE w:val="0"/>
              <w:autoSpaceDN w:val="0"/>
              <w:adjustRightInd w:val="0"/>
              <w:spacing w:before="0" w:beforeAutospacing="0" w:after="0" w:afterAutospacing="0"/>
              <w:ind w:left="0" w:right="0" w:firstLine="211" w:firstLineChars="100"/>
              <w:jc w:val="left"/>
              <w:textAlignment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验收人1（签名）：</w:t>
            </w:r>
          </w:p>
          <w:p>
            <w:pPr>
              <w:keepNext w:val="0"/>
              <w:keepLines w:val="0"/>
              <w:widowControl/>
              <w:suppressLineNumbers w:val="0"/>
              <w:autoSpaceDE w:val="0"/>
              <w:autoSpaceDN w:val="0"/>
              <w:adjustRightInd w:val="0"/>
              <w:spacing w:before="0" w:beforeAutospacing="0" w:after="0" w:afterAutospacing="0"/>
              <w:ind w:left="0" w:right="0" w:firstLine="0" w:firstLineChars="0"/>
              <w:jc w:val="left"/>
              <w:textAlignment w:val="center"/>
              <w:rPr>
                <w:rFonts w:hint="eastAsia" w:ascii="宋体" w:hAnsi="宋体" w:eastAsia="宋体" w:cs="宋体"/>
                <w:b/>
                <w:bCs w:val="0"/>
                <w:color w:val="auto"/>
                <w:kern w:val="2"/>
                <w:sz w:val="21"/>
                <w:szCs w:val="21"/>
                <w:highlight w:val="none"/>
              </w:rPr>
            </w:pPr>
          </w:p>
          <w:p>
            <w:pPr>
              <w:keepNext w:val="0"/>
              <w:keepLines w:val="0"/>
              <w:widowControl/>
              <w:suppressLineNumbers w:val="0"/>
              <w:autoSpaceDE w:val="0"/>
              <w:autoSpaceDN w:val="0"/>
              <w:adjustRightInd w:val="0"/>
              <w:spacing w:before="0" w:beforeAutospacing="0" w:after="0" w:afterAutospacing="0"/>
              <w:ind w:left="0" w:right="0" w:firstLine="211" w:firstLineChars="100"/>
              <w:jc w:val="left"/>
              <w:textAlignment w:val="center"/>
              <w:rPr>
                <w:rFonts w:hint="eastAsia" w:ascii="等线" w:hAnsi="等线" w:eastAsia="等线" w:cs="Times New Roman"/>
                <w:b/>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验收人2（签名）： </w:t>
            </w:r>
          </w:p>
        </w:tc>
        <w:tc>
          <w:tcPr>
            <w:tcW w:w="472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等线" w:hAnsi="等线" w:eastAsia="等线" w:cs="Times New Roman"/>
                <w:b/>
                <w:bCs/>
                <w:color w:val="auto"/>
                <w:kern w:val="2"/>
                <w:sz w:val="21"/>
                <w:szCs w:val="21"/>
                <w:highlight w:val="none"/>
              </w:rPr>
            </w:pPr>
          </w:p>
          <w:p>
            <w:pPr>
              <w:keepNext w:val="0"/>
              <w:keepLines w:val="0"/>
              <w:widowControl w:val="0"/>
              <w:suppressLineNumbers w:val="0"/>
              <w:autoSpaceDE w:val="0"/>
              <w:autoSpaceDN w:val="0"/>
              <w:adjustRightInd w:val="0"/>
              <w:spacing w:before="0" w:beforeAutospacing="0" w:after="0" w:afterAutospacing="0"/>
              <w:ind w:left="0" w:right="0" w:firstLine="211" w:firstLineChars="1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供货单位（盖章）：</w:t>
            </w:r>
          </w:p>
          <w:p>
            <w:pPr>
              <w:keepNext w:val="0"/>
              <w:keepLines w:val="0"/>
              <w:widowControl w:val="0"/>
              <w:suppressLineNumbers w:val="0"/>
              <w:autoSpaceDE w:val="0"/>
              <w:autoSpaceDN w:val="0"/>
              <w:adjustRightInd w:val="0"/>
              <w:spacing w:before="0" w:beforeAutospacing="0" w:after="0" w:afterAutospacing="0"/>
              <w:ind w:left="0" w:right="0" w:firstLine="211" w:firstLineChars="100"/>
              <w:jc w:val="left"/>
              <w:rPr>
                <w:rFonts w:hint="eastAsia" w:ascii="宋体" w:hAnsi="宋体" w:eastAsia="宋体" w:cs="宋体"/>
                <w:b/>
                <w:bCs w:val="0"/>
                <w:color w:val="auto"/>
                <w:kern w:val="2"/>
                <w:sz w:val="21"/>
                <w:szCs w:val="21"/>
                <w:highlight w:val="none"/>
              </w:rPr>
            </w:pPr>
          </w:p>
          <w:p>
            <w:pPr>
              <w:keepNext w:val="0"/>
              <w:keepLines w:val="0"/>
              <w:widowControl w:val="0"/>
              <w:suppressLineNumbers w:val="0"/>
              <w:autoSpaceDE w:val="0"/>
              <w:autoSpaceDN w:val="0"/>
              <w:adjustRightInd w:val="0"/>
              <w:spacing w:before="0" w:beforeAutospacing="0" w:after="0" w:afterAutospacing="0"/>
              <w:ind w:left="0" w:right="0" w:firstLine="211" w:firstLineChars="1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供货单位代表（签名）：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61" w:hRule="atLeast"/>
          <w:jc w:val="center"/>
        </w:trPr>
        <w:tc>
          <w:tcPr>
            <w:tcW w:w="5287"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autoSpaceDE w:val="0"/>
              <w:autoSpaceDN w:val="0"/>
              <w:adjustRightInd w:val="0"/>
              <w:spacing w:before="0" w:beforeAutospacing="0" w:after="0" w:afterAutospacing="0"/>
              <w:ind w:left="0" w:right="0" w:firstLine="422"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b/>
                <w:bCs w:val="0"/>
                <w:color w:val="auto"/>
                <w:kern w:val="2"/>
                <w:sz w:val="21"/>
                <w:szCs w:val="21"/>
                <w:highlight w:val="none"/>
                <w:lang w:val="en-US" w:eastAsia="zh-CN" w:bidi="ar"/>
              </w:rPr>
              <w:t>日期：</w:t>
            </w:r>
          </w:p>
        </w:tc>
        <w:tc>
          <w:tcPr>
            <w:tcW w:w="472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autoSpaceDE w:val="0"/>
              <w:autoSpaceDN w:val="0"/>
              <w:adjustRightInd w:val="0"/>
              <w:spacing w:before="0" w:beforeAutospacing="0" w:after="0" w:afterAutospacing="0"/>
              <w:ind w:left="0" w:right="0" w:firstLine="422"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b/>
                <w:bCs w:val="0"/>
                <w:color w:val="auto"/>
                <w:kern w:val="2"/>
                <w:sz w:val="21"/>
                <w:szCs w:val="21"/>
                <w:highlight w:val="none"/>
                <w:lang w:val="en-US" w:eastAsia="zh-CN" w:bidi="ar"/>
              </w:rPr>
              <w:t>日期：</w:t>
            </w:r>
          </w:p>
        </w:tc>
      </w:tr>
    </w:tbl>
    <w:p>
      <w:pPr>
        <w:rPr>
          <w:rFonts w:hint="eastAsia" w:ascii="等线" w:hAnsi="等线" w:eastAsia="等线" w:cs="Times New Roman"/>
          <w:color w:val="auto"/>
          <w:kern w:val="2"/>
          <w:sz w:val="21"/>
          <w:szCs w:val="21"/>
          <w:highlight w:val="none"/>
        </w:rPr>
        <w:sectPr>
          <w:footerReference r:id="rId3" w:type="default"/>
          <w:pgSz w:w="12240" w:h="15840"/>
          <w:pgMar w:top="1191" w:right="1043" w:bottom="1191" w:left="1043" w:header="720" w:footer="720" w:gutter="0"/>
          <w:cols w:space="720" w:num="1"/>
          <w:titlePg/>
          <w:docGrid w:type="lines" w:linePitch="326" w:charSpace="0"/>
        </w:sectPr>
      </w:pPr>
    </w:p>
    <w:p>
      <w:pPr>
        <w:keepNext w:val="0"/>
        <w:keepLines w:val="0"/>
        <w:widowControl w:val="0"/>
        <w:suppressLineNumbers w:val="0"/>
        <w:autoSpaceDE w:val="0"/>
        <w:autoSpaceDN w:val="0"/>
        <w:adjustRightInd w:val="0"/>
        <w:spacing w:before="0" w:beforeAutospacing="0" w:after="0" w:afterAutospacing="0"/>
        <w:ind w:left="0" w:right="0" w:firstLine="0" w:firstLineChars="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附件2：供应商履约评价表</w:t>
      </w: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供应商履约评价表</w:t>
      </w:r>
    </w:p>
    <w:tbl>
      <w:tblPr>
        <w:tblStyle w:val="44"/>
        <w:tblW w:w="99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5"/>
        <w:gridCol w:w="1696"/>
        <w:gridCol w:w="3699"/>
        <w:gridCol w:w="53"/>
        <w:gridCol w:w="1783"/>
        <w:gridCol w:w="716"/>
        <w:gridCol w:w="689"/>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合同名称</w:t>
            </w:r>
          </w:p>
        </w:tc>
        <w:tc>
          <w:tcPr>
            <w:tcW w:w="78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jc w:val="center"/>
        </w:trPr>
        <w:tc>
          <w:tcPr>
            <w:tcW w:w="2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合同编号</w:t>
            </w:r>
          </w:p>
        </w:tc>
        <w:tc>
          <w:tcPr>
            <w:tcW w:w="78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jc w:val="center"/>
        </w:trPr>
        <w:tc>
          <w:tcPr>
            <w:tcW w:w="2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甲方名称</w:t>
            </w:r>
          </w:p>
        </w:tc>
        <w:tc>
          <w:tcPr>
            <w:tcW w:w="78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jc w:val="center"/>
        </w:trPr>
        <w:tc>
          <w:tcPr>
            <w:tcW w:w="2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w:t>
            </w:r>
            <w:r>
              <w:rPr>
                <w:rFonts w:hint="eastAsia" w:ascii="宋体" w:hAnsi="宋体" w:eastAsia="宋体" w:cs="宋体"/>
                <w:color w:val="auto"/>
                <w:kern w:val="2"/>
                <w:sz w:val="21"/>
                <w:szCs w:val="21"/>
                <w:highlight w:val="none"/>
                <w:lang w:val="en-US" w:eastAsia="zh-CN" w:bidi="ar"/>
              </w:rPr>
              <w:t>名称</w:t>
            </w:r>
          </w:p>
        </w:tc>
        <w:tc>
          <w:tcPr>
            <w:tcW w:w="78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jc w:val="center"/>
        </w:trPr>
        <w:tc>
          <w:tcPr>
            <w:tcW w:w="2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供应货物名称</w:t>
            </w:r>
          </w:p>
        </w:tc>
        <w:tc>
          <w:tcPr>
            <w:tcW w:w="78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jc w:val="center"/>
        </w:trPr>
        <w:tc>
          <w:tcPr>
            <w:tcW w:w="2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交货地点</w:t>
            </w:r>
          </w:p>
        </w:tc>
        <w:tc>
          <w:tcPr>
            <w:tcW w:w="78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19" w:hRule="atLeast"/>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序号</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履约评价项目</w:t>
            </w:r>
          </w:p>
        </w:tc>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评价标准</w:t>
            </w:r>
          </w:p>
        </w:tc>
        <w:tc>
          <w:tcPr>
            <w:tcW w:w="18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评分说明</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分值</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实得分</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18" w:hRule="atLeast"/>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质量</w:t>
            </w:r>
          </w:p>
        </w:tc>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（1）货物未出现全部拒收或换货等质量问题；</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（2）货物主要技术指标符合合同规定。</w:t>
            </w:r>
          </w:p>
        </w:tc>
        <w:tc>
          <w:tcPr>
            <w:tcW w:w="18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达到标准的得满分，每月每次货物有一项未达到标准的扣4分，每次货物最多扣4分。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252" w:hRule="atLeast"/>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包装、运输</w:t>
            </w:r>
          </w:p>
        </w:tc>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货物的包装、运输符合合同规定及国家、行业有关标准规范；未出现由于包装、运输方式不当造成以下不良后果：</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（1）影响货物输送或储存质量；</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（2）货物质量下降；</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（3）货物泄漏导致供货量不足；</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（4）造成环境污染。</w:t>
            </w:r>
          </w:p>
        </w:tc>
        <w:tc>
          <w:tcPr>
            <w:tcW w:w="18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货物交付</w:t>
            </w:r>
          </w:p>
        </w:tc>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（1）按合同要求的期限供货（包括加急供货）；</w:t>
            </w:r>
          </w:p>
          <w:p>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（2）每次供货配合提供出厂检验报告或质量合格证等技术资料；</w:t>
            </w:r>
          </w:p>
          <w:p>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（3）交付人员专业性强，工作效率高，熟悉交付操作流程；</w:t>
            </w:r>
          </w:p>
          <w:p>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（4）未出现因库存、运力不足等原因影响供货量的情况。</w:t>
            </w:r>
          </w:p>
        </w:tc>
        <w:tc>
          <w:tcPr>
            <w:tcW w:w="18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验收</w:t>
            </w:r>
          </w:p>
        </w:tc>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（1）及时提供货物的各项技术资料，技术资料齐全、规范；</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（2）未出现因对检测结果存在异议而影响供货的情况；</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（3）未出现因货物检验不合格，或因货物不合格影响厂区生产效果的情况。</w:t>
            </w:r>
          </w:p>
        </w:tc>
        <w:tc>
          <w:tcPr>
            <w:tcW w:w="18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达到标准的得满分，每月每次货物有一项未达到标准的扣4分，每次货物最多扣4分。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安全</w:t>
            </w:r>
          </w:p>
        </w:tc>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（1）运输服务商资质、运输人员、运输车辆符合合同规定及国家相关法律法规要求；</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（2）未出现超载或非法运输等情况；</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（3）未出现由于运输服务商资质不符、超载或非法运输、未按厂区指示行驶及停放造成第三方或厂区事故、损失的情况；</w:t>
            </w:r>
          </w:p>
          <w:p>
            <w:pPr>
              <w:keepNext w:val="0"/>
              <w:keepLines w:val="0"/>
              <w:widowControl w:val="0"/>
              <w:suppressLineNumbers w:val="0"/>
              <w:autoSpaceDE w:val="0"/>
              <w:autoSpaceDN w:val="0"/>
              <w:adjustRightInd w:val="0"/>
              <w:spacing w:before="0" w:beforeAutospacing="0" w:after="0" w:afterAutospacing="0"/>
              <w:ind w:left="0" w:right="0"/>
              <w:jc w:val="both"/>
              <w:outlineLvl w:val="2"/>
              <w:rPr>
                <w:rFonts w:hint="eastAsia" w:ascii="宋体" w:hAnsi="宋体" w:eastAsia="宋体" w:cs="Times New Roman"/>
                <w:color w:val="auto"/>
                <w:kern w:val="2"/>
                <w:sz w:val="21"/>
                <w:szCs w:val="21"/>
                <w:highlight w:val="none"/>
              </w:rPr>
            </w:pPr>
            <w:bookmarkStart w:id="572" w:name="_Toc267"/>
            <w:bookmarkStart w:id="573" w:name="_Toc146625412"/>
            <w:r>
              <w:rPr>
                <w:rFonts w:hint="eastAsia" w:ascii="宋体" w:hAnsi="宋体" w:eastAsia="宋体" w:cs="宋体"/>
                <w:bCs/>
                <w:color w:val="auto"/>
                <w:kern w:val="2"/>
                <w:sz w:val="21"/>
                <w:szCs w:val="21"/>
                <w:highlight w:val="none"/>
                <w:lang w:val="en-US" w:eastAsia="zh-CN" w:bidi="ar"/>
              </w:rPr>
              <w:t>（4）未出现卸货安全事故。</w:t>
            </w:r>
            <w:bookmarkEnd w:id="572"/>
            <w:bookmarkEnd w:id="573"/>
          </w:p>
        </w:tc>
        <w:tc>
          <w:tcPr>
            <w:tcW w:w="18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售后服务</w:t>
            </w:r>
          </w:p>
        </w:tc>
        <w:tc>
          <w:tcPr>
            <w:tcW w:w="3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（1）人员：</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①管理、技术及服务人员均符合投标文件的承诺，服务队伍稳定，人员充足、专业性强，充分配合甲方供货需求；</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②对接人员与甲方沟通良好、理解到位、执行力强，能及时发现、解决问题，并未雨绸缪地因应各厂区实际情况提供合理化的供配货建议；</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③未出现推诿，借故不肯签署合同规定的文件或者敷衍了事、置之不理等情况。</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（2）配合：</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①售后服务流程完善，跟踪到位，响应速度快；</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②就货物储存保质方式、方法提出合理化建议并能提供专业技术指导；</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③积极配合甲方进行试验、积极协助甲方接受政府管理部门的检查工作及提供各类资质证明材料；</w:t>
            </w:r>
          </w:p>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④能根据甲方要求提供专业培训。</w:t>
            </w:r>
          </w:p>
          <w:p>
            <w:pPr>
              <w:keepNext w:val="0"/>
              <w:keepLines w:val="0"/>
              <w:widowControl w:val="0"/>
              <w:suppressLineNumbers w:val="0"/>
              <w:autoSpaceDE w:val="0"/>
              <w:autoSpaceDN w:val="0"/>
              <w:adjustRightInd w:val="0"/>
              <w:spacing w:before="0" w:beforeAutospacing="0" w:after="0" w:afterAutospacing="0"/>
              <w:ind w:left="0" w:right="0"/>
              <w:jc w:val="both"/>
              <w:outlineLvl w:val="2"/>
              <w:rPr>
                <w:rFonts w:hint="eastAsia" w:ascii="宋体" w:hAnsi="宋体" w:eastAsia="宋体" w:cs="Times New Roman"/>
                <w:color w:val="auto"/>
                <w:kern w:val="2"/>
                <w:sz w:val="21"/>
                <w:szCs w:val="21"/>
                <w:highlight w:val="none"/>
              </w:rPr>
            </w:pPr>
            <w:bookmarkStart w:id="574" w:name="_Toc174612492"/>
            <w:bookmarkStart w:id="575" w:name="_Toc10157"/>
            <w:r>
              <w:rPr>
                <w:rFonts w:hint="eastAsia" w:ascii="宋体" w:hAnsi="宋体" w:eastAsia="宋体" w:cs="宋体"/>
                <w:bCs/>
                <w:color w:val="auto"/>
                <w:kern w:val="2"/>
                <w:sz w:val="21"/>
                <w:szCs w:val="21"/>
                <w:highlight w:val="none"/>
                <w:lang w:val="en-US" w:eastAsia="zh-CN" w:bidi="ar"/>
              </w:rPr>
              <w:t>⑤高效处理退换货工作、态度良好。</w:t>
            </w:r>
            <w:bookmarkEnd w:id="574"/>
            <w:bookmarkEnd w:id="575"/>
          </w:p>
        </w:tc>
        <w:tc>
          <w:tcPr>
            <w:tcW w:w="18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达到标准的得满分，每月每次货物有一项未达到标准的扣2分，每次货物最多扣2分。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60" w:hRule="atLeast"/>
          <w:jc w:val="center"/>
        </w:trPr>
        <w:tc>
          <w:tcPr>
            <w:tcW w:w="76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合计</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r>
              <w:rPr>
                <w:rFonts w:hint="eastAsia" w:ascii="宋体" w:hAnsi="宋体" w:eastAsia="宋体" w:cs="Times New Roman"/>
                <w:bCs/>
                <w:color w:val="auto"/>
                <w:kern w:val="2"/>
                <w:sz w:val="21"/>
                <w:szCs w:val="21"/>
                <w:highlight w:val="none"/>
                <w:lang w:val="en-US" w:eastAsia="zh-CN" w:bidi="ar"/>
              </w:rPr>
              <w:t>00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59" w:hRule="atLeast"/>
          <w:jc w:val="center"/>
        </w:trPr>
        <w:tc>
          <w:tcPr>
            <w:tcW w:w="2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评审结论</w:t>
            </w:r>
          </w:p>
        </w:tc>
        <w:tc>
          <w:tcPr>
            <w:tcW w:w="7872"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□合计分值不低于</w:t>
            </w:r>
            <w:r>
              <w:rPr>
                <w:rFonts w:hint="eastAsia" w:ascii="宋体" w:hAnsi="宋体" w:eastAsia="宋体" w:cs="Times New Roman"/>
                <w:bCs/>
                <w:color w:val="auto"/>
                <w:kern w:val="2"/>
                <w:sz w:val="21"/>
                <w:szCs w:val="21"/>
                <w:highlight w:val="none"/>
                <w:lang w:val="en-US" w:eastAsia="zh-CN" w:bidi="ar"/>
              </w:rPr>
              <w:t>8</w:t>
            </w:r>
            <w:r>
              <w:rPr>
                <w:rFonts w:hint="eastAsia" w:ascii="宋体" w:hAnsi="宋体" w:eastAsia="宋体" w:cs="宋体"/>
                <w:bCs/>
                <w:color w:val="auto"/>
                <w:kern w:val="2"/>
                <w:sz w:val="21"/>
                <w:szCs w:val="21"/>
                <w:highlight w:val="none"/>
                <w:lang w:val="en-US" w:eastAsia="zh-CN" w:bidi="ar"/>
              </w:rPr>
              <w:t>0的，评审结论合格</w:t>
            </w:r>
            <w:r>
              <w:rPr>
                <w:rFonts w:hint="eastAsia" w:ascii="宋体" w:hAnsi="宋体" w:eastAsia="宋体" w:cs="Times New Roman"/>
                <w:bCs/>
                <w:color w:val="auto"/>
                <w:kern w:val="2"/>
                <w:sz w:val="21"/>
                <w:szCs w:val="21"/>
                <w:highlight w:val="none"/>
                <w:lang w:val="en-US" w:eastAsia="zh-CN" w:bidi="ar"/>
              </w:rPr>
              <w:br w:type="textWrapping"/>
            </w:r>
            <w:r>
              <w:rPr>
                <w:rFonts w:hint="eastAsia" w:ascii="宋体" w:hAnsi="宋体" w:eastAsia="宋体" w:cs="宋体"/>
                <w:bCs/>
                <w:color w:val="auto"/>
                <w:kern w:val="2"/>
                <w:sz w:val="21"/>
                <w:szCs w:val="21"/>
                <w:highlight w:val="none"/>
                <w:lang w:val="en-US" w:eastAsia="zh-CN" w:bidi="ar"/>
              </w:rPr>
              <w:t>□合计分值低于80的,评审结论不合格，说明：</w:t>
            </w:r>
            <w:r>
              <w:rPr>
                <w:rFonts w:hint="eastAsia" w:ascii="宋体" w:hAnsi="宋体" w:eastAsia="宋体" w:cs="宋体"/>
                <w:bCs/>
                <w:color w:val="auto"/>
                <w:kern w:val="2"/>
                <w:sz w:val="21"/>
                <w:szCs w:val="21"/>
                <w:highlight w:val="none"/>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28" w:hRule="atLeast"/>
          <w:jc w:val="center"/>
        </w:trPr>
        <w:tc>
          <w:tcPr>
            <w:tcW w:w="2111"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履约评审运营项目</w:t>
            </w:r>
            <w:r>
              <w:rPr>
                <w:rFonts w:hint="eastAsia" w:ascii="宋体" w:hAnsi="宋体" w:eastAsia="宋体" w:cs="宋体"/>
                <w:color w:val="auto"/>
                <w:kern w:val="2"/>
                <w:sz w:val="21"/>
                <w:szCs w:val="21"/>
                <w:highlight w:val="none"/>
                <w:lang w:val="en-US" w:eastAsia="zh-CN" w:bidi="ar"/>
              </w:rPr>
              <w:t>其他</w:t>
            </w:r>
            <w:r>
              <w:rPr>
                <w:rFonts w:hint="eastAsia" w:ascii="宋体" w:hAnsi="宋体" w:eastAsia="宋体" w:cs="宋体"/>
                <w:bCs/>
                <w:color w:val="auto"/>
                <w:kern w:val="2"/>
                <w:sz w:val="21"/>
                <w:szCs w:val="21"/>
                <w:highlight w:val="none"/>
                <w:lang w:val="en-US" w:eastAsia="zh-CN" w:bidi="ar"/>
              </w:rPr>
              <w:t>意见及签署</w:t>
            </w:r>
          </w:p>
        </w:tc>
        <w:tc>
          <w:tcPr>
            <w:tcW w:w="37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经办人</w:t>
            </w:r>
          </w:p>
        </w:tc>
        <w:tc>
          <w:tcPr>
            <w:tcW w:w="41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05" w:hRule="atLeast"/>
          <w:jc w:val="center"/>
        </w:trPr>
        <w:tc>
          <w:tcPr>
            <w:tcW w:w="2111"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color w:val="auto"/>
                <w:kern w:val="0"/>
                <w:sz w:val="20"/>
                <w:szCs w:val="20"/>
                <w:highlight w:val="none"/>
              </w:rPr>
            </w:pPr>
          </w:p>
        </w:tc>
        <w:tc>
          <w:tcPr>
            <w:tcW w:w="37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运营项目负责人</w:t>
            </w:r>
          </w:p>
        </w:tc>
        <w:tc>
          <w:tcPr>
            <w:tcW w:w="41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0" w:after="0" w:afterAutospacing="0"/>
              <w:ind w:left="0" w:right="0"/>
              <w:jc w:val="both"/>
              <w:rPr>
                <w:rFonts w:hint="eastAsia" w:ascii="宋体" w:hAnsi="宋体" w:eastAsia="宋体" w:cs="Times New Roman"/>
                <w:bCs/>
                <w:color w:val="auto"/>
                <w:kern w:val="2"/>
                <w:sz w:val="21"/>
                <w:szCs w:val="21"/>
                <w:highlight w:val="none"/>
              </w:rPr>
            </w:pPr>
          </w:p>
        </w:tc>
      </w:tr>
    </w:tbl>
    <w:p>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val="en-US" w:eastAsia="zh-CN"/>
        </w:rPr>
      </w:pPr>
      <w:r>
        <w:rPr>
          <w:rFonts w:hint="eastAsia" w:ascii="宋体" w:hAnsi="宋体" w:eastAsia="宋体" w:cs="Times New Roman"/>
          <w:b/>
          <w:color w:val="auto"/>
          <w:kern w:val="0"/>
          <w:sz w:val="52"/>
          <w:szCs w:val="96"/>
          <w:highlight w:val="none"/>
          <w:lang w:val="en-US" w:eastAsia="zh-CN"/>
        </w:rPr>
        <w:br w:type="page"/>
      </w:r>
    </w:p>
    <w:p>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0" w:leftChars="0" w:firstLine="0"/>
        <w:jc w:val="center"/>
        <w:textAlignment w:val="auto"/>
        <w:outlineLvl w:val="1"/>
        <w:rPr>
          <w:rFonts w:hint="eastAsia" w:ascii="宋体" w:hAnsi="宋体" w:eastAsia="宋体" w:cs="宋体"/>
          <w:b/>
          <w:bCs/>
          <w:color w:val="auto"/>
          <w:kern w:val="44"/>
          <w:sz w:val="32"/>
          <w:szCs w:val="32"/>
          <w:highlight w:val="none"/>
          <w:lang w:val="zh-CN"/>
        </w:rPr>
      </w:pPr>
      <w:bookmarkStart w:id="576" w:name="_Toc23633"/>
      <w:bookmarkStart w:id="577" w:name="_Toc23044"/>
      <w:bookmarkStart w:id="578" w:name="_Toc30747"/>
      <w:r>
        <w:rPr>
          <w:rFonts w:hint="eastAsia" w:ascii="宋体" w:hAnsi="宋体" w:eastAsia="宋体" w:cs="宋体"/>
          <w:b/>
          <w:bCs/>
          <w:color w:val="auto"/>
          <w:kern w:val="44"/>
          <w:sz w:val="32"/>
          <w:szCs w:val="32"/>
          <w:highlight w:val="none"/>
          <w:lang w:val="zh-CN"/>
        </w:rPr>
        <w:t>第四篇 合同条款格式</w:t>
      </w:r>
      <w:bookmarkEnd w:id="576"/>
      <w:bookmarkEnd w:id="577"/>
      <w:bookmarkEnd w:id="578"/>
    </w:p>
    <w:p>
      <w:pPr>
        <w:autoSpaceDE w:val="0"/>
        <w:autoSpaceDN w:val="0"/>
        <w:adjustRightInd w:val="0"/>
        <w:spacing w:line="360" w:lineRule="auto"/>
        <w:jc w:val="center"/>
        <w:rPr>
          <w:rFonts w:hint="default" w:ascii="宋体" w:hAnsi="宋体" w:eastAsia="宋体" w:cs="Times New Roman"/>
          <w:b/>
          <w:color w:val="auto"/>
          <w:kern w:val="0"/>
          <w:sz w:val="52"/>
          <w:szCs w:val="96"/>
          <w:highlight w:val="none"/>
          <w:lang w:val="en-US" w:eastAsia="zh-CN"/>
        </w:rPr>
      </w:pP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rPr>
        <w:t>东莞市污泥集中处理处置项目小苏打</w:t>
      </w:r>
    </w:p>
    <w:p>
      <w:pPr>
        <w:autoSpaceDE w:val="0"/>
        <w:autoSpaceDN w:val="0"/>
        <w:adjustRightInd w:val="0"/>
        <w:spacing w:line="360" w:lineRule="auto"/>
        <w:jc w:val="center"/>
        <w:rPr>
          <w:rFonts w:ascii="宋体" w:hAnsi="宋体" w:eastAsia="宋体" w:cs="Times New Roman"/>
          <w:bCs/>
          <w:color w:val="auto"/>
          <w:kern w:val="0"/>
          <w:sz w:val="52"/>
          <w:szCs w:val="52"/>
          <w:highlight w:val="none"/>
        </w:rPr>
      </w:pPr>
      <w:r>
        <w:rPr>
          <w:rFonts w:hint="eastAsia" w:ascii="宋体" w:hAnsi="宋体" w:eastAsia="宋体" w:cs="Times New Roman"/>
          <w:b/>
          <w:color w:val="auto"/>
          <w:kern w:val="0"/>
          <w:sz w:val="52"/>
          <w:szCs w:val="96"/>
          <w:highlight w:val="none"/>
        </w:rPr>
        <w:t>采购项目</w:t>
      </w:r>
    </w:p>
    <w:p>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480" w:lineRule="auto"/>
        <w:ind w:firstLine="1664" w:firstLineChars="5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val="en-US" w:eastAsia="zh-CN"/>
        </w:rPr>
        <w:t>东莞市尚源环能科技有限公司</w:t>
      </w:r>
    </w:p>
    <w:p>
      <w:pPr>
        <w:autoSpaceDE w:val="0"/>
        <w:autoSpaceDN w:val="0"/>
        <w:adjustRightInd w:val="0"/>
        <w:spacing w:line="480" w:lineRule="auto"/>
        <w:ind w:firstLine="1664" w:firstLineChars="5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pPr>
        <w:ind w:firstLine="210" w:firstLineChars="100"/>
        <w:rPr>
          <w:rFonts w:ascii="宋体" w:hAnsi="宋体" w:eastAsia="宋体" w:cs="宋体"/>
          <w:color w:val="auto"/>
          <w:szCs w:val="21"/>
          <w:highlight w:val="none"/>
          <w:u w:val="single"/>
        </w:rPr>
      </w:pPr>
      <w:r>
        <w:rPr>
          <w:rFonts w:hint="eastAsia" w:ascii="宋体" w:hAnsi="宋体" w:eastAsia="宋体" w:cs="宋体"/>
          <w:b w:val="0"/>
          <w:bCs w:val="0"/>
          <w:color w:val="auto"/>
          <w:szCs w:val="21"/>
          <w:highlight w:val="none"/>
        </w:rPr>
        <w:t>甲方：</w:t>
      </w:r>
      <w:r>
        <w:rPr>
          <w:rFonts w:hint="eastAsia" w:ascii="宋体" w:hAnsi="宋体" w:eastAsia="宋体" w:cs="宋体"/>
          <w:bCs/>
          <w:color w:val="auto"/>
          <w:szCs w:val="21"/>
          <w:highlight w:val="none"/>
          <w:u w:val="single"/>
        </w:rPr>
        <w:t>东莞市尚源环能科技有限公司</w:t>
      </w:r>
      <w:r>
        <w:rPr>
          <w:rFonts w:ascii="宋体" w:hAnsi="宋体" w:eastAsia="宋体" w:cs="宋体"/>
          <w:bCs/>
          <w:color w:val="auto"/>
          <w:szCs w:val="21"/>
          <w:highlight w:val="none"/>
          <w:u w:val="single"/>
        </w:rPr>
        <w:t xml:space="preserve"> </w:t>
      </w:r>
    </w:p>
    <w:p>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p>
    <w:p>
      <w:pPr>
        <w:snapToGrid w:val="0"/>
        <w:spacing w:line="360" w:lineRule="auto"/>
        <w:rPr>
          <w:rFonts w:ascii="宋体" w:hAnsi="宋体" w:eastAsia="宋体" w:cs="宋体"/>
          <w:color w:val="auto"/>
          <w:szCs w:val="21"/>
          <w:highlight w:val="none"/>
        </w:rPr>
      </w:pP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项目中标结果（招标编号：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）和招标文件的要求，经双方协商一致，签订本合同。</w:t>
      </w:r>
    </w:p>
    <w:p>
      <w:pPr>
        <w:keepNext w:val="0"/>
        <w:keepLines w:val="0"/>
        <w:pageBreakBefore w:val="0"/>
        <w:widowControl w:val="0"/>
        <w:kinsoku/>
        <w:wordWrap/>
        <w:overflowPunct/>
        <w:topLinePunct w:val="0"/>
        <w:autoSpaceDE w:val="0"/>
        <w:autoSpaceDN w:val="0"/>
        <w:bidi w:val="0"/>
        <w:adjustRightInd w:val="0"/>
        <w:snapToGrid/>
        <w:jc w:val="left"/>
        <w:textAlignment w:val="auto"/>
        <w:outlineLvl w:val="9"/>
        <w:rPr>
          <w:rFonts w:ascii="宋体" w:hAnsi="Calibri" w:eastAsia="宋体" w:cs="Times New Roman"/>
          <w:color w:val="auto"/>
          <w:kern w:val="0"/>
          <w:sz w:val="24"/>
          <w:szCs w:val="24"/>
          <w:highlight w:val="none"/>
          <w:lang w:val="en-US" w:eastAsia="zh-CN" w:bidi="ar-SA"/>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第一条 合同项目</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1、合同货物清单如下：</w:t>
      </w:r>
    </w:p>
    <w:tbl>
      <w:tblPr>
        <w:tblStyle w:val="44"/>
        <w:tblW w:w="99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1386"/>
        <w:gridCol w:w="1386"/>
        <w:gridCol w:w="1386"/>
        <w:gridCol w:w="1389"/>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23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品牌</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产地</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暂定数量</w:t>
            </w:r>
          </w:p>
        </w:tc>
        <w:tc>
          <w:tcPr>
            <w:tcW w:w="2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综合单价（元/吨）（不含销项税）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23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小苏打</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auto"/>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auto"/>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7,336</w:t>
            </w:r>
          </w:p>
        </w:tc>
        <w:tc>
          <w:tcPr>
            <w:tcW w:w="21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val="0"/>
        <w:spacing w:before="164" w:beforeLines="50" w:line="360" w:lineRule="auto"/>
        <w:ind w:firstLine="422" w:firstLineChars="200"/>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备注：本次采购涉及采购数量为暂定，仅为便于计算暂定合同价使用，不作为甲方最终采购数量的保证，甲方的实际需求数量以甲方每次的供货通知为准，在供货期内乙方不得因甲方实际采购数量的减少或增加而要求提供任何形式的补偿或赔偿，或要求甲方按暂定采购数量采购相应货物。</w:t>
      </w:r>
    </w:p>
    <w:p>
      <w:pPr>
        <w:snapToGri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、本合同的供货期</w:t>
      </w:r>
    </w:p>
    <w:p>
      <w:pPr>
        <w:snapToGri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供货期自合同签订之日起至20</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日止。乙方收到甲方通知后必须无条件按照甲方的要求开始供货。</w:t>
      </w:r>
    </w:p>
    <w:p>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3、合同履行中，甲方在本合同约定的供货期限和采购范围内，有权根据</w:t>
      </w:r>
      <w:r>
        <w:rPr>
          <w:rFonts w:hint="eastAsia" w:ascii="宋体" w:hAnsi="宋体" w:eastAsia="宋体" w:cs="宋体"/>
          <w:b/>
          <w:color w:val="auto"/>
          <w:szCs w:val="21"/>
          <w:highlight w:val="none"/>
          <w:lang w:val="en-US" w:eastAsia="zh-CN"/>
        </w:rPr>
        <w:t>运营项目</w:t>
      </w:r>
      <w:r>
        <w:rPr>
          <w:rFonts w:hint="eastAsia" w:ascii="宋体" w:hAnsi="宋体" w:eastAsia="宋体" w:cs="宋体"/>
          <w:b/>
          <w:color w:val="auto"/>
          <w:szCs w:val="21"/>
          <w:highlight w:val="none"/>
        </w:rPr>
        <w:t>实际情况及有关法律法规、政策的规定对合同的相应条款进行变更调整，变更内容限于非实质性内容。甲方应在变更需求确定后</w:t>
      </w:r>
      <w:r>
        <w:rPr>
          <w:rFonts w:ascii="宋体" w:hAnsi="宋体" w:eastAsia="宋体" w:cs="宋体"/>
          <w:b/>
          <w:color w:val="auto"/>
          <w:szCs w:val="21"/>
          <w:highlight w:val="none"/>
        </w:rPr>
        <w:t>10个工作日内，向乙方出具书面变更方案，经双方协商一致后签订书面补充协议，补充协议生效后，乙方应按补充协议约定执行。</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4、乙方应承担完成合同义务的全部费用，包括但不限于：</w:t>
      </w:r>
    </w:p>
    <w:p>
      <w:pPr>
        <w:snapToGrid w:val="0"/>
        <w:spacing w:line="360" w:lineRule="auto"/>
        <w:ind w:left="2" w:firstLine="564" w:firstLineChars="2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（1）合同范围内所有货物的研究、采购、制造、检验、配合试验（含小试）、包装、储存、运输（退换货运输）、称重、装卸、安全、保险、培训、验收等费用；</w:t>
      </w:r>
    </w:p>
    <w:p>
      <w:pPr>
        <w:snapToGrid w:val="0"/>
        <w:spacing w:line="360" w:lineRule="auto"/>
        <w:ind w:left="2" w:firstLine="564" w:firstLineChars="2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应急供货费用、为满足项目调试需求导致的小批量、多频次分散供货的成本以及货物运输、货物验收合格前发生的安全事故所产生的一切费用；</w:t>
      </w:r>
    </w:p>
    <w:p>
      <w:pPr>
        <w:snapToGrid w:val="0"/>
        <w:spacing w:line="360" w:lineRule="auto"/>
        <w:ind w:left="2" w:firstLine="564" w:firstLineChars="2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）货物及其工艺所有制造方、使用方应支付的对专有技术、商标权、专利权和版权、设计或其他知识产权而需要向其他方支付的版税；</w:t>
      </w:r>
    </w:p>
    <w:p>
      <w:pPr>
        <w:snapToGrid w:val="0"/>
        <w:spacing w:line="360" w:lineRule="auto"/>
        <w:ind w:left="2" w:firstLine="564" w:firstLineChars="2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w:t>
      </w:r>
      <w:r>
        <w:rPr>
          <w:rFonts w:hint="eastAsia" w:ascii="宋体" w:hAnsi="宋体" w:eastAsia="宋体" w:cs="宋体"/>
          <w:color w:val="auto"/>
          <w:szCs w:val="21"/>
          <w:highlight w:val="none"/>
          <w:lang w:val="en-US" w:eastAsia="zh-CN"/>
        </w:rPr>
        <w:t>退换货服务</w:t>
      </w:r>
      <w:r>
        <w:rPr>
          <w:rFonts w:hint="eastAsia" w:ascii="宋体" w:hAnsi="宋体" w:eastAsia="宋体" w:cs="宋体"/>
          <w:color w:val="auto"/>
          <w:szCs w:val="21"/>
          <w:highlight w:val="none"/>
          <w:lang w:val="zh-CN"/>
        </w:rPr>
        <w:t>，包括但不限于免费对具有质量问题的货物进行处理或更换，</w:t>
      </w:r>
      <w:r>
        <w:rPr>
          <w:rFonts w:hint="eastAsia" w:ascii="宋体" w:hAnsi="宋体" w:eastAsia="宋体" w:cs="宋体"/>
          <w:color w:val="auto"/>
          <w:szCs w:val="21"/>
          <w:highlight w:val="none"/>
        </w:rPr>
        <w:t>按甲方要求小试，并以甲方确认的最优化的产品成分配比向甲方供货</w:t>
      </w:r>
      <w:r>
        <w:rPr>
          <w:rFonts w:hint="eastAsia" w:ascii="宋体" w:hAnsi="宋体" w:eastAsia="宋体" w:cs="宋体"/>
          <w:color w:val="auto"/>
          <w:szCs w:val="21"/>
          <w:highlight w:val="none"/>
          <w:lang w:val="zh-CN"/>
        </w:rPr>
        <w:t>；</w:t>
      </w:r>
    </w:p>
    <w:p>
      <w:pPr>
        <w:snapToGrid w:val="0"/>
        <w:spacing w:line="360" w:lineRule="auto"/>
        <w:ind w:left="1018" w:leftChars="235"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（5）合理利润、</w:t>
      </w:r>
      <w:r>
        <w:rPr>
          <w:rFonts w:hint="eastAsia" w:ascii="宋体" w:hAnsi="宋体" w:eastAsia="宋体" w:cs="宋体"/>
          <w:color w:val="auto"/>
          <w:szCs w:val="21"/>
          <w:highlight w:val="none"/>
          <w:lang w:val="zh-CN"/>
        </w:rPr>
        <w:t>乙方销项税额以外的税费、</w:t>
      </w:r>
      <w:r>
        <w:rPr>
          <w:rFonts w:hint="eastAsia" w:ascii="宋体" w:hAnsi="宋体" w:eastAsia="宋体" w:cs="宋体"/>
          <w:color w:val="auto"/>
          <w:szCs w:val="21"/>
          <w:highlight w:val="none"/>
        </w:rPr>
        <w:t>中标服务费等；</w:t>
      </w:r>
    </w:p>
    <w:p>
      <w:pPr>
        <w:snapToGrid w:val="0"/>
        <w:spacing w:line="360" w:lineRule="auto"/>
        <w:ind w:left="1018" w:leftChars="23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（6）法律法规、商业公认、招标文件规定由乙方承担的其他直接及间接费用。</w:t>
      </w:r>
    </w:p>
    <w:p>
      <w:pPr>
        <w:spacing w:line="360" w:lineRule="auto"/>
        <w:ind w:left="124" w:leftChars="59" w:firstLine="424" w:firstLineChars="201"/>
        <w:rPr>
          <w:rFonts w:ascii="宋体" w:hAnsi="宋体" w:eastAsia="宋体" w:cs="宋体"/>
          <w:b/>
          <w:bCs/>
          <w:color w:val="auto"/>
          <w:szCs w:val="21"/>
          <w:highlight w:val="none"/>
        </w:rPr>
      </w:pPr>
      <w:r>
        <w:rPr>
          <w:rFonts w:hint="eastAsia" w:ascii="宋体" w:hAnsi="宋体" w:eastAsia="宋体" w:cs="宋体"/>
          <w:b/>
          <w:color w:val="auto"/>
          <w:szCs w:val="21"/>
          <w:highlight w:val="none"/>
          <w:lang w:val="zh-CN"/>
        </w:rPr>
        <w:t>5、小苏打的供货须按照甲方的实际供货需求，将会存在不同时间</w:t>
      </w:r>
      <w:r>
        <w:rPr>
          <w:rFonts w:hint="eastAsia" w:ascii="宋体" w:hAnsi="宋体" w:eastAsia="宋体" w:cs="宋体"/>
          <w:b/>
          <w:color w:val="auto"/>
          <w:szCs w:val="21"/>
          <w:highlight w:val="none"/>
        </w:rPr>
        <w:t>分</w:t>
      </w:r>
      <w:r>
        <w:rPr>
          <w:rFonts w:hint="eastAsia" w:ascii="宋体" w:hAnsi="宋体" w:eastAsia="宋体" w:cs="宋体"/>
          <w:b/>
          <w:color w:val="auto"/>
          <w:szCs w:val="21"/>
          <w:highlight w:val="none"/>
          <w:lang w:val="zh-CN"/>
        </w:rPr>
        <w:t>次供货的情况，乙方应充分考虑上述因素可能导致的增加成本，并且该成本已包含在上述全部费用内。</w:t>
      </w:r>
    </w:p>
    <w:p>
      <w:pPr>
        <w:snapToGrid w:val="0"/>
        <w:spacing w:line="360" w:lineRule="auto"/>
        <w:ind w:firstLine="420" w:firstLineChars="200"/>
        <w:rPr>
          <w:rFonts w:ascii="宋体" w:hAnsi="宋体" w:eastAsia="宋体" w:cs="宋体"/>
          <w:color w:val="auto"/>
          <w:szCs w:val="21"/>
          <w:highlight w:val="none"/>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第二条 合同价款及销项税价</w:t>
      </w:r>
    </w:p>
    <w:p>
      <w:pPr>
        <w:spacing w:line="360" w:lineRule="auto"/>
        <w:ind w:firstLine="476" w:firstLineChars="227"/>
        <w:rPr>
          <w:rFonts w:ascii="宋体" w:hAnsi="宋体" w:eastAsia="宋体" w:cs="宋体"/>
          <w:color w:val="auto"/>
          <w:szCs w:val="21"/>
          <w:highlight w:val="none"/>
        </w:rPr>
      </w:pPr>
      <w:r>
        <w:rPr>
          <w:rFonts w:hint="eastAsia" w:ascii="宋体" w:hAnsi="宋体" w:eastAsia="宋体" w:cs="宋体"/>
          <w:color w:val="auto"/>
          <w:szCs w:val="21"/>
          <w:highlight w:val="none"/>
        </w:rPr>
        <w:t>1、本合同综合单价（即销售额，不含乙方销项税额）为¥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元/吨（大写人民币每吨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在本合同履行过程中，综合单</w:t>
      </w:r>
      <w:r>
        <w:rPr>
          <w:rFonts w:hint="eastAsia" w:ascii="宋体" w:hAnsi="宋体" w:eastAsia="宋体" w:cs="宋体"/>
          <w:color w:val="auto"/>
          <w:szCs w:val="21"/>
          <w:highlight w:val="none"/>
        </w:rPr>
        <w:t>价（即销售额，不含乙方销项税额）</w:t>
      </w:r>
      <w:r>
        <w:rPr>
          <w:rFonts w:hint="eastAsia" w:ascii="宋体" w:hAnsi="宋体" w:eastAsia="宋体" w:cs="宋体"/>
          <w:color w:val="auto"/>
          <w:szCs w:val="21"/>
          <w:highlight w:val="none"/>
          <w:lang w:val="zh-CN"/>
        </w:rPr>
        <w:t>固定不变，不因材料、成分比例调整、劳务成本、运输成本、货物等行业标准或国家标准的变动等其他理由予以变更。</w:t>
      </w:r>
      <w:r>
        <w:rPr>
          <w:rFonts w:hint="eastAsia" w:ascii="宋体" w:hAnsi="宋体" w:eastAsia="宋体" w:cs="宋体"/>
          <w:color w:val="auto"/>
          <w:szCs w:val="21"/>
          <w:highlight w:val="none"/>
        </w:rPr>
        <w:t>未经甲方书面确认，乙方无权增加任何费用。</w:t>
      </w:r>
    </w:p>
    <w:p>
      <w:pPr>
        <w:spacing w:line="360" w:lineRule="auto"/>
        <w:ind w:firstLine="476" w:firstLineChars="227"/>
        <w:rPr>
          <w:rFonts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w:t>
      </w:r>
      <w:r>
        <w:rPr>
          <w:rFonts w:hint="eastAsia" w:ascii="宋体" w:hAnsi="宋体" w:eastAsia="宋体" w:cs="宋体"/>
          <w:color w:val="auto"/>
          <w:szCs w:val="21"/>
          <w:highlight w:val="none"/>
          <w:lang w:val="zh-CN"/>
        </w:rPr>
        <w:t>《中华人民共和国增值税法实施条例》（国务院令第</w:t>
      </w:r>
      <w:r>
        <w:rPr>
          <w:rFonts w:hint="eastAsia" w:ascii="宋体" w:hAnsi="宋体" w:eastAsia="宋体" w:cs="宋体"/>
          <w:color w:val="auto"/>
          <w:szCs w:val="21"/>
          <w:highlight w:val="none"/>
          <w:lang w:val="zh-CN" w:eastAsia="zh-CN"/>
        </w:rPr>
        <w:t>826</w:t>
      </w:r>
      <w:r>
        <w:rPr>
          <w:rFonts w:hint="eastAsia" w:ascii="宋体" w:hAnsi="宋体" w:eastAsia="宋体" w:cs="宋体"/>
          <w:color w:val="auto"/>
          <w:szCs w:val="21"/>
          <w:highlight w:val="none"/>
          <w:lang w:val="zh-CN"/>
        </w:rPr>
        <w:t>号）</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元/吨（大写人民币每吨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val="zh-CN"/>
        </w:rPr>
        <w:t>税率调整，依法应调整</w:t>
      </w:r>
      <w:r>
        <w:rPr>
          <w:rFonts w:hint="eastAsia" w:ascii="宋体" w:hAnsi="宋体" w:eastAsia="宋体" w:cs="宋体"/>
          <w:color w:val="auto"/>
          <w:szCs w:val="21"/>
          <w:highlight w:val="none"/>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pPr>
        <w:spacing w:line="360" w:lineRule="auto"/>
        <w:ind w:firstLine="476" w:firstLineChars="227"/>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pPr>
        <w:spacing w:line="360" w:lineRule="auto"/>
        <w:ind w:firstLine="476" w:firstLineChars="227"/>
        <w:rPr>
          <w:rFonts w:ascii="宋体" w:hAnsi="宋体" w:eastAsia="宋体" w:cs="宋体"/>
          <w:color w:val="auto"/>
          <w:szCs w:val="21"/>
          <w:highlight w:val="none"/>
        </w:rPr>
      </w:pPr>
      <w:r>
        <w:rPr>
          <w:rFonts w:hint="eastAsia" w:ascii="宋体" w:hAnsi="宋体" w:eastAsia="宋体" w:cs="宋体"/>
          <w:color w:val="auto"/>
          <w:szCs w:val="21"/>
          <w:highlight w:val="none"/>
        </w:rPr>
        <w:t>3、本合同综合单价价税合计为¥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元/吨（大写人民币每吨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），合同履行期间根据本条第2项规定调整销项税额的，结算合同价税合计对应调整。</w:t>
      </w:r>
    </w:p>
    <w:p>
      <w:pPr>
        <w:spacing w:line="360" w:lineRule="auto"/>
        <w:ind w:left="-210"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4、采购合同下暂定采购数量对应的</w:t>
      </w:r>
      <w:bookmarkStart w:id="579" w:name="OLE_LINK18"/>
      <w:r>
        <w:rPr>
          <w:rFonts w:hint="eastAsia" w:ascii="宋体" w:hAnsi="宋体" w:eastAsia="宋体" w:cs="宋体"/>
          <w:color w:val="auto"/>
          <w:szCs w:val="21"/>
          <w:highlight w:val="none"/>
        </w:rPr>
        <w:t>暂定合同价</w:t>
      </w:r>
      <w:bookmarkEnd w:id="579"/>
      <w:r>
        <w:rPr>
          <w:rFonts w:hint="eastAsia" w:ascii="宋体" w:hAnsi="宋体" w:eastAsia="宋体" w:cs="宋体"/>
          <w:color w:val="auto"/>
          <w:szCs w:val="21"/>
          <w:highlight w:val="none"/>
        </w:rPr>
        <w:t>为</w:t>
      </w:r>
      <w:bookmarkStart w:id="580" w:name="OLE_LINK17"/>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（大写人民币              </w:t>
      </w:r>
      <w:bookmarkEnd w:id="580"/>
      <w:r>
        <w:rPr>
          <w:rFonts w:hint="eastAsia" w:ascii="宋体" w:hAnsi="宋体" w:eastAsia="宋体" w:cs="宋体"/>
          <w:color w:val="auto"/>
          <w:szCs w:val="21"/>
          <w:highlight w:val="none"/>
          <w:u w:val="single"/>
        </w:rPr>
        <w:t>）</w:t>
      </w:r>
      <w:bookmarkStart w:id="581" w:name="OLE_LINK23"/>
      <w:r>
        <w:rPr>
          <w:rFonts w:hint="eastAsia" w:ascii="宋体" w:hAnsi="宋体" w:eastAsia="宋体" w:cs="宋体"/>
          <w:color w:val="auto"/>
          <w:szCs w:val="21"/>
          <w:highlight w:val="none"/>
          <w:u w:val="single"/>
        </w:rPr>
        <w:t>，</w:t>
      </w:r>
      <w:bookmarkStart w:id="582" w:name="OLE_LINK19"/>
      <w:r>
        <w:rPr>
          <w:rFonts w:hint="eastAsia" w:ascii="宋体" w:hAnsi="宋体" w:eastAsia="宋体" w:cs="宋体"/>
          <w:color w:val="auto"/>
          <w:szCs w:val="21"/>
          <w:highlight w:val="none"/>
        </w:rPr>
        <w:t>暂定采购数量对应的暂定合同价税合计为¥</w:t>
      </w:r>
      <w:r>
        <w:rPr>
          <w:rFonts w:hint="eastAsia" w:ascii="宋体" w:hAnsi="宋体" w:eastAsia="宋体" w:cs="宋体"/>
          <w:color w:val="auto"/>
          <w:szCs w:val="21"/>
          <w:highlight w:val="none"/>
          <w:u w:val="single"/>
        </w:rPr>
        <w:t xml:space="preserve">          （大写人民币              ）</w:t>
      </w:r>
      <w:bookmarkEnd w:id="581"/>
      <w:bookmarkEnd w:id="582"/>
      <w:r>
        <w:rPr>
          <w:rFonts w:hint="eastAsia" w:ascii="宋体" w:hAnsi="宋体" w:eastAsia="宋体" w:cs="宋体"/>
          <w:color w:val="auto"/>
          <w:szCs w:val="21"/>
          <w:highlight w:val="none"/>
        </w:rPr>
        <w:t>。</w:t>
      </w:r>
    </w:p>
    <w:p>
      <w:pPr>
        <w:spacing w:line="360" w:lineRule="auto"/>
        <w:ind w:firstLine="476" w:firstLineChars="227"/>
        <w:rPr>
          <w:rFonts w:ascii="宋体" w:hAnsi="宋体" w:eastAsia="宋体" w:cs="宋体"/>
          <w:color w:val="auto"/>
          <w:szCs w:val="21"/>
          <w:highlight w:val="none"/>
        </w:rPr>
      </w:pPr>
      <w:r>
        <w:rPr>
          <w:rFonts w:hint="eastAsia" w:ascii="宋体" w:hAnsi="宋体" w:eastAsia="宋体" w:cs="宋体"/>
          <w:color w:val="auto"/>
          <w:szCs w:val="21"/>
          <w:highlight w:val="none"/>
        </w:rPr>
        <w:t>5、合同履约过程中，在供货期内按综合单价乘以经双方最终验收合格的实际供货数量进行结算。</w:t>
      </w:r>
    </w:p>
    <w:p>
      <w:pPr>
        <w:spacing w:line="360" w:lineRule="auto"/>
        <w:ind w:firstLine="476" w:firstLineChars="227"/>
        <w:rPr>
          <w:rFonts w:ascii="宋体" w:hAnsi="宋体" w:eastAsia="宋体" w:cs="宋体"/>
          <w:color w:val="auto"/>
          <w:szCs w:val="21"/>
          <w:highlight w:val="none"/>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第三条 合同组成</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pPr>
        <w:snapToGrid w:val="0"/>
        <w:spacing w:line="360" w:lineRule="auto"/>
        <w:ind w:firstLine="422" w:firstLineChars="200"/>
        <w:rPr>
          <w:rFonts w:ascii="宋体" w:hAnsi="宋体" w:eastAsia="宋体" w:cs="宋体"/>
          <w:b/>
          <w:color w:val="auto"/>
          <w:szCs w:val="21"/>
          <w:highlight w:val="none"/>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第四条 技术要求及质量要求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详见用户需求书。</w:t>
      </w:r>
    </w:p>
    <w:p>
      <w:pPr>
        <w:snapToGrid w:val="0"/>
        <w:spacing w:line="360" w:lineRule="auto"/>
        <w:ind w:firstLine="422" w:firstLineChars="200"/>
        <w:rPr>
          <w:rFonts w:ascii="宋体" w:hAnsi="宋体" w:eastAsia="宋体" w:cs="宋体"/>
          <w:b/>
          <w:color w:val="auto"/>
          <w:szCs w:val="21"/>
          <w:highlight w:val="none"/>
        </w:rPr>
      </w:pPr>
    </w:p>
    <w:p>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第五条 交货要求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详见用户需求书。</w:t>
      </w:r>
    </w:p>
    <w:p>
      <w:pPr>
        <w:spacing w:line="360" w:lineRule="auto"/>
        <w:ind w:firstLine="420" w:firstLineChars="200"/>
        <w:rPr>
          <w:rFonts w:hint="eastAsia" w:ascii="宋体" w:hAnsi="宋体" w:eastAsia="宋体" w:cs="宋体"/>
          <w:color w:val="auto"/>
          <w:szCs w:val="21"/>
          <w:highlight w:val="none"/>
        </w:rPr>
      </w:pPr>
    </w:p>
    <w:p>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ascii="宋体" w:hAnsi="宋体" w:eastAsia="宋体" w:cs="宋体"/>
          <w:b/>
          <w:color w:val="auto"/>
          <w:szCs w:val="21"/>
          <w:highlight w:val="none"/>
        </w:rPr>
        <w:t>六</w:t>
      </w:r>
      <w:r>
        <w:rPr>
          <w:rFonts w:hint="eastAsia" w:ascii="宋体" w:hAnsi="宋体" w:eastAsia="宋体" w:cs="宋体"/>
          <w:b/>
          <w:color w:val="auto"/>
          <w:szCs w:val="21"/>
          <w:highlight w:val="none"/>
        </w:rPr>
        <w:t>条 储存</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pPr>
        <w:snapToGrid w:val="0"/>
        <w:spacing w:line="360" w:lineRule="auto"/>
        <w:ind w:firstLine="422" w:firstLineChars="200"/>
        <w:rPr>
          <w:rFonts w:ascii="宋体" w:hAnsi="宋体" w:eastAsia="宋体" w:cs="宋体"/>
          <w:b/>
          <w:color w:val="auto"/>
          <w:szCs w:val="21"/>
          <w:highlight w:val="none"/>
        </w:rPr>
      </w:pPr>
    </w:p>
    <w:p>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第七条 资料要求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详见用户需求书。</w:t>
      </w:r>
    </w:p>
    <w:p>
      <w:pPr>
        <w:snapToGrid w:val="0"/>
        <w:spacing w:line="360" w:lineRule="auto"/>
        <w:ind w:firstLine="373" w:firstLineChars="177"/>
        <w:rPr>
          <w:rFonts w:ascii="宋体" w:hAnsi="宋体" w:eastAsia="宋体" w:cs="宋体"/>
          <w:b/>
          <w:color w:val="auto"/>
          <w:szCs w:val="21"/>
          <w:highlight w:val="none"/>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第八条 验收要求</w:t>
      </w:r>
    </w:p>
    <w:p>
      <w:pPr>
        <w:spacing w:line="360" w:lineRule="auto"/>
        <w:ind w:firstLine="420" w:firstLineChars="200"/>
        <w:rPr>
          <w:rFonts w:ascii="宋体" w:hAnsi="宋体" w:eastAsia="宋体" w:cs="宋体"/>
          <w:color w:val="auto"/>
          <w:szCs w:val="22"/>
          <w:highlight w:val="none"/>
        </w:rPr>
      </w:pPr>
      <w:r>
        <w:rPr>
          <w:rFonts w:hint="eastAsia" w:ascii="宋体" w:hAnsi="宋体" w:eastAsia="宋体" w:cs="宋体"/>
          <w:color w:val="auto"/>
          <w:szCs w:val="21"/>
          <w:highlight w:val="none"/>
        </w:rPr>
        <w:t>1、验收分为货到交货地点的初步验收和货物检验合格后的最终验收。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（1）初步验收：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1）货物运抵交货地点，甲方、乙方共同验货。甲方按照本合同及招标文件，对货物的数量、品种、随车产品质量检验报告、供货单据等进行核对。</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核对完成后，甲方、乙方双方对随车产品质量检验报告、供货单据进行签收手续视为完成初步验收，初步验收仅限于双方共同对乙方所供货物数量、品种、随车产品质量检验报告、供货单据等符合合同技术指标要求的书面确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（2）最终验收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1）甲方对每次供货货物检验，检验指标（包括★技术指标）由甲方</w:t>
      </w:r>
      <w:r>
        <w:rPr>
          <w:rFonts w:hint="eastAsia" w:ascii="宋体" w:hAnsi="宋体" w:eastAsia="宋体" w:cs="宋体"/>
          <w:color w:val="auto"/>
          <w:szCs w:val="21"/>
          <w:highlight w:val="none"/>
          <w:lang w:val="en-US" w:eastAsia="zh-CN"/>
        </w:rPr>
        <w:t>根据需要选择</w:t>
      </w:r>
      <w:r>
        <w:rPr>
          <w:rFonts w:hint="eastAsia" w:ascii="宋体" w:hAnsi="宋体" w:eastAsia="宋体" w:cs="宋体"/>
          <w:color w:val="auto"/>
          <w:szCs w:val="21"/>
          <w:highlight w:val="none"/>
        </w:rPr>
        <w:t>，货物按需</w:t>
      </w:r>
      <w:r>
        <w:rPr>
          <w:rFonts w:hint="eastAsia" w:ascii="宋体" w:hAnsi="宋体" w:eastAsia="宋体" w:cs="宋体"/>
          <w:color w:val="auto"/>
          <w:szCs w:val="21"/>
          <w:highlight w:val="none"/>
          <w:lang w:val="en-US" w:eastAsia="zh-CN"/>
        </w:rPr>
        <w:t>求</w:t>
      </w:r>
      <w:r>
        <w:rPr>
          <w:rFonts w:hint="eastAsia" w:ascii="宋体" w:hAnsi="宋体" w:eastAsia="宋体" w:cs="宋体"/>
          <w:color w:val="auto"/>
          <w:szCs w:val="21"/>
          <w:highlight w:val="none"/>
        </w:rPr>
        <w:t>检验指标由甲方根据甲方</w:t>
      </w:r>
      <w:r>
        <w:rPr>
          <w:rFonts w:hint="eastAsia" w:ascii="宋体" w:hAnsi="宋体" w:eastAsia="宋体" w:cs="宋体"/>
          <w:color w:val="auto"/>
          <w:szCs w:val="21"/>
          <w:highlight w:val="none"/>
          <w:lang w:bidi="ar"/>
        </w:rPr>
        <w:t>关于药剂的管理制度及要求适时调整。</w:t>
      </w:r>
      <w:r>
        <w:rPr>
          <w:rFonts w:hint="eastAsia" w:ascii="宋体" w:hAnsi="宋体" w:eastAsia="宋体" w:cs="宋体"/>
          <w:color w:val="auto"/>
          <w:szCs w:val="21"/>
          <w:highlight w:val="none"/>
        </w:rPr>
        <w:t>每次货到现场时应由双方共同取样封存。若乙方无正当理由拒绝或未能</w:t>
      </w:r>
      <w:r>
        <w:rPr>
          <w:rFonts w:hint="eastAsia" w:ascii="宋体" w:hAnsi="宋体" w:eastAsia="宋体" w:cs="宋体"/>
          <w:color w:val="auto"/>
          <w:szCs w:val="21"/>
          <w:highlight w:val="none"/>
          <w:lang w:val="en-US" w:eastAsia="zh-CN"/>
        </w:rPr>
        <w:t>按甲方通知</w:t>
      </w:r>
      <w:r>
        <w:rPr>
          <w:rFonts w:hint="eastAsia" w:ascii="宋体" w:hAnsi="宋体" w:eastAsia="宋体" w:cs="宋体"/>
          <w:color w:val="auto"/>
          <w:szCs w:val="21"/>
          <w:highlight w:val="none"/>
        </w:rPr>
        <w:t>按时派员参与共同取样，则视为乙方授权甲方单独取样，该取样结果及据此进行的检验结果对乙方具有同等约束力。供货货物合格判定以甲方实验室检验结果为准。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若乙方对甲方验收结果有异议，乙方应自甲方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2）供货期间，如有发布最新的行业标准或国家标准，货物检验方法按发布的最新行业标准或国家标准执行。</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2、货物按上述程序验收后，甲方向乙方出具书面的验收报告并由双方</w:t>
      </w:r>
      <w:r>
        <w:rPr>
          <w:rFonts w:hint="eastAsia" w:ascii="宋体" w:hAnsi="宋体" w:eastAsia="宋体" w:cs="宋体"/>
          <w:color w:val="auto"/>
          <w:szCs w:val="21"/>
          <w:highlight w:val="none"/>
          <w:lang w:val="en-US" w:eastAsia="zh-CN"/>
        </w:rPr>
        <w:t>书面</w:t>
      </w:r>
      <w:r>
        <w:rPr>
          <w:rFonts w:hint="eastAsia" w:ascii="宋体" w:hAnsi="宋体" w:eastAsia="宋体" w:cs="宋体"/>
          <w:color w:val="auto"/>
          <w:szCs w:val="21"/>
          <w:highlight w:val="none"/>
        </w:rPr>
        <w:t>确认</w:t>
      </w:r>
      <w:r>
        <w:rPr>
          <w:rFonts w:hint="eastAsia" w:ascii="宋体" w:hAnsi="宋体" w:eastAsia="宋体" w:cs="宋体"/>
          <w:color w:val="auto"/>
          <w:szCs w:val="21"/>
          <w:highlight w:val="none"/>
          <w:lang w:val="en-US" w:eastAsia="zh-CN"/>
        </w:rPr>
        <w:t>验收结果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乙方需对验收报告加盖公章或业务章</w:t>
      </w:r>
      <w:r>
        <w:rPr>
          <w:rFonts w:ascii="宋体" w:hAnsi="宋体" w:eastAsia="宋体" w:cs="宋体"/>
          <w:color w:val="auto"/>
          <w:szCs w:val="21"/>
          <w:highlight w:val="none"/>
        </w:rPr>
        <w:t>确认</w:t>
      </w:r>
      <w:r>
        <w:rPr>
          <w:rFonts w:hint="eastAsia" w:ascii="宋体" w:hAnsi="宋体" w:eastAsia="宋体" w:cs="宋体"/>
          <w:color w:val="auto"/>
          <w:szCs w:val="21"/>
          <w:highlight w:val="none"/>
        </w:rPr>
        <w:t>，验收报告（模板）见用户需求书附件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。验收报告作为对货物供货数量及主要技术指标验收的证明，不代表对货物使用效果的认可。</w:t>
      </w:r>
    </w:p>
    <w:p>
      <w:pPr>
        <w:spacing w:line="360" w:lineRule="auto"/>
        <w:ind w:firstLine="420" w:firstLineChars="200"/>
        <w:rPr>
          <w:rFonts w:ascii="宋体" w:hAnsi="宋体" w:eastAsia="宋体" w:cs="宋体"/>
          <w:color w:val="auto"/>
          <w:szCs w:val="22"/>
          <w:highlight w:val="none"/>
        </w:rPr>
      </w:pPr>
      <w:r>
        <w:rPr>
          <w:rFonts w:hint="eastAsia" w:ascii="宋体" w:hAnsi="宋体" w:eastAsia="宋体" w:cs="宋体"/>
          <w:color w:val="auto"/>
          <w:szCs w:val="21"/>
          <w:highlight w:val="none"/>
        </w:rPr>
        <w:t>3、甲方根据本条规定对货物所做出的验收，仅作为起算付款之用，不能免除乙方的质量责任，也不能排除其后因产品实际情况与要求不符而导致的甲方退货。</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货物在经最终验收合格前，其损耗、毁损、灭失等风险及责任由乙方承担，如因发生前述情形，导致乙方所提供的货物不能通过甲方验收的，乙方应按甲方要求无条件予以退换货，给甲方造成损失的乙方须承担全部的赔偿责任。</w:t>
      </w:r>
    </w:p>
    <w:p>
      <w:pPr>
        <w:snapToGrid w:val="0"/>
        <w:spacing w:line="360" w:lineRule="auto"/>
        <w:rPr>
          <w:rFonts w:ascii="宋体" w:hAnsi="宋体" w:eastAsia="宋体" w:cs="宋体"/>
          <w:color w:val="auto"/>
          <w:szCs w:val="21"/>
          <w:highlight w:val="none"/>
        </w:rPr>
      </w:pPr>
    </w:p>
    <w:p>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ascii="宋体" w:hAnsi="宋体" w:eastAsia="宋体" w:cs="宋体"/>
          <w:b/>
          <w:color w:val="auto"/>
          <w:szCs w:val="21"/>
          <w:highlight w:val="none"/>
        </w:rPr>
        <w:t>九</w:t>
      </w:r>
      <w:r>
        <w:rPr>
          <w:rFonts w:hint="eastAsia" w:ascii="宋体" w:hAnsi="宋体" w:eastAsia="宋体" w:cs="宋体"/>
          <w:b/>
          <w:color w:val="auto"/>
          <w:szCs w:val="21"/>
          <w:highlight w:val="none"/>
        </w:rPr>
        <w:t>条 权利保证</w:t>
      </w:r>
    </w:p>
    <w:p>
      <w:pPr>
        <w:snapToGrid w:val="0"/>
        <w:spacing w:line="360" w:lineRule="auto"/>
        <w:ind w:firstLine="371" w:firstLineChars="177"/>
        <w:rPr>
          <w:rFonts w:ascii="宋体" w:hAnsi="宋体" w:eastAsia="宋体" w:cs="宋体"/>
          <w:b/>
          <w:color w:val="auto"/>
          <w:szCs w:val="21"/>
          <w:highlight w:val="none"/>
        </w:rPr>
      </w:pPr>
      <w:r>
        <w:rPr>
          <w:rFonts w:hint="eastAsia" w:ascii="宋体" w:hAnsi="宋体" w:eastAsia="宋体" w:cs="宋体"/>
          <w:color w:val="auto"/>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pPr>
        <w:snapToGrid w:val="0"/>
        <w:spacing w:line="360" w:lineRule="auto"/>
        <w:ind w:firstLine="373" w:firstLineChars="177"/>
        <w:rPr>
          <w:rFonts w:ascii="宋体" w:hAnsi="宋体" w:eastAsia="宋体" w:cs="宋体"/>
          <w:b/>
          <w:color w:val="auto"/>
          <w:szCs w:val="21"/>
          <w:highlight w:val="none"/>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ascii="宋体" w:hAnsi="宋体" w:eastAsia="宋体" w:cs="宋体"/>
          <w:b/>
          <w:color w:val="auto"/>
          <w:szCs w:val="21"/>
          <w:highlight w:val="none"/>
        </w:rPr>
        <w:t>十</w:t>
      </w:r>
      <w:r>
        <w:rPr>
          <w:rFonts w:hint="eastAsia" w:ascii="宋体" w:hAnsi="宋体" w:eastAsia="宋体" w:cs="宋体"/>
          <w:b/>
          <w:color w:val="auto"/>
          <w:szCs w:val="21"/>
          <w:highlight w:val="none"/>
        </w:rPr>
        <w:t>条 售后服务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、乙方应具有相应的技术人员，具备供货及售前售后的服务能力。</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、乙方在接到质量问题通知后</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小时内自费派工程师到达现场对问题进行处理。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、乙方应根据甲方需要免费提供培训，相关费用已计入综合单价，甲方无需另行支付任何费用。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、培训地点、规模及时间由甲方指定，根据培训内容复杂程度，甲方有权要求乙方提供完整的书面培训计划和方案，列明提供培训的技术人员名单及资质，以及培训完成后甲方人员可达到的水平等。</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在交货或合同履行过程中，若因所交货物（包括但不限于品种、型号、规格、质量）不符合甲方要求、或货物使用过程中出现质量问题，导致乙方提供的生产药剂如不能通过甲方验收的，甲方可拒绝收货或要求乙方承担退换货责任。原则上乙方应该在不影响甲方正常生产的情况下，自甲方通知之时起</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小时内无条件予以退换货，甲方不承担因验收造成的货物损耗及运输等一切费用且不对货物承担保管责任，因此产生的费用及风险由乙方承担。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、自甲方通知货物检验不合格或货物使用过程中出现质量问题而要求乙方按照前述条款进行退换货</w:t>
      </w:r>
      <w:r>
        <w:rPr>
          <w:rFonts w:hint="eastAsia" w:ascii="宋体" w:hAnsi="宋体" w:eastAsia="宋体" w:cs="宋体"/>
          <w:color w:val="auto"/>
          <w:szCs w:val="21"/>
          <w:highlight w:val="none"/>
          <w:lang w:val="en-US" w:eastAsia="zh-CN"/>
        </w:rPr>
        <w:t>后24</w:t>
      </w:r>
      <w:r>
        <w:rPr>
          <w:rFonts w:hint="eastAsia" w:ascii="宋体" w:hAnsi="宋体" w:eastAsia="宋体" w:cs="宋体"/>
          <w:color w:val="auto"/>
          <w:szCs w:val="21"/>
          <w:highlight w:val="none"/>
        </w:rPr>
        <w:t>小时内乙方未将不合格货物运离甲方仓库，甲方可自行或委托第三方对不合格货物进行处置，乙方须承担甲方处置该次不合格货物所需的全部费用，以及给甲方造成的一切损失。</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、自甲方通知乙方货物检验不合格或货物使用过程中出现质量问题之时起，甲方有权要求乙方按照加急供货的规定，将等量的合格货物送交甲方</w:t>
      </w:r>
      <w:r>
        <w:rPr>
          <w:rFonts w:hint="eastAsia" w:ascii="宋体" w:hAnsi="宋体" w:eastAsia="宋体" w:cs="宋体"/>
          <w:color w:val="auto"/>
          <w:szCs w:val="21"/>
          <w:highlight w:val="none"/>
          <w:lang w:val="en-US" w:eastAsia="zh-CN"/>
        </w:rPr>
        <w:t>指定位置</w:t>
      </w:r>
      <w:r>
        <w:rPr>
          <w:rFonts w:hint="eastAsia" w:ascii="宋体" w:hAnsi="宋体" w:eastAsia="宋体" w:cs="宋体"/>
          <w:color w:val="auto"/>
          <w:szCs w:val="21"/>
          <w:highlight w:val="none"/>
        </w:rPr>
        <w:t>，否则按加急供货的违约规定进行处理。</w:t>
      </w:r>
    </w:p>
    <w:p>
      <w:pPr>
        <w:snapToGrid w:val="0"/>
        <w:spacing w:line="360" w:lineRule="auto"/>
        <w:ind w:firstLine="371" w:firstLineChars="177"/>
        <w:rPr>
          <w:rFonts w:ascii="宋体" w:hAnsi="宋体" w:eastAsia="宋体" w:cs="宋体"/>
          <w:color w:val="auto"/>
          <w:szCs w:val="22"/>
          <w:highlight w:val="none"/>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ascii="宋体" w:hAnsi="宋体" w:eastAsia="宋体" w:cs="宋体"/>
          <w:b/>
          <w:color w:val="auto"/>
          <w:szCs w:val="21"/>
          <w:highlight w:val="none"/>
        </w:rPr>
        <w:t>十一</w:t>
      </w:r>
      <w:r>
        <w:rPr>
          <w:rFonts w:hint="eastAsia" w:ascii="宋体" w:hAnsi="宋体" w:eastAsia="宋体" w:cs="宋体"/>
          <w:b/>
          <w:color w:val="auto"/>
          <w:szCs w:val="21"/>
          <w:highlight w:val="none"/>
        </w:rPr>
        <w:t>条 履约担保</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1、乙方应当根据招标文件的规定在签订本合同前向甲方提供履约担保，履约担保形式及金额由乙方从以下方式中任选一种：</w:t>
      </w:r>
    </w:p>
    <w:p>
      <w:pPr>
        <w:snapToGrid w:val="0"/>
        <w:spacing w:line="360" w:lineRule="auto"/>
        <w:ind w:firstLine="371" w:firstLineChars="177"/>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履约保证金（银行转账形式）金额为¥     元（大写人民币         ）</w:t>
      </w:r>
      <w:r>
        <w:rPr>
          <w:rFonts w:hint="eastAsia" w:ascii="宋体" w:hAnsi="宋体" w:eastAsia="宋体" w:cs="宋体"/>
          <w:color w:val="auto"/>
          <w:szCs w:val="21"/>
          <w:highlight w:val="none"/>
        </w:rPr>
        <w:t>；</w:t>
      </w:r>
    </w:p>
    <w:p>
      <w:pPr>
        <w:snapToGrid w:val="0"/>
        <w:spacing w:line="360" w:lineRule="auto"/>
        <w:ind w:firstLine="371" w:firstLineChars="177"/>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不可撤销银行履约保函金额为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元（</w:t>
      </w:r>
      <w:r>
        <w:rPr>
          <w:rFonts w:hint="eastAsia" w:ascii="宋体" w:hAnsi="宋体" w:eastAsia="宋体" w:cs="宋体"/>
          <w:color w:val="auto"/>
          <w:szCs w:val="21"/>
          <w:highlight w:val="none"/>
          <w:u w:val="single"/>
          <w:lang w:val="zh-CN"/>
        </w:rPr>
        <w:t>大写人民币         ）</w:t>
      </w:r>
      <w:r>
        <w:rPr>
          <w:rFonts w:hint="eastAsia" w:ascii="宋体" w:hAnsi="宋体" w:eastAsia="宋体" w:cs="宋体"/>
          <w:color w:val="auto"/>
          <w:szCs w:val="21"/>
          <w:highlight w:val="none"/>
          <w:lang w:val="zh-CN"/>
        </w:rPr>
        <w:t>；</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     元（大写人民币     ）</w:t>
      </w:r>
      <w:r>
        <w:rPr>
          <w:rFonts w:hint="eastAsia" w:ascii="宋体" w:hAnsi="宋体" w:eastAsia="宋体" w:cs="宋体"/>
          <w:color w:val="auto"/>
          <w:szCs w:val="21"/>
          <w:highlight w:val="none"/>
        </w:rPr>
        <w:t>；</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担保公司履约担保书金额为¥     元（大写人民币         ）</w:t>
      </w:r>
      <w:r>
        <w:rPr>
          <w:rFonts w:hint="eastAsia" w:ascii="宋体" w:hAnsi="宋体" w:eastAsia="宋体" w:cs="宋体"/>
          <w:color w:val="auto"/>
          <w:szCs w:val="21"/>
          <w:highlight w:val="none"/>
        </w:rPr>
        <w:t>。</w:t>
      </w:r>
    </w:p>
    <w:p>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合同履行过程中，乙方给甲方造成的损失超过履约担保数额的，乙方还应当对超过部分予以赔偿，甲方并依法追究乙方的相应责任。</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2、履约担保用于补偿甲方因乙方不能完全履行其合同义务而蒙受的损失或其他合同约定的事项，如发生下列任一情况时，甲方有权依合同追究乙方违约责任外，同时有权提取履约担保并进行相应处理：</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（2）在合同履行期间，乙方违约产生的违约金、赔偿、罚款或其他应付费用等款项，甲方有权直接从未付货款中扣除或启用履约担保予以支付。</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（3）合同期内，乙方不能及时完成合同某项义务的，甲方有权使用履约担保用于处理该项工作。</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（4）其他根据本合同约定或法律规定，甲方可启用履约担保的情形。</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pPr>
        <w:spacing w:line="360" w:lineRule="auto"/>
        <w:ind w:left="-210" w:firstLine="422" w:firstLineChars="200"/>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lang w:val="zh-CN"/>
        </w:rPr>
        <w:t>采用履约保证金（银行转账形式）的，</w:t>
      </w:r>
      <w:r>
        <w:rPr>
          <w:rFonts w:hint="eastAsia" w:ascii="宋体" w:hAnsi="宋体" w:eastAsia="宋体" w:cs="宋体"/>
          <w:b/>
          <w:bCs/>
          <w:color w:val="auto"/>
          <w:szCs w:val="21"/>
          <w:highlight w:val="none"/>
          <w:u w:val="single"/>
        </w:rPr>
        <w:t>存入以下指定银行账户：</w:t>
      </w:r>
    </w:p>
    <w:p>
      <w:pPr>
        <w:spacing w:line="360" w:lineRule="auto"/>
        <w:ind w:left="-210" w:firstLine="422" w:firstLineChars="200"/>
        <w:rPr>
          <w:rFonts w:ascii="宋体" w:hAnsi="宋体" w:eastAsia="宋体" w:cs="宋体"/>
          <w:b/>
          <w:bCs/>
          <w:color w:val="auto"/>
          <w:szCs w:val="21"/>
          <w:highlight w:val="none"/>
          <w:u w:val="single"/>
          <w:lang w:val="zh-CN"/>
        </w:rPr>
      </w:pPr>
      <w:r>
        <w:rPr>
          <w:rFonts w:hint="eastAsia" w:ascii="宋体" w:hAnsi="宋体" w:eastAsia="宋体" w:cs="宋体"/>
          <w:b/>
          <w:bCs/>
          <w:color w:val="auto"/>
          <w:szCs w:val="21"/>
          <w:highlight w:val="none"/>
          <w:u w:val="single"/>
          <w:lang w:val="zh-CN"/>
        </w:rPr>
        <w:t>开户名称：东莞市尚源环能科技有限公司</w:t>
      </w:r>
    </w:p>
    <w:p>
      <w:pPr>
        <w:spacing w:line="360" w:lineRule="auto"/>
        <w:ind w:left="-210" w:firstLine="422" w:firstLineChars="200"/>
        <w:rPr>
          <w:rFonts w:ascii="宋体" w:hAnsi="宋体" w:eastAsia="宋体" w:cs="宋体"/>
          <w:b/>
          <w:bCs/>
          <w:color w:val="auto"/>
          <w:szCs w:val="21"/>
          <w:highlight w:val="none"/>
          <w:u w:val="single"/>
          <w:lang w:val="zh-CN"/>
        </w:rPr>
      </w:pPr>
      <w:r>
        <w:rPr>
          <w:rFonts w:hint="eastAsia" w:ascii="宋体" w:hAnsi="宋体" w:eastAsia="宋体" w:cs="宋体"/>
          <w:b/>
          <w:bCs/>
          <w:color w:val="auto"/>
          <w:szCs w:val="21"/>
          <w:highlight w:val="none"/>
          <w:u w:val="single"/>
          <w:lang w:val="zh-CN"/>
        </w:rPr>
        <w:t>银行账号：2010021309200624846</w:t>
      </w:r>
    </w:p>
    <w:p>
      <w:pPr>
        <w:snapToGrid w:val="0"/>
        <w:spacing w:line="360" w:lineRule="auto"/>
        <w:ind w:firstLine="211" w:firstLineChars="100"/>
        <w:rPr>
          <w:rFonts w:ascii="宋体" w:hAnsi="宋体" w:eastAsia="宋体" w:cs="宋体"/>
          <w:b/>
          <w:bCs/>
          <w:color w:val="auto"/>
          <w:szCs w:val="21"/>
          <w:highlight w:val="none"/>
          <w:u w:val="single"/>
          <w:lang w:val="zh-CN"/>
        </w:rPr>
      </w:pPr>
      <w:r>
        <w:rPr>
          <w:rFonts w:hint="eastAsia" w:ascii="宋体" w:hAnsi="宋体" w:eastAsia="宋体" w:cs="宋体"/>
          <w:b/>
          <w:bCs/>
          <w:color w:val="auto"/>
          <w:szCs w:val="21"/>
          <w:highlight w:val="none"/>
          <w:u w:val="single"/>
          <w:lang w:val="zh-CN"/>
        </w:rPr>
        <w:t>开户银行：中国工商银行股份有限公司东莞分行</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4、如乙方提供不可撤销银行履约保函（或履约保证保险或担保公司履约担保书）作为履约担保的，</w:t>
      </w:r>
      <w:r>
        <w:rPr>
          <w:rFonts w:hint="eastAsia" w:ascii="宋体" w:hAnsi="宋体" w:eastAsia="宋体" w:cs="宋体"/>
          <w:b/>
          <w:bCs/>
          <w:color w:val="auto"/>
          <w:szCs w:val="21"/>
          <w:highlight w:val="none"/>
        </w:rPr>
        <w:t>其受益人应为</w:t>
      </w:r>
      <w:r>
        <w:rPr>
          <w:rFonts w:hint="eastAsia" w:ascii="宋体" w:hAnsi="宋体" w:eastAsia="宋体" w:cs="宋体"/>
          <w:b/>
          <w:bCs/>
          <w:color w:val="auto"/>
          <w:szCs w:val="21"/>
          <w:highlight w:val="none"/>
          <w:lang w:eastAsia="zh-CN"/>
        </w:rPr>
        <w:t>东莞市尚源环能科技有限公司</w:t>
      </w:r>
      <w:r>
        <w:rPr>
          <w:rFonts w:hint="eastAsia" w:ascii="宋体" w:hAnsi="宋体" w:eastAsia="宋体" w:cs="宋体"/>
          <w:color w:val="auto"/>
          <w:szCs w:val="21"/>
          <w:highlight w:val="none"/>
        </w:rPr>
        <w:t>，且不可撤销银行履约保函（或履约保证保险或担保公司履约担保书）应从合同签订之日起</w:t>
      </w:r>
      <w:r>
        <w:rPr>
          <w:rFonts w:hint="eastAsia" w:ascii="宋体" w:hAnsi="宋体" w:eastAsia="宋体" w:cs="宋体"/>
          <w:bCs/>
          <w:color w:val="auto"/>
          <w:szCs w:val="21"/>
          <w:highlight w:val="none"/>
        </w:rPr>
        <w:t>（或签订合同前）</w:t>
      </w:r>
      <w:r>
        <w:rPr>
          <w:rFonts w:hint="eastAsia" w:ascii="宋体" w:hAnsi="宋体" w:eastAsia="宋体" w:cs="宋体"/>
          <w:color w:val="auto"/>
          <w:szCs w:val="21"/>
          <w:highlight w:val="none"/>
        </w:rPr>
        <w:t>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乙方应向甲方支付【25,000.00】元违约金，违约金可直接从未付货款中扣除。在乙方重新提供前，甲方无需向乙方支付合同款项，且不视为甲方违约。</w:t>
      </w:r>
    </w:p>
    <w:p>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合同履行过程中，不论何种原因导致履约担保数额不符合招标文件要求的，乙方应当在5日内予以补足。逾期不予补足的，甲方有权按需补足的金额要求乙方承担违约金，并要求乙方限期补足，在乙方补足前，甲方无需向乙方支付合同款项，且不视为甲方违约。</w:t>
      </w:r>
    </w:p>
    <w:p>
      <w:pPr>
        <w:snapToGrid w:val="0"/>
        <w:spacing w:line="360" w:lineRule="auto"/>
        <w:ind w:firstLine="371" w:firstLineChars="177"/>
        <w:rPr>
          <w:rFonts w:hint="eastAsia" w:ascii="宋体" w:hAnsi="宋体" w:eastAsia="宋体" w:cs="宋体"/>
          <w:color w:val="auto"/>
          <w:szCs w:val="21"/>
          <w:highlight w:val="none"/>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第十二条 付款方式</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双方一致同意，乙方按规定提供了履约担保后，甲方通过以下方式以人民币支付合同款项给乙方：</w:t>
      </w:r>
    </w:p>
    <w:p>
      <w:pPr>
        <w:widowControl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合同的履约过程中，乙方根据本项目合同书约定需向甲方支付违约金、赔偿金、或其他按法律规定及本合同约定应付费用等款项的，乙方应在收到甲方通知书之日起【20】日内支付，若乙方对该通知书内容存在异议的，应在收到通知之日起【10】日内向甲方书面提出异议并提供相关证明材料。若乙方逾期未提出异议或提出的异议证据不充分的，视为乙方无异议或异议不成立，乙方必须向甲方支付完相关款项后，甲方才根据本合同约定向乙方支付合同价和对应税额，且不视为甲方违约，若乙方未按通知书的要求支付前述款项的，甲方有权按本合同第十一条第2点第（2）款的约定履行，同时，乙方必须按照扣除前述费用前的合同价（销售额）开具增值税专用发票，保证增值税税额符合法律规定。</w:t>
      </w:r>
    </w:p>
    <w:p>
      <w:pPr>
        <w:widowControl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2、货物供货的款项甲方按月结算。甲方收到货物并最终验收合格后，每月中旬办理支付上月经最终验收合格的实际供货量的款项。</w:t>
      </w:r>
    </w:p>
    <w:p>
      <w:pPr>
        <w:widowControl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3、乙方向甲方提交请款报告和请款金额等额的合法、有效的增值税专用发票，甲方在收到前述材料并确认无误后30个工作日内支付结算上月实际供货量的结算货款和该货款对应的税额给乙方。</w:t>
      </w:r>
    </w:p>
    <w:p>
      <w:pPr>
        <w:widowControl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等线"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w:t>
      </w:r>
      <w:r>
        <w:rPr>
          <w:rFonts w:hint="eastAsia" w:ascii="等线" w:hAnsi="宋体" w:eastAsia="宋体" w:cs="宋体"/>
          <w:color w:val="auto"/>
          <w:kern w:val="2"/>
          <w:sz w:val="21"/>
          <w:szCs w:val="21"/>
          <w:highlight w:val="none"/>
          <w:lang w:val="en-US" w:eastAsia="zh-CN" w:bidi="ar-SA"/>
        </w:rPr>
        <w:t>甲方</w:t>
      </w:r>
      <w:r>
        <w:rPr>
          <w:rFonts w:hint="eastAsia" w:ascii="宋体" w:hAnsi="宋体" w:eastAsia="宋体" w:cs="宋体"/>
          <w:color w:val="auto"/>
          <w:kern w:val="2"/>
          <w:sz w:val="21"/>
          <w:szCs w:val="21"/>
          <w:highlight w:val="none"/>
          <w:lang w:val="en-US" w:eastAsia="zh-CN" w:bidi="ar-SA"/>
        </w:rPr>
        <w:t>通过银行转账或</w:t>
      </w:r>
      <w:bookmarkStart w:id="583" w:name="OLE_LINK7"/>
      <w:r>
        <w:rPr>
          <w:rFonts w:hint="eastAsia" w:ascii="宋体" w:hAnsi="宋体" w:eastAsia="宋体" w:cs="宋体"/>
          <w:color w:val="auto"/>
          <w:kern w:val="2"/>
          <w:sz w:val="21"/>
          <w:szCs w:val="21"/>
          <w:highlight w:val="none"/>
          <w:lang w:val="en-US" w:eastAsia="zh-CN" w:bidi="ar-SA"/>
        </w:rPr>
        <w:t>银行承兑汇票</w:t>
      </w:r>
      <w:bookmarkEnd w:id="583"/>
      <w:r>
        <w:rPr>
          <w:rFonts w:hint="eastAsia" w:ascii="宋体" w:hAnsi="宋体" w:eastAsia="宋体" w:cs="宋体"/>
          <w:color w:val="auto"/>
          <w:kern w:val="2"/>
          <w:sz w:val="21"/>
          <w:szCs w:val="21"/>
          <w:highlight w:val="none"/>
          <w:lang w:val="en-US" w:eastAsia="zh-CN" w:bidi="ar-SA"/>
        </w:rPr>
        <w:t>方式支付相应款项至</w:t>
      </w:r>
      <w:r>
        <w:rPr>
          <w:rFonts w:hint="eastAsia" w:ascii="等线" w:hAnsi="宋体" w:eastAsia="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银行账户中，汇票期限不超过三个月，每期款项支付方式由甲方决定。</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5、乙方迟延提供发票</w:t>
      </w:r>
      <w:r>
        <w:rPr>
          <w:rFonts w:hint="eastAsia" w:ascii="宋体" w:hAnsi="宋体" w:eastAsia="宋体" w:cs="宋体"/>
          <w:color w:val="auto"/>
          <w:szCs w:val="21"/>
          <w:highlight w:val="none"/>
          <w:lang w:val="en-US" w:eastAsia="zh-CN"/>
        </w:rPr>
        <w:t>及请款报告</w:t>
      </w:r>
      <w:r>
        <w:rPr>
          <w:rFonts w:hint="eastAsia" w:ascii="宋体" w:hAnsi="宋体" w:eastAsia="宋体" w:cs="宋体"/>
          <w:color w:val="auto"/>
          <w:szCs w:val="21"/>
          <w:highlight w:val="none"/>
        </w:rPr>
        <w:t>或提供的请款报告、发票不符合要求的，甲方的付款时间可相应顺延，且甲方不因此承担任何责任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乙方不得以此为由拒绝或迟延履行合同义务</w:t>
      </w:r>
      <w:r>
        <w:rPr>
          <w:rFonts w:hint="eastAsia" w:ascii="宋体" w:hAnsi="宋体" w:eastAsia="宋体" w:cs="宋体"/>
          <w:color w:val="auto"/>
          <w:szCs w:val="21"/>
          <w:highlight w:val="none"/>
        </w:rPr>
        <w:t>。因支付产生的相关银行手续费用，根据有关银行规定执行。由于乙方提供的发票不符合税法规定，给甲方造成的损失由乙方承担全部的赔偿责任。</w:t>
      </w:r>
    </w:p>
    <w:p>
      <w:pPr>
        <w:snapToGrid w:val="0"/>
        <w:spacing w:line="360" w:lineRule="auto"/>
        <w:ind w:firstLine="371" w:firstLineChars="177"/>
        <w:rPr>
          <w:rFonts w:ascii="宋体" w:hAnsi="宋体" w:eastAsia="宋体" w:cs="宋体"/>
          <w:color w:val="auto"/>
          <w:szCs w:val="22"/>
          <w:highlight w:val="none"/>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第十三条 不可抗力</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pPr>
        <w:snapToGrid w:val="0"/>
        <w:spacing w:line="360" w:lineRule="auto"/>
        <w:ind w:firstLine="371" w:firstLineChars="177"/>
        <w:rPr>
          <w:rFonts w:ascii="宋体" w:hAnsi="宋体" w:eastAsia="宋体" w:cs="宋体"/>
          <w:color w:val="auto"/>
          <w:szCs w:val="21"/>
          <w:highlight w:val="none"/>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ascii="宋体" w:hAnsi="宋体" w:eastAsia="宋体" w:cs="宋体"/>
          <w:b/>
          <w:color w:val="auto"/>
          <w:szCs w:val="21"/>
          <w:highlight w:val="none"/>
        </w:rPr>
        <w:t>四</w:t>
      </w:r>
      <w:r>
        <w:rPr>
          <w:rFonts w:hint="eastAsia" w:ascii="宋体" w:hAnsi="宋体" w:eastAsia="宋体" w:cs="宋体"/>
          <w:b/>
          <w:color w:val="auto"/>
          <w:szCs w:val="21"/>
          <w:highlight w:val="none"/>
        </w:rPr>
        <w:t>条 索赔</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2、如果乙方对甲方提出的异议及索赔负有责任，乙方应按照甲方同意的下列一种或多种方式解决索赔事宜：</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（2）根据甲方要求予以退回相应合同货物，并返还甲方已支付的相应货款（含合同价及对应税额）。如造成甲方其他损失的，由乙方承担赔偿责任。</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（3）甲方可根据货物低劣程度、损坏程度以及甲方所遭受损失的数额，要求乙方承担赔偿责任。</w:t>
      </w:r>
    </w:p>
    <w:p>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3、如果在甲方发出索赔通知后7日内，乙方未作答复或未配合现场确认的，视为乙方确认相关违约事实及认可甲方索赔要求。</w:t>
      </w:r>
    </w:p>
    <w:p>
      <w:pPr>
        <w:snapToGrid w:val="0"/>
        <w:spacing w:line="360" w:lineRule="auto"/>
        <w:ind w:firstLine="371" w:firstLineChars="17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乙方未按甲方要求供货的（包括但不限于乙方迟延供货、供货不合格、需更换货物等情形），甲方因项目运营需要有权直接向第三方购买相应货物，由此导致的差价损失由乙方承担；若因乙方原因导致其供货资格被取消或合同解除的，在本合同原定的供货期内，甲方向第三方购买同类货物的差价损失由乙方承担。</w:t>
      </w:r>
    </w:p>
    <w:p>
      <w:pPr>
        <w:snapToGrid w:val="0"/>
        <w:spacing w:line="360" w:lineRule="auto"/>
        <w:ind w:firstLine="373" w:firstLineChars="177"/>
        <w:rPr>
          <w:rFonts w:ascii="宋体" w:hAnsi="宋体" w:eastAsia="宋体" w:cs="宋体"/>
          <w:b/>
          <w:color w:val="auto"/>
          <w:szCs w:val="21"/>
          <w:highlight w:val="none"/>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ascii="宋体" w:hAnsi="宋体" w:eastAsia="宋体" w:cs="宋体"/>
          <w:b/>
          <w:color w:val="auto"/>
          <w:szCs w:val="21"/>
          <w:highlight w:val="none"/>
        </w:rPr>
        <w:t>五</w:t>
      </w:r>
      <w:r>
        <w:rPr>
          <w:rFonts w:hint="eastAsia" w:ascii="宋体" w:hAnsi="宋体" w:eastAsia="宋体" w:cs="宋体"/>
          <w:b/>
          <w:color w:val="auto"/>
          <w:szCs w:val="21"/>
          <w:highlight w:val="none"/>
        </w:rPr>
        <w:t>条 违约责任</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1、日常供货（非加急供货）时，乙方</w:t>
      </w:r>
      <w:r>
        <w:rPr>
          <w:rFonts w:hint="eastAsia" w:ascii="宋体" w:hAnsi="宋体" w:eastAsia="宋体" w:cs="宋体"/>
          <w:color w:val="auto"/>
          <w:szCs w:val="21"/>
          <w:highlight w:val="none"/>
          <w:lang w:bidi="ar"/>
        </w:rPr>
        <w:t>未在约定的时间内完成交货，或未在规定的时间内承担相应的更换、退货责任的</w:t>
      </w:r>
      <w:r>
        <w:rPr>
          <w:rFonts w:hint="eastAsia" w:ascii="宋体" w:hAnsi="宋体" w:eastAsia="宋体" w:cs="宋体"/>
          <w:color w:val="auto"/>
          <w:szCs w:val="21"/>
          <w:highlight w:val="none"/>
        </w:rPr>
        <w:t>，每逾期2小时，甲方有权要求乙方按该次货物</w:t>
      </w:r>
      <w:r>
        <w:rPr>
          <w:rFonts w:hint="eastAsia" w:ascii="宋体" w:hAnsi="宋体" w:eastAsia="宋体" w:cs="宋体"/>
          <w:color w:val="auto"/>
          <w:szCs w:val="21"/>
          <w:highlight w:val="none"/>
          <w:lang w:bidi="ar"/>
        </w:rPr>
        <w:t>含税</w:t>
      </w:r>
      <w:r>
        <w:rPr>
          <w:rFonts w:hint="eastAsia" w:ascii="宋体" w:hAnsi="宋体" w:eastAsia="宋体" w:cs="宋体"/>
          <w:color w:val="auto"/>
          <w:szCs w:val="21"/>
          <w:highlight w:val="none"/>
        </w:rPr>
        <w:t>结算货款的1%向甲方支付违约金。乙方逾期超过12小时的，甲方有权要求乙方额外按该次货物</w:t>
      </w:r>
      <w:r>
        <w:rPr>
          <w:rFonts w:hint="eastAsia" w:ascii="宋体" w:hAnsi="宋体" w:eastAsia="宋体" w:cs="宋体"/>
          <w:color w:val="auto"/>
          <w:szCs w:val="21"/>
          <w:highlight w:val="none"/>
          <w:lang w:bidi="ar"/>
        </w:rPr>
        <w:t>含税</w:t>
      </w:r>
      <w:r>
        <w:rPr>
          <w:rFonts w:hint="eastAsia" w:ascii="宋体" w:hAnsi="宋体" w:eastAsia="宋体" w:cs="宋体"/>
          <w:color w:val="auto"/>
          <w:szCs w:val="21"/>
          <w:highlight w:val="none"/>
        </w:rPr>
        <w:t>结算货款的5%向甲方支付违约金。以上违约金总额不超过暂定合同价的【0.1】%，违约金不足以弥补甲方损失的，乙方还需足额赔偿。</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2、加急供货时，乙方未在约定的时间内完成交货的，或未在规定的时间内承担相应的更换、退货责任的，每逾期1小时，甲方有权要求乙方按该次货物</w:t>
      </w:r>
      <w:r>
        <w:rPr>
          <w:rFonts w:hint="eastAsia" w:ascii="宋体" w:hAnsi="宋体" w:eastAsia="宋体" w:cs="宋体"/>
          <w:color w:val="auto"/>
          <w:szCs w:val="21"/>
          <w:highlight w:val="none"/>
          <w:lang w:bidi="ar"/>
        </w:rPr>
        <w:t>含税</w:t>
      </w:r>
      <w:r>
        <w:rPr>
          <w:rFonts w:hint="eastAsia" w:ascii="宋体" w:hAnsi="宋体" w:eastAsia="宋体" w:cs="宋体"/>
          <w:color w:val="auto"/>
          <w:szCs w:val="21"/>
          <w:highlight w:val="none"/>
        </w:rPr>
        <w:t>结算货款的10%向甲方支付违约金，乙方逾期超过4小时的，甲方有权单方解除合同，并要求乙方额外按该次货物</w:t>
      </w:r>
      <w:r>
        <w:rPr>
          <w:rFonts w:hint="eastAsia" w:ascii="宋体" w:hAnsi="宋体" w:eastAsia="宋体" w:cs="宋体"/>
          <w:color w:val="auto"/>
          <w:szCs w:val="21"/>
          <w:highlight w:val="none"/>
          <w:lang w:bidi="ar"/>
        </w:rPr>
        <w:t>含税</w:t>
      </w:r>
      <w:r>
        <w:rPr>
          <w:rFonts w:hint="eastAsia" w:ascii="宋体" w:hAnsi="宋体" w:eastAsia="宋体" w:cs="宋体"/>
          <w:color w:val="auto"/>
          <w:szCs w:val="21"/>
          <w:highlight w:val="none"/>
        </w:rPr>
        <w:t>结算货款的20%向甲方支付违约金，以上违约金总额不超过暂定合同价的【0.2】%，违约金不足以弥补甲方损失的，乙方还需足额赔偿。</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3、乙方所交货物经甲方实验室或甲方委托的第三方检测机构检验累计出现3次（含）以上不合格的（可以是非同批次货物累计次数），甲方有权单方中止或解除合同，暂停或取消乙方的供货资格，并要求乙方一次性支付【25,000.00】元的违约金。</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、对于货物最终验收不合格且甲方已经开始使用或者使用完毕无法退换的，货款按照以下方式处理：①若甲方已支付货款的，则乙方应向甲方退还已支付的货款；②若甲方未支付货款的，则甲方无需支付货款。</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授予合同前或合同履行中，甲方有权实地核查乙方在投标时提供的分支机构或服务机构的场地、生产/储存/运输设备设施及能力等材料的符合性，若发现虚假将取消中标资格，且甲方有权单方终止合同。因此给甲方造成损失的，全部由乙方承担。</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pPr>
        <w:snapToGrid w:val="0"/>
        <w:spacing w:line="360" w:lineRule="auto"/>
        <w:ind w:firstLine="371" w:firstLineChars="177"/>
        <w:rPr>
          <w:rFonts w:ascii="宋体" w:hAnsi="宋体" w:eastAsia="宋体" w:cs="宋体"/>
          <w:color w:val="auto"/>
          <w:szCs w:val="21"/>
          <w:highlight w:val="none"/>
          <w:u w:val="none"/>
        </w:rPr>
      </w:pPr>
      <w:r>
        <w:rPr>
          <w:rFonts w:hint="eastAsia" w:ascii="宋体" w:hAnsi="宋体" w:eastAsia="宋体" w:cs="宋体"/>
          <w:color w:val="auto"/>
          <w:szCs w:val="21"/>
          <w:highlight w:val="none"/>
          <w:lang w:val="en-US" w:eastAsia="zh-CN" w:bidi="ar"/>
        </w:rPr>
        <w:t>7</w:t>
      </w:r>
      <w:r>
        <w:rPr>
          <w:rFonts w:hint="eastAsia" w:ascii="宋体" w:hAnsi="宋体" w:eastAsia="宋体" w:cs="宋体"/>
          <w:color w:val="auto"/>
          <w:szCs w:val="21"/>
          <w:highlight w:val="none"/>
          <w:lang w:bidi="ar"/>
        </w:rPr>
        <w:t>、乙方有义务接受甲方的监督、评价及考核，且同意甲方关于供货资格供应商的管理规则及要求。甲方每月在付款手续前对乙方的履约情况进行评价，填写《供应商履约评价表》（详见用户需求书 附件</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）。考核评分满分为100分，考核评分分数低于80分、达到60分时，</w:t>
      </w:r>
      <w:bookmarkStart w:id="584" w:name="OLE_LINK8"/>
      <w:r>
        <w:rPr>
          <w:rFonts w:hint="eastAsia" w:ascii="宋体" w:hAnsi="宋体" w:eastAsia="宋体" w:cs="宋体"/>
          <w:color w:val="auto"/>
          <w:szCs w:val="21"/>
          <w:highlight w:val="none"/>
          <w:lang w:bidi="ar"/>
        </w:rPr>
        <w:t>乙方应按该月货物含税结算货款的20%向甲方支付违约金；</w:t>
      </w:r>
      <w:bookmarkEnd w:id="584"/>
      <w:r>
        <w:rPr>
          <w:rFonts w:hint="eastAsia" w:ascii="宋体" w:hAnsi="宋体" w:eastAsia="宋体" w:cs="宋体"/>
          <w:color w:val="auto"/>
          <w:szCs w:val="21"/>
          <w:highlight w:val="none"/>
          <w:lang w:bidi="ar"/>
        </w:rPr>
        <w:t>考核评分分数低于60分时，乙方应按该月货物含税结算货款的30%向甲方支付违约金。以上违约金总额不超过暂定合同价的【5】%。若供货期内累计出现3次</w:t>
      </w:r>
      <w:r>
        <w:rPr>
          <w:rFonts w:hint="eastAsia" w:ascii="宋体" w:hAnsi="宋体" w:eastAsia="宋体" w:cs="宋体"/>
          <w:color w:val="auto"/>
          <w:szCs w:val="21"/>
          <w:highlight w:val="none"/>
        </w:rPr>
        <w:t>（含）以上</w:t>
      </w:r>
      <w:r>
        <w:rPr>
          <w:rFonts w:hint="eastAsia" w:ascii="宋体" w:hAnsi="宋体" w:eastAsia="宋体" w:cs="宋体"/>
          <w:color w:val="auto"/>
          <w:szCs w:val="21"/>
          <w:highlight w:val="none"/>
          <w:lang w:bidi="ar"/>
        </w:rPr>
        <w:t>评审结论为不合格的（考核评分分数低于80分），甲方有权取消乙方的供货资格并单方解除合同、并要求乙</w:t>
      </w:r>
      <w:r>
        <w:rPr>
          <w:rFonts w:hint="eastAsia" w:ascii="宋体" w:hAnsi="宋体" w:eastAsia="宋体" w:cs="宋体"/>
          <w:color w:val="auto"/>
          <w:szCs w:val="21"/>
          <w:highlight w:val="none"/>
          <w:u w:val="none"/>
          <w:lang w:bidi="ar"/>
        </w:rPr>
        <w:t>方一次性支付【</w:t>
      </w:r>
      <w:r>
        <w:rPr>
          <w:rFonts w:hint="eastAsia" w:ascii="宋体" w:hAnsi="宋体" w:eastAsia="宋体" w:cs="宋体"/>
          <w:color w:val="auto"/>
          <w:szCs w:val="21"/>
          <w:highlight w:val="none"/>
          <w:u w:val="none"/>
        </w:rPr>
        <w:t>20,000.00</w:t>
      </w:r>
      <w:r>
        <w:rPr>
          <w:rFonts w:hint="eastAsia" w:ascii="宋体" w:hAnsi="宋体" w:eastAsia="宋体" w:cs="宋体"/>
          <w:color w:val="auto"/>
          <w:szCs w:val="21"/>
          <w:highlight w:val="none"/>
          <w:u w:val="none"/>
          <w:lang w:bidi="ar"/>
        </w:rPr>
        <w:t>】元的违约金。</w:t>
      </w:r>
    </w:p>
    <w:p>
      <w:pPr>
        <w:snapToGrid w:val="0"/>
        <w:spacing w:line="360" w:lineRule="auto"/>
        <w:ind w:firstLine="371" w:firstLineChars="177"/>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8</w:t>
      </w:r>
      <w:r>
        <w:rPr>
          <w:rFonts w:hint="eastAsia" w:ascii="宋体" w:hAnsi="宋体" w:eastAsia="宋体" w:cs="宋体"/>
          <w:color w:val="auto"/>
          <w:szCs w:val="21"/>
          <w:highlight w:val="none"/>
          <w:u w:val="none"/>
        </w:rPr>
        <w:t>、从合同生效之日起，若因乙方所提供的产品导致甲方</w:t>
      </w:r>
      <w:r>
        <w:rPr>
          <w:rFonts w:hint="eastAsia" w:ascii="宋体" w:hAnsi="宋体" w:eastAsia="宋体" w:cs="宋体"/>
          <w:color w:val="auto"/>
          <w:szCs w:val="21"/>
          <w:highlight w:val="none"/>
          <w:u w:val="none"/>
          <w:lang w:eastAsia="zh-CN"/>
        </w:rPr>
        <w:t>在生产运营过程中出现</w:t>
      </w:r>
      <w:r>
        <w:rPr>
          <w:rFonts w:hint="eastAsia" w:ascii="宋体" w:hAnsi="宋体" w:eastAsia="宋体" w:cs="宋体"/>
          <w:color w:val="auto"/>
          <w:szCs w:val="21"/>
          <w:highlight w:val="none"/>
          <w:u w:val="none"/>
          <w:lang w:val="en-US" w:eastAsia="zh-CN"/>
        </w:rPr>
        <w:t>药剂投加量增加等情况</w:t>
      </w:r>
      <w:r>
        <w:rPr>
          <w:rFonts w:hint="eastAsia" w:ascii="宋体" w:hAnsi="宋体" w:eastAsia="宋体" w:cs="宋体"/>
          <w:color w:val="auto"/>
          <w:szCs w:val="21"/>
          <w:highlight w:val="none"/>
          <w:u w:val="none"/>
        </w:rPr>
        <w:t>，甲方将根据需要通知乙方到指定地点提供技术服务，如乙方接到通知，应在</w:t>
      </w: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rPr>
        <w:t>4小时内自费派工程师到达现场，并在甲方要求的限期内排除故障，确保不影响甲方的生产运营，且乙方须承担由此给甲方造成的一切损失。</w:t>
      </w:r>
    </w:p>
    <w:p>
      <w:pPr>
        <w:snapToGrid w:val="0"/>
        <w:spacing w:line="360" w:lineRule="auto"/>
        <w:ind w:firstLine="371" w:firstLineChars="177"/>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9</w:t>
      </w:r>
      <w:r>
        <w:rPr>
          <w:rFonts w:hint="eastAsia" w:ascii="宋体" w:hAnsi="宋体" w:eastAsia="宋体" w:cs="宋体"/>
          <w:color w:val="auto"/>
          <w:szCs w:val="21"/>
          <w:highlight w:val="none"/>
          <w:u w:val="none"/>
        </w:rPr>
        <w:t>、无论是否在质保期内，因货物质量问题发生安全事故或引起其他损失、造成不良后果的，乙方应承担全部责任及损失赔偿，</w:t>
      </w:r>
      <w:r>
        <w:rPr>
          <w:rFonts w:hint="eastAsia" w:ascii="宋体" w:hAnsi="宋体" w:eastAsia="宋体" w:cs="宋体"/>
          <w:color w:val="auto"/>
          <w:szCs w:val="21"/>
          <w:highlight w:val="none"/>
          <w:u w:val="none"/>
          <w:lang w:eastAsia="zh-Hans"/>
        </w:rPr>
        <w:t>同时甲方有权单方解除本合同且要求乙方一次性支付</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eastAsia="zh-Hans"/>
        </w:rPr>
        <w:t>100</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eastAsia="zh-Hans"/>
        </w:rPr>
        <w:t>000</w:t>
      </w:r>
      <w:r>
        <w:rPr>
          <w:rFonts w:hint="eastAsia" w:ascii="宋体" w:hAnsi="宋体" w:eastAsia="宋体" w:cs="宋体"/>
          <w:color w:val="auto"/>
          <w:szCs w:val="21"/>
          <w:highlight w:val="none"/>
          <w:u w:val="none"/>
        </w:rPr>
        <w:t>.00】</w:t>
      </w:r>
      <w:r>
        <w:rPr>
          <w:rFonts w:hint="eastAsia" w:ascii="宋体" w:hAnsi="宋体" w:eastAsia="宋体" w:cs="宋体"/>
          <w:color w:val="auto"/>
          <w:szCs w:val="21"/>
          <w:highlight w:val="none"/>
          <w:u w:val="none"/>
          <w:lang w:eastAsia="zh-Hans"/>
        </w:rPr>
        <w:t>元的违约金</w:t>
      </w:r>
      <w:r>
        <w:rPr>
          <w:rFonts w:hint="eastAsia" w:ascii="宋体" w:hAnsi="宋体" w:eastAsia="宋体" w:cs="宋体"/>
          <w:color w:val="auto"/>
          <w:szCs w:val="21"/>
          <w:highlight w:val="none"/>
          <w:u w:val="none"/>
        </w:rPr>
        <w:t>。</w:t>
      </w:r>
    </w:p>
    <w:p>
      <w:pPr>
        <w:snapToGrid w:val="0"/>
        <w:spacing w:line="360" w:lineRule="auto"/>
        <w:ind w:firstLine="371" w:firstLineChars="177"/>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rPr>
        <w:t>、</w:t>
      </w:r>
      <w:r>
        <w:rPr>
          <w:rFonts w:hint="eastAsia" w:ascii="宋体" w:hAnsi="宋体" w:eastAsia="宋体" w:cs="宋体"/>
          <w:bCs/>
          <w:color w:val="auto"/>
          <w:szCs w:val="21"/>
          <w:highlight w:val="none"/>
          <w:u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w:t>
      </w:r>
      <w:r>
        <w:rPr>
          <w:rFonts w:hint="eastAsia" w:ascii="宋体" w:hAnsi="宋体" w:eastAsia="宋体" w:cs="宋体"/>
          <w:color w:val="auto"/>
          <w:szCs w:val="21"/>
          <w:highlight w:val="none"/>
          <w:u w:val="none"/>
        </w:rPr>
        <w:t>【10,000.00】元的违约金</w:t>
      </w:r>
      <w:r>
        <w:rPr>
          <w:rFonts w:hint="eastAsia" w:ascii="宋体" w:hAnsi="宋体" w:eastAsia="宋体" w:cs="宋体"/>
          <w:bCs/>
          <w:color w:val="auto"/>
          <w:szCs w:val="21"/>
          <w:highlight w:val="none"/>
          <w:u w:val="none"/>
        </w:rPr>
        <w:t>，且乙方须承担由此给甲方造成的一切损失。乙方及其工作人员的保密义务不因本合同的终止而终止，直至相关保密信息被合法公开时止。</w:t>
      </w:r>
    </w:p>
    <w:p>
      <w:pPr>
        <w:snapToGrid w:val="0"/>
        <w:spacing w:line="360" w:lineRule="auto"/>
        <w:ind w:firstLine="371" w:firstLineChars="177"/>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11</w:t>
      </w:r>
      <w:r>
        <w:rPr>
          <w:rFonts w:hint="eastAsia" w:ascii="宋体" w:hAnsi="宋体" w:eastAsia="宋体" w:cs="宋体"/>
          <w:color w:val="auto"/>
          <w:szCs w:val="21"/>
          <w:highlight w:val="none"/>
          <w:u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10,000.00】元的违约金，违约金不够赔偿甲方损失的，乙方需继续赔偿，且甲方有权单方解除合同，并要求乙方一次性支付【20,000.00】元的违约金。</w:t>
      </w:r>
    </w:p>
    <w:p>
      <w:pPr>
        <w:snapToGrid w:val="0"/>
        <w:spacing w:line="360" w:lineRule="auto"/>
        <w:ind w:firstLine="371" w:firstLineChars="177"/>
        <w:rPr>
          <w:rFonts w:ascii="宋体" w:hAnsi="宋体" w:eastAsia="宋体" w:cs="宋体"/>
          <w:color w:val="auto"/>
          <w:szCs w:val="22"/>
          <w:highlight w:val="none"/>
        </w:rPr>
      </w:pPr>
      <w:r>
        <w:rPr>
          <w:rFonts w:hint="eastAsia" w:ascii="宋体" w:hAnsi="宋体" w:eastAsia="宋体" w:cs="宋体"/>
          <w:color w:val="auto"/>
          <w:szCs w:val="21"/>
          <w:highlight w:val="none"/>
          <w:u w:val="none"/>
          <w:lang w:val="en-US" w:eastAsia="zh-CN"/>
        </w:rPr>
        <w:t>12</w:t>
      </w:r>
      <w:r>
        <w:rPr>
          <w:rFonts w:hint="eastAsia" w:ascii="宋体" w:hAnsi="宋体" w:eastAsia="宋体" w:cs="宋体"/>
          <w:color w:val="auto"/>
          <w:szCs w:val="21"/>
          <w:highlight w:val="none"/>
          <w:u w:val="none"/>
        </w:rPr>
        <w:t>、</w:t>
      </w:r>
      <w:r>
        <w:rPr>
          <w:rFonts w:hint="eastAsia" w:ascii="宋体" w:hAnsi="宋体" w:eastAsia="宋体" w:cs="宋体"/>
          <w:bCs/>
          <w:color w:val="auto"/>
          <w:szCs w:val="21"/>
          <w:highlight w:val="none"/>
          <w:u w:val="none"/>
        </w:rPr>
        <w:t>在合同的履行期间，乙方应当保持相应资质的有效性</w:t>
      </w:r>
      <w:r>
        <w:rPr>
          <w:rFonts w:hint="eastAsia" w:ascii="宋体" w:hAnsi="宋体" w:eastAsia="宋体" w:cs="宋体"/>
          <w:color w:val="auto"/>
          <w:szCs w:val="21"/>
          <w:highlight w:val="none"/>
          <w:u w:val="none"/>
        </w:rPr>
        <w:t>，并符合国家的相关规定。若乙方在合同期内有关资质不符合招标要求及国家规定的，甲方有权单方解除合同，要求乙方一次性支付【20,000.00】</w:t>
      </w:r>
      <w:r>
        <w:rPr>
          <w:rFonts w:hint="eastAsia" w:ascii="宋体" w:hAnsi="宋体" w:eastAsia="宋体" w:cs="宋体"/>
          <w:color w:val="auto"/>
          <w:szCs w:val="21"/>
          <w:highlight w:val="none"/>
        </w:rPr>
        <w:t>元的违约金，并有权依法委托有资质的第三方继续履行本合同义务，由此造成的一切损失（包括但不限于重新采购的差价、委托第三方的费用）由乙方全部承担。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、乙方车辆在甲方</w:t>
      </w:r>
      <w:r>
        <w:rPr>
          <w:rFonts w:hint="eastAsia" w:ascii="宋体" w:hAnsi="宋体" w:eastAsia="宋体" w:cs="宋体"/>
          <w:color w:val="auto"/>
          <w:szCs w:val="21"/>
          <w:highlight w:val="none"/>
          <w:lang w:val="en-US" w:eastAsia="zh-CN"/>
        </w:rPr>
        <w:t>厂区</w:t>
      </w:r>
      <w:r>
        <w:rPr>
          <w:rFonts w:hint="eastAsia" w:ascii="宋体" w:hAnsi="宋体" w:eastAsia="宋体" w:cs="宋体"/>
          <w:color w:val="auto"/>
          <w:szCs w:val="21"/>
          <w:highlight w:val="none"/>
        </w:rPr>
        <w:t>行驶时，必须严格遵守厂区道路限行，限速和限重要求，如因乙方未遵守前述要求，对厂区/甲方（含其人员）、乙方人员、第三方造成损失的，乙方须承担全部赔偿责任。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乙方违反约定将合同项下乙方的权利义务全部转让给第三方，或未经甲方书面同意将部分权利义务转让给第三方的，甲方有权要求乙方支付暂定合同价【0.1】%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0.5】%的违约金，前述违约金不足以弥补甲方损失的，乙方还需足额赔偿。</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、因乙方违反本合同约定导致甲方权益受损的，甲方为维护自身权益所支付的所有费用均由乙方承担，包括但不限于甲方为此支付的诉讼费、律师费、鉴定费、保全费、担保费、公证费、交通住宿费等全部费用。</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1】%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pPr>
        <w:snapToGrid w:val="0"/>
        <w:spacing w:line="360" w:lineRule="auto"/>
        <w:ind w:firstLine="371" w:firstLineChars="177"/>
        <w:rPr>
          <w:rFonts w:ascii="宋体" w:hAnsi="宋体" w:eastAsia="宋体" w:cs="宋体"/>
          <w:color w:val="auto"/>
          <w:szCs w:val="22"/>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乙方违反本合同约定或未按投标时投标文件中承诺的事项履约，合同对违约责任有特别约定的，适用该特别约定；无特别约定的，甲方有权要求乙方向甲方支付暂定合同价【0.1】%作为违约金。违约金不足以弥补甲方因此所受损失的，乙方应予以补足。</w:t>
      </w:r>
    </w:p>
    <w:p>
      <w:pPr>
        <w:snapToGrid w:val="0"/>
        <w:spacing w:line="360" w:lineRule="auto"/>
        <w:ind w:firstLine="373" w:firstLineChars="177"/>
        <w:rPr>
          <w:rFonts w:ascii="宋体" w:hAnsi="宋体" w:eastAsia="宋体" w:cs="宋体"/>
          <w:b/>
          <w:color w:val="auto"/>
          <w:szCs w:val="21"/>
          <w:highlight w:val="none"/>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第十六条 争议解决</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双方在履约中发生争执和分歧，双方应通过友好协商解决，如不能通过友好协商解决的，任何一方均可向甲方住所地有管辖权的人民法院提起诉讼解决。</w:t>
      </w:r>
    </w:p>
    <w:p>
      <w:pPr>
        <w:snapToGrid w:val="0"/>
        <w:spacing w:line="360" w:lineRule="auto"/>
        <w:ind w:firstLine="371" w:firstLineChars="177"/>
        <w:rPr>
          <w:rFonts w:ascii="宋体" w:hAnsi="宋体" w:eastAsia="宋体" w:cs="宋体"/>
          <w:color w:val="auto"/>
          <w:szCs w:val="21"/>
          <w:highlight w:val="none"/>
        </w:rPr>
      </w:pPr>
    </w:p>
    <w:p>
      <w:pPr>
        <w:snapToGrid w:val="0"/>
        <w:spacing w:line="360" w:lineRule="auto"/>
        <w:ind w:firstLine="373" w:firstLineChars="177"/>
        <w:rPr>
          <w:rFonts w:ascii="宋体" w:hAnsi="宋体" w:eastAsia="宋体" w:cs="宋体"/>
          <w:b/>
          <w:color w:val="auto"/>
          <w:szCs w:val="21"/>
          <w:highlight w:val="none"/>
        </w:rPr>
      </w:pPr>
      <w:r>
        <w:rPr>
          <w:rFonts w:hint="eastAsia" w:ascii="宋体" w:hAnsi="宋体" w:eastAsia="宋体" w:cs="宋体"/>
          <w:b/>
          <w:color w:val="auto"/>
          <w:szCs w:val="21"/>
          <w:highlight w:val="none"/>
        </w:rPr>
        <w:t>第十七条 其他</w:t>
      </w:r>
    </w:p>
    <w:p>
      <w:pPr>
        <w:snapToGrid w:val="0"/>
        <w:spacing w:line="360" w:lineRule="auto"/>
        <w:ind w:firstLine="371" w:firstLineChars="177"/>
        <w:rPr>
          <w:rFonts w:ascii="宋体" w:hAnsi="宋体" w:eastAsia="宋体" w:cs="宋体"/>
          <w:b w:val="0"/>
          <w:bCs/>
          <w:color w:val="auto"/>
          <w:szCs w:val="21"/>
          <w:highlight w:val="none"/>
        </w:rPr>
      </w:pPr>
      <w:r>
        <w:rPr>
          <w:rFonts w:hint="eastAsia" w:ascii="宋体" w:hAnsi="宋体" w:eastAsia="宋体" w:cs="宋体"/>
          <w:b w:val="0"/>
          <w:bCs/>
          <w:color w:val="auto"/>
          <w:szCs w:val="21"/>
          <w:highlight w:val="none"/>
        </w:rPr>
        <w:t>1、乙方必须清楚理解：本合同不具排他性，甲方对本合同范围内的具体项目享有自主选择的权利。本合同仅作为乙方在本合同期限内取得向甲方供应</w:t>
      </w:r>
      <w:r>
        <w:rPr>
          <w:rFonts w:hint="eastAsia" w:ascii="宋体" w:hAnsi="宋体" w:eastAsia="宋体" w:cs="宋体"/>
          <w:b/>
          <w:bCs w:val="0"/>
          <w:color w:val="auto"/>
          <w:szCs w:val="21"/>
          <w:highlight w:val="none"/>
          <w:lang w:eastAsia="zh-CN"/>
        </w:rPr>
        <w:t>小苏打</w:t>
      </w:r>
      <w:r>
        <w:rPr>
          <w:rFonts w:hint="eastAsia" w:ascii="宋体" w:hAnsi="宋体" w:eastAsia="宋体" w:cs="宋体"/>
          <w:b w:val="0"/>
          <w:bCs/>
          <w:color w:val="auto"/>
          <w:szCs w:val="21"/>
          <w:highlight w:val="none"/>
        </w:rPr>
        <w:t>的资格，但并不代表甲方必然向乙方采购特定数量的小苏打。甲方根据乙方资质条件、履约能力和实际履约情况、甲方根据具体实际需求仍有权另行采购其他第三方进行本合同范围内的货物供货服务。</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3、乙方有义务配合甲方进行货物的小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4、乙方应根据甲方工艺以及性质，配合甲方进行小试，提供符合技术指标的药剂，保证供货的药剂在甲方</w:t>
      </w:r>
      <w:r>
        <w:rPr>
          <w:rFonts w:hint="eastAsia" w:ascii="宋体" w:hAnsi="宋体" w:eastAsia="宋体" w:cs="宋体"/>
          <w:bCs/>
          <w:color w:val="auto"/>
          <w:szCs w:val="21"/>
          <w:highlight w:val="none"/>
          <w:lang w:val="en-US" w:eastAsia="zh-CN"/>
        </w:rPr>
        <w:t>运营</w:t>
      </w:r>
      <w:r>
        <w:rPr>
          <w:rFonts w:hint="eastAsia" w:ascii="宋体" w:hAnsi="宋体" w:eastAsia="宋体" w:cs="宋体"/>
          <w:bCs/>
          <w:color w:val="auto"/>
          <w:szCs w:val="21"/>
          <w:highlight w:val="none"/>
          <w:lang w:eastAsia="zh-CN"/>
        </w:rPr>
        <w:t>项目</w:t>
      </w:r>
      <w:r>
        <w:rPr>
          <w:rFonts w:hint="eastAsia" w:ascii="宋体" w:hAnsi="宋体" w:eastAsia="宋体" w:cs="宋体"/>
          <w:bCs/>
          <w:color w:val="auto"/>
          <w:szCs w:val="21"/>
          <w:highlight w:val="none"/>
        </w:rPr>
        <w:t>良好的使用效果。</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5、甲方按本合同约定单方解除合同的，乙方应在收到甲方单方解除合同书面通知之日起30日内与甲方共同确认已完成的供货量及金额，未经甲乙双方共同确认的供货量不得再要求结算。</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6、基于乙方的专业特长，甲方代表（合同签字者）对关于产品质量指标的确认、变更等，仅是程序性行为，并非就是对乙方产品质量责任的免除，乙方仍要对所供的产品承担全部责任。</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7、合同履约过程中，若发现</w:t>
      </w:r>
      <w:r>
        <w:rPr>
          <w:rFonts w:hint="eastAsia" w:ascii="宋体" w:hAnsi="宋体" w:eastAsia="宋体" w:cs="宋体"/>
          <w:color w:val="auto"/>
          <w:szCs w:val="21"/>
          <w:highlight w:val="none"/>
          <w:lang w:val="zh-CN"/>
        </w:rPr>
        <w:t>同一种货物或服务存在有选择性的报价或不是固定的报价的，或存在</w:t>
      </w:r>
      <w:r>
        <w:rPr>
          <w:rFonts w:hint="eastAsia" w:ascii="宋体" w:hAnsi="宋体" w:eastAsia="宋体" w:cs="宋体"/>
          <w:color w:val="auto"/>
          <w:szCs w:val="21"/>
          <w:highlight w:val="none"/>
        </w:rPr>
        <w:t>多种理解方式的情况发生时，按最有利甲方的方式解释。</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3日内书面告知甲方，否则甲方仍按合同中列明的乙方“地址”发出相关通知、函件等并视为有效送达。</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合同所有附件及本项目的招标文件、答疑文件、投标文件、补充通知及相关承诺、协议等均为本合同有效组成部分，与本合同同具法律效力，该等文件与本合同正文约定不一致的，以有利于甲方的约定为准。</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、本合同壹式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份，均具有同等法律效力。</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、本合同自双方盖章、并经</w:t>
      </w:r>
      <w:r>
        <w:rPr>
          <w:rFonts w:hint="eastAsia" w:ascii="宋体" w:hAnsi="宋体" w:eastAsia="宋体" w:cs="宋体"/>
          <w:color w:val="auto"/>
          <w:szCs w:val="21"/>
          <w:highlight w:val="none"/>
          <w:lang w:val="en-US" w:eastAsia="zh-CN"/>
        </w:rPr>
        <w:t>双方</w:t>
      </w:r>
      <w:r>
        <w:rPr>
          <w:rFonts w:hint="eastAsia" w:ascii="宋体" w:hAnsi="宋体" w:eastAsia="宋体" w:cs="宋体"/>
          <w:color w:val="auto"/>
          <w:szCs w:val="21"/>
          <w:highlight w:val="none"/>
        </w:rPr>
        <w:t>法定代表人签字之日起生效。</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、本合同未尽事宜，由双方协商处理。</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、合同附件：1.用户需求书；2.廉洁协议书；3.安全生产管理协议。</w:t>
      </w:r>
    </w:p>
    <w:p>
      <w:pPr>
        <w:ind w:firstLine="420" w:firstLineChars="200"/>
        <w:rPr>
          <w:rFonts w:ascii="宋体" w:hAnsi="宋体" w:eastAsia="宋体" w:cs="宋体"/>
          <w:color w:val="auto"/>
          <w:szCs w:val="21"/>
          <w:highlight w:val="none"/>
        </w:rPr>
      </w:pPr>
    </w:p>
    <w:p>
      <w:pPr>
        <w:spacing w:line="360" w:lineRule="auto"/>
        <w:ind w:left="317" w:hanging="527"/>
        <w:rPr>
          <w:rFonts w:ascii="宋体" w:hAnsi="宋体" w:eastAsia="宋体" w:cs="宋体"/>
          <w:b/>
          <w:bCs/>
          <w:color w:val="auto"/>
          <w:szCs w:val="21"/>
          <w:highlight w:val="none"/>
        </w:rPr>
      </w:pPr>
    </w:p>
    <w:p>
      <w:pPr>
        <w:ind w:firstLine="420" w:firstLineChars="200"/>
        <w:rPr>
          <w:rFonts w:ascii="宋体" w:hAnsi="宋体" w:eastAsia="宋体" w:cs="宋体"/>
          <w:color w:val="auto"/>
          <w:szCs w:val="21"/>
          <w:highlight w:val="none"/>
        </w:rPr>
      </w:pPr>
    </w:p>
    <w:p>
      <w:pPr>
        <w:snapToGrid w:val="0"/>
        <w:spacing w:line="360" w:lineRule="auto"/>
        <w:ind w:firstLine="283" w:firstLineChars="135"/>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 xml:space="preserve">甲方：                                </w:t>
      </w:r>
      <w:r>
        <w:rPr>
          <w:rFonts w:hint="eastAsia" w:ascii="宋体" w:hAnsi="宋体" w:eastAsia="宋体" w:cs="宋体"/>
          <w:b/>
          <w:color w:val="auto"/>
          <w:szCs w:val="21"/>
          <w:highlight w:val="none"/>
          <w:lang w:val="en-US" w:eastAsia="zh-CN"/>
        </w:rPr>
        <w:t>乙方</w:t>
      </w:r>
      <w:r>
        <w:rPr>
          <w:rFonts w:hint="eastAsia" w:ascii="宋体" w:hAnsi="宋体" w:eastAsia="宋体" w:cs="宋体"/>
          <w:b/>
          <w:color w:val="auto"/>
          <w:szCs w:val="21"/>
          <w:highlight w:val="none"/>
        </w:rPr>
        <w:t>：</w:t>
      </w:r>
    </w:p>
    <w:p>
      <w:pPr>
        <w:snapToGrid w:val="0"/>
        <w:spacing w:line="360" w:lineRule="auto"/>
        <w:ind w:firstLine="424" w:firstLineChars="202"/>
        <w:rPr>
          <w:rFonts w:ascii="宋体" w:hAnsi="宋体" w:eastAsia="宋体" w:cs="宋体"/>
          <w:color w:val="auto"/>
          <w:szCs w:val="21"/>
          <w:highlight w:val="none"/>
        </w:rPr>
      </w:pPr>
    </w:p>
    <w:p>
      <w:pPr>
        <w:snapToGrid w:val="0"/>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法定代表人：                           </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地址：                                  地址：</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电话：                                  电话：</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传真：                                  传真：</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银行账户：                              银行账户：</w:t>
      </w:r>
    </w:p>
    <w:p>
      <w:pPr>
        <w:snapToGrid w:val="0"/>
        <w:spacing w:line="360" w:lineRule="auto"/>
        <w:ind w:firstLine="386" w:firstLineChars="184"/>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pPr>
        <w:snapToGrid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签约日期：</w:t>
      </w:r>
    </w:p>
    <w:p>
      <w:pPr>
        <w:snapToGrid w:val="0"/>
        <w:spacing w:line="360" w:lineRule="auto"/>
        <w:ind w:firstLine="386" w:firstLineChars="184"/>
        <w:rPr>
          <w:rFonts w:ascii="宋体" w:hAnsi="宋体" w:eastAsia="宋体" w:cs="宋体"/>
          <w:color w:val="auto"/>
          <w:szCs w:val="21"/>
          <w:highlight w:val="none"/>
        </w:rPr>
      </w:pPr>
      <w:r>
        <w:rPr>
          <w:rFonts w:hint="eastAsia" w:ascii="宋体" w:hAnsi="宋体" w:eastAsia="宋体" w:cs="宋体"/>
          <w:color w:val="auto"/>
          <w:szCs w:val="21"/>
          <w:highlight w:val="none"/>
        </w:rPr>
        <w:t>签约地点：</w:t>
      </w:r>
    </w:p>
    <w:p>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pageBreakBefore/>
        <w:spacing w:line="360" w:lineRule="auto"/>
        <w:rPr>
          <w:rFonts w:ascii="宋体" w:hAnsi="宋体" w:eastAsia="宋体" w:cs="宋体"/>
          <w:b/>
          <w:color w:val="auto"/>
          <w:szCs w:val="22"/>
          <w:highlight w:val="none"/>
        </w:rPr>
      </w:pPr>
      <w:r>
        <w:rPr>
          <w:rFonts w:hint="eastAsia" w:ascii="宋体" w:hAnsi="宋体" w:eastAsia="宋体" w:cs="宋体"/>
          <w:b/>
          <w:color w:val="auto"/>
          <w:szCs w:val="22"/>
          <w:highlight w:val="none"/>
        </w:rPr>
        <w:t>附件2：廉洁协议书</w:t>
      </w:r>
    </w:p>
    <w:p>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廉洁协议书</w:t>
      </w: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项目名称：东莞市污泥集中处理处置项目小苏打采购项目 （招标编号：</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乙方： </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ind w:firstLine="481" w:firstLineChars="228"/>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pPr>
        <w:spacing w:line="360" w:lineRule="auto"/>
        <w:ind w:firstLine="481" w:firstLineChars="228"/>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spacing w:line="360" w:lineRule="auto"/>
        <w:ind w:firstLine="481" w:firstLineChars="228"/>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360" w:lineRule="auto"/>
        <w:ind w:firstLine="481" w:firstLineChars="228"/>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pPr>
        <w:spacing w:line="360" w:lineRule="auto"/>
        <w:ind w:firstLine="481" w:firstLineChars="228"/>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pPr>
        <w:spacing w:line="360" w:lineRule="auto"/>
        <w:ind w:firstLine="481" w:firstLineChars="228"/>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（一）举报受理部门：东莞市水务环境投资控股集团有限公司纪检监察部。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ascii="等线" w:hAnsi="等线" w:eastAsia="等线" w:cs="Times New Roman"/>
          <w:color w:val="auto"/>
          <w:szCs w:val="22"/>
          <w:highlight w:val="none"/>
        </w:rPr>
        <w:fldChar w:fldCharType="begin"/>
      </w:r>
      <w:r>
        <w:rPr>
          <w:rFonts w:ascii="等线" w:hAnsi="等线" w:eastAsia="等线" w:cs="Times New Roman"/>
          <w:color w:val="auto"/>
          <w:szCs w:val="22"/>
          <w:highlight w:val="none"/>
        </w:rPr>
        <w:instrText xml:space="preserve"> HYPERLINK "mailto:jcsj@dgswjt.cn。" </w:instrText>
      </w:r>
      <w:r>
        <w:rPr>
          <w:rFonts w:ascii="等线" w:hAnsi="等线" w:eastAsia="等线" w:cs="Times New Roman"/>
          <w:color w:val="auto"/>
          <w:szCs w:val="22"/>
          <w:highlight w:val="none"/>
        </w:rPr>
        <w:fldChar w:fldCharType="separate"/>
      </w:r>
      <w:r>
        <w:rPr>
          <w:rFonts w:hint="eastAsia" w:ascii="宋体" w:hAnsi="宋体" w:eastAsia="宋体" w:cs="宋体"/>
          <w:color w:val="auto"/>
          <w:sz w:val="21"/>
          <w:szCs w:val="21"/>
          <w:highlight w:val="none"/>
          <w:u w:val="none"/>
        </w:rPr>
        <w:t>jcsj@dgswjt.cn。</w:t>
      </w:r>
      <w:r>
        <w:rPr>
          <w:rFonts w:hint="eastAsia" w:ascii="宋体" w:hAnsi="宋体" w:eastAsia="宋体" w:cs="宋体"/>
          <w:color w:val="auto"/>
          <w:sz w:val="21"/>
          <w:szCs w:val="21"/>
          <w:highlight w:val="none"/>
          <w:u w:val="none"/>
        </w:rPr>
        <w:fldChar w:fldCharType="end"/>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（四）信访地址：广东省东莞市南城街道宏北路16号。</w:t>
      </w:r>
    </w:p>
    <w:p>
      <w:pPr>
        <w:spacing w:line="360" w:lineRule="auto"/>
        <w:ind w:firstLine="481" w:firstLineChars="228"/>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本协议有效期为甲乙双方盖章、并经</w:t>
      </w:r>
      <w:r>
        <w:rPr>
          <w:rFonts w:hint="eastAsia" w:ascii="宋体" w:hAnsi="宋体" w:eastAsia="宋体" w:cs="宋体"/>
          <w:color w:val="auto"/>
          <w:szCs w:val="21"/>
          <w:highlight w:val="none"/>
          <w:lang w:val="en-US" w:eastAsia="zh-CN"/>
        </w:rPr>
        <w:t>双方</w:t>
      </w:r>
      <w:r>
        <w:rPr>
          <w:rFonts w:hint="eastAsia" w:ascii="宋体" w:hAnsi="宋体" w:eastAsia="宋体" w:cs="宋体"/>
          <w:color w:val="auto"/>
          <w:szCs w:val="21"/>
          <w:highlight w:val="none"/>
        </w:rPr>
        <w:t>法定代表人签字之日起至该采购项目最终验收完毕，质保期/供货期满后止。本协议一式   份，甲、乙双方各执   份，甲、乙双方上级主管部门各执   份。</w:t>
      </w:r>
    </w:p>
    <w:p>
      <w:pPr>
        <w:spacing w:line="360" w:lineRule="auto"/>
        <w:ind w:firstLine="478" w:firstLineChars="228"/>
        <w:rPr>
          <w:rFonts w:ascii="宋体" w:hAnsi="宋体" w:eastAsia="宋体" w:cs="宋体"/>
          <w:color w:val="auto"/>
          <w:szCs w:val="21"/>
          <w:highlight w:val="none"/>
        </w:rPr>
      </w:pP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w:t>
      </w:r>
      <w:r>
        <w:rPr>
          <w:rFonts w:hint="eastAsia" w:ascii="宋体" w:hAnsi="宋体" w:eastAsia="宋体" w:cs="宋体"/>
          <w:color w:val="auto"/>
          <w:szCs w:val="21"/>
          <w:highlight w:val="none"/>
          <w:lang w:val="en-US" w:eastAsia="zh-CN"/>
        </w:rPr>
        <w:t xml:space="preserve">  乙方</w:t>
      </w:r>
      <w:r>
        <w:rPr>
          <w:rFonts w:hint="eastAsia" w:ascii="宋体" w:hAnsi="宋体" w:eastAsia="宋体" w:cs="宋体"/>
          <w:color w:val="auto"/>
          <w:szCs w:val="21"/>
          <w:highlight w:val="none"/>
        </w:rPr>
        <w:t xml:space="preserve">（盖章）： </w:t>
      </w:r>
    </w:p>
    <w:p>
      <w:pPr>
        <w:spacing w:line="360" w:lineRule="auto"/>
        <w:ind w:firstLine="478" w:firstLineChars="228"/>
        <w:rPr>
          <w:rFonts w:ascii="宋体" w:hAnsi="宋体" w:eastAsia="宋体" w:cs="宋体"/>
          <w:color w:val="auto"/>
          <w:szCs w:val="21"/>
          <w:highlight w:val="none"/>
        </w:rPr>
      </w:pPr>
    </w:p>
    <w:p>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法定代表人：</w:t>
      </w:r>
    </w:p>
    <w:p>
      <w:pPr>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pPr>
        <w:pageBreakBefore/>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附件3：安全生产管理协议</w:t>
      </w:r>
    </w:p>
    <w:p>
      <w:pPr>
        <w:rPr>
          <w:rFonts w:asciiTheme="minorHAnsi" w:hAnsiTheme="minorHAnsi" w:eastAsiaTheme="minorEastAsia" w:cstheme="minorBidi"/>
          <w:color w:val="auto"/>
          <w:kern w:val="2"/>
          <w:sz w:val="21"/>
          <w:szCs w:val="22"/>
          <w:highlight w:val="none"/>
          <w:lang w:val="en-US" w:eastAsia="zh-CN" w:bidi="ar-SA"/>
        </w:rPr>
      </w:pPr>
    </w:p>
    <w:p>
      <w:pPr>
        <w:spacing w:beforeLines="0" w:afterLines="0"/>
        <w:jc w:val="center"/>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 xml:space="preserve">     </w:t>
      </w:r>
      <w:r>
        <w:rPr>
          <w:rFonts w:hint="eastAsia" w:ascii="仿宋_GB2312" w:hAnsi="仿宋" w:eastAsia="仿宋_GB2312" w:cs="仿宋"/>
          <w:color w:val="auto"/>
          <w:sz w:val="28"/>
          <w:szCs w:val="28"/>
          <w:highlight w:val="none"/>
          <w:lang w:val="en-US" w:eastAsia="zh-CN"/>
        </w:rPr>
        <w:t xml:space="preserve">                              </w:t>
      </w:r>
      <w:r>
        <w:rPr>
          <w:rFonts w:hint="eastAsia" w:ascii="仿宋_GB2312" w:hAnsi="仿宋" w:eastAsia="仿宋_GB2312" w:cs="仿宋"/>
          <w:color w:val="auto"/>
          <w:sz w:val="28"/>
          <w:szCs w:val="28"/>
          <w:highlight w:val="none"/>
        </w:rPr>
        <w:t xml:space="preserve"> 合同编号：</w:t>
      </w:r>
    </w:p>
    <w:p>
      <w:pPr>
        <w:spacing w:beforeLines="0" w:afterLines="0"/>
        <w:jc w:val="center"/>
        <w:rPr>
          <w:rFonts w:hint="eastAsia" w:ascii="仿宋_GB2312" w:hAnsi="仿宋" w:eastAsia="仿宋_GB2312" w:cs="仿宋"/>
          <w:b/>
          <w:color w:val="auto"/>
          <w:sz w:val="36"/>
          <w:szCs w:val="36"/>
          <w:highlight w:val="none"/>
        </w:rPr>
      </w:pPr>
      <w:r>
        <w:rPr>
          <w:rFonts w:hint="eastAsia" w:ascii="仿宋_GB2312" w:hAnsi="仿宋" w:eastAsia="仿宋_GB2312" w:cs="仿宋"/>
          <w:b/>
          <w:color w:val="auto"/>
          <w:sz w:val="36"/>
          <w:szCs w:val="36"/>
          <w:highlight w:val="none"/>
        </w:rPr>
        <w:t>《安全生产管理协议》</w:t>
      </w:r>
    </w:p>
    <w:p>
      <w:pPr>
        <w:spacing w:beforeLines="0" w:afterLines="0"/>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         </w:t>
      </w:r>
      <w:r>
        <w:rPr>
          <w:rFonts w:hint="eastAsia" w:ascii="仿宋" w:hAnsi="仿宋" w:eastAsia="仿宋" w:cs="仿宋"/>
          <w:color w:val="auto"/>
          <w:sz w:val="28"/>
          <w:szCs w:val="28"/>
          <w:highlight w:val="none"/>
        </w:rPr>
        <w:t xml:space="preserve">                                         </w:t>
      </w:r>
    </w:p>
    <w:p>
      <w:pPr>
        <w:spacing w:beforeLines="0" w:afterLines="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p>
    <w:p>
      <w:pPr>
        <w:spacing w:beforeLines="0" w:afterLines="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single"/>
        </w:rPr>
        <w:t xml:space="preserve">                                   </w:t>
      </w:r>
    </w:p>
    <w:p>
      <w:pPr>
        <w:spacing w:beforeLines="0" w:afterLines="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spacing w:beforeLines="0" w:afterLines="0" w:line="360" w:lineRule="auto"/>
        <w:rPr>
          <w:rFonts w:hint="eastAsia" w:ascii="宋体" w:hAnsi="宋体" w:eastAsia="宋体" w:cs="宋体"/>
          <w:color w:val="auto"/>
          <w:sz w:val="21"/>
          <w:szCs w:val="21"/>
          <w:highlight w:val="none"/>
          <w:u w:val="single"/>
        </w:rPr>
      </w:pPr>
    </w:p>
    <w:p>
      <w:pPr>
        <w:spacing w:beforeLines="0" w:afterLines="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pPr>
        <w:spacing w:beforeLines="0" w:afterLines="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p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spacing w:beforeLines="0" w:afterLines="0" w:line="360" w:lineRule="auto"/>
        <w:rPr>
          <w:rFonts w:hint="eastAsia" w:ascii="宋体" w:hAnsi="宋体" w:eastAsia="宋体" w:cs="宋体"/>
          <w:color w:val="auto"/>
          <w:sz w:val="21"/>
          <w:szCs w:val="21"/>
          <w:highlight w:val="none"/>
        </w:rPr>
      </w:pPr>
    </w:p>
    <w:p>
      <w:pPr>
        <w:spacing w:before="181" w:line="360" w:lineRule="auto"/>
        <w:ind w:left="100" w:right="99"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根据《中华人民共和国安全生产法》和《建设工程安全生产管理条例》等法规要求，为加强作业现场的安全管理，落实各自</w:t>
      </w:r>
      <w:r>
        <w:rPr>
          <w:rFonts w:hint="eastAsia" w:ascii="宋体" w:hAnsi="宋体" w:eastAsia="宋体" w:cs="宋体"/>
          <w:color w:val="auto"/>
          <w:sz w:val="21"/>
          <w:szCs w:val="21"/>
          <w:highlight w:val="none"/>
        </w:rPr>
        <w:t>的安全生产职责，进一步加强作业的安全管理，杜绝作业人员因安全管理不善而引发的各类安全事故，保证甲、乙双方的财产和员工的人身安全不受侵害，经甲乙双方协商一致，签订协议如下：</w:t>
      </w:r>
    </w:p>
    <w:p>
      <w:pPr>
        <w:autoSpaceDE/>
        <w:autoSpaceDN/>
        <w:adjustRightInd/>
        <w:spacing w:beforeLines="0" w:afterLines="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pPr>
        <w:autoSpaceDE/>
        <w:autoSpaceDN/>
        <w:adjustRightInd/>
        <w:spacing w:beforeLines="0" w:afterLines="0"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autoSpaceDE/>
        <w:autoSpaceDN/>
        <w:adjustRightInd/>
        <w:spacing w:beforeLines="0" w:afterLines="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至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autoSpaceDE/>
        <w:autoSpaceDN/>
        <w:adjustRightInd/>
        <w:spacing w:beforeLines="0" w:afterLines="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一、污水处理厂风险辨识</w:t>
      </w:r>
    </w:p>
    <w:p>
      <w:pPr>
        <w:spacing w:before="181" w:beforeLines="0" w:afterLines="0" w:line="360" w:lineRule="auto"/>
        <w:ind w:left="100" w:right="99"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pPr>
        <w:spacing w:before="181" w:beforeLines="0" w:afterLines="0" w:line="360" w:lineRule="auto"/>
        <w:ind w:left="100" w:right="99"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2、其他有限空间辨识，如:建筑施工未完工的地下暗室、管道及管道井等封闭、半封闭的设施及场所（地下隐蔽工程、密闭容器、长期不用的设施或通风不畅的场所等）等。</w:t>
      </w:r>
    </w:p>
    <w:p>
      <w:pPr>
        <w:spacing w:before="44" w:beforeLines="0" w:afterLines="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二、危害因素分析</w:t>
      </w:r>
    </w:p>
    <w:p>
      <w:pPr>
        <w:autoSpaceDE/>
        <w:autoSpaceDN/>
        <w:adjustRightInd/>
        <w:spacing w:beforeLines="0" w:afterLines="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pPr>
        <w:numPr>
          <w:ilvl w:val="0"/>
          <w:numId w:val="0"/>
        </w:numPr>
        <w:autoSpaceDE/>
        <w:autoSpaceDN/>
        <w:adjustRightInd/>
        <w:spacing w:beforeLines="0" w:afterLines="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三、协议实施条款</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“相关方”是指：在公司从事与公司生产经营活动有关的、在公司内从事各种公务活动和进行业务往来的外部单位和个人（以下简称“相关方”）。主要包括： </w:t>
      </w:r>
    </w:p>
    <w:p>
      <w:pPr>
        <w:numPr>
          <w:ilvl w:val="0"/>
          <w:numId w:val="0"/>
        </w:num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（1）依照与公司订立的有关合同，在公司内从事基建、设备安装、维修保养、运输、后勤服务、劳务输出以及其他承包各种项目的外来单位或个人。 </w:t>
      </w:r>
    </w:p>
    <w:p>
      <w:pPr>
        <w:numPr>
          <w:ilvl w:val="0"/>
          <w:numId w:val="3"/>
        </w:numPr>
        <w:autoSpaceDE/>
        <w:autoSpaceDN/>
        <w:adjustRightInd/>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进入单位内进行商务洽谈、参观访问、工作检查、学习交流及其他各类公务活动的外来单位或个人。</w:t>
      </w:r>
    </w:p>
    <w:p>
      <w:pPr>
        <w:numPr>
          <w:ilvl w:val="0"/>
          <w:numId w:val="3"/>
        </w:numPr>
        <w:autoSpaceDE/>
        <w:autoSpaceDN/>
        <w:adjustRightInd/>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目前我司相关方包括但不限于保安人员、绿化环卫人员、安装施工人员、配送人员、参观人员等。</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危险作业包括但不限于以下内容：临水作业、进入受限空间作业、临时用电作业、高处作业、断路作业、破土作业、吊装作业、盲板抽堵作业。（以下简称：危险作业）</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安全交底。每次进行危险作业等其他可能存在危险的作业前需由乙方的带班人员对作业人员进行安全交底。</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乙方需完善并加强对相关方的的日常考勤管理，严格遵守厂区对进出人员的管理要求。</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乙方使用被派遣劳动者的，应当将被派遣劳动者纳入本单位从业人员统一管理，对被派遣劳动者进行岗位安全操作规程和安全操作技能的教育和培训。</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乙方应制定与作业范围相适应的应急处置预案，并定期组织演练或者参加甲方组织的演练。</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乙方应当教育和督促从业人员严格执行本单位的安全生产规章制度和安全操作规程；并向从业人员如实告知作业场所和工作岗位存在的危险因素、防范措施以及事故应急措施。</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乙方依法参加工伤保险，为从业人员缴纳保险费，并应当为从事危险作业的人员办理意外伤害保险。</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乙方应严格遵守国家、地方政府有关安全生产及劳动保护的法律法规、标准、规定，贯彻执行甲方的各项安全管理规章制度，严格按照生产场所操作规程制度。</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并要求乙方承担违约责任。</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乙方作业人员未经许可不得随意到厂区区域以内的其它工作场所活动，活动内容包括不限于采摘水果、前往其他池体活动、攀爬构筑物等危险行为，出现人身损伤或伤亡的，由乙方自行负责一切责任。</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在作业过程中，需要进行动土、动火、登高、吊装、断路、进入限制性空间等危险性较高的作业时，乙方的作业负责人、专职或兼职安全员必须现场确认，作业前报甲方。根据甲方的关于危险作业安全要求执行。</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因乙方原因，造成乙方损失，由乙方自负，给甲方造成财产损失和人员伤害，乙方要负全部责任，并全额赔偿甲方。</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非因甲方原因，造成乙方损失的，甲方不承担任何责任，由乙方自行承担全部责任。</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乙方应严格遵守法律法规以及甲方的安全管理要求，并接受甲方的安全生产工作协调和监督，积极消除安全隐患。安全管理的基本要求包括但不限于以下条款：</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pPr>
        <w:spacing w:beforeLines="0" w:afterLines="0" w:line="360" w:lineRule="auto"/>
        <w:ind w:left="525" w:left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p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严禁占用、堵塞、遮掩、挪用、损毁、破坏或因装修作业等工作或其他原因导致消防设施设备损坏。</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④作业场所的电动工具、电焊机等须有漏电保护器和相应的安全防护装置。</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⑤作业现场及居住室、办公室内的用电设施必须符合要求，严禁电线乱接、乱拉，刀闸和开关无盖，在电器设施上堆放物品。</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⑦作业现场的危险区域，如临边、深坑、土方堆填区等，必须设置围栏和危险标志，夜间要设信号灯。</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乙方应当定期排查并及时治理作业范围内的事故隐患，建立台账，做好相关记录，及时向甲方报告。乙方在发现重大事故隐患后不能立即治理的，应当采取必要的防范措施，并及时书面报告甲方，消除事故隐患。</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必须接受甲方的检查与监督，并应主动配合，做好安全工作。乙方若有出现违反本协议“第三条，协议实施条款”任一情形的，甲方有权要求乙方立即整改，且甲方有权视情况从工程结算款/服务价款中扣除（1000-2000）元/次作为违约金。</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乙方有下列情形之一的或在整改后仍违反协议的，甲方有权单方解除合同，甲方有权要求乙方向甲方支付本合同总金额的10%作为违约金，同时甲方有权要求乙方承担第24条的违约金。造成甲方损失的，乙方需另行赔偿：</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①乙方不能提供与项目相匹配的营业执照、施工资质、安全生产许可证、技术人员、特种作业人员、安全员和设备设施的；</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②乙方未对作业人员进行岗位安全操作规程和安全操作技能的教育和培训的；没有向作业人员提供劳动防护用品的；</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③乙方未对所属员工定期开展安全教育培训的；</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④在开展涉及危险性较高的作业时，乙方未在作业前报甲方的；</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⑤乙方违章作业或违章指挥作业的；</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⑥乙方现场安全管理不到位或不服从甲方安全管理的；</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⑦发生事故后，乙方未及时开展应急救援工作的；</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⑨未制定与作业范围相适应的应急处置预案；</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⑩乙方不履行协议义务或者未按协议约定履行义务的其他情况。</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pPr>
        <w:numPr>
          <w:ilvl w:val="0"/>
          <w:numId w:val="4"/>
        </w:num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乙方在实施临水作业时，需设一名或以上监护人员；作业存在多种危险作业情况下，需严格落实2人或2人以上为一组协同作业或交替作业，不能单独作业。</w:t>
      </w:r>
    </w:p>
    <w:p>
      <w:pPr>
        <w:numPr>
          <w:ilvl w:val="0"/>
          <w:numId w:val="4"/>
        </w:num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危险作业前，必须检查作业工具是否完好，做好交底工作。</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（3）危险作业时，必须做好安全防护措施（穿戴救生衣、安全绳（带）、水鞋、手套、不得穿拖鞋或凉鞋等），严格落实2人或2人以上为一组进行协同作业，不得单独作业。</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（4）如遇阴雨及大雾、雷暴雨、台风等恶劣天气，禁止危险作业。</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乙方对作业过程中潜在的安全风险不明确的，不可盲目作业，否则，造成的后果由乙方独自承担。</w:t>
      </w:r>
    </w:p>
    <w:p>
      <w:pPr>
        <w:numPr>
          <w:ilvl w:val="0"/>
          <w:numId w:val="2"/>
        </w:num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份，自双方法定代表人或负责人签字并盖章后生效。</w:t>
      </w:r>
    </w:p>
    <w:p>
      <w:pPr>
        <w:spacing w:beforeLines="0" w:afterLines="0" w:line="360" w:lineRule="auto"/>
        <w:ind w:firstLine="420" w:firstLineChars="200"/>
        <w:rPr>
          <w:rFonts w:hint="eastAsia" w:ascii="宋体" w:hAnsi="宋体" w:eastAsia="宋体" w:cs="宋体"/>
          <w:color w:val="auto"/>
          <w:sz w:val="21"/>
          <w:szCs w:val="21"/>
          <w:highlight w:val="none"/>
        </w:rPr>
      </w:pPr>
    </w:p>
    <w:p>
      <w:pPr>
        <w:spacing w:beforeLines="0" w:afterLines="0" w:line="360" w:lineRule="auto"/>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乙方声明：</w:t>
      </w:r>
    </w:p>
    <w:p>
      <w:pPr>
        <w:spacing w:beforeLines="0" w:afterLines="0" w:line="360" w:lineRule="auto"/>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乙方已认真阅读协议内容，对协议条款、现场的安全管理要求、安全风险充分理解，并自愿承担因违约造成的一切后果。</w:t>
      </w:r>
    </w:p>
    <w:p>
      <w:pPr>
        <w:spacing w:beforeLines="0" w:afterLines="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pPr>
        <w:spacing w:beforeLines="0" w:afterLines="0"/>
        <w:ind w:firstLine="420" w:firstLineChars="200"/>
        <w:rPr>
          <w:rFonts w:hint="eastAsia" w:ascii="宋体" w:hAnsi="宋体" w:eastAsia="宋体" w:cs="宋体"/>
          <w:color w:val="auto"/>
          <w:sz w:val="21"/>
          <w:szCs w:val="21"/>
          <w:highlight w:val="none"/>
        </w:rPr>
      </w:pPr>
    </w:p>
    <w:p>
      <w:pPr>
        <w:spacing w:beforeLines="0" w:afterLine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spacing w:beforeLines="0" w:afterLines="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                法定代表人或负责人：</w:t>
      </w:r>
    </w:p>
    <w:p>
      <w:pPr>
        <w:spacing w:beforeLines="0" w:afterLines="0" w:line="360" w:lineRule="exact"/>
        <w:rPr>
          <w:rFonts w:hint="eastAsia" w:ascii="宋体" w:hAnsi="宋体" w:eastAsia="宋体" w:cs="宋体"/>
          <w:color w:val="auto"/>
          <w:sz w:val="21"/>
          <w:szCs w:val="21"/>
          <w:highlight w:val="none"/>
        </w:rPr>
      </w:pPr>
    </w:p>
    <w:p>
      <w:pPr>
        <w:spacing w:beforeLines="0" w:afterLines="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 xml:space="preserve">签订地点：广东省东莞市   </w:t>
      </w:r>
    </w:p>
    <w:p>
      <w:pPr>
        <w:rPr>
          <w:color w:val="auto"/>
          <w:highlight w:val="none"/>
          <w:lang w:val="en-US" w:eastAsia="zh-CN"/>
        </w:rPr>
      </w:pPr>
    </w:p>
    <w:p>
      <w:pPr>
        <w:tabs>
          <w:tab w:val="left" w:pos="1728"/>
        </w:tabs>
        <w:jc w:val="left"/>
        <w:rPr>
          <w:color w:val="auto"/>
          <w:highlight w:val="none"/>
          <w:lang w:val="en-US" w:eastAsia="zh-CN"/>
        </w:rPr>
      </w:pPr>
      <w:r>
        <w:rPr>
          <w:rFonts w:hint="eastAsia"/>
          <w:color w:val="auto"/>
          <w:highlight w:val="none"/>
          <w:lang w:val="en-US" w:eastAsia="zh-CN"/>
        </w:rPr>
        <w:tab/>
      </w:r>
    </w:p>
    <w:p>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0" w:leftChars="0" w:firstLine="0"/>
        <w:jc w:val="center"/>
        <w:textAlignment w:val="auto"/>
        <w:outlineLvl w:val="1"/>
        <w:rPr>
          <w:rFonts w:hint="eastAsia" w:ascii="宋体" w:hAnsi="宋体" w:eastAsia="宋体" w:cs="宋体"/>
          <w:b/>
          <w:bCs/>
          <w:color w:val="auto"/>
          <w:kern w:val="44"/>
          <w:sz w:val="32"/>
          <w:szCs w:val="32"/>
          <w:highlight w:val="none"/>
          <w:lang w:val="zh-CN"/>
        </w:rPr>
      </w:pPr>
      <w:bookmarkStart w:id="585" w:name="_Toc12473"/>
      <w:bookmarkStart w:id="586" w:name="_Toc772"/>
      <w:bookmarkStart w:id="587" w:name="_Toc4630"/>
      <w:r>
        <w:rPr>
          <w:rFonts w:hint="eastAsia" w:ascii="宋体" w:hAnsi="宋体" w:eastAsia="宋体" w:cs="宋体"/>
          <w:b/>
          <w:bCs/>
          <w:color w:val="auto"/>
          <w:kern w:val="44"/>
          <w:sz w:val="32"/>
          <w:szCs w:val="32"/>
          <w:highlight w:val="none"/>
          <w:lang w:val="zh-CN"/>
        </w:rPr>
        <w:t>第五篇 相关保函格式</w:t>
      </w:r>
      <w:bookmarkEnd w:id="585"/>
      <w:bookmarkEnd w:id="586"/>
      <w:bookmarkEnd w:id="587"/>
    </w:p>
    <w:p>
      <w:pPr>
        <w:autoSpaceDE w:val="0"/>
        <w:autoSpaceDN w:val="0"/>
        <w:adjustRightInd w:val="0"/>
        <w:spacing w:after="120" w:afterLines="50" w:line="360" w:lineRule="auto"/>
        <w:jc w:val="left"/>
        <w:outlineLvl w:val="9"/>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一、不可撤销银行履约保函格式</w:t>
      </w:r>
    </w:p>
    <w:p>
      <w:pPr>
        <w:autoSpaceDE w:val="0"/>
        <w:autoSpaceDN w:val="0"/>
        <w:adjustRightInd w:val="0"/>
        <w:jc w:val="center"/>
        <w:outlineLvl w:val="9"/>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headerReference r:id="rId4" w:type="first"/>
          <w:footerReference r:id="rId6" w:type="first"/>
          <w:footerReference r:id="rId5" w:type="default"/>
          <w:pgSz w:w="12240" w:h="15840"/>
          <w:pgMar w:top="1191" w:right="1043" w:bottom="1191" w:left="1043" w:header="720" w:footer="720" w:gutter="0"/>
          <w:cols w:space="720" w:num="1"/>
          <w:titlePg/>
          <w:docGrid w:linePitch="326" w:charSpace="0"/>
        </w:sectPr>
      </w:pPr>
    </w:p>
    <w:p>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t>二、履约保证保险凭证格式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outlineLvl w:val="9"/>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pPr>
        <w:numPr>
          <w:ilvl w:val="0"/>
          <w:numId w:val="0"/>
        </w:numPr>
        <w:outlineLvl w:val="9"/>
        <w:rPr>
          <w:rFonts w:hint="default" w:ascii="等线" w:hAnsi="等线" w:eastAsia="等线" w:cs="Times New Roman"/>
          <w:color w:val="auto"/>
          <w:szCs w:val="22"/>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履约担保书应从合同签订之日起至合同期限届满并全部货物经最终验收合格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rPr>
          <w:color w:val="auto"/>
          <w:highlight w:val="none"/>
        </w:rPr>
      </w:pPr>
      <w:r>
        <w:rPr>
          <w:color w:val="auto"/>
          <w:highlight w:val="none"/>
        </w:rPr>
        <w:br w:type="page"/>
      </w:r>
    </w:p>
    <w:p>
      <w:pPr>
        <w:pStyle w:val="19"/>
        <w:rPr>
          <w:color w:val="auto"/>
          <w:highlight w:val="none"/>
        </w:rPr>
      </w:pPr>
    </w:p>
    <w:p>
      <w:pPr>
        <w:pageBreakBefore w:val="0"/>
        <w:numPr>
          <w:ilvl w:val="0"/>
          <w:numId w:val="0"/>
        </w:numPr>
        <w:tabs>
          <w:tab w:val="left" w:pos="1080"/>
        </w:tabs>
        <w:autoSpaceDE w:val="0"/>
        <w:autoSpaceDN w:val="0"/>
        <w:adjustRightInd w:val="0"/>
        <w:spacing w:line="360" w:lineRule="auto"/>
        <w:ind w:left="357" w:leftChars="-100" w:hanging="567" w:firstLineChars="0"/>
        <w:jc w:val="center"/>
        <w:outlineLvl w:val="1"/>
        <w:rPr>
          <w:rFonts w:hint="eastAsia" w:ascii="宋体" w:hAnsi="宋体" w:eastAsia="宋体" w:cs="宋体"/>
          <w:b/>
          <w:bCs/>
          <w:color w:val="auto"/>
          <w:kern w:val="44"/>
          <w:sz w:val="32"/>
          <w:szCs w:val="32"/>
          <w:highlight w:val="none"/>
          <w:lang w:val="zh-CN"/>
        </w:rPr>
      </w:pPr>
      <w:bookmarkStart w:id="588" w:name="_Toc546"/>
      <w:r>
        <w:rPr>
          <w:rFonts w:hint="eastAsia" w:ascii="宋体" w:hAnsi="宋体" w:eastAsia="宋体" w:cs="宋体"/>
          <w:b/>
          <w:bCs/>
          <w:color w:val="auto"/>
          <w:kern w:val="44"/>
          <w:sz w:val="32"/>
          <w:szCs w:val="32"/>
          <w:highlight w:val="none"/>
          <w:lang w:val="zh-CN" w:eastAsia="zh-CN" w:bidi="ar-SA"/>
        </w:rPr>
        <w:t>第六篇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投标文件格式</w:t>
      </w:r>
      <w:bookmarkEnd w:id="547"/>
      <w:bookmarkEnd w:id="548"/>
      <w:bookmarkEnd w:id="549"/>
      <w:bookmarkEnd w:id="550"/>
      <w:bookmarkEnd w:id="551"/>
      <w:bookmarkEnd w:id="552"/>
      <w:bookmarkEnd w:id="553"/>
      <w:bookmarkEnd w:id="557"/>
      <w:bookmarkEnd w:id="558"/>
      <w:bookmarkEnd w:id="588"/>
    </w:p>
    <w:p>
      <w:pPr>
        <w:pStyle w:val="46"/>
        <w:numPr>
          <w:ilvl w:val="0"/>
          <w:numId w:val="0"/>
        </w:numPr>
        <w:jc w:val="center"/>
        <w:outlineLvl w:val="2"/>
        <w:rPr>
          <w:rFonts w:hint="eastAsia" w:ascii="宋体" w:hAnsi="宋体" w:eastAsia="宋体" w:cs="宋体"/>
          <w:b/>
          <w:bCs w:val="0"/>
          <w:color w:val="auto"/>
          <w:sz w:val="32"/>
          <w:szCs w:val="32"/>
          <w:highlight w:val="none"/>
          <w:lang w:val="en-US" w:eastAsia="zh-CN"/>
        </w:rPr>
      </w:pPr>
      <w:bookmarkStart w:id="589" w:name="_Toc11545"/>
      <w:bookmarkStart w:id="590" w:name="_Toc28989"/>
      <w:r>
        <w:rPr>
          <w:rFonts w:hint="eastAsia" w:ascii="宋体" w:hAnsi="宋体" w:eastAsia="宋体" w:cs="宋体"/>
          <w:b/>
          <w:bCs w:val="0"/>
          <w:color w:val="auto"/>
          <w:sz w:val="32"/>
          <w:szCs w:val="32"/>
          <w:highlight w:val="none"/>
          <w:lang w:val="en-US" w:eastAsia="zh-CN"/>
        </w:rPr>
        <w:t>一 商务标格式</w:t>
      </w:r>
      <w:bookmarkEnd w:id="589"/>
      <w:bookmarkEnd w:id="590"/>
    </w:p>
    <w:p>
      <w:pPr>
        <w:rPr>
          <w:rFonts w:hint="eastAsia" w:ascii="宋体" w:hAnsi="宋体" w:eastAsia="宋体" w:cs="宋体"/>
          <w:color w:val="auto"/>
          <w:sz w:val="84"/>
          <w:highlight w:val="none"/>
        </w:rPr>
      </w:pPr>
      <w:bookmarkStart w:id="591" w:name="_Toc102860411"/>
      <w:bookmarkStart w:id="592" w:name="_Toc1977721"/>
      <w:bookmarkStart w:id="593" w:name="_Toc104991868"/>
      <w:bookmarkStart w:id="594" w:name="_Toc21133_WPSOffice_Level2"/>
      <w:bookmarkStart w:id="595" w:name="_Toc142508362"/>
      <w:bookmarkStart w:id="596" w:name="_Toc140596921"/>
      <w:bookmarkStart w:id="597" w:name="_Toc486167709"/>
      <w:bookmarkStart w:id="598" w:name="_Toc102860067"/>
      <w:bookmarkStart w:id="599" w:name="_Toc533708121"/>
      <w:bookmarkStart w:id="600" w:name="_Toc94107202"/>
      <w:r>
        <w:rPr>
          <w:rFonts w:hint="eastAsia" w:ascii="宋体" w:hAnsi="宋体" w:eastAsia="宋体" w:cs="宋体"/>
          <w:b/>
          <w:color w:val="auto"/>
          <w:kern w:val="0"/>
          <w:sz w:val="32"/>
          <w:szCs w:val="32"/>
          <w:highlight w:val="none"/>
        </w:rPr>
        <w:br w:type="page"/>
      </w: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500" w:lineRule="exact"/>
        <w:jc w:val="center"/>
        <w:outlineLvl w:val="2"/>
        <w:rPr>
          <w:rFonts w:hint="eastAsia" w:ascii="宋体" w:hAnsi="宋体" w:eastAsia="宋体" w:cs="宋体"/>
          <w:b/>
          <w:bCs/>
          <w:color w:val="auto"/>
          <w:sz w:val="24"/>
          <w:szCs w:val="24"/>
          <w:highlight w:val="none"/>
        </w:rPr>
      </w:pPr>
      <w:bookmarkStart w:id="601" w:name="_Toc25406"/>
      <w:bookmarkStart w:id="602" w:name="_Toc10999"/>
      <w:bookmarkStart w:id="603" w:name="_Toc31361"/>
      <w:bookmarkStart w:id="604" w:name="_Toc27422"/>
      <w:bookmarkStart w:id="605" w:name="_Toc3606"/>
      <w:bookmarkStart w:id="606" w:name="_Toc17612"/>
      <w:bookmarkStart w:id="607" w:name="_Toc16205"/>
      <w:bookmarkStart w:id="608" w:name="_Toc195714374"/>
      <w:r>
        <w:rPr>
          <w:rFonts w:hint="eastAsia" w:ascii="宋体" w:hAnsi="宋体" w:eastAsia="宋体" w:cs="宋体"/>
          <w:b/>
          <w:bCs/>
          <w:color w:val="auto"/>
          <w:sz w:val="24"/>
          <w:szCs w:val="24"/>
          <w:highlight w:val="none"/>
        </w:rPr>
        <w:t>目录</w:t>
      </w:r>
      <w:bookmarkEnd w:id="601"/>
      <w:bookmarkEnd w:id="602"/>
      <w:bookmarkEnd w:id="603"/>
      <w:bookmarkEnd w:id="604"/>
      <w:bookmarkEnd w:id="605"/>
      <w:bookmarkEnd w:id="606"/>
      <w:bookmarkEnd w:id="607"/>
      <w:bookmarkEnd w:id="608"/>
    </w:p>
    <w:p>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一、投标函；</w:t>
      </w:r>
    </w:p>
    <w:p>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二、投标承诺书；</w:t>
      </w:r>
    </w:p>
    <w:p>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三、供货及/或提供服务过程承诺函；</w:t>
      </w:r>
    </w:p>
    <w:p>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四</w:t>
      </w:r>
      <w:r>
        <w:rPr>
          <w:rFonts w:hint="eastAsia" w:ascii="宋体" w:hAnsi="宋体" w:eastAsia="宋体" w:cs="宋体"/>
          <w:b w:val="0"/>
          <w:bCs w:val="0"/>
          <w:color w:val="auto"/>
          <w:szCs w:val="21"/>
          <w:highlight w:val="none"/>
        </w:rPr>
        <w:t>、投标人资格证明文件：</w:t>
      </w:r>
    </w:p>
    <w:p>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五</w:t>
      </w:r>
      <w:r>
        <w:rPr>
          <w:rFonts w:hint="eastAsia" w:ascii="宋体" w:hAnsi="宋体" w:eastAsia="宋体" w:cs="宋体"/>
          <w:b w:val="0"/>
          <w:bCs w:val="0"/>
          <w:color w:val="auto"/>
          <w:szCs w:val="21"/>
          <w:highlight w:val="none"/>
        </w:rPr>
        <w:t>、投标人基本情况一览表；</w:t>
      </w:r>
    </w:p>
    <w:p>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六</w:t>
      </w:r>
      <w:r>
        <w:rPr>
          <w:rFonts w:hint="eastAsia" w:ascii="宋体" w:hAnsi="宋体" w:eastAsia="宋体" w:cs="宋体"/>
          <w:b w:val="0"/>
          <w:bCs w:val="0"/>
          <w:color w:val="auto"/>
          <w:szCs w:val="21"/>
          <w:highlight w:val="none"/>
        </w:rPr>
        <w:t>、投标人财务状况表；</w:t>
      </w:r>
    </w:p>
    <w:p>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七</w:t>
      </w:r>
      <w:r>
        <w:rPr>
          <w:rFonts w:hint="eastAsia" w:ascii="宋体" w:hAnsi="宋体" w:eastAsia="宋体" w:cs="宋体"/>
          <w:b w:val="0"/>
          <w:bCs w:val="0"/>
          <w:color w:val="auto"/>
          <w:szCs w:val="21"/>
          <w:highlight w:val="none"/>
        </w:rPr>
        <w:t>、合同条款响应程度（合同条款偏离表）；</w:t>
      </w:r>
    </w:p>
    <w:p>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八</w:t>
      </w:r>
      <w:r>
        <w:rPr>
          <w:rFonts w:hint="eastAsia" w:ascii="宋体" w:hAnsi="宋体" w:eastAsia="宋体" w:cs="宋体"/>
          <w:b w:val="0"/>
          <w:bCs w:val="0"/>
          <w:color w:val="auto"/>
          <w:szCs w:val="21"/>
          <w:highlight w:val="none"/>
        </w:rPr>
        <w:t>、业绩表；</w:t>
      </w:r>
    </w:p>
    <w:p>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九</w:t>
      </w:r>
      <w:r>
        <w:rPr>
          <w:rFonts w:hint="eastAsia" w:ascii="宋体" w:hAnsi="宋体" w:eastAsia="宋体" w:cs="宋体"/>
          <w:b w:val="0"/>
          <w:bCs w:val="0"/>
          <w:color w:val="auto"/>
          <w:szCs w:val="21"/>
          <w:highlight w:val="none"/>
        </w:rPr>
        <w:t>、投标人资格证明文件以外的其他资质证书、知识产权证书及获得的相关获奖、认证证书、社会评价资料证明文件扫描件等投标人认为有需要证明其具备为本次招标项目</w:t>
      </w:r>
      <w:r>
        <w:rPr>
          <w:rFonts w:hint="eastAsia" w:ascii="宋体" w:hAnsi="宋体" w:eastAsia="宋体" w:cs="宋体"/>
          <w:b w:val="0"/>
          <w:bCs w:val="0"/>
          <w:color w:val="auto"/>
          <w:szCs w:val="21"/>
          <w:highlight w:val="none"/>
          <w:lang w:val="zh-CN"/>
        </w:rPr>
        <w:t>提供货物</w:t>
      </w:r>
      <w:r>
        <w:rPr>
          <w:rFonts w:hint="eastAsia" w:ascii="宋体" w:hAnsi="宋体" w:eastAsia="宋体" w:cs="宋体"/>
          <w:b w:val="0"/>
          <w:bCs w:val="0"/>
          <w:color w:val="auto"/>
          <w:szCs w:val="21"/>
          <w:highlight w:val="none"/>
          <w:lang w:val="en-US" w:eastAsia="zh-CN"/>
        </w:rPr>
        <w:t>及有关</w:t>
      </w:r>
      <w:r>
        <w:rPr>
          <w:rFonts w:hint="eastAsia" w:ascii="宋体" w:hAnsi="宋体" w:eastAsia="宋体" w:cs="宋体"/>
          <w:b w:val="0"/>
          <w:bCs w:val="0"/>
          <w:color w:val="auto"/>
          <w:szCs w:val="21"/>
          <w:highlight w:val="none"/>
          <w:lang w:val="zh-CN"/>
        </w:rPr>
        <w:t>服务能力</w:t>
      </w:r>
      <w:r>
        <w:rPr>
          <w:rFonts w:hint="eastAsia" w:ascii="宋体" w:hAnsi="宋体" w:eastAsia="宋体" w:cs="宋体"/>
          <w:b w:val="0"/>
          <w:bCs w:val="0"/>
          <w:color w:val="auto"/>
          <w:szCs w:val="21"/>
          <w:highlight w:val="none"/>
        </w:rPr>
        <w:t>的有关其它商务文件（不做强制要求）。</w:t>
      </w:r>
    </w:p>
    <w:p>
      <w:pPr>
        <w:pBdr>
          <w:bottom w:val="single" w:color="auto" w:sz="6" w:space="0"/>
        </w:pBdr>
        <w:spacing w:line="500" w:lineRule="exact"/>
        <w:ind w:firstLine="716" w:firstLineChars="224"/>
        <w:jc w:val="left"/>
        <w:rPr>
          <w:rFonts w:hint="eastAsia" w:ascii="宋体" w:hAnsi="宋体" w:eastAsia="宋体" w:cs="宋体"/>
          <w:b w:val="0"/>
          <w:bCs w:val="0"/>
          <w:color w:val="auto"/>
          <w:kern w:val="0"/>
          <w:sz w:val="32"/>
          <w:szCs w:val="32"/>
          <w:highlight w:val="none"/>
        </w:rPr>
      </w:pPr>
      <w:r>
        <w:rPr>
          <w:rFonts w:hint="eastAsia" w:ascii="宋体" w:hAnsi="宋体" w:eastAsia="宋体" w:cs="宋体"/>
          <w:b w:val="0"/>
          <w:bCs w:val="0"/>
          <w:color w:val="auto"/>
          <w:kern w:val="0"/>
          <w:sz w:val="32"/>
          <w:szCs w:val="32"/>
          <w:highlight w:val="none"/>
        </w:rPr>
        <w:br w:type="page"/>
      </w:r>
    </w:p>
    <w:p>
      <w:pPr>
        <w:rPr>
          <w:rFonts w:hint="eastAsia" w:ascii="宋体" w:hAnsi="宋体" w:eastAsia="宋体" w:cs="宋体"/>
          <w:b/>
          <w:color w:val="auto"/>
          <w:kern w:val="0"/>
          <w:sz w:val="32"/>
          <w:szCs w:val="32"/>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609" w:name="_Toc27679"/>
      <w:bookmarkStart w:id="610" w:name="_Toc23782"/>
      <w:bookmarkStart w:id="611" w:name="_Toc9119"/>
      <w:bookmarkStart w:id="612" w:name="_Toc13281"/>
      <w:bookmarkStart w:id="613" w:name="_Toc31868"/>
      <w:r>
        <w:rPr>
          <w:rFonts w:hint="eastAsia" w:ascii="宋体" w:hAnsi="宋体" w:eastAsia="宋体" w:cs="宋体"/>
          <w:b/>
          <w:color w:val="auto"/>
          <w:kern w:val="0"/>
          <w:sz w:val="32"/>
          <w:szCs w:val="32"/>
          <w:highlight w:val="none"/>
        </w:rPr>
        <w:t>一、投标函格式</w:t>
      </w:r>
      <w:bookmarkEnd w:id="591"/>
      <w:bookmarkEnd w:id="592"/>
      <w:bookmarkEnd w:id="593"/>
      <w:bookmarkEnd w:id="594"/>
      <w:bookmarkEnd w:id="595"/>
      <w:bookmarkEnd w:id="596"/>
      <w:bookmarkEnd w:id="597"/>
      <w:bookmarkEnd w:id="598"/>
      <w:bookmarkEnd w:id="599"/>
      <w:bookmarkEnd w:id="600"/>
      <w:bookmarkEnd w:id="609"/>
      <w:bookmarkEnd w:id="610"/>
      <w:bookmarkEnd w:id="611"/>
      <w:bookmarkEnd w:id="612"/>
      <w:bookmarkEnd w:id="613"/>
    </w:p>
    <w:p>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614" w:name="_Toc16695_WPSOffice_Level3"/>
      <w:r>
        <w:rPr>
          <w:rFonts w:hint="eastAsia" w:ascii="宋体" w:hAnsi="宋体" w:eastAsia="宋体" w:cs="宋体"/>
          <w:b/>
          <w:bCs/>
          <w:color w:val="auto"/>
          <w:sz w:val="30"/>
          <w:szCs w:val="30"/>
          <w:highlight w:val="none"/>
          <w:lang w:val="zh-CN"/>
        </w:rPr>
        <w:t>投 标 函</w:t>
      </w:r>
      <w:bookmarkEnd w:id="614"/>
    </w:p>
    <w:p>
      <w:pPr>
        <w:autoSpaceDE w:val="0"/>
        <w:autoSpaceDN w:val="0"/>
        <w:adjustRightInd w:val="0"/>
        <w:spacing w:line="360" w:lineRule="auto"/>
        <w:outlineLvl w:val="9"/>
        <w:rPr>
          <w:rFonts w:hint="eastAsia" w:ascii="宋体" w:hAnsi="宋体" w:eastAsia="宋体" w:cs="宋体"/>
          <w:color w:val="auto"/>
          <w:szCs w:val="21"/>
          <w:highlight w:val="none"/>
          <w:lang w:val="zh-CN"/>
        </w:rPr>
      </w:pPr>
    </w:p>
    <w:p>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东莞市尚源环能科技有限公司</w:t>
      </w:r>
    </w:p>
    <w:p>
      <w:pPr>
        <w:autoSpaceDE w:val="0"/>
        <w:autoSpaceDN w:val="0"/>
        <w:adjustRightInd w:val="0"/>
        <w:spacing w:line="360" w:lineRule="auto"/>
        <w:outlineLvl w:val="9"/>
        <w:rPr>
          <w:rFonts w:hint="eastAsia" w:ascii="宋体" w:hAnsi="宋体" w:eastAsia="宋体" w:cs="宋体"/>
          <w:color w:val="auto"/>
          <w:szCs w:val="21"/>
          <w:highlight w:val="none"/>
        </w:rPr>
      </w:pPr>
    </w:p>
    <w:p>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东莞市污泥集中处理处置项目小苏打采购项目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w:t>
      </w:r>
      <w:r>
        <w:rPr>
          <w:rFonts w:hint="eastAsia" w:ascii="宋体" w:hAnsi="宋体" w:eastAsia="宋体" w:cs="宋体"/>
          <w:color w:val="auto"/>
          <w:szCs w:val="21"/>
          <w:highlight w:val="none"/>
          <w:lang w:val="en-US" w:eastAsia="zh-CN"/>
        </w:rPr>
        <w:t>撤销</w:t>
      </w:r>
      <w:r>
        <w:rPr>
          <w:rFonts w:hint="eastAsia" w:ascii="宋体" w:hAnsi="宋体" w:eastAsia="宋体" w:cs="宋体"/>
          <w:color w:val="auto"/>
          <w:szCs w:val="21"/>
          <w:highlight w:val="none"/>
          <w:lang w:val="zh-CN"/>
        </w:rPr>
        <w:t>投标，则不予退还我方投标保证金；</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bookmarkStart w:id="615" w:name="_Toc3743"/>
      <w:r>
        <w:rPr>
          <w:rFonts w:hint="eastAsia" w:ascii="宋体" w:hAnsi="宋体" w:eastAsia="宋体" w:cs="宋体"/>
          <w:color w:val="auto"/>
          <w:szCs w:val="21"/>
          <w:highlight w:val="none"/>
          <w:lang w:val="zh-CN"/>
        </w:rPr>
        <w:t>（十一）所有与本投标有关的函件请发往下列地址：</w:t>
      </w:r>
      <w:bookmarkEnd w:id="615"/>
    </w:p>
    <w:p>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tabs>
          <w:tab w:val="left" w:pos="567"/>
        </w:tabs>
        <w:autoSpaceDE w:val="0"/>
        <w:autoSpaceDN w:val="0"/>
        <w:adjustRightInd w:val="0"/>
        <w:spacing w:line="360" w:lineRule="auto"/>
        <w:ind w:left="357" w:leftChars="-100" w:hanging="567"/>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616" w:name="_Toc12417"/>
      <w:bookmarkStart w:id="617" w:name="_Toc28613_WPSOffice_Level2"/>
      <w:bookmarkStart w:id="618" w:name="_Toc102860412"/>
      <w:bookmarkStart w:id="619" w:name="_Toc94107203"/>
      <w:bookmarkStart w:id="620" w:name="_Toc533708122"/>
      <w:bookmarkStart w:id="621" w:name="_Toc1977722"/>
      <w:bookmarkStart w:id="622" w:name="_Toc102860068"/>
      <w:bookmarkStart w:id="623" w:name="_Toc3104"/>
      <w:bookmarkStart w:id="624" w:name="_Toc104991869"/>
      <w:bookmarkStart w:id="625" w:name="_Toc142508363"/>
      <w:bookmarkStart w:id="626" w:name="_Toc140596922"/>
      <w:bookmarkStart w:id="627" w:name="_Toc30995"/>
      <w:bookmarkStart w:id="628" w:name="_Toc486167710"/>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629" w:name="_Toc6182"/>
      <w:bookmarkStart w:id="630" w:name="_Toc22497"/>
      <w:r>
        <w:rPr>
          <w:rFonts w:hint="eastAsia" w:ascii="宋体" w:hAnsi="宋体" w:eastAsia="宋体" w:cs="宋体"/>
          <w:b/>
          <w:color w:val="auto"/>
          <w:kern w:val="0"/>
          <w:sz w:val="32"/>
          <w:szCs w:val="32"/>
          <w:highlight w:val="none"/>
        </w:rPr>
        <w:t>二、投标承诺书格式</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东莞市污泥集中处理处置项目小苏打采购项目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w:t>
      </w: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631" w:name="_Toc316896755"/>
      <w:bookmarkStart w:id="632" w:name="_Toc311032584"/>
      <w:bookmarkStart w:id="633" w:name="_Toc326768876"/>
    </w:p>
    <w:p>
      <w:pPr>
        <w:pageBreakBefore w:val="0"/>
        <w:autoSpaceDE/>
        <w:autoSpaceDN/>
        <w:adjustRightInd/>
        <w:spacing w:line="240" w:lineRule="auto"/>
        <w:jc w:val="left"/>
        <w:outlineLvl w:val="9"/>
        <w:rPr>
          <w:rFonts w:hint="eastAsia" w:ascii="宋体" w:hAnsi="宋体" w:eastAsia="宋体" w:cs="宋体"/>
          <w:b/>
          <w:color w:val="auto"/>
          <w:kern w:val="44"/>
          <w:sz w:val="32"/>
          <w:szCs w:val="32"/>
          <w:highlight w:val="none"/>
        </w:rPr>
      </w:pPr>
      <w:bookmarkStart w:id="634" w:name="_Toc140596923"/>
      <w:bookmarkStart w:id="635" w:name="_Toc5075"/>
      <w:bookmarkStart w:id="636" w:name="_Toc86764083"/>
      <w:bookmarkStart w:id="637" w:name="_Toc102860413"/>
      <w:bookmarkStart w:id="638" w:name="_Toc24336"/>
      <w:bookmarkStart w:id="639" w:name="_Toc82182546"/>
      <w:bookmarkStart w:id="640" w:name="_Toc102860069"/>
      <w:bookmarkStart w:id="641" w:name="_Toc142508364"/>
      <w:bookmarkStart w:id="642" w:name="_Toc29910"/>
      <w:bookmarkStart w:id="643" w:name="_Toc94107204"/>
      <w:bookmarkStart w:id="644" w:name="_Toc104991870"/>
      <w:bookmarkStart w:id="645" w:name="_Toc16764"/>
      <w:bookmarkStart w:id="646" w:name="_Toc7024_WPSOffice_Level2"/>
      <w:bookmarkStart w:id="647" w:name="_Toc486167711"/>
      <w:bookmarkStart w:id="648" w:name="_Toc1977723"/>
      <w:bookmarkStart w:id="649" w:name="_Toc533708123"/>
      <w:r>
        <w:rPr>
          <w:rFonts w:hint="eastAsia" w:ascii="宋体" w:hAnsi="宋体" w:eastAsia="宋体" w:cs="宋体"/>
          <w:b/>
          <w:color w:val="auto"/>
          <w:kern w:val="44"/>
          <w:sz w:val="32"/>
          <w:szCs w:val="32"/>
          <w:highlight w:val="none"/>
        </w:rPr>
        <w:br w:type="page"/>
      </w:r>
    </w:p>
    <w:p>
      <w:pPr>
        <w:pageBreakBefore w:val="0"/>
        <w:autoSpaceDE w:val="0"/>
        <w:autoSpaceDN w:val="0"/>
        <w:adjustRightInd w:val="0"/>
        <w:spacing w:line="360" w:lineRule="auto"/>
        <w:jc w:val="left"/>
        <w:outlineLvl w:val="2"/>
        <w:rPr>
          <w:rFonts w:hint="eastAsia" w:ascii="宋体" w:hAnsi="宋体" w:eastAsia="宋体" w:cs="宋体"/>
          <w:b/>
          <w:color w:val="auto"/>
          <w:kern w:val="44"/>
          <w:sz w:val="32"/>
          <w:szCs w:val="32"/>
          <w:highlight w:val="none"/>
        </w:rPr>
      </w:pPr>
      <w:bookmarkStart w:id="650" w:name="_Toc12167"/>
      <w:r>
        <w:rPr>
          <w:rFonts w:hint="eastAsia" w:ascii="宋体" w:hAnsi="宋体" w:eastAsia="宋体" w:cs="宋体"/>
          <w:b/>
          <w:color w:val="auto"/>
          <w:kern w:val="44"/>
          <w:sz w:val="32"/>
          <w:szCs w:val="32"/>
          <w:highlight w:val="none"/>
        </w:rPr>
        <w:t>三、供货及/或提供服务过程承诺函格式</w:t>
      </w:r>
      <w:bookmarkEnd w:id="634"/>
      <w:bookmarkEnd w:id="635"/>
      <w:bookmarkEnd w:id="636"/>
      <w:bookmarkEnd w:id="637"/>
      <w:bookmarkEnd w:id="638"/>
      <w:bookmarkEnd w:id="639"/>
      <w:bookmarkEnd w:id="640"/>
      <w:bookmarkEnd w:id="641"/>
      <w:bookmarkEnd w:id="642"/>
      <w:bookmarkEnd w:id="643"/>
      <w:bookmarkEnd w:id="644"/>
      <w:bookmarkEnd w:id="645"/>
      <w:bookmarkEnd w:id="650"/>
    </w:p>
    <w:p>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东莞市尚源环能科技有限公司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东莞市污泥集中处理处置项目小苏打采购项目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hint="eastAsia" w:ascii="宋体" w:hAnsi="宋体" w:eastAsia="宋体" w:cs="宋体"/>
          <w:color w:val="auto"/>
          <w:kern w:val="0"/>
          <w:szCs w:val="21"/>
          <w:highlight w:val="none"/>
        </w:rPr>
      </w:pPr>
      <w:bookmarkStart w:id="651" w:name="_Toc13416"/>
      <w:bookmarkStart w:id="652" w:name="_Toc94107206"/>
      <w:bookmarkStart w:id="653" w:name="_Toc18346"/>
      <w:bookmarkStart w:id="654" w:name="_Toc102860071"/>
      <w:bookmarkStart w:id="655" w:name="_Toc102860415"/>
      <w:bookmarkStart w:id="656" w:name="_Toc104991872"/>
      <w:bookmarkStart w:id="657" w:name="_Toc142508366"/>
      <w:bookmarkStart w:id="658" w:name="_Toc1140"/>
      <w:bookmarkStart w:id="659" w:name="_Toc140596925"/>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auto"/>
          <w:kern w:val="0"/>
          <w:sz w:val="32"/>
          <w:szCs w:val="32"/>
          <w:highlight w:val="none"/>
          <w:lang w:val="en-US" w:eastAsia="zh-CN"/>
        </w:rPr>
      </w:pPr>
      <w:bookmarkStart w:id="660" w:name="_Toc21106"/>
      <w:r>
        <w:rPr>
          <w:rFonts w:hint="eastAsia" w:ascii="宋体" w:hAnsi="宋体" w:eastAsia="宋体" w:cs="宋体"/>
          <w:b/>
          <w:color w:val="auto"/>
          <w:kern w:val="0"/>
          <w:sz w:val="32"/>
          <w:szCs w:val="32"/>
          <w:highlight w:val="none"/>
          <w:lang w:val="en-US" w:eastAsia="zh-CN"/>
        </w:rPr>
        <w:br w:type="page"/>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b/>
          <w:color w:val="auto"/>
          <w:kern w:val="0"/>
          <w:sz w:val="32"/>
          <w:szCs w:val="32"/>
          <w:highlight w:val="none"/>
        </w:rPr>
      </w:pPr>
      <w:bookmarkStart w:id="661" w:name="_Toc3447"/>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w:t>
      </w:r>
      <w:bookmarkEnd w:id="646"/>
      <w:bookmarkEnd w:id="647"/>
      <w:bookmarkEnd w:id="648"/>
      <w:bookmarkEnd w:id="649"/>
      <w:bookmarkEnd w:id="651"/>
      <w:bookmarkEnd w:id="652"/>
      <w:bookmarkEnd w:id="653"/>
      <w:bookmarkEnd w:id="654"/>
      <w:bookmarkEnd w:id="655"/>
      <w:bookmarkEnd w:id="656"/>
      <w:bookmarkEnd w:id="657"/>
      <w:bookmarkEnd w:id="658"/>
      <w:bookmarkEnd w:id="659"/>
      <w:bookmarkStart w:id="662" w:name="_Toc140596928"/>
      <w:bookmarkStart w:id="663" w:name="_Toc94107209"/>
      <w:bookmarkStart w:id="664" w:name="_Toc142508369"/>
      <w:bookmarkStart w:id="665" w:name="_Toc6190"/>
      <w:bookmarkStart w:id="666" w:name="_Toc23083"/>
      <w:bookmarkStart w:id="667" w:name="_Toc102860418"/>
      <w:bookmarkStart w:id="668" w:name="_Toc104991875"/>
      <w:bookmarkStart w:id="669" w:name="_Toc1977725"/>
      <w:bookmarkStart w:id="670" w:name="_Toc102860074"/>
      <w:bookmarkStart w:id="671" w:name="_Toc26516"/>
      <w:bookmarkStart w:id="672" w:name="_Toc20759_WPSOffice_Level2"/>
      <w:bookmarkStart w:id="673" w:name="_Toc486167712"/>
      <w:bookmarkStart w:id="674" w:name="_Toc533708124"/>
      <w:r>
        <w:rPr>
          <w:rFonts w:hint="eastAsia" w:ascii="宋体" w:hAnsi="宋体" w:eastAsia="宋体" w:cs="宋体"/>
          <w:b/>
          <w:color w:val="auto"/>
          <w:kern w:val="0"/>
          <w:sz w:val="32"/>
          <w:szCs w:val="32"/>
          <w:highlight w:val="none"/>
        </w:rPr>
        <w:t>投标人资格证明文件</w:t>
      </w:r>
      <w:bookmarkEnd w:id="660"/>
      <w:bookmarkEnd w:id="661"/>
      <w:bookmarkEnd w:id="662"/>
      <w:bookmarkEnd w:id="663"/>
      <w:bookmarkEnd w:id="664"/>
      <w:bookmarkEnd w:id="665"/>
      <w:bookmarkEnd w:id="666"/>
      <w:bookmarkEnd w:id="667"/>
      <w:bookmarkEnd w:id="668"/>
      <w:bookmarkEnd w:id="669"/>
      <w:bookmarkEnd w:id="670"/>
      <w:bookmarkEnd w:id="671"/>
    </w:p>
    <w:p>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bookmarkStart w:id="675" w:name="_Toc29874"/>
      <w:bookmarkStart w:id="676" w:name="_Toc142508370"/>
      <w:bookmarkStart w:id="677" w:name="_Toc25267"/>
      <w:bookmarkStart w:id="678" w:name="_Toc17358"/>
      <w:bookmarkStart w:id="679" w:name="_Toc104991876"/>
      <w:bookmarkStart w:id="680" w:name="_Toc94107210"/>
      <w:bookmarkStart w:id="681" w:name="_Toc102860419"/>
      <w:bookmarkStart w:id="682" w:name="_Toc140596929"/>
      <w:bookmarkStart w:id="683" w:name="_Toc102860075"/>
      <w:bookmarkStart w:id="684" w:name="_Toc21361"/>
      <w:bookmarkStart w:id="685"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w:t>
      </w:r>
      <w:bookmarkEnd w:id="675"/>
      <w:bookmarkEnd w:id="676"/>
      <w:bookmarkEnd w:id="677"/>
      <w:bookmarkEnd w:id="678"/>
      <w:bookmarkEnd w:id="679"/>
      <w:bookmarkEnd w:id="680"/>
      <w:bookmarkEnd w:id="681"/>
      <w:bookmarkEnd w:id="682"/>
      <w:bookmarkEnd w:id="683"/>
      <w:r>
        <w:rPr>
          <w:rFonts w:hint="eastAsia" w:ascii="宋体" w:hAnsi="宋体" w:eastAsia="宋体" w:cs="宋体"/>
          <w:b/>
          <w:color w:val="auto"/>
          <w:kern w:val="0"/>
          <w:sz w:val="30"/>
          <w:szCs w:val="30"/>
          <w:highlight w:val="none"/>
        </w:rPr>
        <w:t>原件扫描件</w:t>
      </w:r>
      <w:bookmarkEnd w:id="684"/>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headerReference r:id="rId7" w:type="first"/>
          <w:footerReference r:id="rId9" w:type="first"/>
          <w:footerReference r:id="rId8" w:type="default"/>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bookmarkStart w:id="686" w:name="_Toc94107211"/>
      <w:bookmarkStart w:id="687" w:name="_Toc140596930"/>
      <w:bookmarkStart w:id="688" w:name="_Toc142508371"/>
      <w:bookmarkStart w:id="689" w:name="_Toc104991877"/>
      <w:bookmarkStart w:id="690" w:name="_Toc102860420"/>
      <w:bookmarkStart w:id="691" w:name="_Toc27861"/>
      <w:bookmarkStart w:id="692" w:name="_Toc7756"/>
      <w:bookmarkStart w:id="693" w:name="_Toc102860076"/>
      <w:bookmarkStart w:id="694" w:name="_Toc25013"/>
      <w:bookmarkStart w:id="695" w:name="_Toc7493"/>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.2 </w:t>
      </w:r>
      <w:bookmarkEnd w:id="686"/>
      <w:bookmarkEnd w:id="687"/>
      <w:bookmarkEnd w:id="688"/>
      <w:bookmarkEnd w:id="689"/>
      <w:bookmarkEnd w:id="690"/>
      <w:bookmarkEnd w:id="691"/>
      <w:bookmarkEnd w:id="692"/>
      <w:bookmarkEnd w:id="693"/>
      <w:bookmarkEnd w:id="694"/>
      <w:r>
        <w:rPr>
          <w:rFonts w:hint="eastAsia" w:ascii="宋体" w:hAnsi="宋体" w:eastAsia="宋体" w:cs="宋体"/>
          <w:b/>
          <w:color w:val="auto"/>
          <w:kern w:val="0"/>
          <w:sz w:val="30"/>
          <w:szCs w:val="30"/>
          <w:highlight w:val="none"/>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695"/>
    </w:p>
    <w:p>
      <w:pPr>
        <w:tabs>
          <w:tab w:val="left" w:pos="567"/>
        </w:tabs>
        <w:autoSpaceDE w:val="0"/>
        <w:autoSpaceDN w:val="0"/>
        <w:adjustRightInd w:val="0"/>
        <w:spacing w:line="360" w:lineRule="auto"/>
        <w:jc w:val="left"/>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696" w:name="_Toc94107212"/>
      <w:bookmarkStart w:id="697" w:name="_Toc7441"/>
      <w:bookmarkStart w:id="698" w:name="_Toc102860421"/>
      <w:bookmarkStart w:id="699" w:name="_Toc24579"/>
      <w:bookmarkStart w:id="700" w:name="_Toc140596931"/>
      <w:bookmarkStart w:id="701" w:name="_Toc17499"/>
      <w:bookmarkStart w:id="702" w:name="_Toc9132"/>
      <w:bookmarkStart w:id="703" w:name="_Toc102860077"/>
      <w:bookmarkStart w:id="704" w:name="_Toc104991878"/>
      <w:bookmarkStart w:id="705" w:name="_Toc142508372"/>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 法定代表人身份证明书、法定代表人授权书格式（法定代表人投标时只需提供法定代表人身份证明书，委托他人为投标代表或签署投标文件时需同时提供法定代表人授权书）</w:t>
      </w:r>
      <w:bookmarkEnd w:id="696"/>
      <w:bookmarkEnd w:id="697"/>
      <w:bookmarkEnd w:id="698"/>
      <w:bookmarkEnd w:id="699"/>
      <w:bookmarkEnd w:id="700"/>
      <w:bookmarkEnd w:id="701"/>
      <w:bookmarkEnd w:id="702"/>
      <w:bookmarkEnd w:id="703"/>
      <w:bookmarkEnd w:id="704"/>
      <w:bookmarkEnd w:id="705"/>
    </w:p>
    <w:p>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72"/>
      <w:bookmarkEnd w:id="673"/>
      <w:bookmarkEnd w:id="674"/>
      <w:bookmarkEnd w:id="685"/>
    </w:p>
    <w:p>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706" w:name="_Toc11033_WPSOffice_Level3"/>
      <w:r>
        <w:rPr>
          <w:rFonts w:hint="eastAsia" w:ascii="宋体" w:hAnsi="宋体" w:eastAsia="宋体" w:cs="宋体"/>
          <w:b/>
          <w:color w:val="auto"/>
          <w:sz w:val="30"/>
          <w:szCs w:val="30"/>
          <w:highlight w:val="none"/>
        </w:rPr>
        <w:t>法定代</w:t>
      </w:r>
      <w:bookmarkStart w:id="707" w:name="_Toc45995270"/>
      <w:bookmarkStart w:id="708" w:name="_Toc36971359"/>
      <w:r>
        <w:rPr>
          <w:rFonts w:hint="eastAsia" w:ascii="宋体" w:hAnsi="宋体" w:eastAsia="宋体" w:cs="宋体"/>
          <w:b/>
          <w:color w:val="auto"/>
          <w:sz w:val="30"/>
          <w:szCs w:val="30"/>
          <w:highlight w:val="none"/>
        </w:rPr>
        <w:t>表人身份证明书</w:t>
      </w:r>
      <w:bookmarkEnd w:id="706"/>
    </w:p>
    <w:bookmarkEnd w:id="707"/>
    <w:bookmarkEnd w:id="708"/>
    <w:p>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pPr>
        <w:snapToGrid w:val="0"/>
        <w:spacing w:line="360" w:lineRule="auto"/>
        <w:ind w:firstLine="3465" w:firstLineChars="1650"/>
        <w:rPr>
          <w:rFonts w:hint="eastAsia" w:ascii="宋体" w:hAnsi="宋体" w:eastAsia="宋体" w:cs="宋体"/>
          <w:color w:val="auto"/>
          <w:kern w:val="3"/>
          <w:szCs w:val="24"/>
          <w:highlight w:val="none"/>
        </w:rPr>
      </w:pPr>
    </w:p>
    <w:p>
      <w:pPr>
        <w:snapToGrid w:val="0"/>
        <w:spacing w:line="360" w:lineRule="auto"/>
        <w:ind w:firstLine="3465" w:firstLineChars="1650"/>
        <w:rPr>
          <w:rFonts w:hint="eastAsia"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pPr>
        <w:spacing w:before="120" w:after="12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9WFl2AAAAAgBAAAPAAAAAAAAAAEAIAAAACIAAABkcnMvZG93bnJldi54bWxQSwECFAAUAAAACACH&#10;TuJA0XSaOyQCAAA6BAAADgAAAAAAAAABACAAAAAnAQAAZHJzL2Uyb0RvYy54bWxQSwUGAAAAAAYA&#10;BgBZAQAAvQ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BFk0dkAAAAKAQAADwAAAAAAAAABACAAAAAiAAAAZHJzL2Rvd25yZXYueG1sUEsBAhQAFAAAAAgA&#10;h07iQCYiJY4kAgAAOgQAAA4AAAAAAAAAAQAgAAAAKAEAAGRycy9lMm9Eb2MueG1sUEsFBgAAAAAG&#10;AAYAWQEAAL4FA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9WFl2AAAAAgBAAAPAAAAAAAAAAEAIAAAACIAAABkcnMvZG93bnJldi54bWxQSwECFAAUAAAACACH&#10;TuJAft+ViyQCAAA6BAAADgAAAAAAAAABACAAAAAnAQAAZHJzL2Uyb0RvYy54bWxQSwUGAAAAAAYA&#10;BgBZAQAAvQU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b/>
          <w:color w:val="auto"/>
          <w:kern w:val="0"/>
          <w:szCs w:val="21"/>
          <w:highlight w:val="none"/>
        </w:rPr>
      </w:pPr>
    </w:p>
    <w:p>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hint="eastAsia" w:ascii="宋体" w:hAnsi="宋体" w:eastAsia="宋体" w:cs="宋体"/>
          <w:color w:val="auto"/>
          <w:kern w:val="0"/>
          <w:szCs w:val="21"/>
          <w:highlight w:val="none"/>
        </w:rPr>
      </w:pPr>
    </w:p>
    <w:p>
      <w:pPr>
        <w:autoSpaceDE w:val="0"/>
        <w:autoSpaceDN w:val="0"/>
        <w:adjustRightInd w:val="0"/>
        <w:jc w:val="center"/>
        <w:outlineLvl w:val="9"/>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pPr>
        <w:autoSpaceDE w:val="0"/>
        <w:autoSpaceDN w:val="0"/>
        <w:adjustRightInd w:val="0"/>
        <w:jc w:val="left"/>
        <w:outlineLvl w:val="9"/>
        <w:rPr>
          <w:rFonts w:hint="eastAsia" w:ascii="宋体" w:hAnsi="宋体" w:eastAsia="宋体" w:cs="宋体"/>
          <w:color w:val="auto"/>
          <w:kern w:val="0"/>
          <w:szCs w:val="21"/>
          <w:highlight w:val="none"/>
        </w:rPr>
      </w:pPr>
    </w:p>
    <w:p>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631"/>
      <w:bookmarkEnd w:id="632"/>
      <w:bookmarkEnd w:id="633"/>
      <w:bookmarkStart w:id="709" w:name="_Toc6240_WPSOffice_Level2"/>
      <w:bookmarkStart w:id="710" w:name="_Toc1977727"/>
      <w:bookmarkStart w:id="711" w:name="_Toc533708125"/>
      <w:bookmarkStart w:id="712" w:name="_Toc486167713"/>
      <w:r>
        <w:rPr>
          <w:rFonts w:hint="eastAsia" w:ascii="宋体" w:hAnsi="宋体" w:eastAsia="宋体" w:cs="宋体"/>
          <w:b/>
          <w:color w:val="auto"/>
          <w:szCs w:val="24"/>
          <w:highlight w:val="none"/>
        </w:rPr>
        <w:t>（2）法定代表人授权书格式</w:t>
      </w:r>
      <w:bookmarkEnd w:id="709"/>
      <w:bookmarkEnd w:id="710"/>
      <w:bookmarkEnd w:id="711"/>
      <w:bookmarkEnd w:id="712"/>
    </w:p>
    <w:p>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713" w:name="_Toc29146_WPSOffice_Level3"/>
      <w:r>
        <w:rPr>
          <w:rFonts w:hint="eastAsia" w:ascii="宋体" w:hAnsi="宋体" w:eastAsia="宋体" w:cs="宋体"/>
          <w:b/>
          <w:bCs/>
          <w:color w:val="auto"/>
          <w:sz w:val="30"/>
          <w:szCs w:val="30"/>
          <w:highlight w:val="none"/>
          <w:lang w:val="zh-CN"/>
        </w:rPr>
        <w:t>法定代表人授权书</w:t>
      </w:r>
      <w:bookmarkEnd w:id="713"/>
    </w:p>
    <w:p>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致：东莞市尚源环能科技有限公司</w:t>
      </w:r>
    </w:p>
    <w:p>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东莞市污泥集中处理处置项目小苏打采购项目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outlineLvl w:val="9"/>
        <w:rPr>
          <w:rFonts w:hint="eastAsia" w:ascii="宋体" w:hAnsi="宋体" w:eastAsia="宋体" w:cs="宋体"/>
          <w:color w:val="auto"/>
          <w:szCs w:val="24"/>
          <w:highlight w:val="none"/>
        </w:rPr>
      </w:pP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pStyle w:val="35"/>
        <w:widowControl w:val="0"/>
        <w:snapToGrid w:val="0"/>
        <w:spacing w:before="0" w:beforeAutospacing="0" w:after="0" w:afterAutospacing="0" w:line="360" w:lineRule="auto"/>
        <w:jc w:val="center"/>
        <w:rPr>
          <w:rFonts w:hint="eastAsia" w:ascii="宋体" w:hAnsi="宋体" w:eastAsia="宋体" w:cs="宋体"/>
          <w:b/>
          <w:color w:val="auto"/>
          <w:sz w:val="21"/>
          <w:szCs w:val="21"/>
          <w:highlight w:val="none"/>
          <w:lang w:bidi="ar"/>
        </w:rPr>
      </w:pPr>
    </w:p>
    <w:p>
      <w:pPr>
        <w:widowControl/>
        <w:autoSpaceDE w:val="0"/>
        <w:autoSpaceDN w:val="0"/>
        <w:spacing w:before="120" w:after="120" w:line="360" w:lineRule="auto"/>
        <w:ind w:right="781" w:rightChars="372" w:firstLine="422" w:firstLineChars="200"/>
        <w:jc w:val="center"/>
        <w:textAlignment w:val="bottom"/>
        <w:outlineLvl w:val="9"/>
        <w:rPr>
          <w:rFonts w:hint="eastAsia" w:ascii="宋体" w:hAnsi="宋体" w:eastAsia="宋体" w:cs="宋体"/>
          <w:b/>
          <w:bCs/>
          <w:color w:val="auto"/>
          <w:sz w:val="21"/>
          <w:szCs w:val="21"/>
          <w:highlight w:val="none"/>
          <w:u w:val="single"/>
          <w:lang w:bidi="ar"/>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 法定代表人、被授权人身份证</w:t>
      </w:r>
      <w:r>
        <w:rPr>
          <w:rFonts w:hint="eastAsia" w:ascii="宋体" w:hAnsi="宋体" w:eastAsia="宋体" w:cs="宋体"/>
          <w:color w:val="auto"/>
          <w:szCs w:val="24"/>
          <w:highlight w:val="none"/>
          <w:lang w:eastAsia="zh-CN"/>
        </w:rPr>
        <w:t>扫描件</w:t>
      </w: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hE&#10;D3nZAAAACgEAAA8AAAAAAAAAAQAgAAAAIgAAAGRycy9kb3ducmV2LnhtbFBLAQIUABQAAAAIAIdO&#10;4kAnDRSjIgIAADoEAAAOAAAAAAAAAAEAIAAAACgBAABkcnMvZTJvRG9jLnhtbFBLBQYAAAAABgAG&#10;AFkBAAC8BQ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K7&#10;5djYAAAACQEAAA8AAAAAAAAAAQAgAAAAIgAAAGRycy9kb3ducmV2LnhtbFBLAQIUABQAAAAIAIdO&#10;4kBgocodIwIAADoEAAAOAAAAAAAAAAEAIAAAACcBAABkcnMvZTJvRG9jLnhtbFBLBQYAAAAABgAG&#10;AFkBAAC8BQ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2B8iPZAAAACgEAAA8AAAAAAAAAAQAgAAAAIgAAAGRycy9kb3ducmV2LnhtbFBLAQIUABQAAAAI&#10;AIdO4kATZE6eJQIAADoEAAAOAAAAAAAAAAEAIAAAACgBAABkcnMvZTJvRG9jLnhtbFBLBQYAAAAA&#10;BgAGAFkBAAC/BQ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xUQJ9gAAAAJAQAADwAAAAAAAAABACAAAAAiAAAAZHJzL2Rvd25yZXYueG1sUEsBAhQAFAAA&#10;AAgAh07iQEuZ/psoAgAAOgQAAA4AAAAAAAAAAQAgAAAAJwEAAGRycy9lMm9Eb2MueG1sUEsFBgAA&#10;AAAGAAYAWQEAAME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pPr>
        <w:rPr>
          <w:rFonts w:hint="eastAsia"/>
          <w:color w:val="auto"/>
          <w:highlight w:val="none"/>
        </w:rPr>
      </w:pPr>
    </w:p>
    <w:p>
      <w:pPr>
        <w:pStyle w:val="15"/>
        <w:rPr>
          <w:rFonts w:hint="eastAsia"/>
          <w:color w:val="auto"/>
          <w:highlight w:val="none"/>
        </w:rPr>
        <w:sectPr>
          <w:footerReference r:id="rId11" w:type="first"/>
          <w:footerReference r:id="rId10" w:type="default"/>
          <w:pgSz w:w="12240" w:h="15840"/>
          <w:pgMar w:top="1191" w:right="1043" w:bottom="1191" w:left="1043" w:header="720" w:footer="720" w:gutter="0"/>
          <w:cols w:space="720" w:num="1"/>
          <w:titlePg/>
          <w:docGrid w:linePitch="326" w:charSpace="0"/>
        </w:sectPr>
      </w:pPr>
    </w:p>
    <w:p>
      <w:pPr>
        <w:pStyle w:val="5"/>
        <w:pageBreakBefore/>
        <w:spacing w:line="360" w:lineRule="auto"/>
        <w:rPr>
          <w:rFonts w:hint="eastAsia" w:ascii="宋体" w:hAnsi="宋体" w:eastAsia="宋体" w:cs="宋体"/>
          <w:b/>
          <w:bCs/>
          <w:color w:val="auto"/>
          <w:kern w:val="2"/>
          <w:sz w:val="32"/>
          <w:szCs w:val="32"/>
          <w:highlight w:val="none"/>
          <w:lang w:val="zh-CN"/>
        </w:rPr>
      </w:pPr>
      <w:bookmarkStart w:id="714" w:name="_Toc6531"/>
      <w:bookmarkStart w:id="715" w:name="_Toc5998"/>
      <w:bookmarkStart w:id="716" w:name="_Toc142854322"/>
      <w:bookmarkStart w:id="717" w:name="_Toc19284"/>
      <w:bookmarkStart w:id="718" w:name="_Toc146642418"/>
      <w:bookmarkStart w:id="719" w:name="_Toc25353"/>
      <w:bookmarkStart w:id="720" w:name="_Toc29643"/>
      <w:bookmarkStart w:id="721" w:name="_Toc78709782"/>
      <w:bookmarkStart w:id="722" w:name="_Toc12400"/>
      <w:bookmarkStart w:id="723" w:name="_Toc15716"/>
      <w:bookmarkStart w:id="724" w:name="_Toc32328"/>
      <w:bookmarkStart w:id="725" w:name="_Toc94107214"/>
      <w:bookmarkStart w:id="726" w:name="_Toc140596933"/>
      <w:bookmarkStart w:id="727" w:name="_Toc142508373"/>
      <w:bookmarkStart w:id="728" w:name="_Toc1977730"/>
      <w:bookmarkStart w:id="729" w:name="_Toc104991880"/>
      <w:r>
        <w:rPr>
          <w:rFonts w:hint="eastAsia" w:ascii="宋体" w:hAnsi="宋体" w:eastAsia="宋体" w:cs="宋体"/>
          <w:b/>
          <w:bCs/>
          <w:color w:val="auto"/>
          <w:kern w:val="2"/>
          <w:sz w:val="32"/>
          <w:szCs w:val="32"/>
          <w:highlight w:val="none"/>
          <w:lang w:val="en-US" w:eastAsia="zh-CN"/>
        </w:rPr>
        <w:t>4.4</w:t>
      </w:r>
      <w:r>
        <w:rPr>
          <w:rFonts w:hint="eastAsia" w:ascii="宋体" w:hAnsi="宋体" w:eastAsia="宋体" w:cs="宋体"/>
          <w:b/>
          <w:bCs/>
          <w:color w:val="auto"/>
          <w:kern w:val="2"/>
          <w:sz w:val="32"/>
          <w:szCs w:val="32"/>
          <w:highlight w:val="none"/>
          <w:lang w:val="zh-CN"/>
        </w:rPr>
        <w:t xml:space="preserve"> 制造商资格声明和独家授权销售及售后服务承诺函（若投标人为制造商，必须提供制造商资格声明；若投标人为经销商，必须提供制造商资格声明和投标产品制造商出具的《独家授权销售及售后服务承诺函》）</w:t>
      </w:r>
      <w:bookmarkEnd w:id="714"/>
      <w:bookmarkEnd w:id="715"/>
      <w:bookmarkEnd w:id="716"/>
      <w:bookmarkEnd w:id="717"/>
      <w:bookmarkEnd w:id="718"/>
      <w:bookmarkEnd w:id="719"/>
      <w:bookmarkEnd w:id="720"/>
      <w:bookmarkEnd w:id="721"/>
    </w:p>
    <w:p>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pPr>
        <w:snapToGrid w:val="0"/>
        <w:spacing w:line="360" w:lineRule="auto"/>
        <w:outlineLvl w:val="9"/>
        <w:rPr>
          <w:rFonts w:hint="eastAsia" w:ascii="宋体" w:hAnsi="宋体" w:eastAsia="宋体" w:cs="宋体"/>
          <w:color w:val="auto"/>
          <w:sz w:val="21"/>
          <w:szCs w:val="21"/>
          <w:highlight w:val="none"/>
        </w:rPr>
      </w:pPr>
      <w:bookmarkStart w:id="730" w:name="_Toc9517"/>
      <w:bookmarkStart w:id="731" w:name="_Toc22921"/>
      <w:r>
        <w:rPr>
          <w:rFonts w:hint="eastAsia" w:ascii="宋体" w:hAnsi="宋体" w:eastAsia="宋体" w:cs="宋体"/>
          <w:color w:val="auto"/>
          <w:sz w:val="21"/>
          <w:szCs w:val="21"/>
          <w:highlight w:val="none"/>
        </w:rPr>
        <w:t>1、名称及概况：</w:t>
      </w:r>
      <w:bookmarkEnd w:id="730"/>
      <w:bookmarkEnd w:id="731"/>
    </w:p>
    <w:p>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pPr>
        <w:snapToGrid w:val="0"/>
        <w:spacing w:line="360" w:lineRule="auto"/>
        <w:outlineLvl w:val="9"/>
        <w:rPr>
          <w:rFonts w:hint="eastAsia" w:ascii="宋体" w:hAnsi="宋体" w:eastAsia="宋体" w:cs="宋体"/>
          <w:color w:val="auto"/>
          <w:sz w:val="21"/>
          <w:szCs w:val="21"/>
          <w:highlight w:val="none"/>
        </w:rPr>
      </w:pPr>
      <w:bookmarkStart w:id="732" w:name="_Toc16365"/>
      <w:bookmarkStart w:id="733" w:name="_Toc766"/>
      <w:r>
        <w:rPr>
          <w:rFonts w:hint="eastAsia" w:ascii="宋体" w:hAnsi="宋体" w:eastAsia="宋体" w:cs="宋体"/>
          <w:color w:val="auto"/>
          <w:sz w:val="21"/>
          <w:szCs w:val="21"/>
          <w:highlight w:val="none"/>
        </w:rPr>
        <w:t>2、制造投标货物的主要设备、设施及有关情况：</w:t>
      </w:r>
      <w:bookmarkEnd w:id="732"/>
      <w:bookmarkEnd w:id="733"/>
    </w:p>
    <w:tbl>
      <w:tblPr>
        <w:tblStyle w:val="44"/>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763"/>
        <w:gridCol w:w="2450"/>
        <w:gridCol w:w="1325"/>
        <w:gridCol w:w="1288"/>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1730"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63"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2450"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主要生产（存储、运输）设备设施名称及数量</w:t>
            </w:r>
          </w:p>
        </w:tc>
        <w:tc>
          <w:tcPr>
            <w:tcW w:w="1325"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88"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25"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730"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763"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2450"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325"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225" w:type="dxa"/>
            <w:vAlign w:val="center"/>
          </w:tcPr>
          <w:p>
            <w:pPr>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730"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63"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2450"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325"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225" w:type="dxa"/>
            <w:vAlign w:val="center"/>
          </w:tcPr>
          <w:p>
            <w:pPr>
              <w:snapToGrid w:val="0"/>
              <w:spacing w:line="360" w:lineRule="auto"/>
              <w:jc w:val="center"/>
              <w:rPr>
                <w:rFonts w:hint="eastAsia" w:ascii="宋体" w:hAnsi="宋体" w:eastAsia="宋体" w:cs="宋体"/>
                <w:color w:val="auto"/>
                <w:sz w:val="21"/>
                <w:szCs w:val="21"/>
                <w:highlight w:val="none"/>
              </w:rPr>
            </w:pPr>
          </w:p>
        </w:tc>
      </w:tr>
    </w:tbl>
    <w:p>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44"/>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3"/>
        <w:gridCol w:w="3400"/>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3393"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主要材料名称</w:t>
            </w:r>
          </w:p>
        </w:tc>
        <w:tc>
          <w:tcPr>
            <w:tcW w:w="3400"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2988" w:type="dxa"/>
            <w:vAlign w:val="center"/>
          </w:tcPr>
          <w:p>
            <w:pPr>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3393"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3400"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2988" w:type="dxa"/>
            <w:vAlign w:val="center"/>
          </w:tcPr>
          <w:p>
            <w:pPr>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3393"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00"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2988" w:type="dxa"/>
            <w:vAlign w:val="center"/>
          </w:tcPr>
          <w:p>
            <w:pPr>
              <w:snapToGrid w:val="0"/>
              <w:spacing w:line="360" w:lineRule="auto"/>
              <w:jc w:val="center"/>
              <w:rPr>
                <w:rFonts w:hint="eastAsia" w:ascii="宋体" w:hAnsi="宋体" w:eastAsia="宋体" w:cs="宋体"/>
                <w:color w:val="auto"/>
                <w:sz w:val="21"/>
                <w:szCs w:val="21"/>
                <w:highlight w:val="none"/>
              </w:rPr>
            </w:pPr>
          </w:p>
        </w:tc>
      </w:tr>
    </w:tbl>
    <w:p>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44"/>
        <w:tblW w:w="9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3"/>
        <w:gridCol w:w="340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3"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400" w:type="dxa"/>
            <w:vAlign w:val="center"/>
          </w:tcPr>
          <w:p>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00" w:type="dxa"/>
            <w:vAlign w:val="center"/>
          </w:tcPr>
          <w:p>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393"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3400" w:type="dxa"/>
            <w:vAlign w:val="center"/>
          </w:tcPr>
          <w:p>
            <w:pPr>
              <w:snapToGrid w:val="0"/>
              <w:spacing w:line="360" w:lineRule="auto"/>
              <w:ind w:left="342"/>
              <w:jc w:val="center"/>
              <w:rPr>
                <w:rFonts w:hint="eastAsia" w:ascii="宋体" w:hAnsi="宋体" w:eastAsia="宋体" w:cs="宋体"/>
                <w:snapToGrid w:val="0"/>
                <w:color w:val="auto"/>
                <w:sz w:val="21"/>
                <w:szCs w:val="21"/>
                <w:highlight w:val="none"/>
              </w:rPr>
            </w:pPr>
          </w:p>
        </w:tc>
        <w:tc>
          <w:tcPr>
            <w:tcW w:w="3000" w:type="dxa"/>
            <w:vAlign w:val="center"/>
          </w:tcPr>
          <w:p>
            <w:pPr>
              <w:snapToGrid w:val="0"/>
              <w:spacing w:line="360" w:lineRule="auto"/>
              <w:ind w:left="342"/>
              <w:jc w:val="center"/>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393" w:type="dxa"/>
            <w:vAlign w:val="center"/>
          </w:tcPr>
          <w:p>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400" w:type="dxa"/>
            <w:vAlign w:val="center"/>
          </w:tcPr>
          <w:p>
            <w:pPr>
              <w:snapToGrid w:val="0"/>
              <w:spacing w:line="360" w:lineRule="auto"/>
              <w:ind w:left="357"/>
              <w:jc w:val="center"/>
              <w:rPr>
                <w:rFonts w:hint="eastAsia" w:ascii="宋体" w:hAnsi="宋体" w:eastAsia="宋体" w:cs="宋体"/>
                <w:snapToGrid w:val="0"/>
                <w:color w:val="auto"/>
                <w:sz w:val="21"/>
                <w:szCs w:val="21"/>
                <w:highlight w:val="none"/>
              </w:rPr>
            </w:pPr>
          </w:p>
        </w:tc>
        <w:tc>
          <w:tcPr>
            <w:tcW w:w="3000" w:type="dxa"/>
            <w:vAlign w:val="center"/>
          </w:tcPr>
          <w:p>
            <w:pPr>
              <w:snapToGrid w:val="0"/>
              <w:spacing w:line="360" w:lineRule="auto"/>
              <w:ind w:left="357"/>
              <w:jc w:val="center"/>
              <w:rPr>
                <w:rFonts w:hint="eastAsia" w:ascii="宋体" w:hAnsi="宋体" w:eastAsia="宋体" w:cs="宋体"/>
                <w:snapToGrid w:val="0"/>
                <w:color w:val="auto"/>
                <w:sz w:val="21"/>
                <w:szCs w:val="21"/>
                <w:highlight w:val="none"/>
              </w:rPr>
            </w:pPr>
          </w:p>
        </w:tc>
      </w:tr>
    </w:tbl>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44"/>
        <w:tblW w:w="9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265"/>
        <w:gridCol w:w="800"/>
        <w:gridCol w:w="172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666"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96"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92"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92"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92"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165"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所学专业</w:t>
            </w:r>
          </w:p>
        </w:tc>
        <w:tc>
          <w:tcPr>
            <w:tcW w:w="1265"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资格/职称证书</w:t>
            </w:r>
          </w:p>
        </w:tc>
        <w:tc>
          <w:tcPr>
            <w:tcW w:w="800"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725"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900"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666"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196"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165"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265"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800"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725"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pPr>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66" w:type="dxa"/>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96"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165"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265"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800"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1725" w:type="dxa"/>
            <w:vAlign w:val="center"/>
          </w:tcPr>
          <w:p>
            <w:p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pPr>
              <w:snapToGrid w:val="0"/>
              <w:spacing w:line="360" w:lineRule="auto"/>
              <w:jc w:val="center"/>
              <w:rPr>
                <w:rFonts w:hint="eastAsia" w:ascii="宋体" w:hAnsi="宋体" w:eastAsia="宋体" w:cs="宋体"/>
                <w:color w:val="auto"/>
                <w:sz w:val="21"/>
                <w:szCs w:val="21"/>
                <w:highlight w:val="none"/>
              </w:rPr>
            </w:pPr>
          </w:p>
        </w:tc>
      </w:tr>
    </w:tbl>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pPr>
        <w:pStyle w:val="21"/>
        <w:snapToGrid w:val="0"/>
        <w:spacing w:line="360" w:lineRule="auto"/>
        <w:ind w:left="0" w:leftChars="0"/>
        <w:rPr>
          <w:rFonts w:hint="eastAsia" w:ascii="宋体" w:hAnsi="宋体" w:eastAsia="宋体" w:cs="宋体"/>
          <w:color w:val="auto"/>
          <w:sz w:val="21"/>
          <w:szCs w:val="21"/>
          <w:highlight w:val="none"/>
        </w:rPr>
      </w:pPr>
    </w:p>
    <w:p>
      <w:pPr>
        <w:pStyle w:val="21"/>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兹证明上述声明是真实的、正确的，并提供了全部能提供的资料和数据，我们同意遵照贵方要求出示有关证明文件。</w:t>
      </w:r>
    </w:p>
    <w:p>
      <w:pPr>
        <w:pStyle w:val="21"/>
        <w:snapToGrid w:val="0"/>
        <w:spacing w:line="360" w:lineRule="auto"/>
        <w:ind w:left="0" w:leftChars="0"/>
        <w:rPr>
          <w:rFonts w:hint="eastAsia" w:ascii="宋体" w:hAnsi="宋体" w:eastAsia="宋体" w:cs="宋体"/>
          <w:color w:val="auto"/>
          <w:sz w:val="21"/>
          <w:szCs w:val="21"/>
          <w:highlight w:val="none"/>
        </w:rPr>
      </w:pPr>
    </w:p>
    <w:p>
      <w:pPr>
        <w:pStyle w:val="21"/>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制造商名称：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（同时加盖制造商法人公章）</w:t>
      </w:r>
    </w:p>
    <w:p>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pPr>
        <w:pStyle w:val="21"/>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pPr>
        <w:pStyle w:val="21"/>
        <w:snapToGrid w:val="0"/>
        <w:spacing w:line="360" w:lineRule="auto"/>
        <w:ind w:left="0" w:leftChars="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pPr>
        <w:pStyle w:val="21"/>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pStyle w:val="21"/>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pPr>
        <w:pStyle w:val="21"/>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pPr>
        <w:pStyle w:val="21"/>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pPr>
        <w:pStyle w:val="21"/>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pStyle w:val="3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2" w:firstLineChars="200"/>
        <w:jc w:val="left"/>
        <w:textAlignment w:val="auto"/>
        <w:rPr>
          <w:rFonts w:hint="eastAsia" w:eastAsia="宋体" w:cs="宋体"/>
          <w:b/>
          <w:color w:val="auto"/>
          <w:sz w:val="21"/>
          <w:szCs w:val="21"/>
          <w:highlight w:val="none"/>
          <w:lang w:bidi="ar"/>
        </w:rPr>
      </w:pPr>
    </w:p>
    <w:p>
      <w:pPr>
        <w:pStyle w:val="3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2" w:firstLineChars="200"/>
        <w:jc w:val="left"/>
        <w:textAlignment w:val="auto"/>
        <w:rPr>
          <w:color w:val="auto"/>
          <w:highlight w:val="none"/>
        </w:rPr>
      </w:pPr>
      <w:r>
        <w:rPr>
          <w:rFonts w:hint="eastAsia" w:eastAsia="宋体" w:cs="宋体"/>
          <w:b/>
          <w:color w:val="auto"/>
          <w:sz w:val="21"/>
          <w:szCs w:val="21"/>
          <w:highlight w:val="none"/>
          <w:lang w:bidi="ar"/>
        </w:rPr>
        <w:t>备注: 制造商资格声明必须提供原件扫描件</w:t>
      </w:r>
      <w:r>
        <w:rPr>
          <w:rFonts w:hint="eastAsia" w:eastAsia="宋体" w:cs="宋体"/>
          <w:b/>
          <w:color w:val="auto"/>
          <w:sz w:val="21"/>
          <w:szCs w:val="21"/>
          <w:highlight w:val="none"/>
          <w:lang w:eastAsia="zh-CN" w:bidi="ar"/>
        </w:rPr>
        <w:t>，扫描件上传后需由投标人使用投标人的企业数字证书电子签名。出具本声明的产品制造商为境内工商注册的产品制造商时，本资格声明每页需加盖其法人公章；出具本声明的产品制造商为境外注册的产品制造商时，本资格声明每页由其法定代表人签名(或盖私章)代替加盖公章</w:t>
      </w:r>
      <w:r>
        <w:rPr>
          <w:rFonts w:hint="eastAsia" w:eastAsia="宋体" w:cs="宋体"/>
          <w:b/>
          <w:color w:val="auto"/>
          <w:sz w:val="21"/>
          <w:szCs w:val="21"/>
          <w:highlight w:val="none"/>
          <w:lang w:bidi="ar"/>
        </w:rPr>
        <w:t>。</w:t>
      </w:r>
    </w:p>
    <w:p>
      <w:pPr>
        <w:widowControl/>
        <w:autoSpaceDE/>
        <w:autoSpaceDN/>
        <w:adjustRightInd/>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br w:type="page"/>
      </w:r>
      <w:bookmarkStart w:id="734" w:name="_Toc32538"/>
      <w:bookmarkStart w:id="735" w:name="_Toc11984"/>
      <w:r>
        <w:rPr>
          <w:rFonts w:hint="eastAsia" w:ascii="宋体" w:hAnsi="宋体" w:eastAsia="宋体" w:cs="宋体"/>
          <w:b/>
          <w:bCs/>
          <w:color w:val="auto"/>
          <w:kern w:val="2"/>
          <w:sz w:val="30"/>
          <w:szCs w:val="30"/>
          <w:highlight w:val="none"/>
          <w:lang w:val="zh-CN"/>
        </w:rPr>
        <w:t>独家授权销售及售后服务承诺函</w:t>
      </w:r>
      <w:bookmarkEnd w:id="734"/>
      <w:bookmarkEnd w:id="735"/>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东莞市尚源环能科技有限公司</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（投标产品制造商名称）   </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lang w:eastAsia="zh-CN"/>
        </w:rPr>
        <w:t>东莞市污泥集中处理处置项目小苏打采购项目</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z w:val="21"/>
          <w:szCs w:val="21"/>
          <w:highlight w:val="none"/>
          <w:lang w:eastAsia="zh-CN"/>
        </w:rPr>
        <w:t>东莞市污泥集中处理处置项目小苏打采购项目</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pPr>
        <w:spacing w:line="360" w:lineRule="auto"/>
        <w:ind w:firstLine="420" w:firstLineChars="200"/>
        <w:rPr>
          <w:rFonts w:hint="eastAsia" w:ascii="宋体" w:hAnsi="宋体" w:eastAsia="宋体" w:cs="宋体"/>
          <w:color w:val="auto"/>
          <w:sz w:val="21"/>
          <w:szCs w:val="21"/>
          <w:highlight w:val="none"/>
        </w:rPr>
      </w:pPr>
      <w:bookmarkStart w:id="736" w:name="_Toc17530"/>
      <w:bookmarkStart w:id="737" w:name="_Toc32502"/>
      <w:r>
        <w:rPr>
          <w:rFonts w:hint="eastAsia" w:ascii="宋体" w:hAnsi="宋体" w:eastAsia="宋体" w:cs="宋体"/>
          <w:color w:val="auto"/>
          <w:sz w:val="21"/>
          <w:szCs w:val="21"/>
          <w:highlight w:val="none"/>
        </w:rPr>
        <w:t>3、我方保证：我方提供的产品既非试验产品也非积压产品。</w:t>
      </w:r>
      <w:bookmarkEnd w:id="736"/>
      <w:bookmarkEnd w:id="737"/>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4、我方承诺将及时提醒贵方关注：相关产品的生产、供货、售后服务以及性能等方面的重大变更。</w:t>
      </w:r>
    </w:p>
    <w:p>
      <w:pPr>
        <w:spacing w:line="360" w:lineRule="auto"/>
        <w:ind w:firstLine="420" w:firstLineChars="200"/>
        <w:rPr>
          <w:rFonts w:hint="eastAsia" w:ascii="宋体" w:hAnsi="宋体" w:eastAsia="宋体" w:cs="宋体"/>
          <w:color w:val="auto"/>
          <w:sz w:val="21"/>
          <w:szCs w:val="21"/>
          <w:highlight w:val="none"/>
          <w:lang w:val="zh-CN"/>
        </w:rPr>
      </w:pPr>
      <w:bookmarkStart w:id="738" w:name="_Toc18926"/>
      <w:bookmarkStart w:id="739" w:name="_Toc15693"/>
      <w:r>
        <w:rPr>
          <w:rFonts w:hint="eastAsia" w:ascii="宋体" w:hAnsi="宋体" w:eastAsia="宋体" w:cs="宋体"/>
          <w:color w:val="auto"/>
          <w:sz w:val="21"/>
          <w:szCs w:val="21"/>
          <w:highlight w:val="none"/>
          <w:lang w:val="zh-CN"/>
        </w:rPr>
        <w:t>5、本授权函不得进行二次授权或转授权，否则无效。</w:t>
      </w:r>
      <w:bookmarkEnd w:id="738"/>
      <w:bookmarkEnd w:id="739"/>
    </w:p>
    <w:p>
      <w:pPr>
        <w:spacing w:line="360" w:lineRule="auto"/>
        <w:ind w:right="893"/>
        <w:jc w:val="both"/>
        <w:rPr>
          <w:rFonts w:hint="eastAsia" w:ascii="宋体" w:hAnsi="宋体" w:eastAsia="宋体" w:cs="宋体"/>
          <w:color w:val="auto"/>
          <w:kern w:val="2"/>
          <w:sz w:val="21"/>
          <w:szCs w:val="21"/>
          <w:highlight w:val="none"/>
          <w:lang w:val="zh-CN"/>
        </w:rPr>
      </w:pPr>
    </w:p>
    <w:p>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pPr>
        <w:outlineLvl w:val="9"/>
        <w:rPr>
          <w:rFonts w:hint="eastAsia" w:ascii="宋体" w:hAnsi="宋体" w:eastAsia="宋体" w:cs="宋体"/>
          <w:color w:val="auto"/>
          <w:kern w:val="2"/>
          <w:sz w:val="21"/>
          <w:szCs w:val="21"/>
          <w:highlight w:val="none"/>
          <w:lang w:val="zh-CN"/>
        </w:rPr>
      </w:pPr>
    </w:p>
    <w:p>
      <w:pPr>
        <w:rPr>
          <w:rFonts w:hint="eastAsia" w:ascii="宋体" w:hAnsi="宋体" w:eastAsia="宋体" w:cs="宋体"/>
          <w:color w:val="auto"/>
          <w:kern w:val="2"/>
          <w:sz w:val="21"/>
          <w:szCs w:val="21"/>
          <w:highlight w:val="none"/>
          <w:lang w:val="zh-CN"/>
        </w:rPr>
      </w:pPr>
    </w:p>
    <w:p>
      <w:pPr>
        <w:spacing w:line="360" w:lineRule="auto"/>
        <w:ind w:firstLine="422" w:firstLineChars="200"/>
        <w:jc w:val="left"/>
        <w:rPr>
          <w:rFonts w:hint="eastAsia" w:ascii="宋体" w:hAnsi="宋体" w:eastAsia="宋体" w:cs="宋体"/>
          <w:color w:val="auto"/>
          <w:kern w:val="2"/>
          <w:sz w:val="21"/>
          <w:szCs w:val="21"/>
          <w:highlight w:val="none"/>
          <w:lang w:val="zh-CN"/>
        </w:rPr>
      </w:pPr>
      <w:r>
        <w:rPr>
          <w:rFonts w:hint="eastAsia" w:ascii="宋体" w:hAnsi="宋体" w:eastAsia="宋体" w:cs="宋体"/>
          <w:b/>
          <w:color w:val="auto"/>
          <w:szCs w:val="21"/>
          <w:highlight w:val="none"/>
          <w:lang w:bidi="ar"/>
        </w:rPr>
        <w:t>备注：</w:t>
      </w:r>
      <w:r>
        <w:rPr>
          <w:rFonts w:hint="eastAsia" w:ascii="宋体" w:hAnsi="宋体" w:eastAsia="宋体" w:cs="Times New Roman"/>
          <w:color w:val="auto"/>
          <w:szCs w:val="21"/>
          <w:highlight w:val="none"/>
          <w:lang w:bidi="ar"/>
        </w:rPr>
        <w:t xml:space="preserve"> </w:t>
      </w:r>
      <w:r>
        <w:rPr>
          <w:rFonts w:hint="eastAsia" w:ascii="宋体" w:hAnsi="宋体" w:eastAsia="宋体" w:cs="宋体"/>
          <w:b/>
          <w:color w:val="auto"/>
          <w:szCs w:val="21"/>
          <w:highlight w:val="none"/>
          <w:lang w:bidi="ar"/>
        </w:rPr>
        <w:t>投标文件内必须提供</w:t>
      </w:r>
      <w:r>
        <w:rPr>
          <w:rFonts w:hint="eastAsia" w:ascii="宋体" w:hAnsi="宋体" w:eastAsia="宋体" w:cs="宋体"/>
          <w:b/>
          <w:color w:val="auto"/>
          <w:szCs w:val="21"/>
          <w:highlight w:val="none"/>
          <w:lang w:eastAsia="zh-CN" w:bidi="ar"/>
        </w:rPr>
        <w:t>扫描件</w:t>
      </w:r>
      <w:r>
        <w:rPr>
          <w:rFonts w:hint="eastAsia" w:ascii="宋体" w:hAnsi="宋体" w:eastAsia="宋体" w:cs="宋体"/>
          <w:b/>
          <w:color w:val="auto"/>
          <w:szCs w:val="21"/>
          <w:highlight w:val="none"/>
          <w:lang w:bidi="ar"/>
        </w:rPr>
        <w:t>，</w:t>
      </w:r>
      <w:r>
        <w:rPr>
          <w:rFonts w:hint="eastAsia" w:eastAsia="宋体" w:cs="宋体"/>
          <w:b/>
          <w:color w:val="auto"/>
          <w:sz w:val="21"/>
          <w:szCs w:val="21"/>
          <w:highlight w:val="none"/>
          <w:lang w:eastAsia="zh-CN" w:bidi="ar"/>
        </w:rPr>
        <w:t>扫描件上传后需由投标人使用投标人的企业数字证书电子签名。</w:t>
      </w:r>
      <w:r>
        <w:rPr>
          <w:rFonts w:hint="eastAsia" w:ascii="宋体" w:hAnsi="宋体" w:eastAsia="宋体" w:cs="宋体"/>
          <w:b/>
          <w:color w:val="auto"/>
          <w:szCs w:val="21"/>
          <w:highlight w:val="none"/>
          <w:lang w:bidi="ar"/>
        </w:rPr>
        <w:t>出具本声明的办事机构为在境内工商注册的办事机构时，本资格声明每页需加盖其公章；出具本声明的办事机构为未在境内工商注册的办事机构时，本资格声明每页由其法定代表人签名(或盖私章)代替加盖公章。</w:t>
      </w:r>
    </w:p>
    <w:p>
      <w:pPr>
        <w:pStyle w:val="5"/>
        <w:pageBreakBefore/>
        <w:spacing w:line="360" w:lineRule="auto"/>
        <w:rPr>
          <w:rFonts w:hint="eastAsia" w:ascii="宋体" w:hAnsi="宋体" w:eastAsia="宋体" w:cs="宋体"/>
          <w:b/>
          <w:color w:val="auto"/>
          <w:sz w:val="30"/>
          <w:szCs w:val="30"/>
          <w:highlight w:val="none"/>
          <w:lang w:val="zh-CN" w:eastAsia="zh-CN"/>
        </w:rPr>
      </w:pPr>
      <w:bookmarkStart w:id="740" w:name="_Toc16718"/>
      <w:bookmarkStart w:id="741" w:name="_Toc23386"/>
      <w:bookmarkStart w:id="742" w:name="_Toc21968"/>
      <w:bookmarkStart w:id="743" w:name="_Toc31462"/>
      <w:bookmarkStart w:id="744" w:name="_Toc13411"/>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0"/>
          <w:szCs w:val="30"/>
          <w:highlight w:val="none"/>
        </w:rPr>
        <w:t>资格业绩</w:t>
      </w:r>
      <w:r>
        <w:rPr>
          <w:rFonts w:hint="eastAsia" w:ascii="宋体" w:hAnsi="宋体" w:eastAsia="宋体" w:cs="宋体"/>
          <w:b/>
          <w:bCs/>
          <w:color w:val="auto"/>
          <w:sz w:val="30"/>
          <w:szCs w:val="30"/>
          <w:highlight w:val="none"/>
        </w:rPr>
        <w:t>【投标人</w:t>
      </w:r>
      <w:r>
        <w:rPr>
          <w:rFonts w:hint="eastAsia" w:ascii="宋体" w:hAnsi="宋体" w:eastAsia="宋体" w:cs="宋体"/>
          <w:b/>
          <w:bCs/>
          <w:color w:val="auto"/>
          <w:sz w:val="30"/>
          <w:szCs w:val="30"/>
          <w:highlight w:val="none"/>
          <w:lang w:val="en-US" w:eastAsia="zh-CN"/>
        </w:rPr>
        <w:t>2023年1月1日</w:t>
      </w:r>
      <w:r>
        <w:rPr>
          <w:rFonts w:hint="eastAsia" w:ascii="宋体" w:hAnsi="宋体" w:eastAsia="宋体" w:cs="宋体"/>
          <w:b/>
          <w:bCs/>
          <w:color w:val="auto"/>
          <w:sz w:val="30"/>
          <w:szCs w:val="30"/>
          <w:highlight w:val="none"/>
        </w:rPr>
        <w:t>以来具有一</w:t>
      </w:r>
      <w:r>
        <w:rPr>
          <w:rFonts w:hint="eastAsia" w:ascii="宋体" w:hAnsi="宋体" w:eastAsia="宋体" w:cs="宋体"/>
          <w:b/>
          <w:bCs/>
          <w:color w:val="auto"/>
          <w:sz w:val="30"/>
          <w:szCs w:val="30"/>
          <w:highlight w:val="none"/>
          <w:lang w:val="en-US" w:eastAsia="zh-CN"/>
        </w:rPr>
        <w:t>份</w:t>
      </w:r>
      <w:r>
        <w:rPr>
          <w:rFonts w:hint="eastAsia" w:ascii="宋体" w:hAnsi="宋体" w:eastAsia="宋体" w:cs="宋体"/>
          <w:b/>
          <w:bCs/>
          <w:color w:val="auto"/>
          <w:sz w:val="30"/>
          <w:szCs w:val="30"/>
          <w:highlight w:val="none"/>
        </w:rPr>
        <w:t>投标品牌</w:t>
      </w:r>
      <w:r>
        <w:rPr>
          <w:rFonts w:hint="eastAsia" w:ascii="宋体" w:hAnsi="宋体" w:eastAsia="宋体" w:cs="宋体"/>
          <w:b/>
          <w:bCs/>
          <w:color w:val="auto"/>
          <w:sz w:val="30"/>
          <w:szCs w:val="30"/>
          <w:highlight w:val="none"/>
          <w:lang w:val="en-US" w:eastAsia="zh-CN"/>
        </w:rPr>
        <w:t>的小苏打</w:t>
      </w:r>
      <w:r>
        <w:rPr>
          <w:rFonts w:hint="eastAsia" w:ascii="宋体" w:hAnsi="宋体" w:eastAsia="宋体" w:cs="宋体"/>
          <w:b/>
          <w:bCs/>
          <w:color w:val="auto"/>
          <w:sz w:val="30"/>
          <w:szCs w:val="30"/>
          <w:highlight w:val="none"/>
        </w:rPr>
        <w:t>供货业绩（合同签订日期为</w:t>
      </w:r>
      <w:r>
        <w:rPr>
          <w:rFonts w:hint="eastAsia" w:ascii="宋体" w:hAnsi="宋体" w:eastAsia="宋体" w:cs="宋体"/>
          <w:b/>
          <w:bCs/>
          <w:color w:val="auto"/>
          <w:sz w:val="30"/>
          <w:szCs w:val="30"/>
          <w:highlight w:val="none"/>
          <w:lang w:val="en-US" w:eastAsia="zh-CN"/>
        </w:rPr>
        <w:t>2023年1月1日</w:t>
      </w:r>
      <w:r>
        <w:rPr>
          <w:rFonts w:hint="eastAsia" w:ascii="宋体" w:hAnsi="宋体" w:eastAsia="宋体" w:cs="宋体"/>
          <w:b/>
          <w:bCs/>
          <w:color w:val="auto"/>
          <w:sz w:val="30"/>
          <w:szCs w:val="30"/>
          <w:highlight w:val="none"/>
        </w:rPr>
        <w:t>或以后）</w:t>
      </w:r>
      <w:bookmarkEnd w:id="740"/>
      <w:bookmarkEnd w:id="741"/>
      <w:bookmarkEnd w:id="742"/>
      <w:bookmarkEnd w:id="743"/>
      <w:r>
        <w:rPr>
          <w:rFonts w:hint="eastAsia" w:ascii="宋体" w:hAnsi="宋体" w:eastAsia="宋体" w:cs="宋体"/>
          <w:b/>
          <w:bCs/>
          <w:color w:val="auto"/>
          <w:sz w:val="30"/>
          <w:szCs w:val="30"/>
          <w:highlight w:val="none"/>
          <w:lang w:eastAsia="zh-CN"/>
        </w:rPr>
        <w:t>】</w:t>
      </w:r>
      <w:bookmarkEnd w:id="744"/>
    </w:p>
    <w:p>
      <w:pPr>
        <w:spacing w:line="360" w:lineRule="auto"/>
        <w:rPr>
          <w:rFonts w:hAnsi="宋体"/>
          <w:color w:val="auto"/>
          <w:szCs w:val="21"/>
          <w:highlight w:val="none"/>
          <w:lang w:val="zh-CN"/>
        </w:rPr>
      </w:pPr>
    </w:p>
    <w:tbl>
      <w:tblPr>
        <w:tblStyle w:val="44"/>
        <w:tblW w:w="844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2"/>
        <w:gridCol w:w="666"/>
        <w:gridCol w:w="1111"/>
        <w:gridCol w:w="1275"/>
        <w:gridCol w:w="984"/>
        <w:gridCol w:w="730"/>
        <w:gridCol w:w="1342"/>
        <w:gridCol w:w="14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6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1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pPr>
              <w:autoSpaceDE w:val="0"/>
              <w:autoSpaceDN w:val="0"/>
              <w:adjustRightIn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宋体"/>
                <w:color w:val="auto"/>
                <w:kern w:val="0"/>
                <w:szCs w:val="21"/>
                <w:highlight w:val="none"/>
                <w:lang w:val="zh-CN"/>
              </w:rPr>
              <w:t>日期</w:t>
            </w:r>
          </w:p>
        </w:tc>
        <w:tc>
          <w:tcPr>
            <w:tcW w:w="7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3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1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6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6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6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6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pacing w:line="360" w:lineRule="auto"/>
        <w:ind w:left="-2"/>
        <w:rPr>
          <w:rFonts w:hint="eastAsia" w:ascii="宋体" w:hAnsi="宋体" w:eastAsia="宋体" w:cs="宋体"/>
          <w:color w:val="auto"/>
          <w:szCs w:val="21"/>
          <w:highlight w:val="none"/>
          <w:lang w:val="zh-CN"/>
        </w:rPr>
      </w:pPr>
      <w:bookmarkStart w:id="745" w:name="_Toc12802"/>
      <w:bookmarkStart w:id="746" w:name="_Toc27268"/>
      <w:r>
        <w:rPr>
          <w:rFonts w:hint="eastAsia" w:ascii="宋体" w:hAnsi="宋体" w:eastAsia="宋体" w:cs="宋体"/>
          <w:color w:val="auto"/>
          <w:szCs w:val="21"/>
          <w:highlight w:val="none"/>
          <w:lang w:val="zh-CN"/>
        </w:rPr>
        <w:t>（1）业绩须附合同</w:t>
      </w:r>
      <w:r>
        <w:rPr>
          <w:rFonts w:hint="eastAsia" w:ascii="宋体" w:hAnsi="宋体" w:eastAsia="宋体" w:cs="宋体"/>
          <w:color w:val="auto"/>
          <w:szCs w:val="21"/>
          <w:highlight w:val="none"/>
          <w:lang w:val="zh-CN" w:eastAsia="zh-CN"/>
        </w:rPr>
        <w:t>扫描件①合同扫描件（合同卖方为投标人），②已供货产品任意一张发票扫描件（发票开具日期须在本项目招标公告发布之日前）</w:t>
      </w:r>
      <w:r>
        <w:rPr>
          <w:rFonts w:hint="eastAsia" w:ascii="宋体" w:hAnsi="宋体" w:eastAsia="宋体" w:cs="宋体"/>
          <w:color w:val="auto"/>
          <w:szCs w:val="21"/>
          <w:highlight w:val="none"/>
          <w:lang w:val="zh-CN"/>
        </w:rPr>
        <w:t>；</w:t>
      </w:r>
      <w:bookmarkEnd w:id="745"/>
      <w:bookmarkEnd w:id="746"/>
    </w:p>
    <w:p>
      <w:pPr>
        <w:spacing w:line="360" w:lineRule="auto"/>
        <w:ind w:left="-2"/>
        <w:rPr>
          <w:color w:val="auto"/>
          <w:highlight w:val="none"/>
          <w:lang w:val="zh-CN"/>
        </w:rPr>
      </w:pPr>
      <w:r>
        <w:rPr>
          <w:rFonts w:hint="eastAsia" w:ascii="宋体" w:hAnsi="宋体" w:eastAsia="宋体" w:cs="宋体"/>
          <w:color w:val="auto"/>
          <w:szCs w:val="21"/>
          <w:highlight w:val="none"/>
          <w:lang w:val="zh-CN"/>
        </w:rPr>
        <w:t>（2）若合同无法反映</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lang w:val="zh-CN"/>
        </w:rPr>
        <w:t>条件（卖方为投标人、合同签订日期为2023年1月1日或以后、合同标的必须包含投标品牌</w:t>
      </w:r>
      <w:r>
        <w:rPr>
          <w:rFonts w:hint="eastAsia" w:ascii="宋体" w:hAnsi="宋体" w:eastAsia="宋体" w:cs="宋体"/>
          <w:color w:val="auto"/>
          <w:szCs w:val="21"/>
          <w:highlight w:val="none"/>
          <w:lang w:val="en-US" w:eastAsia="zh-CN"/>
        </w:rPr>
        <w:t>小苏打</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，还需提供产品购买方出具的书面补充说明文件</w:t>
      </w:r>
      <w:r>
        <w:rPr>
          <w:rFonts w:hint="eastAsia" w:ascii="宋体" w:hAnsi="宋体" w:eastAsia="宋体" w:cs="宋体"/>
          <w:color w:val="auto"/>
          <w:szCs w:val="21"/>
          <w:highlight w:val="none"/>
          <w:lang w:val="zh-CN" w:eastAsia="zh-CN"/>
        </w:rPr>
        <w:t>扫描件</w:t>
      </w:r>
      <w:r>
        <w:rPr>
          <w:rFonts w:hint="eastAsia" w:ascii="宋体" w:hAnsi="宋体" w:eastAsia="宋体" w:cs="宋体"/>
          <w:color w:val="auto"/>
          <w:szCs w:val="21"/>
          <w:highlight w:val="none"/>
          <w:lang w:val="zh-CN"/>
        </w:rPr>
        <w:t>作为辅助证明（补充说明文件</w:t>
      </w:r>
      <w:r>
        <w:rPr>
          <w:rFonts w:hint="eastAsia" w:ascii="宋体" w:hAnsi="宋体" w:eastAsia="宋体" w:cs="宋体"/>
          <w:color w:val="auto"/>
          <w:szCs w:val="21"/>
          <w:highlight w:val="none"/>
          <w:lang w:val="zh-CN" w:eastAsia="zh-CN"/>
        </w:rPr>
        <w:t>扫描件</w:t>
      </w:r>
      <w:r>
        <w:rPr>
          <w:rFonts w:hint="eastAsia" w:ascii="宋体" w:hAnsi="宋体" w:eastAsia="宋体" w:cs="宋体"/>
          <w:color w:val="auto"/>
          <w:szCs w:val="21"/>
          <w:highlight w:val="none"/>
          <w:lang w:val="zh-CN"/>
        </w:rPr>
        <w:t>能显示购买方公章）；</w:t>
      </w: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747" w:name="_Toc6253"/>
      <w:bookmarkStart w:id="748"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747"/>
      <w:bookmarkEnd w:id="74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bookmarkEnd w:id="722"/>
    <w:bookmarkEnd w:id="723"/>
    <w:bookmarkEnd w:id="724"/>
    <w:p>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pPr>
        <w:autoSpaceDE/>
        <w:autoSpaceDN/>
        <w:adjustRightInd/>
        <w:spacing w:line="360" w:lineRule="auto"/>
        <w:ind w:firstLine="3780" w:firstLineChars="18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pPr>
        <w:spacing w:line="360" w:lineRule="auto"/>
        <w:ind w:left="527" w:hanging="527" w:hangingChars="250"/>
        <w:outlineLvl w:val="9"/>
        <w:rPr>
          <w:rFonts w:hint="eastAsia" w:ascii="宋体" w:hAnsi="宋体" w:eastAsia="宋体" w:cs="宋体"/>
          <w:b/>
          <w:color w:val="auto"/>
          <w:kern w:val="2"/>
          <w:sz w:val="21"/>
          <w:szCs w:val="21"/>
          <w:highlight w:val="none"/>
          <w:lang w:val="zh-CN"/>
        </w:rPr>
      </w:pPr>
    </w:p>
    <w:p>
      <w:pPr>
        <w:rPr>
          <w:rFonts w:hint="eastAsia"/>
          <w:color w:val="auto"/>
          <w:highlight w:val="none"/>
          <w:lang w:val="en-US" w:eastAsia="zh-CN"/>
        </w:rPr>
      </w:pPr>
      <w:bookmarkStart w:id="749" w:name="_Toc21843"/>
      <w:bookmarkStart w:id="750" w:name="_Toc8121"/>
      <w:bookmarkStart w:id="751" w:name="_Toc7508"/>
    </w:p>
    <w:p>
      <w:pPr>
        <w:pageBreakBefore w:val="0"/>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bookmarkStart w:id="752" w:name="_Toc15489"/>
      <w:r>
        <w:rPr>
          <w:rFonts w:hint="eastAsia" w:ascii="宋体" w:hAnsi="宋体" w:eastAsia="宋体" w:cs="宋体"/>
          <w:b/>
          <w:color w:val="auto"/>
          <w:kern w:val="0"/>
          <w:sz w:val="30"/>
          <w:szCs w:val="30"/>
          <w:highlight w:val="none"/>
          <w:lang w:val="en-US" w:eastAsia="zh-CN"/>
        </w:rPr>
        <w:br w:type="page"/>
      </w:r>
    </w:p>
    <w:p>
      <w:pPr>
        <w:pageBreakBefore w:val="0"/>
        <w:tabs>
          <w:tab w:val="left" w:pos="567"/>
        </w:tabs>
        <w:autoSpaceDE w:val="0"/>
        <w:autoSpaceDN w:val="0"/>
        <w:adjustRightInd w:val="0"/>
        <w:spacing w:line="360" w:lineRule="auto"/>
        <w:jc w:val="left"/>
        <w:outlineLvl w:val="3"/>
        <w:rPr>
          <w:rFonts w:hint="eastAsia" w:ascii="宋体" w:hAnsi="宋体" w:eastAsia="宋体" w:cs="宋体"/>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4.</w:t>
      </w:r>
      <w:r>
        <w:rPr>
          <w:rFonts w:hint="default"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lang w:val="en-US" w:eastAsia="zh-CN"/>
        </w:rPr>
        <w:t xml:space="preserve"> </w:t>
      </w:r>
      <w:r>
        <w:rPr>
          <w:rFonts w:hint="eastAsia" w:ascii="宋体" w:hAnsi="宋体" w:eastAsia="宋体" w:cs="宋体"/>
          <w:b/>
          <w:color w:val="auto"/>
          <w:kern w:val="0"/>
          <w:sz w:val="30"/>
          <w:szCs w:val="30"/>
          <w:highlight w:val="none"/>
        </w:rPr>
        <w:t>最近3年投标人牵涉的其他（失信和违法）处罚说明格式</w:t>
      </w:r>
      <w:bookmarkEnd w:id="725"/>
      <w:bookmarkEnd w:id="726"/>
      <w:bookmarkEnd w:id="727"/>
      <w:bookmarkEnd w:id="728"/>
      <w:bookmarkEnd w:id="729"/>
      <w:bookmarkEnd w:id="749"/>
      <w:bookmarkEnd w:id="750"/>
      <w:bookmarkEnd w:id="751"/>
      <w:bookmarkEnd w:id="752"/>
    </w:p>
    <w:p>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4253"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事项名称</w:t>
            </w:r>
          </w:p>
        </w:tc>
        <w:tc>
          <w:tcPr>
            <w:tcW w:w="1417"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24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24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24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pPr>
        <w:spacing w:line="360" w:lineRule="auto"/>
        <w:ind w:firstLine="494" w:firstLineChars="206"/>
        <w:outlineLvl w:val="9"/>
        <w:rPr>
          <w:rFonts w:hint="eastAsia" w:ascii="宋体" w:hAnsi="宋体" w:eastAsia="宋体" w:cs="宋体"/>
          <w:color w:val="auto"/>
          <w:kern w:val="0"/>
          <w:sz w:val="24"/>
          <w:szCs w:val="24"/>
          <w:highlight w:val="none"/>
        </w:rPr>
      </w:pPr>
    </w:p>
    <w:p>
      <w:pPr>
        <w:spacing w:line="360" w:lineRule="auto"/>
        <w:ind w:firstLine="494" w:firstLineChars="206"/>
        <w:outlineLvl w:val="9"/>
        <w:rPr>
          <w:rFonts w:hint="eastAsia" w:ascii="宋体" w:hAnsi="宋体" w:eastAsia="宋体" w:cs="宋体"/>
          <w:color w:val="auto"/>
          <w:kern w:val="0"/>
          <w:sz w:val="24"/>
          <w:szCs w:val="24"/>
          <w:highlight w:val="none"/>
        </w:rPr>
      </w:pPr>
    </w:p>
    <w:p>
      <w:pPr>
        <w:spacing w:line="360" w:lineRule="auto"/>
        <w:ind w:firstLine="494" w:firstLineChars="206"/>
        <w:outlineLvl w:val="9"/>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bookmarkStart w:id="753" w:name="_Toc104991881"/>
      <w:bookmarkStart w:id="754" w:name="_Toc533708126"/>
      <w:bookmarkStart w:id="755" w:name="_Toc94107215"/>
      <w:bookmarkStart w:id="756" w:name="_Toc140596934"/>
      <w:bookmarkStart w:id="757" w:name="_Toc102860423"/>
      <w:bookmarkStart w:id="758" w:name="_Toc6412"/>
      <w:bookmarkStart w:id="759" w:name="_Toc486167714"/>
      <w:bookmarkStart w:id="760" w:name="_Toc1977731"/>
      <w:bookmarkStart w:id="761" w:name="_Toc142508374"/>
      <w:bookmarkStart w:id="762" w:name="_Toc2031_WPSOffice_Level2"/>
      <w:bookmarkStart w:id="763" w:name="_Toc30939"/>
      <w:bookmarkStart w:id="764" w:name="_Toc102860079"/>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2"/>
        <w:rPr>
          <w:rFonts w:hint="eastAsia" w:ascii="宋体" w:hAnsi="宋体" w:eastAsia="宋体" w:cs="宋体"/>
          <w:color w:val="auto"/>
          <w:kern w:val="0"/>
          <w:szCs w:val="21"/>
          <w:highlight w:val="none"/>
          <w:u w:val="single"/>
        </w:rPr>
      </w:pPr>
      <w:bookmarkStart w:id="765" w:name="_Toc17508"/>
      <w:bookmarkStart w:id="766" w:name="_Toc7645"/>
      <w:bookmarkStart w:id="767" w:name="_Toc19796"/>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kern w:val="0"/>
          <w:sz w:val="32"/>
          <w:szCs w:val="32"/>
          <w:highlight w:val="none"/>
        </w:rPr>
        <w:t>、投标人基本情况一览表</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768" w:name="_Toc2773_WPSOffice_Level3"/>
      <w:r>
        <w:rPr>
          <w:rFonts w:hint="eastAsia" w:ascii="宋体" w:hAnsi="宋体" w:eastAsia="宋体" w:cs="宋体"/>
          <w:b/>
          <w:bCs/>
          <w:color w:val="auto"/>
          <w:sz w:val="30"/>
          <w:szCs w:val="30"/>
          <w:highlight w:val="none"/>
          <w:lang w:val="zh-CN"/>
        </w:rPr>
        <w:t>投标人基本情况一览表</w:t>
      </w:r>
      <w:bookmarkEnd w:id="768"/>
    </w:p>
    <w:p>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（3）东莞市内设有分支机构情况介绍[应提供该分支机构的多证合一营业执照扫描件等证明材料]（若无前述分支机构的无需介绍）。</w:t>
      </w: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69" w:name="_Toc140596935"/>
      <w:bookmarkStart w:id="770" w:name="_Toc102860080"/>
      <w:bookmarkStart w:id="771" w:name="_Toc29014"/>
      <w:bookmarkStart w:id="772" w:name="_Toc1605"/>
      <w:bookmarkStart w:id="773" w:name="_Toc142508375"/>
      <w:bookmarkStart w:id="774" w:name="_Toc102860424"/>
      <w:bookmarkStart w:id="775" w:name="_Toc104991882"/>
      <w:bookmarkStart w:id="776" w:name="_Toc94107216"/>
      <w:bookmarkStart w:id="777" w:name="_Toc10443"/>
      <w:bookmarkStart w:id="778" w:name="_Toc4023"/>
      <w:bookmarkStart w:id="779" w:name="_Toc27317"/>
      <w:bookmarkStart w:id="780" w:name="_Toc533708128"/>
      <w:bookmarkStart w:id="781" w:name="_Toc1977733"/>
      <w:bookmarkStart w:id="782" w:name="_Toc9051_WPSOffice_Level2"/>
      <w:bookmarkStart w:id="783" w:name="_Toc486167715"/>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zh-CN"/>
        </w:rPr>
        <w:t>、投标人财务状况表格式</w:t>
      </w:r>
      <w:bookmarkEnd w:id="769"/>
      <w:bookmarkEnd w:id="770"/>
      <w:bookmarkEnd w:id="771"/>
      <w:bookmarkEnd w:id="772"/>
      <w:bookmarkEnd w:id="773"/>
      <w:bookmarkEnd w:id="774"/>
      <w:bookmarkEnd w:id="775"/>
      <w:bookmarkEnd w:id="776"/>
      <w:bookmarkEnd w:id="777"/>
      <w:bookmarkEnd w:id="778"/>
      <w:bookmarkEnd w:id="779"/>
    </w:p>
    <w:p>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982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c>
          <w:tcPr>
            <w:tcW w:w="1946"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c>
          <w:tcPr>
            <w:tcW w:w="2713"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c>
          <w:tcPr>
            <w:tcW w:w="1946"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c>
          <w:tcPr>
            <w:tcW w:w="2713"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c>
          <w:tcPr>
            <w:tcW w:w="1946"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c>
          <w:tcPr>
            <w:tcW w:w="2713"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p>
        </w:tc>
      </w:tr>
    </w:tbl>
    <w:p>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autoSpaceDE w:val="0"/>
        <w:autoSpaceDN w:val="0"/>
        <w:adjustRightInd w:val="0"/>
        <w:spacing w:line="360" w:lineRule="auto"/>
        <w:jc w:val="center"/>
        <w:outlineLvl w:val="9"/>
        <w:rPr>
          <w:rFonts w:hint="eastAsia" w:ascii="宋体" w:hAnsi="宋体" w:eastAsia="宋体" w:cs="宋体"/>
          <w:b/>
          <w:bCs/>
          <w:color w:val="auto"/>
          <w:kern w:val="0"/>
          <w:szCs w:val="21"/>
          <w:highlight w:val="none"/>
        </w:rPr>
        <w:sectPr>
          <w:footerReference r:id="rId12" w:type="default"/>
          <w:pgSz w:w="11907" w:h="16840"/>
          <w:pgMar w:top="1247" w:right="1418" w:bottom="1247" w:left="1418" w:header="720" w:footer="720" w:gutter="0"/>
          <w:cols w:space="720" w:num="1"/>
          <w:titlePg/>
          <w:docGrid w:linePitch="326" w:charSpace="0"/>
        </w:sectPr>
      </w:pPr>
      <w:r>
        <w:rPr>
          <w:rFonts w:hint="eastAsia" w:ascii="宋体" w:hAnsi="宋体" w:eastAsia="宋体" w:cs="宋体"/>
          <w:b/>
          <w:bCs/>
          <w:color w:val="auto"/>
          <w:szCs w:val="24"/>
          <w:highlight w:val="none"/>
          <w:lang w:val="zh-CN"/>
        </w:rPr>
        <w:t>说明：由投标人使用投标人的企业数字证书电子签名。</w:t>
      </w:r>
    </w:p>
    <w:bookmarkEnd w:id="780"/>
    <w:bookmarkEnd w:id="781"/>
    <w:bookmarkEnd w:id="782"/>
    <w:bookmarkEnd w:id="783"/>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784" w:name="_Toc26821"/>
      <w:bookmarkStart w:id="785" w:name="_Toc9320"/>
      <w:bookmarkStart w:id="786" w:name="_Toc104991883"/>
      <w:bookmarkStart w:id="787" w:name="_Toc140596936"/>
      <w:bookmarkStart w:id="788" w:name="_Toc102860081"/>
      <w:bookmarkStart w:id="789" w:name="_Toc486167716"/>
      <w:bookmarkStart w:id="790" w:name="_Toc533708130"/>
      <w:bookmarkStart w:id="791" w:name="_Toc21505"/>
      <w:bookmarkStart w:id="792" w:name="_Toc739_WPSOffice_Level2"/>
      <w:bookmarkStart w:id="793" w:name="_Toc333"/>
      <w:bookmarkStart w:id="794" w:name="_Toc102860425"/>
      <w:bookmarkStart w:id="795" w:name="_Toc17995"/>
      <w:bookmarkStart w:id="796" w:name="_Toc142508376"/>
      <w:bookmarkStart w:id="797" w:name="_Toc94107217"/>
      <w:bookmarkStart w:id="798" w:name="_Toc1977736"/>
      <w:r>
        <w:rPr>
          <w:rFonts w:hint="eastAsia" w:ascii="宋体" w:hAnsi="宋体" w:eastAsia="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lang w:val="zh-CN"/>
        </w:rPr>
        <w:t>、合同条款偏离表格式</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799" w:name="_Toc26412_WPSOffice_Level3"/>
      <w:r>
        <w:rPr>
          <w:rFonts w:hint="eastAsia" w:ascii="宋体" w:hAnsi="宋体" w:eastAsia="宋体" w:cs="宋体"/>
          <w:b/>
          <w:bCs/>
          <w:color w:val="auto"/>
          <w:kern w:val="0"/>
          <w:sz w:val="28"/>
          <w:szCs w:val="30"/>
          <w:highlight w:val="none"/>
          <w:lang w:val="zh-CN"/>
        </w:rPr>
        <w:t>东莞市污泥集中处理处置项目小苏打采购项目合同条款偏离表</w:t>
      </w:r>
      <w:bookmarkEnd w:id="799"/>
    </w:p>
    <w:tbl>
      <w:tblPr>
        <w:tblStyle w:val="44"/>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26"/>
        <w:gridCol w:w="2851"/>
        <w:gridCol w:w="1249"/>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945" w:type="dxa"/>
            <w:vMerge w:val="restart"/>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177" w:type="dxa"/>
            <w:gridSpan w:val="2"/>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540" w:type="dxa"/>
            <w:gridSpan w:val="2"/>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trPr>
        <w:tc>
          <w:tcPr>
            <w:tcW w:w="945" w:type="dxa"/>
            <w:vMerge w:val="continue"/>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326"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85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326" w:type="dxa"/>
            <w:shd w:val="clear" w:color="auto" w:fill="auto"/>
            <w:vAlign w:val="center"/>
          </w:tcPr>
          <w:p>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0"/>
                <w:szCs w:val="21"/>
                <w:highlight w:val="none"/>
              </w:rPr>
              <w:t>第一条</w:t>
            </w:r>
          </w:p>
        </w:tc>
        <w:tc>
          <w:tcPr>
            <w:tcW w:w="2851" w:type="dxa"/>
            <w:shd w:val="clear" w:color="auto" w:fill="auto"/>
            <w:vAlign w:val="center"/>
          </w:tcPr>
          <w:p>
            <w:pPr>
              <w:autoSpaceDE w:val="0"/>
              <w:autoSpaceDN w:val="0"/>
              <w:adjustRightInd w:val="0"/>
              <w:spacing w:line="400" w:lineRule="exact"/>
              <w:jc w:val="center"/>
              <w:rPr>
                <w:rFonts w:hint="eastAsia" w:ascii="宋体" w:hAnsi="宋体" w:eastAsia="宋体" w:cs="宋体"/>
                <w:b w:val="0"/>
                <w:bCs/>
                <w:color w:val="auto"/>
                <w:kern w:val="0"/>
                <w:sz w:val="31"/>
                <w:szCs w:val="21"/>
                <w:highlight w:val="none"/>
                <w:lang w:val="en-US" w:eastAsia="zh-CN" w:bidi="ar-SA"/>
              </w:rPr>
            </w:pPr>
            <w:r>
              <w:rPr>
                <w:rFonts w:hint="eastAsia" w:ascii="宋体" w:hAnsi="宋体" w:eastAsia="宋体" w:cs="Times New Roman"/>
                <w:color w:val="auto"/>
                <w:kern w:val="0"/>
                <w:szCs w:val="21"/>
                <w:highlight w:val="none"/>
              </w:rPr>
              <w:t>合同项目</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1326" w:type="dxa"/>
            <w:shd w:val="clear" w:color="auto" w:fill="auto"/>
            <w:vAlign w:val="center"/>
          </w:tcPr>
          <w:p>
            <w:pPr>
              <w:pStyle w:val="64"/>
              <w:snapToGrid w:val="0"/>
              <w:spacing w:line="240" w:lineRule="auto"/>
              <w:ind w:firstLine="0" w:firstLineChars="0"/>
              <w:jc w:val="center"/>
              <w:rPr>
                <w:rFonts w:hint="eastAsia" w:ascii="宋体" w:hAnsi="宋体" w:eastAsia="宋体" w:cs="宋体"/>
                <w:color w:val="auto"/>
                <w:kern w:val="0"/>
                <w:sz w:val="31"/>
                <w:szCs w:val="21"/>
                <w:highlight w:val="none"/>
                <w:lang w:val="en-US" w:eastAsia="zh-CN" w:bidi="ar-SA"/>
              </w:rPr>
            </w:pPr>
            <w:r>
              <w:rPr>
                <w:rFonts w:hint="eastAsia" w:ascii="宋体" w:eastAsia="宋体"/>
                <w:color w:val="auto"/>
                <w:sz w:val="21"/>
                <w:szCs w:val="21"/>
                <w:highlight w:val="none"/>
              </w:rPr>
              <w:t>第二条</w:t>
            </w:r>
          </w:p>
        </w:tc>
        <w:tc>
          <w:tcPr>
            <w:tcW w:w="2851" w:type="dxa"/>
            <w:shd w:val="clear" w:color="auto" w:fill="auto"/>
            <w:vAlign w:val="center"/>
          </w:tcPr>
          <w:p>
            <w:pPr>
              <w:pStyle w:val="64"/>
              <w:snapToGrid w:val="0"/>
              <w:spacing w:line="240" w:lineRule="auto"/>
              <w:ind w:firstLine="0" w:firstLineChars="0"/>
              <w:jc w:val="center"/>
              <w:rPr>
                <w:rFonts w:hint="eastAsia" w:ascii="宋体" w:hAnsi="宋体" w:eastAsia="宋体" w:cs="宋体"/>
                <w:b w:val="0"/>
                <w:bCs/>
                <w:color w:val="auto"/>
                <w:kern w:val="0"/>
                <w:sz w:val="31"/>
                <w:szCs w:val="21"/>
                <w:highlight w:val="none"/>
                <w:lang w:val="en-US" w:eastAsia="zh-CN" w:bidi="ar-SA"/>
              </w:rPr>
            </w:pPr>
            <w:r>
              <w:rPr>
                <w:rFonts w:hint="eastAsia" w:ascii="宋体" w:eastAsia="宋体"/>
                <w:color w:val="auto"/>
                <w:sz w:val="21"/>
                <w:szCs w:val="21"/>
                <w:highlight w:val="none"/>
              </w:rPr>
              <w:t>合同价款及销项税价</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1326" w:type="dxa"/>
            <w:shd w:val="clear" w:color="auto" w:fill="auto"/>
            <w:vAlign w:val="center"/>
          </w:tcPr>
          <w:p>
            <w:pPr>
              <w:pStyle w:val="64"/>
              <w:snapToGrid w:val="0"/>
              <w:spacing w:line="240" w:lineRule="auto"/>
              <w:ind w:firstLine="0" w:firstLineChars="0"/>
              <w:jc w:val="center"/>
              <w:rPr>
                <w:rFonts w:hint="eastAsia" w:ascii="宋体" w:hAnsi="宋体" w:eastAsia="宋体" w:cs="宋体"/>
                <w:color w:val="auto"/>
                <w:kern w:val="0"/>
                <w:sz w:val="31"/>
                <w:szCs w:val="21"/>
                <w:highlight w:val="none"/>
                <w:lang w:val="en-US" w:eastAsia="zh-CN" w:bidi="ar-SA"/>
              </w:rPr>
            </w:pPr>
            <w:r>
              <w:rPr>
                <w:rFonts w:hint="eastAsia" w:ascii="宋体" w:eastAsia="宋体"/>
                <w:color w:val="auto"/>
                <w:sz w:val="21"/>
                <w:szCs w:val="21"/>
                <w:highlight w:val="none"/>
              </w:rPr>
              <w:t>第三条</w:t>
            </w:r>
          </w:p>
        </w:tc>
        <w:tc>
          <w:tcPr>
            <w:tcW w:w="2851" w:type="dxa"/>
            <w:shd w:val="clear" w:color="auto" w:fill="auto"/>
            <w:vAlign w:val="center"/>
          </w:tcPr>
          <w:p>
            <w:pPr>
              <w:pStyle w:val="64"/>
              <w:snapToGrid w:val="0"/>
              <w:spacing w:line="240" w:lineRule="auto"/>
              <w:ind w:firstLine="0" w:firstLineChars="0"/>
              <w:jc w:val="center"/>
              <w:rPr>
                <w:rFonts w:hint="default" w:ascii="宋体" w:hAnsi="宋体" w:eastAsia="宋体" w:cs="宋体"/>
                <w:b w:val="0"/>
                <w:bCs/>
                <w:color w:val="auto"/>
                <w:kern w:val="0"/>
                <w:sz w:val="31"/>
                <w:szCs w:val="21"/>
                <w:highlight w:val="none"/>
                <w:lang w:val="en-US" w:eastAsia="zh-CN" w:bidi="ar-SA"/>
              </w:rPr>
            </w:pPr>
            <w:r>
              <w:rPr>
                <w:rFonts w:hint="eastAsia" w:ascii="宋体" w:eastAsia="宋体"/>
                <w:color w:val="auto"/>
                <w:sz w:val="21"/>
                <w:szCs w:val="21"/>
                <w:highlight w:val="none"/>
              </w:rPr>
              <w:t>合同组成</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1326" w:type="dxa"/>
            <w:shd w:val="clear" w:color="auto" w:fill="auto"/>
            <w:vAlign w:val="center"/>
          </w:tcPr>
          <w:p>
            <w:pPr>
              <w:pStyle w:val="64"/>
              <w:snapToGrid w:val="0"/>
              <w:spacing w:line="240" w:lineRule="auto"/>
              <w:ind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eastAsia="宋体"/>
                <w:color w:val="auto"/>
                <w:sz w:val="21"/>
                <w:szCs w:val="21"/>
                <w:highlight w:val="none"/>
              </w:rPr>
              <w:t>第六条</w:t>
            </w:r>
          </w:p>
        </w:tc>
        <w:tc>
          <w:tcPr>
            <w:tcW w:w="2851" w:type="dxa"/>
            <w:shd w:val="clear" w:color="auto" w:fill="auto"/>
            <w:vAlign w:val="center"/>
          </w:tcPr>
          <w:p>
            <w:pPr>
              <w:pStyle w:val="64"/>
              <w:snapToGrid w:val="0"/>
              <w:spacing w:line="240" w:lineRule="auto"/>
              <w:ind w:firstLine="0" w:firstLineChars="0"/>
              <w:jc w:val="center"/>
              <w:rPr>
                <w:rFonts w:hint="eastAsia" w:ascii="宋体" w:hAnsi="宋体" w:eastAsia="宋体" w:cs="宋体"/>
                <w:b w:val="0"/>
                <w:bCs/>
                <w:color w:val="auto"/>
                <w:kern w:val="0"/>
                <w:sz w:val="31"/>
                <w:szCs w:val="21"/>
                <w:highlight w:val="none"/>
                <w:lang w:val="en-US" w:eastAsia="zh-CN" w:bidi="ar-SA"/>
              </w:rPr>
            </w:pPr>
            <w:r>
              <w:rPr>
                <w:rFonts w:hint="eastAsia" w:ascii="宋体" w:eastAsia="宋体"/>
                <w:color w:val="auto"/>
                <w:sz w:val="21"/>
                <w:szCs w:val="21"/>
                <w:highlight w:val="none"/>
              </w:rPr>
              <w:t>储存</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1326" w:type="dxa"/>
            <w:shd w:val="clear" w:color="auto" w:fill="auto"/>
            <w:vAlign w:val="center"/>
          </w:tcPr>
          <w:p>
            <w:pPr>
              <w:pStyle w:val="64"/>
              <w:snapToGrid w:val="0"/>
              <w:spacing w:line="240" w:lineRule="auto"/>
              <w:ind w:firstLine="0" w:firstLineChars="0"/>
              <w:jc w:val="center"/>
              <w:rPr>
                <w:rFonts w:hint="eastAsia" w:ascii="宋体" w:hAnsi="宋体" w:eastAsia="宋体" w:cs="宋体"/>
                <w:color w:val="auto"/>
                <w:kern w:val="0"/>
                <w:sz w:val="31"/>
                <w:szCs w:val="21"/>
                <w:highlight w:val="none"/>
                <w:lang w:val="en-US" w:eastAsia="zh-CN" w:bidi="ar-SA"/>
              </w:rPr>
            </w:pPr>
            <w:r>
              <w:rPr>
                <w:rFonts w:hint="eastAsia" w:ascii="宋体" w:eastAsia="宋体"/>
                <w:color w:val="auto"/>
                <w:sz w:val="21"/>
                <w:szCs w:val="21"/>
                <w:highlight w:val="none"/>
              </w:rPr>
              <w:t>第八条</w:t>
            </w:r>
          </w:p>
        </w:tc>
        <w:tc>
          <w:tcPr>
            <w:tcW w:w="2851" w:type="dxa"/>
            <w:shd w:val="clear" w:color="auto" w:fill="auto"/>
            <w:vAlign w:val="center"/>
          </w:tcPr>
          <w:p>
            <w:pPr>
              <w:pStyle w:val="64"/>
              <w:snapToGrid w:val="0"/>
              <w:spacing w:line="240" w:lineRule="auto"/>
              <w:ind w:firstLine="0" w:firstLineChars="0"/>
              <w:jc w:val="center"/>
              <w:rPr>
                <w:rFonts w:hint="eastAsia" w:ascii="宋体" w:hAnsi="宋体" w:eastAsia="宋体" w:cs="宋体"/>
                <w:b w:val="0"/>
                <w:bCs/>
                <w:color w:val="auto"/>
                <w:kern w:val="0"/>
                <w:sz w:val="31"/>
                <w:szCs w:val="21"/>
                <w:highlight w:val="none"/>
                <w:lang w:val="en-US" w:eastAsia="zh-CN" w:bidi="ar-SA"/>
              </w:rPr>
            </w:pPr>
            <w:r>
              <w:rPr>
                <w:rFonts w:hint="eastAsia" w:ascii="宋体" w:eastAsia="宋体"/>
                <w:color w:val="auto"/>
                <w:sz w:val="21"/>
                <w:szCs w:val="21"/>
                <w:highlight w:val="none"/>
              </w:rPr>
              <w:t>验收要求</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326" w:type="dxa"/>
            <w:shd w:val="clear" w:color="auto" w:fill="auto"/>
            <w:vAlign w:val="center"/>
          </w:tcPr>
          <w:p>
            <w:pPr>
              <w:pStyle w:val="64"/>
              <w:snapToGrid w:val="0"/>
              <w:spacing w:line="240" w:lineRule="auto"/>
              <w:ind w:firstLine="0" w:firstLineChars="0"/>
              <w:jc w:val="center"/>
              <w:rPr>
                <w:rFonts w:hint="eastAsia" w:ascii="宋体" w:hAnsi="宋体" w:eastAsia="宋体" w:cs="宋体"/>
                <w:color w:val="auto"/>
                <w:kern w:val="0"/>
                <w:sz w:val="31"/>
                <w:szCs w:val="21"/>
                <w:highlight w:val="none"/>
                <w:lang w:val="en-US" w:eastAsia="zh-CN" w:bidi="ar-SA"/>
              </w:rPr>
            </w:pPr>
            <w:r>
              <w:rPr>
                <w:rFonts w:hint="eastAsia" w:ascii="宋体" w:eastAsia="宋体"/>
                <w:color w:val="auto"/>
                <w:sz w:val="21"/>
                <w:szCs w:val="21"/>
                <w:highlight w:val="none"/>
              </w:rPr>
              <w:t>第九条</w:t>
            </w:r>
          </w:p>
        </w:tc>
        <w:tc>
          <w:tcPr>
            <w:tcW w:w="2851" w:type="dxa"/>
            <w:shd w:val="clear" w:color="auto" w:fill="auto"/>
            <w:vAlign w:val="center"/>
          </w:tcPr>
          <w:p>
            <w:pPr>
              <w:pStyle w:val="64"/>
              <w:snapToGrid w:val="0"/>
              <w:spacing w:line="240" w:lineRule="auto"/>
              <w:ind w:firstLine="0" w:firstLineChars="0"/>
              <w:jc w:val="center"/>
              <w:rPr>
                <w:rFonts w:hint="eastAsia" w:ascii="宋体" w:hAnsi="宋体" w:eastAsia="宋体" w:cs="宋体"/>
                <w:b w:val="0"/>
                <w:bCs/>
                <w:color w:val="auto"/>
                <w:kern w:val="0"/>
                <w:sz w:val="31"/>
                <w:szCs w:val="21"/>
                <w:highlight w:val="none"/>
                <w:lang w:val="en-US" w:eastAsia="zh-CN" w:bidi="ar-SA"/>
              </w:rPr>
            </w:pPr>
            <w:r>
              <w:rPr>
                <w:rFonts w:hint="eastAsia" w:ascii="宋体" w:eastAsia="宋体"/>
                <w:color w:val="auto"/>
                <w:sz w:val="21"/>
                <w:szCs w:val="21"/>
                <w:highlight w:val="none"/>
              </w:rPr>
              <w:t>权利保证</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p>
        </w:tc>
        <w:tc>
          <w:tcPr>
            <w:tcW w:w="1326" w:type="dxa"/>
            <w:shd w:val="clear" w:color="auto" w:fill="auto"/>
            <w:vAlign w:val="center"/>
          </w:tcPr>
          <w:p>
            <w:pPr>
              <w:pStyle w:val="64"/>
              <w:snapToGrid w:val="0"/>
              <w:spacing w:line="240" w:lineRule="auto"/>
              <w:ind w:firstLine="0" w:firstLineChars="0"/>
              <w:jc w:val="center"/>
              <w:rPr>
                <w:rFonts w:hint="eastAsia" w:ascii="宋体" w:hAnsi="宋体" w:eastAsia="宋体" w:cs="宋体"/>
                <w:color w:val="auto"/>
                <w:kern w:val="0"/>
                <w:sz w:val="31"/>
                <w:szCs w:val="21"/>
                <w:highlight w:val="none"/>
                <w:lang w:val="en-US" w:eastAsia="zh-CN" w:bidi="ar-SA"/>
              </w:rPr>
            </w:pPr>
            <w:r>
              <w:rPr>
                <w:rFonts w:hint="eastAsia" w:ascii="宋体" w:eastAsia="宋体"/>
                <w:color w:val="auto"/>
                <w:sz w:val="21"/>
                <w:szCs w:val="21"/>
                <w:highlight w:val="none"/>
              </w:rPr>
              <w:t>第十条</w:t>
            </w:r>
          </w:p>
        </w:tc>
        <w:tc>
          <w:tcPr>
            <w:tcW w:w="2851" w:type="dxa"/>
            <w:shd w:val="clear" w:color="auto" w:fill="auto"/>
            <w:vAlign w:val="center"/>
          </w:tcPr>
          <w:p>
            <w:pPr>
              <w:pStyle w:val="64"/>
              <w:snapToGrid w:val="0"/>
              <w:spacing w:line="240" w:lineRule="auto"/>
              <w:ind w:firstLine="0" w:firstLineChars="0"/>
              <w:jc w:val="center"/>
              <w:rPr>
                <w:rFonts w:hint="eastAsia" w:ascii="宋体" w:hAnsi="宋体" w:eastAsia="宋体" w:cs="宋体"/>
                <w:b w:val="0"/>
                <w:bCs/>
                <w:color w:val="auto"/>
                <w:kern w:val="0"/>
                <w:sz w:val="31"/>
                <w:szCs w:val="21"/>
                <w:highlight w:val="none"/>
                <w:lang w:val="en-US" w:eastAsia="zh-CN" w:bidi="ar-SA"/>
              </w:rPr>
            </w:pPr>
            <w:r>
              <w:rPr>
                <w:rFonts w:hint="eastAsia" w:ascii="宋体" w:hAnsi="宋体" w:eastAsia="宋体" w:cstheme="minorBidi"/>
                <w:b w:val="0"/>
                <w:bCs w:val="0"/>
                <w:color w:val="auto"/>
                <w:kern w:val="2"/>
                <w:sz w:val="21"/>
                <w:szCs w:val="21"/>
                <w:highlight w:val="none"/>
                <w:lang w:val="en-US" w:eastAsia="zh-CN" w:bidi="ar-SA"/>
              </w:rPr>
              <w:t>售后服务</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p>
        </w:tc>
        <w:tc>
          <w:tcPr>
            <w:tcW w:w="1326" w:type="dxa"/>
            <w:vAlign w:val="center"/>
          </w:tcPr>
          <w:p>
            <w:pPr>
              <w:pStyle w:val="64"/>
              <w:snapToGrid w:val="0"/>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eastAsia="宋体"/>
                <w:color w:val="auto"/>
                <w:sz w:val="21"/>
                <w:szCs w:val="21"/>
                <w:highlight w:val="none"/>
              </w:rPr>
              <w:t>第十一条</w:t>
            </w:r>
          </w:p>
        </w:tc>
        <w:tc>
          <w:tcPr>
            <w:tcW w:w="2851" w:type="dxa"/>
            <w:vAlign w:val="center"/>
          </w:tcPr>
          <w:p>
            <w:pPr>
              <w:pStyle w:val="64"/>
              <w:snapToGrid w:val="0"/>
              <w:spacing w:line="240" w:lineRule="auto"/>
              <w:ind w:firstLine="0" w:firstLineChars="0"/>
              <w:jc w:val="center"/>
              <w:rPr>
                <w:rFonts w:hint="default" w:ascii="宋体" w:hAnsi="宋体" w:eastAsia="宋体" w:cs="宋体"/>
                <w:b w:val="0"/>
                <w:bCs/>
                <w:color w:val="auto"/>
                <w:kern w:val="0"/>
                <w:szCs w:val="21"/>
                <w:highlight w:val="none"/>
                <w:lang w:val="en-US" w:eastAsia="zh-CN"/>
              </w:rPr>
            </w:pPr>
            <w:r>
              <w:rPr>
                <w:rFonts w:hint="eastAsia" w:ascii="宋体" w:eastAsia="宋体"/>
                <w:color w:val="auto"/>
                <w:sz w:val="21"/>
                <w:szCs w:val="21"/>
                <w:highlight w:val="none"/>
              </w:rPr>
              <w:t>履约担保</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326" w:type="dxa"/>
            <w:vAlign w:val="center"/>
          </w:tcPr>
          <w:p>
            <w:pPr>
              <w:pStyle w:val="64"/>
              <w:snapToGrid w:val="0"/>
              <w:spacing w:line="24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olor w:val="auto"/>
                <w:sz w:val="21"/>
                <w:szCs w:val="21"/>
                <w:highlight w:val="none"/>
              </w:rPr>
              <w:t>第十二条</w:t>
            </w:r>
          </w:p>
        </w:tc>
        <w:tc>
          <w:tcPr>
            <w:tcW w:w="2851" w:type="dxa"/>
            <w:vAlign w:val="center"/>
          </w:tcPr>
          <w:p>
            <w:pPr>
              <w:pStyle w:val="64"/>
              <w:snapToGrid w:val="0"/>
              <w:spacing w:line="240" w:lineRule="auto"/>
              <w:ind w:firstLine="0" w:firstLineChars="0"/>
              <w:jc w:val="center"/>
              <w:rPr>
                <w:rFonts w:hint="eastAsia" w:ascii="宋体" w:hAnsi="宋体" w:eastAsia="宋体" w:cs="宋体"/>
                <w:b w:val="0"/>
                <w:bCs/>
                <w:color w:val="auto"/>
                <w:sz w:val="21"/>
                <w:szCs w:val="21"/>
                <w:highlight w:val="none"/>
              </w:rPr>
            </w:pPr>
            <w:r>
              <w:rPr>
                <w:rFonts w:hint="eastAsia" w:ascii="宋体" w:eastAsia="宋体"/>
                <w:color w:val="auto"/>
                <w:sz w:val="21"/>
                <w:szCs w:val="21"/>
                <w:highlight w:val="none"/>
              </w:rPr>
              <w:t>付款方式</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326" w:type="dxa"/>
            <w:vAlign w:val="center"/>
          </w:tcPr>
          <w:p>
            <w:pPr>
              <w:pStyle w:val="64"/>
              <w:snapToGrid w:val="0"/>
              <w:spacing w:line="24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olor w:val="auto"/>
                <w:sz w:val="21"/>
                <w:szCs w:val="21"/>
                <w:highlight w:val="none"/>
              </w:rPr>
              <w:t>第十三条</w:t>
            </w:r>
          </w:p>
        </w:tc>
        <w:tc>
          <w:tcPr>
            <w:tcW w:w="2851" w:type="dxa"/>
            <w:vAlign w:val="center"/>
          </w:tcPr>
          <w:p>
            <w:pPr>
              <w:pStyle w:val="64"/>
              <w:snapToGrid w:val="0"/>
              <w:spacing w:line="240" w:lineRule="auto"/>
              <w:ind w:firstLine="0" w:firstLineChars="0"/>
              <w:jc w:val="center"/>
              <w:rPr>
                <w:rFonts w:hint="eastAsia" w:ascii="宋体" w:hAnsi="宋体" w:eastAsia="宋体" w:cs="宋体"/>
                <w:b w:val="0"/>
                <w:bCs/>
                <w:color w:val="auto"/>
                <w:sz w:val="21"/>
                <w:szCs w:val="21"/>
                <w:highlight w:val="none"/>
              </w:rPr>
            </w:pPr>
            <w:r>
              <w:rPr>
                <w:rFonts w:hint="eastAsia" w:ascii="宋体" w:eastAsia="宋体"/>
                <w:color w:val="auto"/>
                <w:sz w:val="21"/>
                <w:szCs w:val="21"/>
                <w:highlight w:val="none"/>
              </w:rPr>
              <w:t>不可抗力</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326" w:type="dxa"/>
            <w:vAlign w:val="center"/>
          </w:tcPr>
          <w:p>
            <w:pPr>
              <w:pStyle w:val="64"/>
              <w:snapToGrid w:val="0"/>
              <w:spacing w:line="24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olor w:val="auto"/>
                <w:sz w:val="21"/>
                <w:szCs w:val="21"/>
                <w:highlight w:val="none"/>
              </w:rPr>
              <w:t>第十四条</w:t>
            </w:r>
          </w:p>
        </w:tc>
        <w:tc>
          <w:tcPr>
            <w:tcW w:w="2851" w:type="dxa"/>
            <w:vAlign w:val="center"/>
          </w:tcPr>
          <w:p>
            <w:pPr>
              <w:pStyle w:val="64"/>
              <w:snapToGrid w:val="0"/>
              <w:spacing w:line="240" w:lineRule="auto"/>
              <w:ind w:firstLine="0" w:firstLineChars="0"/>
              <w:jc w:val="center"/>
              <w:rPr>
                <w:rFonts w:hint="eastAsia" w:ascii="宋体" w:hAnsi="宋体" w:eastAsia="宋体" w:cs="宋体"/>
                <w:b w:val="0"/>
                <w:bCs/>
                <w:color w:val="auto"/>
                <w:sz w:val="21"/>
                <w:szCs w:val="21"/>
                <w:highlight w:val="none"/>
              </w:rPr>
            </w:pPr>
            <w:r>
              <w:rPr>
                <w:rFonts w:hint="eastAsia" w:ascii="宋体" w:eastAsia="宋体"/>
                <w:color w:val="auto"/>
                <w:sz w:val="21"/>
                <w:szCs w:val="21"/>
                <w:highlight w:val="none"/>
              </w:rPr>
              <w:t>索赔</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shd w:val="clear" w:color="auto" w:fill="auto"/>
            <w:vAlign w:val="center"/>
          </w:tcPr>
          <w:p>
            <w:pPr>
              <w:autoSpaceDE w:val="0"/>
              <w:autoSpaceDN w:val="0"/>
              <w:adjustRightInd w:val="0"/>
              <w:spacing w:line="400" w:lineRule="exact"/>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12</w:t>
            </w:r>
          </w:p>
        </w:tc>
        <w:tc>
          <w:tcPr>
            <w:tcW w:w="1326" w:type="dxa"/>
            <w:vAlign w:val="center"/>
          </w:tcPr>
          <w:p>
            <w:pPr>
              <w:pStyle w:val="64"/>
              <w:snapToGrid w:val="0"/>
              <w:spacing w:line="240" w:lineRule="auto"/>
              <w:ind w:firstLine="0" w:firstLineChars="0"/>
              <w:jc w:val="center"/>
              <w:rPr>
                <w:rFonts w:hint="eastAsia" w:ascii="宋体" w:eastAsia="宋体" w:cs="宋体"/>
                <w:color w:val="auto"/>
                <w:sz w:val="21"/>
                <w:szCs w:val="21"/>
                <w:highlight w:val="none"/>
              </w:rPr>
            </w:pPr>
            <w:r>
              <w:rPr>
                <w:rFonts w:hint="eastAsia" w:ascii="宋体" w:eastAsia="宋体"/>
                <w:color w:val="auto"/>
                <w:sz w:val="21"/>
                <w:szCs w:val="21"/>
                <w:highlight w:val="none"/>
              </w:rPr>
              <w:t>第十五条</w:t>
            </w:r>
          </w:p>
        </w:tc>
        <w:tc>
          <w:tcPr>
            <w:tcW w:w="2851" w:type="dxa"/>
            <w:vAlign w:val="center"/>
          </w:tcPr>
          <w:p>
            <w:pPr>
              <w:pStyle w:val="64"/>
              <w:snapToGrid w:val="0"/>
              <w:spacing w:line="240" w:lineRule="auto"/>
              <w:ind w:firstLine="0" w:firstLineChars="0"/>
              <w:jc w:val="center"/>
              <w:rPr>
                <w:rFonts w:hint="eastAsia" w:ascii="宋体" w:hAnsi="宋体" w:eastAsia="宋体" w:cs="宋体"/>
                <w:b w:val="0"/>
                <w:bCs/>
                <w:color w:val="auto"/>
                <w:sz w:val="21"/>
                <w:szCs w:val="21"/>
                <w:highlight w:val="none"/>
              </w:rPr>
            </w:pPr>
            <w:r>
              <w:rPr>
                <w:rFonts w:hint="eastAsia" w:ascii="宋体" w:eastAsia="宋体"/>
                <w:color w:val="auto"/>
                <w:sz w:val="21"/>
                <w:szCs w:val="21"/>
                <w:highlight w:val="none"/>
              </w:rPr>
              <w:t>违约责任</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shd w:val="clear" w:color="auto" w:fill="auto"/>
            <w:vAlign w:val="center"/>
          </w:tcPr>
          <w:p>
            <w:pPr>
              <w:autoSpaceDE w:val="0"/>
              <w:autoSpaceDN w:val="0"/>
              <w:adjustRightInd w:val="0"/>
              <w:spacing w:line="400" w:lineRule="exact"/>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13</w:t>
            </w:r>
          </w:p>
        </w:tc>
        <w:tc>
          <w:tcPr>
            <w:tcW w:w="1326" w:type="dxa"/>
            <w:vAlign w:val="center"/>
          </w:tcPr>
          <w:p>
            <w:pPr>
              <w:pStyle w:val="64"/>
              <w:snapToGrid w:val="0"/>
              <w:spacing w:line="240" w:lineRule="auto"/>
              <w:ind w:firstLine="0" w:firstLineChars="0"/>
              <w:jc w:val="center"/>
              <w:rPr>
                <w:rFonts w:hint="eastAsia" w:ascii="宋体" w:eastAsia="宋体" w:cs="宋体"/>
                <w:color w:val="auto"/>
                <w:sz w:val="21"/>
                <w:szCs w:val="21"/>
                <w:highlight w:val="none"/>
              </w:rPr>
            </w:pPr>
            <w:r>
              <w:rPr>
                <w:rFonts w:hint="eastAsia" w:ascii="宋体" w:eastAsia="宋体"/>
                <w:color w:val="auto"/>
                <w:sz w:val="21"/>
                <w:szCs w:val="21"/>
                <w:highlight w:val="none"/>
              </w:rPr>
              <w:t>第十六条</w:t>
            </w:r>
          </w:p>
        </w:tc>
        <w:tc>
          <w:tcPr>
            <w:tcW w:w="2851" w:type="dxa"/>
            <w:vAlign w:val="center"/>
          </w:tcPr>
          <w:p>
            <w:pPr>
              <w:pStyle w:val="64"/>
              <w:snapToGrid w:val="0"/>
              <w:spacing w:line="240" w:lineRule="auto"/>
              <w:ind w:firstLine="0" w:firstLineChars="0"/>
              <w:jc w:val="center"/>
              <w:rPr>
                <w:rFonts w:hint="eastAsia" w:ascii="宋体" w:hAnsi="宋体" w:eastAsia="宋体" w:cs="宋体"/>
                <w:b w:val="0"/>
                <w:bCs/>
                <w:color w:val="auto"/>
                <w:sz w:val="21"/>
                <w:szCs w:val="21"/>
                <w:highlight w:val="none"/>
              </w:rPr>
            </w:pPr>
            <w:r>
              <w:rPr>
                <w:rFonts w:hint="eastAsia" w:ascii="宋体" w:eastAsia="宋体"/>
                <w:color w:val="auto"/>
                <w:sz w:val="21"/>
                <w:szCs w:val="21"/>
                <w:highlight w:val="none"/>
              </w:rPr>
              <w:t>争议解决</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shd w:val="clear" w:color="auto" w:fill="auto"/>
            <w:vAlign w:val="center"/>
          </w:tcPr>
          <w:p>
            <w:pPr>
              <w:autoSpaceDE w:val="0"/>
              <w:autoSpaceDN w:val="0"/>
              <w:adjustRightInd w:val="0"/>
              <w:spacing w:line="400" w:lineRule="exact"/>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14</w:t>
            </w:r>
          </w:p>
        </w:tc>
        <w:tc>
          <w:tcPr>
            <w:tcW w:w="1326" w:type="dxa"/>
            <w:vAlign w:val="center"/>
          </w:tcPr>
          <w:p>
            <w:pPr>
              <w:pStyle w:val="64"/>
              <w:snapToGrid w:val="0"/>
              <w:spacing w:line="240" w:lineRule="auto"/>
              <w:ind w:firstLine="0" w:firstLineChars="0"/>
              <w:jc w:val="center"/>
              <w:rPr>
                <w:rFonts w:hint="eastAsia" w:ascii="宋体" w:eastAsia="宋体" w:cs="宋体"/>
                <w:color w:val="auto"/>
                <w:sz w:val="21"/>
                <w:szCs w:val="21"/>
                <w:highlight w:val="none"/>
              </w:rPr>
            </w:pPr>
            <w:r>
              <w:rPr>
                <w:rFonts w:hint="eastAsia" w:ascii="宋体" w:eastAsia="宋体"/>
                <w:color w:val="auto"/>
                <w:sz w:val="21"/>
                <w:szCs w:val="21"/>
                <w:highlight w:val="none"/>
              </w:rPr>
              <w:t>第十七条</w:t>
            </w:r>
          </w:p>
        </w:tc>
        <w:tc>
          <w:tcPr>
            <w:tcW w:w="2851" w:type="dxa"/>
            <w:vAlign w:val="center"/>
          </w:tcPr>
          <w:p>
            <w:pPr>
              <w:pStyle w:val="64"/>
              <w:snapToGrid w:val="0"/>
              <w:spacing w:line="240" w:lineRule="auto"/>
              <w:ind w:firstLine="0" w:firstLineChars="0"/>
              <w:jc w:val="center"/>
              <w:rPr>
                <w:rFonts w:hint="eastAsia" w:ascii="宋体" w:hAnsi="宋体" w:eastAsia="宋体" w:cs="宋体"/>
                <w:b w:val="0"/>
                <w:bCs/>
                <w:color w:val="auto"/>
                <w:sz w:val="21"/>
                <w:szCs w:val="21"/>
                <w:highlight w:val="none"/>
              </w:rPr>
            </w:pPr>
            <w:r>
              <w:rPr>
                <w:rFonts w:hint="eastAsia" w:ascii="宋体" w:eastAsia="宋体"/>
                <w:color w:val="auto"/>
                <w:sz w:val="21"/>
                <w:szCs w:val="21"/>
                <w:highlight w:val="none"/>
              </w:rPr>
              <w:t>其他</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shd w:val="clear" w:color="auto" w:fill="auto"/>
            <w:vAlign w:val="center"/>
          </w:tcPr>
          <w:p>
            <w:pPr>
              <w:autoSpaceDE w:val="0"/>
              <w:autoSpaceDN w:val="0"/>
              <w:adjustRightInd w:val="0"/>
              <w:spacing w:line="400" w:lineRule="exact"/>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15</w:t>
            </w:r>
          </w:p>
        </w:tc>
        <w:tc>
          <w:tcPr>
            <w:tcW w:w="1326"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285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shd w:val="clear" w:color="auto" w:fill="auto"/>
            <w:vAlign w:val="center"/>
          </w:tcPr>
          <w:p>
            <w:pPr>
              <w:autoSpaceDE w:val="0"/>
              <w:autoSpaceDN w:val="0"/>
              <w:adjustRightInd w:val="0"/>
              <w:spacing w:line="400" w:lineRule="exact"/>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16</w:t>
            </w:r>
          </w:p>
        </w:tc>
        <w:tc>
          <w:tcPr>
            <w:tcW w:w="1326" w:type="dxa"/>
            <w:shd w:val="clear" w:color="auto" w:fill="auto"/>
            <w:vAlign w:val="center"/>
          </w:tcPr>
          <w:p>
            <w:pPr>
              <w:autoSpaceDE w:val="0"/>
              <w:autoSpaceDN w:val="0"/>
              <w:adjustRightInd w:val="0"/>
              <w:jc w:val="center"/>
              <w:outlineLvl w:val="9"/>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0"/>
                <w:szCs w:val="21"/>
                <w:highlight w:val="none"/>
                <w:lang w:val="en-US" w:eastAsia="zh-CN"/>
              </w:rPr>
              <w:t>附件3</w:t>
            </w:r>
          </w:p>
        </w:tc>
        <w:tc>
          <w:tcPr>
            <w:tcW w:w="2851" w:type="dxa"/>
            <w:shd w:val="clear" w:color="auto" w:fill="auto"/>
            <w:vAlign w:val="center"/>
          </w:tcPr>
          <w:p>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安全生产管理协议</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shd w:val="clear" w:color="auto" w:fill="auto"/>
            <w:vAlign w:val="center"/>
          </w:tcPr>
          <w:p>
            <w:pPr>
              <w:autoSpaceDE w:val="0"/>
              <w:autoSpaceDN w:val="0"/>
              <w:adjustRightInd w:val="0"/>
              <w:spacing w:line="400" w:lineRule="exact"/>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17</w:t>
            </w:r>
          </w:p>
        </w:tc>
        <w:tc>
          <w:tcPr>
            <w:tcW w:w="1326" w:type="dxa"/>
            <w:shd w:val="clear" w:color="auto" w:fill="auto"/>
            <w:vAlign w:val="center"/>
          </w:tcPr>
          <w:p>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Cs w:val="21"/>
                <w:highlight w:val="none"/>
                <w:lang w:val="en-US" w:eastAsia="zh-CN"/>
              </w:rPr>
            </w:pPr>
            <w:r>
              <w:rPr>
                <w:rFonts w:hint="eastAsia" w:ascii="宋体" w:eastAsia="宋体" w:cs="宋体"/>
                <w:color w:val="auto"/>
                <w:sz w:val="21"/>
                <w:szCs w:val="21"/>
                <w:highlight w:val="none"/>
              </w:rPr>
              <w:t>一</w:t>
            </w:r>
          </w:p>
        </w:tc>
        <w:tc>
          <w:tcPr>
            <w:tcW w:w="2851" w:type="dxa"/>
            <w:shd w:val="clear" w:color="auto" w:fill="auto"/>
            <w:vAlign w:val="center"/>
          </w:tcPr>
          <w:p>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不可撤销银行履约保函</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326" w:type="dxa"/>
            <w:shd w:val="clear" w:color="auto" w:fill="auto"/>
            <w:vAlign w:val="center"/>
          </w:tcPr>
          <w:p>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二</w:t>
            </w:r>
          </w:p>
        </w:tc>
        <w:tc>
          <w:tcPr>
            <w:tcW w:w="2851" w:type="dxa"/>
            <w:shd w:val="clear" w:color="auto" w:fill="auto"/>
            <w:vAlign w:val="center"/>
          </w:tcPr>
          <w:p>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highlight w:val="none"/>
                <w:lang w:val="en-US" w:eastAsia="zh-CN" w:bidi="ar-SA"/>
              </w:rPr>
            </w:pPr>
            <w:r>
              <w:rPr>
                <w:rFonts w:hint="eastAsia" w:ascii="宋体" w:eastAsia="宋体" w:cs="宋体"/>
                <w:color w:val="auto"/>
                <w:sz w:val="21"/>
                <w:szCs w:val="21"/>
                <w:highlight w:val="none"/>
              </w:rPr>
              <w:t>履约保证保险凭证</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945" w:type="dxa"/>
            <w:vAlign w:val="center"/>
          </w:tcPr>
          <w:p>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326" w:type="dxa"/>
            <w:shd w:val="clear" w:color="auto" w:fill="auto"/>
            <w:vAlign w:val="center"/>
          </w:tcPr>
          <w:p>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三</w:t>
            </w:r>
          </w:p>
        </w:tc>
        <w:tc>
          <w:tcPr>
            <w:tcW w:w="2851" w:type="dxa"/>
            <w:shd w:val="clear" w:color="auto" w:fill="auto"/>
            <w:vAlign w:val="center"/>
          </w:tcPr>
          <w:p>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担保公司履约担保书</w:t>
            </w:r>
          </w:p>
        </w:tc>
        <w:tc>
          <w:tcPr>
            <w:tcW w:w="1249"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商务条件优于招标文件的要求；负偏离是指投标人提供的货物及有关</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商务条件不满足或不完全满足招标文件的要求；无偏离是指投标人提供的货物及有关</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pPr>
        <w:spacing w:line="360" w:lineRule="auto"/>
        <w:ind w:left="357" w:leftChars="-100" w:hanging="567" w:hangingChars="270"/>
        <w:outlineLvl w:val="9"/>
        <w:rPr>
          <w:rFonts w:hint="eastAsia" w:ascii="宋体" w:hAnsi="宋体" w:eastAsia="宋体" w:cs="宋体"/>
          <w:color w:val="auto"/>
          <w:szCs w:val="21"/>
          <w:highlight w:val="none"/>
        </w:rPr>
      </w:pPr>
    </w:p>
    <w:p>
      <w:pPr>
        <w:spacing w:line="360" w:lineRule="auto"/>
        <w:ind w:left="357" w:leftChars="-100" w:hanging="567" w:hangingChars="270"/>
        <w:outlineLvl w:val="9"/>
        <w:rPr>
          <w:rFonts w:hint="eastAsia" w:ascii="宋体" w:hAnsi="宋体" w:eastAsia="宋体" w:cs="宋体"/>
          <w:color w:val="auto"/>
          <w:szCs w:val="21"/>
          <w:highlight w:val="none"/>
        </w:rPr>
      </w:pPr>
    </w:p>
    <w:p>
      <w:pPr>
        <w:spacing w:line="360" w:lineRule="auto"/>
        <w:ind w:left="357" w:leftChars="-100" w:hanging="567" w:hangingChars="270"/>
        <w:outlineLvl w:val="9"/>
        <w:rPr>
          <w:rFonts w:hint="eastAsia" w:ascii="宋体" w:hAnsi="宋体" w:eastAsia="宋体" w:cs="宋体"/>
          <w:color w:val="auto"/>
          <w:szCs w:val="21"/>
          <w:highlight w:val="none"/>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autoSpaceDE w:val="0"/>
        <w:autoSpaceDN w:val="0"/>
        <w:adjustRightInd w:val="0"/>
        <w:spacing w:line="360" w:lineRule="auto"/>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800" w:name="_Toc3472"/>
      <w:bookmarkStart w:id="801" w:name="_Toc102860082"/>
      <w:bookmarkStart w:id="802" w:name="_Toc94107218"/>
      <w:bookmarkStart w:id="803" w:name="_Toc2771"/>
      <w:bookmarkStart w:id="804" w:name="_Toc102860426"/>
      <w:bookmarkStart w:id="805" w:name="_Toc13179"/>
      <w:bookmarkStart w:id="806" w:name="_Toc142508377"/>
      <w:bookmarkStart w:id="807" w:name="_Toc5473"/>
      <w:bookmarkStart w:id="808" w:name="_Toc29505"/>
      <w:bookmarkStart w:id="809" w:name="_Toc104991884"/>
      <w:bookmarkStart w:id="810" w:name="_Toc140596937"/>
      <w:bookmarkStart w:id="811" w:name="_Toc486167717"/>
      <w:bookmarkStart w:id="812" w:name="_Toc27980_WPSOffice_Level2"/>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rPr>
        <w:t>业绩表格式</w:t>
      </w:r>
      <w:bookmarkEnd w:id="800"/>
      <w:bookmarkEnd w:id="801"/>
      <w:bookmarkEnd w:id="802"/>
      <w:bookmarkEnd w:id="803"/>
      <w:bookmarkEnd w:id="804"/>
      <w:bookmarkEnd w:id="805"/>
      <w:bookmarkEnd w:id="806"/>
      <w:bookmarkEnd w:id="807"/>
      <w:bookmarkEnd w:id="808"/>
      <w:bookmarkEnd w:id="809"/>
      <w:bookmarkEnd w:id="810"/>
    </w:p>
    <w:p>
      <w:pPr>
        <w:autoSpaceDE w:val="0"/>
        <w:autoSpaceDN w:val="0"/>
        <w:adjustRightInd w:val="0"/>
        <w:spacing w:line="360" w:lineRule="auto"/>
        <w:ind w:firstLine="0"/>
        <w:jc w:val="center"/>
        <w:outlineLvl w:val="9"/>
        <w:rPr>
          <w:rFonts w:hint="eastAsia" w:ascii="宋体" w:hAnsi="宋体" w:eastAsia="宋体" w:cs="Times New Roman"/>
          <w:b/>
          <w:bCs/>
          <w:color w:val="auto"/>
          <w:sz w:val="30"/>
          <w:szCs w:val="30"/>
          <w:highlight w:val="none"/>
          <w:lang w:val="zh-CN"/>
        </w:rPr>
      </w:pPr>
      <w:bookmarkStart w:id="813" w:name="_Toc13226"/>
      <w:bookmarkStart w:id="814" w:name="_Toc30603"/>
      <w:r>
        <w:rPr>
          <w:rFonts w:hint="eastAsia" w:ascii="宋体" w:hAnsi="宋体" w:eastAsia="宋体" w:cs="Times New Roman"/>
          <w:b/>
          <w:bCs/>
          <w:color w:val="auto"/>
          <w:sz w:val="30"/>
          <w:szCs w:val="30"/>
          <w:highlight w:val="none"/>
          <w:lang w:val="en-US" w:eastAsia="zh-CN"/>
        </w:rPr>
        <w:t>投标人</w:t>
      </w:r>
      <w:r>
        <w:rPr>
          <w:rFonts w:hint="eastAsia" w:ascii="宋体" w:hAnsi="宋体" w:eastAsia="宋体" w:cs="Times New Roman"/>
          <w:b/>
          <w:bCs/>
          <w:color w:val="auto"/>
          <w:sz w:val="30"/>
          <w:szCs w:val="30"/>
          <w:highlight w:val="none"/>
          <w:lang w:val="zh-CN"/>
        </w:rPr>
        <w:t>2023年1月1日以来</w:t>
      </w:r>
      <w:r>
        <w:rPr>
          <w:rFonts w:hint="eastAsia" w:ascii="宋体" w:hAnsi="宋体" w:eastAsia="宋体" w:cs="Times New Roman"/>
          <w:b/>
          <w:bCs/>
          <w:color w:val="auto"/>
          <w:sz w:val="30"/>
          <w:szCs w:val="30"/>
          <w:highlight w:val="none"/>
          <w:lang w:val="en-US" w:eastAsia="zh-CN"/>
        </w:rPr>
        <w:t>具有的</w:t>
      </w:r>
      <w:r>
        <w:rPr>
          <w:rFonts w:hint="eastAsia" w:ascii="宋体" w:hAnsi="宋体" w:eastAsia="宋体" w:cs="Times New Roman"/>
          <w:b/>
          <w:bCs/>
          <w:color w:val="auto"/>
          <w:sz w:val="30"/>
          <w:szCs w:val="30"/>
          <w:highlight w:val="none"/>
          <w:lang w:val="zh-CN"/>
        </w:rPr>
        <w:t>投标品牌</w:t>
      </w:r>
      <w:r>
        <w:rPr>
          <w:rFonts w:hint="eastAsia" w:ascii="宋体" w:hAnsi="宋体" w:eastAsia="宋体" w:cs="Times New Roman"/>
          <w:b/>
          <w:bCs/>
          <w:color w:val="auto"/>
          <w:sz w:val="30"/>
          <w:szCs w:val="30"/>
          <w:highlight w:val="none"/>
          <w:lang w:val="en-US" w:eastAsia="zh-CN"/>
        </w:rPr>
        <w:t>小苏打</w:t>
      </w:r>
      <w:r>
        <w:rPr>
          <w:rFonts w:hint="eastAsia" w:ascii="宋体" w:hAnsi="宋体" w:eastAsia="宋体" w:cs="Times New Roman"/>
          <w:b/>
          <w:bCs/>
          <w:color w:val="auto"/>
          <w:sz w:val="30"/>
          <w:szCs w:val="30"/>
          <w:highlight w:val="none"/>
          <w:lang w:val="zh-CN"/>
        </w:rPr>
        <w:t>供货业绩表</w:t>
      </w:r>
      <w:bookmarkEnd w:id="813"/>
      <w:bookmarkEnd w:id="814"/>
    </w:p>
    <w:p>
      <w:pPr>
        <w:autoSpaceDE w:val="0"/>
        <w:autoSpaceDN w:val="0"/>
        <w:adjustRightInd w:val="0"/>
        <w:spacing w:line="360" w:lineRule="auto"/>
        <w:ind w:firstLine="420" w:firstLineChars="200"/>
        <w:jc w:val="center"/>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本项业绩必须为：投标人2023年以来具有的投标品牌小苏打供货业绩（合同签订日期为2023年1月1日或以后）</w:t>
      </w:r>
    </w:p>
    <w:tbl>
      <w:tblPr>
        <w:tblStyle w:val="44"/>
        <w:tblW w:w="848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1"/>
        <w:gridCol w:w="1146"/>
        <w:gridCol w:w="2175"/>
        <w:gridCol w:w="1217"/>
        <w:gridCol w:w="690"/>
        <w:gridCol w:w="800"/>
        <w:gridCol w:w="1102"/>
        <w:gridCol w:w="6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9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11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名称 </w:t>
            </w:r>
          </w:p>
        </w:tc>
        <w:tc>
          <w:tcPr>
            <w:tcW w:w="21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合同标的货物名称、品牌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数量</w:t>
            </w:r>
          </w:p>
        </w:tc>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单项合同金额（单位：万元）</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签约</w:t>
            </w:r>
          </w:p>
          <w:p>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完成</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情况</w:t>
            </w:r>
          </w:p>
        </w:tc>
        <w:tc>
          <w:tcPr>
            <w:tcW w:w="11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买方单位联系人及电话</w:t>
            </w: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eastAsia="宋体" w:cs="宋体"/>
                <w:color w:val="auto"/>
                <w:sz w:val="21"/>
                <w:szCs w:val="21"/>
                <w:highlight w:val="none"/>
                <w:u w:val="singl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6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eastAsia="宋体" w:cs="宋体"/>
                <w:color w:val="auto"/>
                <w:sz w:val="21"/>
                <w:szCs w:val="21"/>
                <w:highlight w:val="none"/>
                <w:u w:val="singl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6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eastAsia="宋体" w:cs="宋体"/>
                <w:color w:val="auto"/>
                <w:sz w:val="21"/>
                <w:szCs w:val="21"/>
                <w:highlight w:val="none"/>
                <w:u w:val="singl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6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eastAsia="宋体" w:cs="宋体"/>
                <w:color w:val="auto"/>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6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（1）项目业绩按单项合同金额从高到低的方式排列；</w:t>
      </w:r>
      <w:r>
        <w:rPr>
          <w:rFonts w:hint="eastAsia" w:ascii="宋体" w:hAnsi="宋体" w:eastAsia="宋体" w:cs="Times New Roman"/>
          <w:b/>
          <w:bCs/>
          <w:color w:val="auto"/>
          <w:szCs w:val="24"/>
          <w:highlight w:val="none"/>
          <w:lang w:val="zh-CN"/>
        </w:rPr>
        <w:t>同一个单项合同的业绩可以同时在资格业绩和评分业绩重复放置；</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color w:val="auto"/>
          <w:szCs w:val="24"/>
          <w:highlight w:val="none"/>
          <w:lang w:val="zh-CN"/>
        </w:rPr>
      </w:pPr>
      <w:bookmarkStart w:id="815" w:name="_Toc3876"/>
      <w:bookmarkStart w:id="816" w:name="_Toc23981"/>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）业绩按以下条款作为考评依据：</w:t>
      </w:r>
      <w:bookmarkEnd w:id="815"/>
      <w:bookmarkEnd w:id="816"/>
    </w:p>
    <w:p>
      <w:pPr>
        <w:autoSpaceDE w:val="0"/>
        <w:autoSpaceDN w:val="0"/>
        <w:adjustRightInd/>
        <w:snapToGrid w:val="0"/>
        <w:spacing w:line="360" w:lineRule="auto"/>
        <w:ind w:left="0" w:leftChars="0" w:firstLine="0" w:firstLineChars="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1）业绩须同时提供</w:t>
      </w:r>
      <w:r>
        <w:rPr>
          <w:rFonts w:hint="eastAsia" w:ascii="宋体" w:hAnsi="宋体" w:eastAsia="宋体" w:cs="Times New Roman"/>
          <w:b/>
          <w:bCs/>
          <w:color w:val="auto"/>
          <w:szCs w:val="24"/>
          <w:highlight w:val="none"/>
          <w:lang w:val="zh-CN" w:eastAsia="zh-CN"/>
        </w:rPr>
        <w:t>①</w:t>
      </w:r>
      <w:r>
        <w:rPr>
          <w:rFonts w:hint="eastAsia" w:ascii="宋体" w:hAnsi="宋体" w:eastAsia="宋体" w:cs="Times New Roman"/>
          <w:b/>
          <w:bCs/>
          <w:color w:val="auto"/>
          <w:szCs w:val="24"/>
          <w:highlight w:val="none"/>
          <w:lang w:val="zh-CN"/>
        </w:rPr>
        <w:t>合同</w:t>
      </w:r>
      <w:r>
        <w:rPr>
          <w:rFonts w:hint="eastAsia" w:ascii="宋体" w:hAnsi="宋体" w:eastAsia="宋体" w:cs="Times New Roman"/>
          <w:b/>
          <w:bCs/>
          <w:color w:val="auto"/>
          <w:szCs w:val="24"/>
          <w:highlight w:val="none"/>
          <w:lang w:val="en-US" w:eastAsia="zh-CN"/>
        </w:rPr>
        <w:t>扫描件</w:t>
      </w:r>
      <w:r>
        <w:rPr>
          <w:rFonts w:hint="eastAsia" w:ascii="宋体" w:hAnsi="宋体" w:eastAsia="宋体" w:cs="Times New Roman"/>
          <w:b/>
          <w:bCs/>
          <w:color w:val="auto"/>
          <w:szCs w:val="24"/>
          <w:highlight w:val="none"/>
          <w:lang w:val="zh-CN"/>
        </w:rPr>
        <w:t>（合同卖方为</w:t>
      </w:r>
      <w:r>
        <w:rPr>
          <w:rFonts w:hint="eastAsia" w:ascii="宋体" w:hAnsi="宋体" w:eastAsia="宋体" w:cs="Times New Roman"/>
          <w:b/>
          <w:bCs/>
          <w:color w:val="auto"/>
          <w:szCs w:val="24"/>
          <w:highlight w:val="none"/>
          <w:lang w:val="zh-CN" w:eastAsia="zh-CN"/>
        </w:rPr>
        <w:t>投标人</w:t>
      </w: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zh-CN" w:eastAsia="zh-CN"/>
        </w:rPr>
        <w:t>②</w:t>
      </w:r>
      <w:r>
        <w:rPr>
          <w:rFonts w:hint="eastAsia" w:ascii="宋体" w:hAnsi="宋体" w:eastAsia="宋体" w:cs="Times New Roman"/>
          <w:b/>
          <w:bCs/>
          <w:color w:val="auto"/>
          <w:szCs w:val="24"/>
          <w:highlight w:val="none"/>
          <w:lang w:val="zh-CN"/>
        </w:rPr>
        <w:t>已供货产品任意一张发票</w:t>
      </w:r>
      <w:r>
        <w:rPr>
          <w:rFonts w:hint="eastAsia" w:ascii="宋体" w:hAnsi="宋体" w:eastAsia="宋体" w:cs="Times New Roman"/>
          <w:b/>
          <w:bCs/>
          <w:color w:val="auto"/>
          <w:szCs w:val="24"/>
          <w:highlight w:val="none"/>
          <w:lang w:val="zh-CN" w:eastAsia="zh-CN"/>
        </w:rPr>
        <w:t>扫描</w:t>
      </w:r>
      <w:r>
        <w:rPr>
          <w:rFonts w:hint="eastAsia" w:ascii="宋体" w:hAnsi="宋体" w:eastAsia="宋体" w:cs="Times New Roman"/>
          <w:b/>
          <w:bCs/>
          <w:color w:val="auto"/>
          <w:szCs w:val="24"/>
          <w:highlight w:val="none"/>
          <w:lang w:val="zh-CN"/>
        </w:rPr>
        <w:t>件（发票开具日期须在本项目招标公告发布之日前），否则不得分；</w:t>
      </w:r>
    </w:p>
    <w:p>
      <w:pPr>
        <w:autoSpaceDE w:val="0"/>
        <w:autoSpaceDN w:val="0"/>
        <w:adjustRightInd/>
        <w:snapToGrid w:val="0"/>
        <w:spacing w:line="360" w:lineRule="auto"/>
        <w:ind w:left="0" w:leftChars="0" w:firstLine="0" w:firstLineChars="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2）若业绩为框架式协议或资格入围</w:t>
      </w:r>
      <w:r>
        <w:rPr>
          <w:rFonts w:hint="eastAsia" w:ascii="宋体" w:hAnsi="宋体" w:eastAsia="宋体" w:cs="Times New Roman"/>
          <w:b/>
          <w:bCs/>
          <w:color w:val="auto"/>
          <w:szCs w:val="24"/>
          <w:highlight w:val="none"/>
          <w:lang w:val="en-US" w:eastAsia="zh-CN"/>
        </w:rPr>
        <w:t>等</w:t>
      </w:r>
      <w:r>
        <w:rPr>
          <w:rFonts w:hint="eastAsia" w:ascii="宋体" w:hAnsi="宋体" w:eastAsia="宋体" w:cs="Times New Roman"/>
          <w:b/>
          <w:bCs/>
          <w:color w:val="auto"/>
          <w:szCs w:val="24"/>
          <w:highlight w:val="none"/>
          <w:lang w:val="zh-CN"/>
        </w:rPr>
        <w:t>无明确金额的合同，必须同时提供合同期限内已供货产品发票金额统计表和供货发票</w:t>
      </w:r>
      <w:r>
        <w:rPr>
          <w:rFonts w:hint="eastAsia" w:ascii="宋体" w:hAnsi="宋体" w:eastAsia="宋体" w:cs="Times New Roman"/>
          <w:b/>
          <w:bCs/>
          <w:color w:val="auto"/>
          <w:szCs w:val="24"/>
          <w:highlight w:val="none"/>
          <w:lang w:val="zh-CN" w:eastAsia="zh-CN"/>
        </w:rPr>
        <w:t>扫描件</w:t>
      </w:r>
      <w:r>
        <w:rPr>
          <w:rFonts w:hint="eastAsia" w:ascii="宋体" w:hAnsi="宋体" w:eastAsia="宋体" w:cs="Times New Roman"/>
          <w:b/>
          <w:bCs/>
          <w:color w:val="auto"/>
          <w:szCs w:val="24"/>
          <w:highlight w:val="none"/>
          <w:lang w:val="zh-CN"/>
        </w:rPr>
        <w:t>，否则，视为无效业绩；</w:t>
      </w:r>
    </w:p>
    <w:p>
      <w:pPr>
        <w:numPr>
          <w:ilvl w:val="-1"/>
          <w:numId w:val="0"/>
        </w:numPr>
        <w:autoSpaceDE w:val="0"/>
        <w:autoSpaceDN w:val="0"/>
        <w:adjustRightInd/>
        <w:snapToGrid w:val="0"/>
        <w:spacing w:line="360" w:lineRule="auto"/>
        <w:ind w:left="0" w:leftChars="0" w:firstLine="0" w:firstLineChars="0"/>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3）</w:t>
      </w:r>
      <w:r>
        <w:rPr>
          <w:rFonts w:hint="eastAsia" w:ascii="宋体" w:hAnsi="宋体" w:eastAsia="宋体" w:cs="Times New Roman"/>
          <w:b/>
          <w:bCs/>
          <w:color w:val="auto"/>
          <w:szCs w:val="24"/>
          <w:highlight w:val="none"/>
          <w:lang w:val="zh-CN"/>
        </w:rPr>
        <w:t>若合同无法反映评分条件（卖方为投标人、合同签订日期为2023年1月1日或以后、金额、合同标的必须包含投标品牌</w:t>
      </w:r>
      <w:r>
        <w:rPr>
          <w:rFonts w:hint="eastAsia" w:ascii="宋体" w:hAnsi="宋体" w:eastAsia="宋体" w:cs="Times New Roman"/>
          <w:b/>
          <w:bCs/>
          <w:color w:val="auto"/>
          <w:szCs w:val="24"/>
          <w:highlight w:val="none"/>
          <w:lang w:val="en-US" w:eastAsia="zh-CN"/>
        </w:rPr>
        <w:t>小苏打</w:t>
      </w: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zh-CN" w:eastAsia="zh-CN"/>
        </w:rPr>
        <w:t>的</w:t>
      </w: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kern w:val="2"/>
          <w:szCs w:val="24"/>
          <w:highlight w:val="none"/>
          <w:lang w:val="zh-CN"/>
        </w:rPr>
        <w:t>还需提供产品购买方出具的书面补充说明文件</w:t>
      </w:r>
      <w:r>
        <w:rPr>
          <w:rFonts w:hint="eastAsia" w:ascii="宋体" w:hAnsi="宋体" w:eastAsia="宋体" w:cs="Times New Roman"/>
          <w:b/>
          <w:bCs/>
          <w:color w:val="auto"/>
          <w:kern w:val="2"/>
          <w:szCs w:val="24"/>
          <w:highlight w:val="none"/>
          <w:lang w:val="zh-CN" w:eastAsia="zh-CN"/>
        </w:rPr>
        <w:t>扫描件</w:t>
      </w:r>
      <w:r>
        <w:rPr>
          <w:rFonts w:hint="eastAsia" w:ascii="宋体" w:hAnsi="宋体" w:eastAsia="宋体" w:cs="Times New Roman"/>
          <w:b/>
          <w:bCs/>
          <w:color w:val="auto"/>
          <w:kern w:val="2"/>
          <w:szCs w:val="24"/>
          <w:highlight w:val="none"/>
          <w:lang w:val="zh-CN"/>
        </w:rPr>
        <w:t>作为辅助证明（补充说明文件</w:t>
      </w:r>
      <w:r>
        <w:rPr>
          <w:rFonts w:hint="eastAsia" w:ascii="宋体" w:hAnsi="宋体" w:eastAsia="宋体" w:cs="Times New Roman"/>
          <w:b/>
          <w:bCs/>
          <w:color w:val="auto"/>
          <w:kern w:val="2"/>
          <w:szCs w:val="24"/>
          <w:highlight w:val="none"/>
          <w:lang w:val="zh-CN" w:eastAsia="zh-CN"/>
        </w:rPr>
        <w:t>扫描件</w:t>
      </w:r>
      <w:r>
        <w:rPr>
          <w:rFonts w:hint="eastAsia" w:ascii="宋体" w:hAnsi="宋体" w:eastAsia="宋体" w:cs="Times New Roman"/>
          <w:b/>
          <w:bCs/>
          <w:color w:val="auto"/>
          <w:kern w:val="2"/>
          <w:szCs w:val="24"/>
          <w:highlight w:val="none"/>
          <w:lang w:val="zh-CN"/>
        </w:rPr>
        <w:t>能显示购买方公章），否则不得分</w:t>
      </w:r>
      <w:r>
        <w:rPr>
          <w:rFonts w:hint="eastAsia" w:ascii="宋体" w:hAnsi="宋体" w:eastAsia="宋体" w:cs="Times New Roman"/>
          <w:b/>
          <w:bCs/>
          <w:color w:val="auto"/>
          <w:szCs w:val="24"/>
          <w:highlight w:val="none"/>
          <w:lang w:val="zh-CN" w:eastAsia="zh-CN"/>
        </w:rPr>
        <w:t>；</w:t>
      </w:r>
    </w:p>
    <w:p>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3</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pPr>
        <w:autoSpaceDE/>
        <w:autoSpaceDN/>
        <w:adjustRightInd/>
        <w:spacing w:line="240" w:lineRule="auto"/>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pPr>
        <w:tabs>
          <w:tab w:val="left" w:pos="567"/>
        </w:tabs>
        <w:autoSpaceDE w:val="0"/>
        <w:autoSpaceDN w:val="0"/>
        <w:adjustRightInd w:val="0"/>
        <w:spacing w:line="360" w:lineRule="auto"/>
        <w:ind w:left="657" w:hanging="867"/>
        <w:jc w:val="left"/>
        <w:outlineLvl w:val="9"/>
        <w:rPr>
          <w:rFonts w:hint="eastAsia" w:ascii="宋体" w:hAnsi="宋体" w:eastAsia="宋体" w:cs="宋体"/>
          <w:b/>
          <w:color w:val="auto"/>
          <w:kern w:val="0"/>
          <w:sz w:val="32"/>
          <w:szCs w:val="32"/>
          <w:highlight w:val="none"/>
          <w:lang w:val="zh-CN"/>
        </w:rPr>
      </w:pPr>
      <w:bookmarkStart w:id="817" w:name="_Toc10033"/>
      <w:r>
        <w:rPr>
          <w:rFonts w:hint="eastAsia" w:ascii="宋体" w:hAnsi="宋体" w:eastAsia="宋体" w:cs="宋体"/>
          <w:b/>
          <w:color w:val="auto"/>
          <w:kern w:val="0"/>
          <w:sz w:val="32"/>
          <w:szCs w:val="32"/>
          <w:highlight w:val="none"/>
          <w:lang w:val="zh-CN"/>
        </w:rPr>
        <w:t>附表：已供货产品发票金额统计表</w:t>
      </w:r>
      <w:bookmarkEnd w:id="817"/>
    </w:p>
    <w:tbl>
      <w:tblPr>
        <w:tblStyle w:val="44"/>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720"/>
        <w:gridCol w:w="2526"/>
        <w:gridCol w:w="1056"/>
        <w:gridCol w:w="147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820" w:type="dxa"/>
            <w:gridSpan w:val="2"/>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5694" w:type="dxa"/>
            <w:gridSpan w:val="4"/>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820" w:type="dxa"/>
            <w:gridSpan w:val="2"/>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合同约定的</w:t>
            </w:r>
            <w:r>
              <w:rPr>
                <w:rFonts w:hint="eastAsia" w:ascii="宋体" w:hAnsi="宋体" w:cs="宋体"/>
                <w:color w:val="auto"/>
                <w:highlight w:val="none"/>
              </w:rPr>
              <w:t>供货期</w:t>
            </w:r>
          </w:p>
        </w:tc>
        <w:tc>
          <w:tcPr>
            <w:tcW w:w="5694" w:type="dxa"/>
            <w:gridSpan w:val="4"/>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820" w:type="dxa"/>
            <w:gridSpan w:val="2"/>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发票抬头（合同购买方）</w:t>
            </w:r>
          </w:p>
        </w:tc>
        <w:tc>
          <w:tcPr>
            <w:tcW w:w="5694" w:type="dxa"/>
            <w:gridSpan w:val="4"/>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100"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20"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252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105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147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63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100"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20"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252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05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47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63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100"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20"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252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05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47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63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100"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20"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252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05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47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63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100"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720"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252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05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47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63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3820" w:type="dxa"/>
            <w:gridSpan w:val="2"/>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发票金额合计</w:t>
            </w:r>
            <w:r>
              <w:rPr>
                <w:rFonts w:hint="eastAsia" w:ascii="宋体" w:hAnsi="宋体" w:cs="宋体"/>
                <w:color w:val="auto"/>
                <w:highlight w:val="none"/>
              </w:rPr>
              <w:t>（单位：万元）</w:t>
            </w:r>
          </w:p>
        </w:tc>
        <w:tc>
          <w:tcPr>
            <w:tcW w:w="252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05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47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636" w:type="dxa"/>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bl>
    <w:p>
      <w:pPr>
        <w:snapToGrid w:val="0"/>
        <w:spacing w:line="360" w:lineRule="auto"/>
        <w:ind w:left="491" w:leftChars="-57" w:hanging="611" w:hangingChars="291"/>
        <w:outlineLvl w:val="9"/>
        <w:rPr>
          <w:rFonts w:hint="eastAsia" w:ascii="宋体" w:hAnsi="宋体" w:eastAsia="宋体" w:cs="宋体"/>
          <w:color w:val="auto"/>
          <w:szCs w:val="21"/>
          <w:highlight w:val="none"/>
        </w:rPr>
      </w:pPr>
    </w:p>
    <w:p>
      <w:pPr>
        <w:snapToGrid w:val="0"/>
        <w:spacing w:line="360" w:lineRule="auto"/>
        <w:ind w:left="491" w:leftChars="-57" w:hanging="611" w:hangingChars="29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napToGrid w:val="0"/>
        <w:spacing w:line="360" w:lineRule="auto"/>
        <w:ind w:left="396" w:leftChars="-58" w:hanging="518" w:hangingChars="247"/>
        <w:outlineLvl w:val="9"/>
        <w:rPr>
          <w:rFonts w:hint="eastAsia" w:ascii="宋体" w:hAnsi="宋体" w:eastAsia="宋体" w:cs="宋体"/>
          <w:color w:val="auto"/>
          <w:kern w:val="2"/>
          <w:sz w:val="21"/>
          <w:highlight w:val="none"/>
        </w:rPr>
      </w:pPr>
      <w:bookmarkStart w:id="818" w:name="_Toc10235"/>
      <w:bookmarkStart w:id="819" w:name="_Toc18014"/>
      <w:r>
        <w:rPr>
          <w:rFonts w:hint="eastAsia" w:ascii="宋体" w:hAnsi="宋体" w:eastAsia="宋体" w:cs="宋体"/>
          <w:color w:val="auto"/>
          <w:kern w:val="2"/>
          <w:sz w:val="21"/>
          <w:highlight w:val="none"/>
        </w:rPr>
        <w:t>（1）本统计表及供货发票</w:t>
      </w:r>
      <w:r>
        <w:rPr>
          <w:rFonts w:hint="eastAsia" w:ascii="宋体" w:hAnsi="宋体" w:eastAsia="宋体" w:cs="宋体"/>
          <w:color w:val="auto"/>
          <w:kern w:val="2"/>
          <w:sz w:val="21"/>
          <w:highlight w:val="none"/>
          <w:lang w:eastAsia="zh-CN"/>
        </w:rPr>
        <w:t>扫描件</w:t>
      </w:r>
      <w:r>
        <w:rPr>
          <w:rFonts w:hint="eastAsia" w:ascii="宋体" w:hAnsi="宋体" w:eastAsia="宋体" w:cs="宋体"/>
          <w:color w:val="auto"/>
          <w:kern w:val="2"/>
          <w:sz w:val="21"/>
          <w:highlight w:val="none"/>
        </w:rPr>
        <w:t>应后附于合同</w:t>
      </w:r>
      <w:r>
        <w:rPr>
          <w:rFonts w:hint="eastAsia" w:ascii="宋体" w:hAnsi="宋体" w:eastAsia="宋体" w:cs="宋体"/>
          <w:color w:val="auto"/>
          <w:szCs w:val="21"/>
          <w:highlight w:val="none"/>
          <w:lang w:val="zh-CN" w:eastAsia="zh-CN"/>
        </w:rPr>
        <w:t>扫描件</w:t>
      </w:r>
      <w:r>
        <w:rPr>
          <w:rFonts w:hint="eastAsia" w:ascii="宋体" w:hAnsi="宋体" w:eastAsia="宋体" w:cs="宋体"/>
          <w:color w:val="auto"/>
          <w:kern w:val="2"/>
          <w:sz w:val="21"/>
          <w:highlight w:val="none"/>
        </w:rPr>
        <w:t>；</w:t>
      </w:r>
      <w:bookmarkEnd w:id="818"/>
      <w:bookmarkEnd w:id="819"/>
    </w:p>
    <w:p>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（2）发票抬头应为合同购买方，销售方应为投标人，且发票名目、所属时期应与合同约定内容一致，否则不计分。</w:t>
      </w:r>
    </w:p>
    <w:p>
      <w:pPr>
        <w:pStyle w:val="46"/>
        <w:outlineLvl w:val="9"/>
        <w:rPr>
          <w:rFonts w:hint="eastAsia" w:ascii="宋体" w:hAnsi="宋体" w:eastAsia="宋体" w:cs="宋体"/>
          <w:color w:val="auto"/>
          <w:highlight w:val="none"/>
          <w:lang w:val="zh-CN"/>
        </w:rPr>
      </w:pPr>
    </w:p>
    <w:p>
      <w:pPr>
        <w:pStyle w:val="46"/>
        <w:outlineLvl w:val="9"/>
        <w:rPr>
          <w:rFonts w:hint="eastAsia" w:ascii="宋体" w:hAnsi="宋体" w:eastAsia="宋体" w:cs="宋体"/>
          <w:color w:val="auto"/>
          <w:highlight w:val="none"/>
          <w:lang w:val="zh-CN"/>
        </w:rPr>
      </w:pPr>
    </w:p>
    <w:p>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bookmarkEnd w:id="811"/>
    <w:bookmarkEnd w:id="812"/>
    <w:p>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pPr>
        <w:spacing w:line="360" w:lineRule="auto"/>
        <w:outlineLvl w:val="9"/>
        <w:rPr>
          <w:rFonts w:hint="eastAsia" w:ascii="宋体" w:hAnsi="宋体" w:eastAsia="宋体" w:cs="宋体"/>
          <w:b/>
          <w:color w:val="auto"/>
          <w:kern w:val="0"/>
          <w:szCs w:val="21"/>
          <w:highlight w:val="none"/>
        </w:rPr>
      </w:pPr>
      <w:bookmarkStart w:id="820" w:name="_Toc533708134"/>
      <w:bookmarkStart w:id="821" w:name="_Toc486167721"/>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822" w:name="_Toc104991886"/>
      <w:bookmarkStart w:id="823" w:name="_Toc142508379"/>
      <w:bookmarkStart w:id="824" w:name="_Toc24616"/>
      <w:bookmarkStart w:id="825" w:name="_Toc102860428"/>
      <w:bookmarkStart w:id="826" w:name="_Toc1977738"/>
      <w:bookmarkStart w:id="827" w:name="_Toc94107221"/>
      <w:bookmarkStart w:id="828" w:name="_Toc102860084"/>
      <w:bookmarkStart w:id="829" w:name="_Toc140596939"/>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bookmarkStart w:id="830" w:name="_Toc2007"/>
      <w:bookmarkStart w:id="831" w:name="_Toc29652"/>
      <w:r>
        <w:rPr>
          <w:rFonts w:hint="eastAsia" w:ascii="宋体" w:hAnsi="宋体" w:eastAsia="宋体" w:cs="宋体"/>
          <w:b/>
          <w:bCs/>
          <w:color w:val="auto"/>
          <w:kern w:val="0"/>
          <w:sz w:val="32"/>
          <w:szCs w:val="32"/>
          <w:highlight w:val="none"/>
          <w:lang w:val="zh-CN"/>
        </w:rPr>
        <w:br w:type="page"/>
      </w:r>
    </w:p>
    <w:p>
      <w:pPr>
        <w:pageBreakBefore w:val="0"/>
        <w:tabs>
          <w:tab w:val="left" w:pos="567"/>
        </w:tabs>
        <w:autoSpaceDE/>
        <w:autoSpaceDN/>
        <w:adjustRightInd/>
        <w:spacing w:line="360" w:lineRule="auto"/>
        <w:ind w:left="471" w:leftChars="0" w:hanging="680"/>
        <w:jc w:val="left"/>
        <w:outlineLvl w:val="2"/>
        <w:rPr>
          <w:rFonts w:hint="eastAsia" w:ascii="宋体" w:hAnsi="宋体" w:eastAsia="宋体" w:cs="宋体"/>
          <w:b/>
          <w:color w:val="auto"/>
          <w:kern w:val="0"/>
          <w:sz w:val="32"/>
          <w:szCs w:val="32"/>
          <w:highlight w:val="none"/>
        </w:rPr>
        <w:sectPr>
          <w:pgSz w:w="12240" w:h="15840"/>
          <w:pgMar w:top="1191" w:right="1737" w:bottom="1191" w:left="1043" w:header="720" w:footer="720" w:gutter="0"/>
          <w:cols w:space="720" w:num="1"/>
          <w:titlePg/>
          <w:docGrid w:linePitch="326" w:charSpace="0"/>
        </w:sectPr>
      </w:pPr>
      <w:bookmarkStart w:id="832" w:name="_Toc10152"/>
      <w:r>
        <w:rPr>
          <w:rFonts w:hint="eastAsia" w:ascii="宋体" w:hAnsi="宋体" w:eastAsia="宋体" w:cs="宋体"/>
          <w:b/>
          <w:bCs/>
          <w:color w:val="auto"/>
          <w:kern w:val="0"/>
          <w:sz w:val="32"/>
          <w:szCs w:val="32"/>
          <w:highlight w:val="none"/>
          <w:lang w:val="en-US" w:eastAsia="zh-CN"/>
        </w:rPr>
        <w:t>九、</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w:t>
      </w:r>
      <w:r>
        <w:rPr>
          <w:rFonts w:hint="eastAsia" w:ascii="宋体" w:hAnsi="宋体" w:eastAsia="宋体" w:cs="宋体"/>
          <w:b/>
          <w:bCs w:val="0"/>
          <w:color w:val="auto"/>
          <w:kern w:val="2"/>
          <w:sz w:val="32"/>
          <w:szCs w:val="32"/>
          <w:highlight w:val="none"/>
          <w:lang w:val="en-US"/>
        </w:rPr>
        <w:t>项目</w:t>
      </w:r>
      <w:r>
        <w:rPr>
          <w:rFonts w:hint="eastAsia" w:ascii="宋体" w:hAnsi="宋体" w:eastAsia="宋体" w:cs="宋体"/>
          <w:b/>
          <w:color w:val="auto"/>
          <w:sz w:val="32"/>
          <w:szCs w:val="32"/>
          <w:highlight w:val="none"/>
          <w:lang w:val="zh-CN" w:eastAsia="zh-CN"/>
        </w:rPr>
        <w:t>提供货物</w:t>
      </w:r>
      <w:r>
        <w:rPr>
          <w:rFonts w:hint="eastAsia" w:ascii="宋体" w:hAnsi="宋体" w:eastAsia="宋体" w:cs="宋体"/>
          <w:b/>
          <w:color w:val="auto"/>
          <w:sz w:val="32"/>
          <w:szCs w:val="32"/>
          <w:highlight w:val="none"/>
          <w:lang w:val="en-US" w:eastAsia="zh-CN"/>
        </w:rPr>
        <w:t>及有关</w:t>
      </w:r>
      <w:r>
        <w:rPr>
          <w:rFonts w:hint="eastAsia" w:ascii="宋体" w:hAnsi="宋体" w:eastAsia="宋体" w:cs="宋体"/>
          <w:b/>
          <w:color w:val="auto"/>
          <w:sz w:val="32"/>
          <w:szCs w:val="32"/>
          <w:highlight w:val="none"/>
          <w:lang w:val="zh-CN" w:eastAsia="zh-CN"/>
        </w:rPr>
        <w:t>服务能力</w:t>
      </w:r>
      <w:r>
        <w:rPr>
          <w:rFonts w:hint="eastAsia" w:ascii="宋体" w:hAnsi="宋体" w:eastAsia="宋体" w:cs="宋体"/>
          <w:b/>
          <w:bCs/>
          <w:color w:val="auto"/>
          <w:kern w:val="0"/>
          <w:sz w:val="32"/>
          <w:szCs w:val="32"/>
          <w:highlight w:val="none"/>
          <w:lang w:val="zh-CN"/>
        </w:rPr>
        <w:t>的有关其它商务文件（不做强制要求）</w:t>
      </w:r>
      <w:bookmarkEnd w:id="822"/>
      <w:bookmarkEnd w:id="823"/>
      <w:bookmarkEnd w:id="824"/>
      <w:bookmarkEnd w:id="825"/>
      <w:bookmarkEnd w:id="826"/>
      <w:bookmarkEnd w:id="827"/>
      <w:bookmarkEnd w:id="828"/>
      <w:bookmarkEnd w:id="829"/>
      <w:bookmarkEnd w:id="830"/>
      <w:bookmarkEnd w:id="831"/>
      <w:bookmarkEnd w:id="832"/>
    </w:p>
    <w:p>
      <w:pPr>
        <w:jc w:val="center"/>
        <w:outlineLvl w:val="2"/>
        <w:rPr>
          <w:rFonts w:hint="eastAsia" w:ascii="宋体" w:hAnsi="宋体" w:eastAsia="宋体" w:cs="宋体"/>
          <w:b/>
          <w:color w:val="auto"/>
          <w:kern w:val="0"/>
          <w:sz w:val="32"/>
          <w:szCs w:val="32"/>
          <w:highlight w:val="none"/>
        </w:rPr>
      </w:pPr>
      <w:bookmarkStart w:id="833" w:name="_Toc4972"/>
      <w:bookmarkStart w:id="834" w:name="_Toc13776"/>
      <w:bookmarkStart w:id="835" w:name="_Toc32650"/>
      <w:bookmarkStart w:id="836" w:name="_Toc254"/>
      <w:bookmarkStart w:id="837" w:name="_Toc5256"/>
      <w:bookmarkStart w:id="838" w:name="_Toc27993"/>
      <w:bookmarkStart w:id="839" w:name="_Toc14997"/>
      <w:bookmarkStart w:id="840" w:name="_Toc195714399"/>
      <w:bookmarkStart w:id="841" w:name="_Toc27482"/>
      <w:bookmarkStart w:id="842" w:name="_Toc142508380"/>
      <w:bookmarkStart w:id="843" w:name="_Toc1977739"/>
      <w:bookmarkStart w:id="844" w:name="_Toc18038"/>
      <w:bookmarkStart w:id="845" w:name="_Toc102860085"/>
      <w:bookmarkStart w:id="846" w:name="_Toc94107222"/>
      <w:bookmarkStart w:id="847" w:name="_Toc104991887"/>
      <w:bookmarkStart w:id="848" w:name="_Toc140596940"/>
      <w:bookmarkStart w:id="849" w:name="_Toc31916"/>
      <w:bookmarkStart w:id="850" w:name="_Toc102860429"/>
      <w:r>
        <w:rPr>
          <w:rFonts w:hint="eastAsia" w:ascii="宋体" w:hAnsi="宋体" w:eastAsia="宋体" w:cs="宋体"/>
          <w:b/>
          <w:color w:val="auto"/>
          <w:kern w:val="0"/>
          <w:sz w:val="32"/>
          <w:szCs w:val="32"/>
          <w:highlight w:val="none"/>
        </w:rPr>
        <w:t>二  技术标格式</w:t>
      </w:r>
      <w:bookmarkEnd w:id="833"/>
      <w:bookmarkEnd w:id="834"/>
      <w:bookmarkEnd w:id="835"/>
      <w:bookmarkEnd w:id="836"/>
      <w:bookmarkEnd w:id="837"/>
      <w:bookmarkEnd w:id="838"/>
      <w:bookmarkEnd w:id="839"/>
      <w:bookmarkEnd w:id="840"/>
    </w:p>
    <w:bookmarkEnd w:id="820"/>
    <w:bookmarkEnd w:id="841"/>
    <w:bookmarkEnd w:id="842"/>
    <w:bookmarkEnd w:id="843"/>
    <w:bookmarkEnd w:id="844"/>
    <w:bookmarkEnd w:id="845"/>
    <w:bookmarkEnd w:id="846"/>
    <w:bookmarkEnd w:id="847"/>
    <w:bookmarkEnd w:id="848"/>
    <w:bookmarkEnd w:id="849"/>
    <w:bookmarkEnd w:id="850"/>
    <w:p>
      <w:pPr>
        <w:pStyle w:val="21"/>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821"/>
      <w:bookmarkStart w:id="851" w:name="_Toc94107223"/>
      <w:bookmarkStart w:id="852" w:name="_Toc142508381"/>
      <w:bookmarkStart w:id="853" w:name="_Toc102860086"/>
      <w:bookmarkStart w:id="854" w:name="_Toc104991888"/>
      <w:bookmarkStart w:id="855" w:name="_Toc533708135"/>
      <w:bookmarkStart w:id="856" w:name="_Toc1977740"/>
      <w:bookmarkStart w:id="857" w:name="_Toc140596941"/>
      <w:bookmarkStart w:id="858" w:name="_Toc102860430"/>
    </w:p>
    <w:p>
      <w:pPr>
        <w:pStyle w:val="21"/>
        <w:spacing w:line="360" w:lineRule="auto"/>
        <w:jc w:val="center"/>
        <w:outlineLvl w:val="9"/>
        <w:rPr>
          <w:rFonts w:hint="eastAsia" w:ascii="宋体" w:hAnsi="宋体" w:eastAsia="宋体" w:cs="宋体"/>
          <w:b/>
          <w:color w:val="auto"/>
          <w:kern w:val="0"/>
          <w:szCs w:val="21"/>
          <w:highlight w:val="none"/>
        </w:rPr>
      </w:pPr>
    </w:p>
    <w:p>
      <w:pPr>
        <w:pStyle w:val="21"/>
        <w:spacing w:line="360" w:lineRule="auto"/>
        <w:jc w:val="center"/>
        <w:outlineLvl w:val="9"/>
        <w:rPr>
          <w:rFonts w:hint="eastAsia" w:ascii="宋体" w:hAnsi="宋体" w:eastAsia="宋体" w:cs="宋体"/>
          <w:b/>
          <w:color w:val="auto"/>
          <w:kern w:val="0"/>
          <w:szCs w:val="21"/>
          <w:highlight w:val="none"/>
        </w:rPr>
      </w:pPr>
    </w:p>
    <w:p>
      <w:pPr>
        <w:pStyle w:val="21"/>
        <w:spacing w:line="360" w:lineRule="auto"/>
        <w:jc w:val="center"/>
        <w:outlineLvl w:val="9"/>
        <w:rPr>
          <w:rFonts w:hint="eastAsia" w:ascii="宋体" w:hAnsi="宋体" w:eastAsia="宋体" w:cs="宋体"/>
          <w:b/>
          <w:color w:val="auto"/>
          <w:kern w:val="0"/>
          <w:szCs w:val="21"/>
          <w:highlight w:val="none"/>
        </w:rPr>
      </w:pPr>
    </w:p>
    <w:p>
      <w:pPr>
        <w:pStyle w:val="21"/>
        <w:spacing w:line="360" w:lineRule="auto"/>
        <w:jc w:val="center"/>
        <w:outlineLvl w:val="9"/>
        <w:rPr>
          <w:rFonts w:hint="eastAsia" w:ascii="宋体" w:hAnsi="宋体" w:eastAsia="宋体" w:cs="宋体"/>
          <w:b/>
          <w:color w:val="auto"/>
          <w:kern w:val="0"/>
          <w:szCs w:val="21"/>
          <w:highlight w:val="none"/>
        </w:rPr>
      </w:pPr>
    </w:p>
    <w:p>
      <w:pPr>
        <w:pStyle w:val="21"/>
        <w:spacing w:line="360" w:lineRule="auto"/>
        <w:jc w:val="center"/>
        <w:outlineLvl w:val="9"/>
        <w:rPr>
          <w:rFonts w:hint="eastAsia" w:ascii="宋体" w:hAnsi="宋体" w:eastAsia="宋体" w:cs="宋体"/>
          <w:b/>
          <w:color w:val="auto"/>
          <w:kern w:val="0"/>
          <w:szCs w:val="21"/>
          <w:highlight w:val="none"/>
        </w:rPr>
      </w:pPr>
    </w:p>
    <w:p>
      <w:pPr>
        <w:pStyle w:val="21"/>
        <w:spacing w:line="360" w:lineRule="auto"/>
        <w:jc w:val="center"/>
        <w:outlineLvl w:val="9"/>
        <w:rPr>
          <w:rFonts w:hint="eastAsia" w:ascii="宋体" w:hAnsi="宋体" w:eastAsia="宋体" w:cs="宋体"/>
          <w:b/>
          <w:color w:val="auto"/>
          <w:kern w:val="0"/>
          <w:szCs w:val="21"/>
          <w:highlight w:val="none"/>
        </w:rPr>
      </w:pPr>
    </w:p>
    <w:p>
      <w:pPr>
        <w:pStyle w:val="21"/>
        <w:spacing w:line="360" w:lineRule="auto"/>
        <w:jc w:val="center"/>
        <w:outlineLvl w:val="9"/>
        <w:rPr>
          <w:rFonts w:hint="eastAsia" w:ascii="宋体" w:hAnsi="宋体" w:eastAsia="宋体" w:cs="宋体"/>
          <w:b/>
          <w:color w:val="auto"/>
          <w:kern w:val="0"/>
          <w:szCs w:val="21"/>
          <w:highlight w:val="none"/>
        </w:rPr>
      </w:pPr>
    </w:p>
    <w:p>
      <w:pPr>
        <w:pStyle w:val="21"/>
        <w:spacing w:line="360" w:lineRule="auto"/>
        <w:jc w:val="center"/>
        <w:outlineLvl w:val="9"/>
        <w:rPr>
          <w:rFonts w:hint="eastAsia" w:ascii="宋体" w:hAnsi="宋体" w:eastAsia="宋体" w:cs="宋体"/>
          <w:b/>
          <w:color w:val="auto"/>
          <w:kern w:val="0"/>
          <w:szCs w:val="21"/>
          <w:highlight w:val="none"/>
        </w:rPr>
      </w:pPr>
    </w:p>
    <w:p>
      <w:pPr>
        <w:pStyle w:val="21"/>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投标文件技术标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outlineLvl w:val="9"/>
        <w:rPr>
          <w:rFonts w:hint="eastAsia" w:ascii="宋体" w:hAnsi="宋体" w:eastAsia="宋体" w:cs="宋体"/>
          <w:color w:val="auto"/>
          <w:highlight w:val="none"/>
        </w:rPr>
      </w:pPr>
    </w:p>
    <w:p>
      <w:pPr>
        <w:pStyle w:val="21"/>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center"/>
        <w:outlineLvl w:val="2"/>
        <w:rPr>
          <w:rFonts w:hint="eastAsia" w:ascii="宋体" w:hAnsi="宋体" w:eastAsia="宋体" w:cs="宋体"/>
          <w:b/>
          <w:color w:val="auto"/>
          <w:kern w:val="0"/>
          <w:sz w:val="24"/>
          <w:szCs w:val="24"/>
          <w:highlight w:val="none"/>
        </w:rPr>
      </w:pPr>
      <w:bookmarkStart w:id="859" w:name="_Toc31565"/>
      <w:bookmarkStart w:id="860" w:name="_Toc23902"/>
      <w:bookmarkStart w:id="861" w:name="_Toc11390"/>
      <w:bookmarkStart w:id="862" w:name="_Toc19053"/>
      <w:bookmarkStart w:id="863" w:name="_Toc195714400"/>
      <w:bookmarkStart w:id="864" w:name="_Toc14054"/>
      <w:bookmarkStart w:id="865" w:name="_Toc8004"/>
      <w:bookmarkStart w:id="866" w:name="_Toc22881"/>
      <w:r>
        <w:rPr>
          <w:rFonts w:hint="eastAsia" w:ascii="宋体" w:hAnsi="宋体" w:eastAsia="宋体" w:cs="宋体"/>
          <w:b/>
          <w:color w:val="auto"/>
          <w:kern w:val="0"/>
          <w:sz w:val="24"/>
          <w:szCs w:val="24"/>
          <w:highlight w:val="none"/>
        </w:rPr>
        <w:t>目录</w:t>
      </w:r>
      <w:bookmarkEnd w:id="859"/>
      <w:bookmarkEnd w:id="860"/>
      <w:bookmarkEnd w:id="861"/>
      <w:bookmarkEnd w:id="862"/>
      <w:bookmarkEnd w:id="863"/>
      <w:bookmarkEnd w:id="864"/>
      <w:bookmarkEnd w:id="865"/>
      <w:bookmarkEnd w:id="866"/>
    </w:p>
    <w:p>
      <w:pPr>
        <w:spacing w:line="360" w:lineRule="auto"/>
        <w:ind w:left="444" w:leftChars="77" w:hanging="282" w:hangingChars="134"/>
        <w:outlineLvl w:val="9"/>
        <w:rPr>
          <w:rFonts w:hint="eastAsia" w:ascii="宋体" w:hAnsi="宋体" w:eastAsia="宋体" w:cs="宋体"/>
          <w:b/>
          <w:bCs/>
          <w:color w:val="auto"/>
          <w:kern w:val="0"/>
          <w:szCs w:val="21"/>
          <w:highlight w:val="none"/>
        </w:rPr>
      </w:pPr>
    </w:p>
    <w:p>
      <w:pPr>
        <w:spacing w:line="360" w:lineRule="auto"/>
        <w:ind w:left="443" w:leftChars="77" w:hanging="281" w:hangingChars="134"/>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1、用户需求响应程度（即用户需求偏离表）；</w:t>
      </w:r>
    </w:p>
    <w:p>
      <w:pPr>
        <w:spacing w:line="360" w:lineRule="auto"/>
        <w:ind w:left="443" w:leftChars="77" w:hanging="281" w:hangingChars="134"/>
        <w:outlineLvl w:val="9"/>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rPr>
        <w:t>2、投标产品技术指标承诺书</w:t>
      </w:r>
      <w:r>
        <w:rPr>
          <w:rFonts w:hint="eastAsia" w:ascii="宋体" w:hAnsi="宋体" w:eastAsia="宋体" w:cs="宋体"/>
          <w:b w:val="0"/>
          <w:bCs w:val="0"/>
          <w:color w:val="auto"/>
          <w:kern w:val="0"/>
          <w:szCs w:val="21"/>
          <w:highlight w:val="none"/>
          <w:lang w:val="zh-CN"/>
        </w:rPr>
        <w:t>（格式见投标产品技术指标承诺书格式）</w:t>
      </w:r>
      <w:r>
        <w:rPr>
          <w:rFonts w:hint="eastAsia" w:ascii="宋体" w:hAnsi="宋体" w:eastAsia="宋体" w:cs="宋体"/>
          <w:b w:val="0"/>
          <w:bCs w:val="0"/>
          <w:color w:val="auto"/>
          <w:kern w:val="0"/>
          <w:sz w:val="21"/>
          <w:szCs w:val="21"/>
          <w:highlight w:val="none"/>
          <w:lang w:eastAsia="zh-CN"/>
        </w:rPr>
        <w:t>；</w:t>
      </w:r>
    </w:p>
    <w:p>
      <w:pPr>
        <w:spacing w:line="360" w:lineRule="auto"/>
        <w:ind w:left="443" w:leftChars="77" w:hanging="281" w:hangingChars="134"/>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3、生产工艺</w:t>
      </w:r>
      <w:r>
        <w:rPr>
          <w:rFonts w:hint="eastAsia" w:ascii="宋体" w:hAnsi="宋体" w:eastAsia="宋体" w:cs="宋体"/>
          <w:b w:val="0"/>
          <w:bCs w:val="0"/>
          <w:color w:val="auto"/>
          <w:kern w:val="0"/>
          <w:szCs w:val="21"/>
          <w:highlight w:val="none"/>
        </w:rPr>
        <w:t>（投标人自行编写，其中应包含生产工艺流程图）</w:t>
      </w:r>
      <w:r>
        <w:rPr>
          <w:rFonts w:hint="eastAsia" w:ascii="宋体" w:hAnsi="宋体" w:eastAsia="宋体" w:cs="宋体"/>
          <w:b w:val="0"/>
          <w:bCs w:val="0"/>
          <w:color w:val="auto"/>
          <w:kern w:val="0"/>
          <w:szCs w:val="21"/>
          <w:highlight w:val="none"/>
          <w:lang w:eastAsia="zh-CN"/>
        </w:rPr>
        <w:t>；</w:t>
      </w:r>
    </w:p>
    <w:p>
      <w:pPr>
        <w:spacing w:line="360" w:lineRule="auto"/>
        <w:ind w:left="443" w:leftChars="77" w:hanging="281" w:hangingChars="134"/>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4</w:t>
      </w:r>
      <w:r>
        <w:rPr>
          <w:rFonts w:hint="eastAsia" w:ascii="宋体" w:hAnsi="宋体" w:eastAsia="宋体" w:cs="宋体"/>
          <w:b w:val="0"/>
          <w:bCs w:val="0"/>
          <w:color w:val="auto"/>
          <w:kern w:val="0"/>
          <w:szCs w:val="21"/>
          <w:highlight w:val="none"/>
        </w:rPr>
        <w:t>、生产供货保障能力（投标人自行编写）；</w:t>
      </w:r>
    </w:p>
    <w:p>
      <w:pPr>
        <w:spacing w:line="360" w:lineRule="auto"/>
        <w:ind w:left="443" w:leftChars="77" w:hanging="281" w:hangingChars="134"/>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5</w:t>
      </w:r>
      <w:r>
        <w:rPr>
          <w:rFonts w:hint="eastAsia" w:ascii="宋体" w:hAnsi="宋体" w:eastAsia="宋体" w:cs="宋体"/>
          <w:b w:val="0"/>
          <w:bCs w:val="0"/>
          <w:color w:val="auto"/>
          <w:kern w:val="0"/>
          <w:szCs w:val="21"/>
          <w:highlight w:val="none"/>
        </w:rPr>
        <w:t>、质量保证体系和措施（投标人自行编写）；</w:t>
      </w:r>
    </w:p>
    <w:p>
      <w:pPr>
        <w:spacing w:line="360" w:lineRule="auto"/>
        <w:ind w:left="443" w:leftChars="77" w:hanging="281" w:hangingChars="134"/>
        <w:outlineLvl w:val="9"/>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6、企业运输能力；</w:t>
      </w:r>
    </w:p>
    <w:p>
      <w:pPr>
        <w:spacing w:line="360" w:lineRule="auto"/>
        <w:ind w:left="443" w:leftChars="77" w:hanging="281" w:hangingChars="134"/>
        <w:outlineLvl w:val="9"/>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7</w:t>
      </w: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lang w:val="en-US" w:eastAsia="zh-CN"/>
        </w:rPr>
        <w:t>投标人认为有必要提供的其它材料（不做强制要求）</w:t>
      </w:r>
      <w:r>
        <w:rPr>
          <w:rFonts w:hint="eastAsia" w:ascii="宋体" w:hAnsi="宋体" w:eastAsia="宋体" w:cs="宋体"/>
          <w:b w:val="0"/>
          <w:bCs w:val="0"/>
          <w:color w:val="auto"/>
          <w:kern w:val="0"/>
          <w:szCs w:val="21"/>
          <w:highlight w:val="none"/>
        </w:rPr>
        <w:t>。</w:t>
      </w:r>
    </w:p>
    <w:p>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67" w:name="_Toc27934"/>
      <w:bookmarkStart w:id="868" w:name="_Toc32506"/>
      <w:bookmarkStart w:id="869" w:name="_Toc18999"/>
      <w:bookmarkStart w:id="870" w:name="_Toc30448"/>
      <w:bookmarkStart w:id="871" w:name="_Toc29082"/>
      <w:r>
        <w:rPr>
          <w:rFonts w:hint="eastAsia" w:ascii="宋体" w:hAnsi="宋体" w:eastAsia="宋体" w:cs="宋体"/>
          <w:b/>
          <w:color w:val="auto"/>
          <w:kern w:val="0"/>
          <w:sz w:val="30"/>
          <w:szCs w:val="30"/>
          <w:highlight w:val="none"/>
          <w:lang w:val="en-US" w:eastAsia="zh-CN"/>
        </w:rPr>
        <w:t>一、</w:t>
      </w:r>
      <w:r>
        <w:rPr>
          <w:rFonts w:hint="eastAsia" w:ascii="宋体" w:hAnsi="宋体" w:eastAsia="宋体" w:cs="宋体"/>
          <w:b/>
          <w:color w:val="auto"/>
          <w:kern w:val="0"/>
          <w:sz w:val="30"/>
          <w:szCs w:val="30"/>
          <w:highlight w:val="none"/>
        </w:rPr>
        <w:t>用户需求偏离表格式</w:t>
      </w:r>
      <w:bookmarkEnd w:id="851"/>
      <w:bookmarkEnd w:id="852"/>
      <w:bookmarkEnd w:id="853"/>
      <w:bookmarkEnd w:id="854"/>
      <w:bookmarkEnd w:id="855"/>
      <w:bookmarkEnd w:id="856"/>
      <w:bookmarkEnd w:id="857"/>
      <w:bookmarkEnd w:id="858"/>
      <w:bookmarkEnd w:id="867"/>
      <w:bookmarkEnd w:id="868"/>
      <w:bookmarkEnd w:id="869"/>
      <w:bookmarkEnd w:id="870"/>
      <w:bookmarkEnd w:id="871"/>
    </w:p>
    <w:p>
      <w:pPr>
        <w:spacing w:before="120" w:after="120" w:line="360" w:lineRule="auto"/>
        <w:jc w:val="center"/>
        <w:outlineLvl w:val="9"/>
        <w:rPr>
          <w:rFonts w:hint="eastAsia" w:ascii="宋体" w:hAnsi="宋体" w:eastAsia="宋体" w:cs="宋体"/>
          <w:color w:val="auto"/>
          <w:kern w:val="0"/>
          <w:szCs w:val="21"/>
          <w:highlight w:val="none"/>
        </w:rPr>
      </w:pPr>
      <w:bookmarkStart w:id="872" w:name="_Toc17449_WPSOffice_Level3"/>
      <w:r>
        <w:rPr>
          <w:rFonts w:hint="eastAsia" w:ascii="宋体" w:hAnsi="宋体" w:eastAsia="宋体" w:cs="宋体"/>
          <w:b/>
          <w:color w:val="auto"/>
          <w:kern w:val="0"/>
          <w:sz w:val="30"/>
          <w:szCs w:val="30"/>
          <w:highlight w:val="none"/>
          <w:lang w:val="zh-CN"/>
        </w:rPr>
        <w:t>用户需求偏离表</w:t>
      </w:r>
      <w:bookmarkEnd w:id="872"/>
    </w:p>
    <w:tbl>
      <w:tblPr>
        <w:tblStyle w:val="44"/>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881"/>
        <w:gridCol w:w="5334"/>
        <w:gridCol w:w="875"/>
        <w:gridCol w:w="1136"/>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547" w:type="dxa"/>
            <w:vMerge w:val="restart"/>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6215" w:type="dxa"/>
            <w:gridSpan w:val="2"/>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914" w:type="dxa"/>
            <w:gridSpan w:val="3"/>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47" w:type="dxa"/>
            <w:vMerge w:val="continue"/>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881" w:type="dxa"/>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5334" w:type="dxa"/>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875" w:type="dxa"/>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w:t>
            </w:r>
          </w:p>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情况</w:t>
            </w:r>
          </w:p>
        </w:tc>
        <w:tc>
          <w:tcPr>
            <w:tcW w:w="1136" w:type="dxa"/>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903" w:type="dxa"/>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47" w:type="dxa"/>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81" w:type="dxa"/>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w:t>
            </w:r>
          </w:p>
        </w:tc>
        <w:tc>
          <w:tcPr>
            <w:tcW w:w="5334" w:type="dxa"/>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总体要求</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47" w:type="dxa"/>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81"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5334"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药剂要求</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47" w:type="dxa"/>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81"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三</w:t>
            </w:r>
          </w:p>
        </w:tc>
        <w:tc>
          <w:tcPr>
            <w:tcW w:w="5334"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交货要求</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47" w:type="dxa"/>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81"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四</w:t>
            </w:r>
          </w:p>
        </w:tc>
        <w:tc>
          <w:tcPr>
            <w:tcW w:w="5334"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验收要求</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47" w:type="dxa"/>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81"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w:t>
            </w:r>
          </w:p>
        </w:tc>
        <w:tc>
          <w:tcPr>
            <w:tcW w:w="5334"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资料要求</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47" w:type="dxa"/>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881"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w:t>
            </w:r>
          </w:p>
        </w:tc>
        <w:tc>
          <w:tcPr>
            <w:tcW w:w="5334"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售后要求</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47" w:type="dxa"/>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881" w:type="dxa"/>
            <w:shd w:val="clear" w:color="auto" w:fill="auto"/>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w:t>
            </w:r>
          </w:p>
        </w:tc>
        <w:tc>
          <w:tcPr>
            <w:tcW w:w="5334"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货物的结算</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47" w:type="dxa"/>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881" w:type="dxa"/>
            <w:shd w:val="clear" w:color="auto" w:fill="auto"/>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八</w:t>
            </w:r>
          </w:p>
        </w:tc>
        <w:tc>
          <w:tcPr>
            <w:tcW w:w="5334"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其它要求</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47" w:type="dxa"/>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881" w:type="dxa"/>
            <w:shd w:val="clear" w:color="auto" w:fill="auto"/>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附件1</w:t>
            </w:r>
          </w:p>
        </w:tc>
        <w:tc>
          <w:tcPr>
            <w:tcW w:w="5334"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验收报告（模板）</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47" w:type="dxa"/>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881" w:type="dxa"/>
            <w:shd w:val="clear" w:color="auto" w:fill="auto"/>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附件2</w:t>
            </w:r>
          </w:p>
        </w:tc>
        <w:tc>
          <w:tcPr>
            <w:tcW w:w="5334" w:type="dxa"/>
            <w:shd w:val="clear" w:color="auto" w:fill="auto"/>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供应商履约评价表</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76" w:type="dxa"/>
            <w:gridSpan w:val="6"/>
            <w:vAlign w:val="center"/>
          </w:tcPr>
          <w:p>
            <w:pPr>
              <w:keepNext/>
              <w:keepLines/>
              <w:spacing w:line="400" w:lineRule="exact"/>
              <w:jc w:val="both"/>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用户需求书“★”条款汇总</w:t>
            </w:r>
            <w:r>
              <w:rPr>
                <w:rFonts w:hint="eastAsia" w:ascii="宋体" w:hAnsi="宋体" w:eastAsia="宋体" w:cs="宋体"/>
                <w:b/>
                <w:bCs/>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7" w:type="dxa"/>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881" w:type="dxa"/>
            <w:vAlign w:val="center"/>
          </w:tcPr>
          <w:p>
            <w:pPr>
              <w:spacing w:line="360" w:lineRule="auto"/>
              <w:jc w:val="center"/>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二</w:t>
            </w:r>
          </w:p>
        </w:tc>
        <w:tc>
          <w:tcPr>
            <w:tcW w:w="5334" w:type="dxa"/>
            <w:vAlign w:val="center"/>
          </w:tcPr>
          <w:p>
            <w:pPr>
              <w:autoSpaceDE/>
              <w:autoSpaceDN/>
              <w:adjustRightInd/>
              <w:spacing w:line="360" w:lineRule="auto"/>
              <w:ind w:firstLine="0" w:firstLine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、本次采购涉及采购数量为暂定，仅为便于计算暂定合同价使用，不作为招标人最终采购数量的保证</w:t>
            </w:r>
            <w:bookmarkStart w:id="873" w:name="OLE_LINK38"/>
            <w:bookmarkStart w:id="874" w:name="OLE_LINK24"/>
            <w:bookmarkStart w:id="875" w:name="OLE_LINK40"/>
            <w:r>
              <w:rPr>
                <w:rFonts w:hint="eastAsia" w:ascii="宋体" w:hAnsi="宋体" w:eastAsia="宋体" w:cs="宋体"/>
                <w:b w:val="0"/>
                <w:bCs/>
                <w:color w:val="auto"/>
                <w:kern w:val="0"/>
                <w:sz w:val="21"/>
                <w:szCs w:val="21"/>
                <w:highlight w:val="none"/>
              </w:rPr>
              <w:t>。</w:t>
            </w:r>
            <w:bookmarkEnd w:id="873"/>
            <w:bookmarkEnd w:id="874"/>
            <w:bookmarkEnd w:id="875"/>
            <w:r>
              <w:rPr>
                <w:rFonts w:hint="eastAsia" w:ascii="宋体" w:hAnsi="宋体" w:eastAsia="宋体" w:cs="宋体"/>
                <w:b w:val="0"/>
                <w:bCs/>
                <w:color w:val="auto"/>
                <w:kern w:val="0"/>
                <w:sz w:val="21"/>
                <w:szCs w:val="21"/>
                <w:highlight w:val="none"/>
              </w:rPr>
              <w:t>招标人的实际需求数量以招标人每次的供货通知为准，在供货期内中标人不得因招标人实际采购数量的减少或增加而要求提供任何形式的补偿或赔偿，或要求招标人按暂定采购数量采购相应货物。</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jc w:val="center"/>
        </w:trPr>
        <w:tc>
          <w:tcPr>
            <w:tcW w:w="547" w:type="dxa"/>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881" w:type="dxa"/>
            <w:vAlign w:val="center"/>
          </w:tcPr>
          <w:p>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二</w:t>
            </w:r>
          </w:p>
        </w:tc>
        <w:tc>
          <w:tcPr>
            <w:tcW w:w="5334" w:type="dxa"/>
            <w:vAlign w:val="center"/>
          </w:tcPr>
          <w:p>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5、主要技术指标</w:t>
            </w:r>
          </w:p>
          <w:p>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 xml:space="preserve">★（1）产品必须符合GB1886.2《食品添加剂 碳酸氢钠》最新标准，并采用前述标准的相关试验、检验方法进行试验及检验。其中，主要技术指标要求如下表：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0" w:firstLine="0" w:firstLineChars="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bCs/>
                <w:color w:val="auto"/>
                <w:kern w:val="2"/>
                <w:sz w:val="21"/>
                <w:szCs w:val="24"/>
                <w:highlight w:val="none"/>
                <w:lang w:val="en-US" w:eastAsia="zh-CN" w:bidi="ar-SA"/>
              </w:rPr>
              <w:t>小苏打主要技术指标</w:t>
            </w:r>
          </w:p>
          <w:tbl>
            <w:tblPr>
              <w:tblStyle w:val="44"/>
              <w:tblW w:w="576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3355" w:type="dxa"/>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0" w:firstLine="0" w:firstLineChars="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2406" w:type="dxa"/>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0" w:firstLine="0" w:firstLineChars="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3355" w:type="dxa"/>
                  <w:noWrap w:val="0"/>
                  <w:vAlign w:val="top"/>
                </w:tcPr>
                <w:p>
                  <w:pPr>
                    <w:keepNext w:val="0"/>
                    <w:keepLines w:val="0"/>
                    <w:suppressLineNumbers w:val="0"/>
                    <w:autoSpaceDE w:val="0"/>
                    <w:autoSpaceDN w:val="0"/>
                    <w:adjustRightInd w:val="0"/>
                    <w:spacing w:before="0" w:beforeAutospacing="0" w:after="0" w:afterAutospacing="0" w:line="400" w:lineRule="exact"/>
                    <w:ind w:left="0" w:leftChars="0" w:right="0" w:rightChars="0" w:firstLine="0" w:firstLineChars="0"/>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2"/>
                      <w:sz w:val="21"/>
                      <w:highlight w:val="none"/>
                    </w:rPr>
                    <w:t>总碱量（以 NaHCO₃计）w/%</w:t>
                  </w:r>
                </w:p>
              </w:tc>
              <w:tc>
                <w:tcPr>
                  <w:tcW w:w="2406" w:type="dxa"/>
                  <w:noWrap w:val="0"/>
                  <w:vAlign w:val="top"/>
                </w:tcPr>
                <w:p>
                  <w:pPr>
                    <w:keepNext w:val="0"/>
                    <w:keepLines w:val="0"/>
                    <w:suppressLineNumbers w:val="0"/>
                    <w:autoSpaceDE w:val="0"/>
                    <w:autoSpaceDN w:val="0"/>
                    <w:adjustRightInd w:val="0"/>
                    <w:spacing w:before="0" w:beforeAutospacing="0" w:after="0" w:afterAutospacing="0" w:line="400" w:lineRule="exact"/>
                    <w:ind w:left="0" w:leftChars="0" w:right="0" w:rightChars="0" w:firstLine="0" w:firstLineChars="0"/>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2"/>
                      <w:sz w:val="21"/>
                      <w:highlight w:val="none"/>
                    </w:rPr>
                    <w:t>99.0~100.5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3355" w:type="dxa"/>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0" w:firstLine="0" w:firstLineChars="0"/>
                    <w:jc w:val="lef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2"/>
                      <w:sz w:val="21"/>
                      <w:highlight w:val="none"/>
                    </w:rPr>
                    <w:t>干燥减量 w/%</w:t>
                  </w:r>
                </w:p>
              </w:tc>
              <w:tc>
                <w:tcPr>
                  <w:tcW w:w="2406" w:type="dxa"/>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0" w:firstLine="0" w:firstLineChars="0"/>
                    <w:jc w:val="lef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2"/>
                      <w:sz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3355" w:type="dxa"/>
                  <w:noWrap w:val="0"/>
                  <w:vAlign w:val="top"/>
                </w:tcPr>
                <w:p>
                  <w:pPr>
                    <w:keepNext w:val="0"/>
                    <w:keepLines w:val="0"/>
                    <w:suppressLineNumbers w:val="0"/>
                    <w:autoSpaceDE w:val="0"/>
                    <w:autoSpaceDN w:val="0"/>
                    <w:adjustRightInd w:val="0"/>
                    <w:spacing w:before="0" w:beforeAutospacing="0" w:after="0" w:afterAutospacing="0" w:line="400" w:lineRule="exact"/>
                    <w:ind w:left="0" w:leftChars="0" w:right="0" w:rightChars="0" w:firstLine="0" w:firstLineChars="0"/>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2"/>
                      <w:sz w:val="21"/>
                      <w:highlight w:val="none"/>
                    </w:rPr>
                    <w:t>pH（10 g/L 水溶液）</w:t>
                  </w:r>
                </w:p>
              </w:tc>
              <w:tc>
                <w:tcPr>
                  <w:tcW w:w="2406" w:type="dxa"/>
                  <w:noWrap w:val="0"/>
                  <w:vAlign w:val="top"/>
                </w:tcPr>
                <w:p>
                  <w:pPr>
                    <w:keepNext w:val="0"/>
                    <w:keepLines w:val="0"/>
                    <w:suppressLineNumbers w:val="0"/>
                    <w:autoSpaceDE w:val="0"/>
                    <w:autoSpaceDN w:val="0"/>
                    <w:adjustRightInd w:val="0"/>
                    <w:spacing w:before="0" w:beforeAutospacing="0" w:after="0" w:afterAutospacing="0" w:line="400" w:lineRule="exact"/>
                    <w:ind w:left="0" w:leftChars="0" w:right="0" w:rightChars="0" w:firstLine="0" w:firstLineChars="0"/>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2"/>
                      <w:sz w:val="21"/>
                      <w:highlight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3355" w:type="dxa"/>
                  <w:noWrap w:val="0"/>
                  <w:vAlign w:val="top"/>
                </w:tcPr>
                <w:p>
                  <w:pPr>
                    <w:keepNext w:val="0"/>
                    <w:keepLines w:val="0"/>
                    <w:suppressLineNumbers w:val="0"/>
                    <w:autoSpaceDE w:val="0"/>
                    <w:autoSpaceDN w:val="0"/>
                    <w:adjustRightInd w:val="0"/>
                    <w:spacing w:before="0" w:beforeAutospacing="0" w:after="0" w:afterAutospacing="0" w:line="400" w:lineRule="exact"/>
                    <w:ind w:left="0" w:leftChars="0" w:right="0" w:rightChars="0" w:firstLine="0" w:firstLineChars="0"/>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2"/>
                      <w:sz w:val="21"/>
                      <w:highlight w:val="none"/>
                    </w:rPr>
                    <w:t>氯化物（以Cl计）w/%</w:t>
                  </w:r>
                </w:p>
              </w:tc>
              <w:tc>
                <w:tcPr>
                  <w:tcW w:w="2406" w:type="dxa"/>
                  <w:noWrap w:val="0"/>
                  <w:vAlign w:val="top"/>
                </w:tcPr>
                <w:p>
                  <w:pPr>
                    <w:keepNext w:val="0"/>
                    <w:keepLines w:val="0"/>
                    <w:suppressLineNumbers w:val="0"/>
                    <w:autoSpaceDE w:val="0"/>
                    <w:autoSpaceDN w:val="0"/>
                    <w:adjustRightInd w:val="0"/>
                    <w:spacing w:before="0" w:beforeAutospacing="0" w:after="0" w:afterAutospacing="0" w:line="400" w:lineRule="exact"/>
                    <w:ind w:left="0" w:leftChars="0" w:right="0" w:rightChars="0" w:firstLine="0" w:firstLineChars="0"/>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2"/>
                      <w:sz w:val="21"/>
                      <w:highlight w:val="none"/>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3355" w:type="dxa"/>
                  <w:noWrap w:val="0"/>
                  <w:vAlign w:val="top"/>
                </w:tcPr>
                <w:p>
                  <w:pPr>
                    <w:keepNext w:val="0"/>
                    <w:keepLines w:val="0"/>
                    <w:suppressLineNumbers w:val="0"/>
                    <w:autoSpaceDE w:val="0"/>
                    <w:autoSpaceDN w:val="0"/>
                    <w:adjustRightInd w:val="0"/>
                    <w:spacing w:before="0" w:beforeAutospacing="0" w:after="0" w:afterAutospacing="0" w:line="400" w:lineRule="exact"/>
                    <w:ind w:left="0" w:leftChars="0" w:right="0" w:rightChars="0" w:firstLine="0" w:firstLineChars="0"/>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2"/>
                      <w:sz w:val="21"/>
                      <w:highlight w:val="none"/>
                    </w:rPr>
                    <w:t>砷（As）mg/kg</w:t>
                  </w:r>
                </w:p>
              </w:tc>
              <w:tc>
                <w:tcPr>
                  <w:tcW w:w="2406" w:type="dxa"/>
                  <w:noWrap w:val="0"/>
                  <w:vAlign w:val="top"/>
                </w:tcPr>
                <w:p>
                  <w:pPr>
                    <w:keepNext w:val="0"/>
                    <w:keepLines w:val="0"/>
                    <w:suppressLineNumbers w:val="0"/>
                    <w:autoSpaceDE w:val="0"/>
                    <w:autoSpaceDN w:val="0"/>
                    <w:adjustRightInd w:val="0"/>
                    <w:spacing w:before="0" w:beforeAutospacing="0" w:after="0" w:afterAutospacing="0" w:line="400" w:lineRule="exact"/>
                    <w:ind w:left="0" w:leftChars="0" w:right="0" w:rightChars="0" w:firstLine="0" w:firstLineChars="0"/>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2"/>
                      <w:sz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3355" w:type="dxa"/>
                  <w:noWrap w:val="0"/>
                  <w:vAlign w:val="top"/>
                </w:tcPr>
                <w:p>
                  <w:pPr>
                    <w:keepNext w:val="0"/>
                    <w:keepLines w:val="0"/>
                    <w:suppressLineNumbers w:val="0"/>
                    <w:autoSpaceDE w:val="0"/>
                    <w:autoSpaceDN w:val="0"/>
                    <w:adjustRightInd w:val="0"/>
                    <w:spacing w:before="0" w:beforeAutospacing="0" w:after="0" w:afterAutospacing="0" w:line="400" w:lineRule="exact"/>
                    <w:ind w:left="0" w:leftChars="0" w:right="0" w:rightChars="0" w:firstLine="0" w:firstLineChars="0"/>
                    <w:jc w:val="left"/>
                    <w:outlineLvl w:val="9"/>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重金属（以Pb计）mg/kg</w:t>
                  </w:r>
                </w:p>
              </w:tc>
              <w:tc>
                <w:tcPr>
                  <w:tcW w:w="2406" w:type="dxa"/>
                  <w:noWrap w:val="0"/>
                  <w:vAlign w:val="top"/>
                </w:tcPr>
                <w:p>
                  <w:pPr>
                    <w:keepNext w:val="0"/>
                    <w:keepLines w:val="0"/>
                    <w:suppressLineNumbers w:val="0"/>
                    <w:autoSpaceDE w:val="0"/>
                    <w:autoSpaceDN w:val="0"/>
                    <w:adjustRightInd w:val="0"/>
                    <w:spacing w:before="0" w:beforeAutospacing="0" w:after="0" w:afterAutospacing="0" w:line="400" w:lineRule="exact"/>
                    <w:ind w:left="0" w:leftChars="0" w:right="0" w:rightChars="0" w:firstLine="0" w:firstLineChars="0"/>
                    <w:jc w:val="left"/>
                    <w:outlineLvl w:val="9"/>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≤5.0</w:t>
                  </w:r>
                </w:p>
              </w:tc>
            </w:tr>
          </w:tbl>
          <w:p>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备注：中标人在供货时，需注明所供小苏打符合的国家规范、总碱量等技术指标；上述表格未包含全部技术指标，详见GB1886.2《食品添加剂 碳酸氢钠》最新标准。</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jc w:val="center"/>
        </w:trPr>
        <w:tc>
          <w:tcPr>
            <w:tcW w:w="547" w:type="dxa"/>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881" w:type="dxa"/>
            <w:vAlign w:val="center"/>
          </w:tcPr>
          <w:p>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二</w:t>
            </w:r>
          </w:p>
        </w:tc>
        <w:tc>
          <w:tcPr>
            <w:tcW w:w="5334" w:type="dxa"/>
            <w:vAlign w:val="center"/>
          </w:tcPr>
          <w:p>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5、主要技术指标</w:t>
            </w:r>
          </w:p>
          <w:p>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★（2）粒径要求在50~120目。</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jc w:val="center"/>
        </w:trPr>
        <w:tc>
          <w:tcPr>
            <w:tcW w:w="547" w:type="dxa"/>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881" w:type="dxa"/>
            <w:vAlign w:val="center"/>
          </w:tcPr>
          <w:p>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二</w:t>
            </w:r>
          </w:p>
        </w:tc>
        <w:tc>
          <w:tcPr>
            <w:tcW w:w="5334" w:type="dxa"/>
            <w:vAlign w:val="center"/>
          </w:tcPr>
          <w:p>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5、主要技术指标</w:t>
            </w:r>
          </w:p>
          <w:p>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★（3）性状：白色结晶粉末，无臭、味咸，常温干燥环境性质稳定，易吸潮。无肉眼可见机械杂质，无结块。</w:t>
            </w:r>
          </w:p>
        </w:tc>
        <w:tc>
          <w:tcPr>
            <w:tcW w:w="875"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1136"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903" w:type="dxa"/>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bl>
    <w:p>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420" w:lineRule="exact"/>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420" w:lineRule="exact"/>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420" w:lineRule="exact"/>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rPr>
        <w:t>投标货物技术参数、性能、功能</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pPr>
        <w:spacing w:line="420" w:lineRule="exact"/>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pPr>
        <w:spacing w:line="360" w:lineRule="auto"/>
        <w:outlineLvl w:val="9"/>
        <w:rPr>
          <w:rFonts w:hint="eastAsia" w:ascii="宋体" w:hAnsi="宋体" w:eastAsia="宋体" w:cs="宋体"/>
          <w:color w:val="auto"/>
          <w:szCs w:val="21"/>
          <w:highlight w:val="none"/>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jc w:val="left"/>
        <w:rPr>
          <w:rFonts w:hint="eastAsia" w:ascii="宋体" w:hAnsi="宋体" w:eastAsia="宋体" w:cs="宋体"/>
          <w:b/>
          <w:bCs/>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widowControl/>
        <w:autoSpaceDE w:val="0"/>
        <w:autoSpaceDN w:val="0"/>
        <w:adjustRightInd w:val="0"/>
        <w:spacing w:before="164" w:beforeLines="50"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br w:type="page"/>
      </w:r>
    </w:p>
    <w:p>
      <w:pPr>
        <w:autoSpaceDE/>
        <w:autoSpaceDN/>
        <w:adjustRightInd/>
        <w:spacing w:line="240" w:lineRule="auto"/>
        <w:jc w:val="left"/>
        <w:outlineLvl w:val="2"/>
        <w:rPr>
          <w:rFonts w:hint="eastAsia" w:ascii="宋体" w:hAnsi="宋体" w:eastAsia="宋体" w:cs="宋体"/>
          <w:b/>
          <w:color w:val="auto"/>
          <w:kern w:val="0"/>
          <w:sz w:val="30"/>
          <w:szCs w:val="30"/>
          <w:highlight w:val="none"/>
          <w:lang w:eastAsia="zh-CN"/>
        </w:rPr>
      </w:pPr>
      <w:bookmarkStart w:id="876" w:name="_Toc15160"/>
      <w:bookmarkStart w:id="877" w:name="_Toc20565"/>
      <w:r>
        <w:rPr>
          <w:rFonts w:hint="eastAsia" w:ascii="宋体" w:hAnsi="宋体" w:eastAsia="宋体" w:cs="宋体"/>
          <w:b/>
          <w:bCs w:val="0"/>
          <w:color w:val="auto"/>
          <w:kern w:val="0"/>
          <w:sz w:val="30"/>
          <w:szCs w:val="30"/>
          <w:highlight w:val="none"/>
          <w:lang w:val="en-US" w:eastAsia="zh-CN"/>
        </w:rPr>
        <w:t>二、</w:t>
      </w:r>
      <w:r>
        <w:rPr>
          <w:rFonts w:hint="eastAsia" w:ascii="宋体" w:hAnsi="宋体" w:eastAsia="宋体" w:cs="宋体"/>
          <w:b/>
          <w:color w:val="auto"/>
          <w:kern w:val="0"/>
          <w:sz w:val="30"/>
          <w:szCs w:val="30"/>
          <w:highlight w:val="none"/>
          <w:lang w:val="en-US" w:eastAsia="zh-CN"/>
        </w:rPr>
        <w:t>投标产品技术指标承诺书格式</w:t>
      </w:r>
      <w:bookmarkEnd w:id="876"/>
      <w:bookmarkEnd w:id="877"/>
    </w:p>
    <w:p>
      <w:pPr>
        <w:pStyle w:val="46"/>
        <w:rPr>
          <w:rFonts w:hint="eastAsia"/>
          <w:color w:val="auto"/>
          <w:highlight w:val="none"/>
        </w:rPr>
      </w:pPr>
    </w:p>
    <w:p>
      <w:pPr>
        <w:widowControl/>
        <w:autoSpaceDE w:val="0"/>
        <w:autoSpaceDN w:val="0"/>
        <w:adjustRightInd w:val="0"/>
        <w:spacing w:line="360" w:lineRule="auto"/>
        <w:jc w:val="both"/>
        <w:rPr>
          <w:rFonts w:hint="eastAsia" w:ascii="宋体" w:hAnsi="宋体" w:eastAsia="宋体" w:cs="宋体"/>
          <w:color w:val="auto"/>
          <w:szCs w:val="21"/>
          <w:highlight w:val="none"/>
        </w:rPr>
      </w:pPr>
    </w:p>
    <w:p>
      <w:pPr>
        <w:spacing w:line="360" w:lineRule="auto"/>
        <w:jc w:val="center"/>
        <w:outlineLvl w:val="9"/>
        <w:rPr>
          <w:rFonts w:hint="eastAsia" w:ascii="宋体" w:hAnsi="宋体" w:eastAsia="宋体" w:cs="宋体"/>
          <w:b/>
          <w:bCs/>
          <w:color w:val="auto"/>
          <w:kern w:val="2"/>
          <w:sz w:val="30"/>
          <w:szCs w:val="30"/>
          <w:highlight w:val="none"/>
          <w:lang w:val="zh-CN"/>
        </w:rPr>
      </w:pPr>
      <w:bookmarkStart w:id="878" w:name="_Toc31354"/>
      <w:bookmarkStart w:id="879" w:name="_Toc28982"/>
      <w:bookmarkStart w:id="880" w:name="_Toc94107225"/>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bookmarkEnd w:id="878"/>
      <w:bookmarkEnd w:id="879"/>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东莞市尚源环能科技有限公司</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pPr>
        <w:snapToGrid w:val="0"/>
        <w:spacing w:line="360" w:lineRule="auto"/>
        <w:ind w:left="399" w:leftChars="-58" w:hanging="521" w:hangingChars="247"/>
        <w:rPr>
          <w:rFonts w:hint="eastAsia" w:ascii="宋体" w:hAnsi="宋体" w:eastAsia="宋体" w:cs="宋体"/>
          <w:b/>
          <w:color w:val="auto"/>
          <w:sz w:val="21"/>
          <w:szCs w:val="21"/>
          <w:highlight w:val="none"/>
        </w:rPr>
      </w:pPr>
    </w:p>
    <w:p>
      <w:pPr>
        <w:autoSpaceDE w:val="0"/>
        <w:autoSpaceDN w:val="0"/>
        <w:adjustRightInd w:val="0"/>
        <w:spacing w:line="360" w:lineRule="auto"/>
        <w:ind w:firstLine="3360" w:firstLineChars="1600"/>
        <w:rPr>
          <w:rFonts w:hint="eastAsia" w:ascii="宋体" w:hAnsi="宋体" w:eastAsia="宋体" w:cs="宋体"/>
          <w:color w:val="auto"/>
          <w:kern w:val="0"/>
          <w:szCs w:val="21"/>
          <w:highlight w:val="none"/>
        </w:rPr>
      </w:pPr>
    </w:p>
    <w:p>
      <w:pPr>
        <w:autoSpaceDE w:val="0"/>
        <w:autoSpaceDN w:val="0"/>
        <w:adjustRightInd w:val="0"/>
        <w:spacing w:line="360" w:lineRule="auto"/>
        <w:ind w:firstLine="3360" w:firstLineChars="1600"/>
        <w:rPr>
          <w:rFonts w:hint="eastAsia" w:ascii="宋体" w:hAnsi="宋体" w:eastAsia="宋体" w:cs="宋体"/>
          <w:color w:val="auto"/>
          <w:kern w:val="0"/>
          <w:szCs w:val="21"/>
          <w:highlight w:val="none"/>
        </w:rPr>
      </w:pPr>
    </w:p>
    <w:p>
      <w:pPr>
        <w:autoSpaceDE w:val="0"/>
        <w:autoSpaceDN w:val="0"/>
        <w:adjustRightInd w:val="0"/>
        <w:spacing w:line="360" w:lineRule="auto"/>
        <w:ind w:firstLine="3360" w:firstLineChars="16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360" w:firstLineChars="16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widowControl/>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4"/>
          <w:highlight w:val="none"/>
          <w:lang w:val="zh-CN"/>
        </w:rPr>
        <w:t>说明：由投标人使用投标人的企业数字证书电子签名。</w:t>
      </w:r>
      <w:r>
        <w:rPr>
          <w:rFonts w:hint="eastAsia" w:ascii="宋体" w:hAnsi="宋体" w:eastAsia="宋体" w:cs="宋体"/>
          <w:b/>
          <w:bCs/>
          <w:color w:val="auto"/>
          <w:szCs w:val="24"/>
          <w:highlight w:val="none"/>
          <w:lang w:val="en-US" w:eastAsia="zh-CN"/>
        </w:rPr>
        <w:tab/>
      </w:r>
    </w:p>
    <w:p>
      <w:pPr>
        <w:widowControl/>
        <w:jc w:val="left"/>
        <w:outlineLvl w:val="9"/>
        <w:rPr>
          <w:rFonts w:hint="eastAsia" w:ascii="宋体" w:hAnsi="宋体" w:eastAsia="宋体" w:cs="宋体"/>
          <w:color w:val="auto"/>
          <w:kern w:val="0"/>
          <w:szCs w:val="21"/>
          <w:highlight w:val="none"/>
        </w:rPr>
      </w:pPr>
    </w:p>
    <w:bookmarkEnd w:id="880"/>
    <w:p>
      <w:pPr>
        <w:pageBreakBefore w:val="0"/>
        <w:numPr>
          <w:ilvl w:val="-1"/>
          <w:numId w:val="0"/>
        </w:numPr>
        <w:outlineLvl w:val="9"/>
        <w:rPr>
          <w:rFonts w:hint="eastAsia" w:ascii="宋体" w:hAnsi="宋体" w:eastAsia="宋体" w:cs="宋体"/>
          <w:b/>
          <w:color w:val="auto"/>
          <w:kern w:val="0"/>
          <w:sz w:val="30"/>
          <w:szCs w:val="30"/>
          <w:highlight w:val="none"/>
          <w:lang w:val="en-US" w:eastAsia="zh-CN" w:bidi="ar-SA"/>
        </w:rPr>
      </w:pPr>
      <w:bookmarkStart w:id="881" w:name="_Toc12341"/>
      <w:bookmarkStart w:id="882" w:name="_Toc102860438"/>
      <w:bookmarkStart w:id="883" w:name="_Toc104991896"/>
      <w:bookmarkStart w:id="884" w:name="_Toc142508389"/>
      <w:bookmarkStart w:id="885" w:name="_Toc140596949"/>
      <w:bookmarkStart w:id="886" w:name="_Toc102860094"/>
      <w:bookmarkStart w:id="887" w:name="_Toc533708139"/>
      <w:r>
        <w:rPr>
          <w:rFonts w:hint="eastAsia" w:ascii="宋体" w:hAnsi="宋体" w:eastAsia="宋体" w:cs="宋体"/>
          <w:b/>
          <w:color w:val="auto"/>
          <w:kern w:val="0"/>
          <w:sz w:val="30"/>
          <w:szCs w:val="30"/>
          <w:highlight w:val="none"/>
          <w:lang w:val="en-US" w:eastAsia="zh-CN" w:bidi="ar-SA"/>
        </w:rPr>
        <w:br w:type="page"/>
      </w:r>
    </w:p>
    <w:p>
      <w:pPr>
        <w:pageBreakBefore w:val="0"/>
        <w:numPr>
          <w:ilvl w:val="0"/>
          <w:numId w:val="0"/>
        </w:numPr>
        <w:outlineLvl w:val="2"/>
        <w:rPr>
          <w:rFonts w:hint="eastAsia" w:ascii="宋体" w:hAnsi="宋体" w:eastAsia="宋体" w:cs="宋体"/>
          <w:b/>
          <w:color w:val="auto"/>
          <w:kern w:val="0"/>
          <w:sz w:val="30"/>
          <w:szCs w:val="30"/>
          <w:highlight w:val="none"/>
          <w:lang w:val="en-US" w:eastAsia="zh-CN"/>
        </w:rPr>
      </w:pPr>
      <w:bookmarkStart w:id="888" w:name="_Toc4985"/>
      <w:r>
        <w:rPr>
          <w:rFonts w:hint="eastAsia" w:ascii="宋体" w:hAnsi="宋体" w:eastAsia="宋体" w:cs="宋体"/>
          <w:b/>
          <w:color w:val="auto"/>
          <w:kern w:val="0"/>
          <w:sz w:val="30"/>
          <w:szCs w:val="30"/>
          <w:highlight w:val="none"/>
          <w:lang w:val="en-US" w:eastAsia="zh-CN" w:bidi="ar-SA"/>
        </w:rPr>
        <w:t>三、</w:t>
      </w:r>
      <w:r>
        <w:rPr>
          <w:rFonts w:hint="eastAsia" w:ascii="宋体" w:hAnsi="宋体" w:eastAsia="宋体" w:cs="宋体"/>
          <w:b/>
          <w:color w:val="auto"/>
          <w:kern w:val="0"/>
          <w:sz w:val="30"/>
          <w:szCs w:val="30"/>
          <w:highlight w:val="none"/>
          <w:lang w:val="en-US" w:eastAsia="zh-CN"/>
        </w:rPr>
        <w:t>生产工艺（投标人自行编写，其中应包含生产工艺流程图）</w:t>
      </w:r>
      <w:bookmarkEnd w:id="881"/>
      <w:bookmarkEnd w:id="888"/>
    </w:p>
    <w:p>
      <w:pPr>
        <w:spacing w:line="240" w:lineRule="auto"/>
        <w:ind w:left="0" w:leftChars="0"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pageBreakBefore w:val="0"/>
        <w:outlineLvl w:val="2"/>
        <w:rPr>
          <w:rFonts w:hint="eastAsia" w:ascii="宋体" w:hAnsi="宋体" w:eastAsia="宋体" w:cs="宋体"/>
          <w:b/>
          <w:color w:val="auto"/>
          <w:kern w:val="0"/>
          <w:sz w:val="30"/>
          <w:szCs w:val="30"/>
          <w:highlight w:val="none"/>
          <w:lang w:val="en-US" w:eastAsia="zh-CN"/>
        </w:rPr>
      </w:pPr>
      <w:bookmarkStart w:id="889" w:name="_Toc21429"/>
      <w:bookmarkStart w:id="890" w:name="_Toc13755"/>
      <w:r>
        <w:rPr>
          <w:rFonts w:hint="eastAsia" w:ascii="宋体" w:hAnsi="宋体" w:eastAsia="宋体" w:cs="宋体"/>
          <w:b/>
          <w:color w:val="auto"/>
          <w:kern w:val="0"/>
          <w:sz w:val="30"/>
          <w:szCs w:val="30"/>
          <w:highlight w:val="none"/>
          <w:lang w:val="en-US" w:eastAsia="zh-CN"/>
        </w:rPr>
        <w:t>四、生产供货保障能力（投标人自行编写）</w:t>
      </w:r>
      <w:bookmarkEnd w:id="889"/>
      <w:bookmarkEnd w:id="890"/>
    </w:p>
    <w:p>
      <w:pPr>
        <w:pageBreakBefore w:val="0"/>
        <w:spacing w:line="360" w:lineRule="auto"/>
        <w:ind w:left="105" w:leftChars="-100" w:hanging="315" w:hangingChars="150"/>
        <w:outlineLvl w:val="9"/>
        <w:rPr>
          <w:rFonts w:hint="eastAsia" w:ascii="宋体" w:hAnsi="宋体" w:eastAsia="宋体" w:cs="宋体"/>
          <w:b w:val="0"/>
          <w:color w:val="auto"/>
          <w:kern w:val="0"/>
          <w:sz w:val="21"/>
          <w:szCs w:val="21"/>
          <w:highlight w:val="none"/>
          <w:lang w:val="en-US" w:eastAsia="zh-CN"/>
        </w:rPr>
      </w:pPr>
      <w:r>
        <w:rPr>
          <w:rFonts w:hint="eastAsia" w:ascii="宋体" w:hAnsi="宋体" w:eastAsia="宋体" w:cs="宋体"/>
          <w:b w:val="0"/>
          <w:color w:val="auto"/>
          <w:kern w:val="0"/>
          <w:sz w:val="21"/>
          <w:szCs w:val="21"/>
          <w:highlight w:val="none"/>
          <w:lang w:val="en-US" w:eastAsia="zh-CN"/>
        </w:rPr>
        <w:br w:type="page"/>
      </w:r>
    </w:p>
    <w:p>
      <w:pPr>
        <w:numPr>
          <w:ilvl w:val="0"/>
          <w:numId w:val="0"/>
        </w:numPr>
        <w:outlineLvl w:val="2"/>
        <w:rPr>
          <w:rFonts w:hint="eastAsia" w:ascii="宋体" w:hAnsi="宋体" w:eastAsia="宋体" w:cs="宋体"/>
          <w:b/>
          <w:color w:val="auto"/>
          <w:kern w:val="0"/>
          <w:sz w:val="30"/>
          <w:szCs w:val="30"/>
          <w:highlight w:val="none"/>
        </w:rPr>
      </w:pPr>
      <w:bookmarkStart w:id="891" w:name="_Toc10294"/>
      <w:bookmarkStart w:id="892" w:name="_Toc10071"/>
      <w:r>
        <w:rPr>
          <w:rFonts w:hint="eastAsia" w:ascii="宋体" w:hAnsi="宋体" w:eastAsia="宋体" w:cs="宋体"/>
          <w:b/>
          <w:color w:val="auto"/>
          <w:kern w:val="0"/>
          <w:sz w:val="30"/>
          <w:szCs w:val="30"/>
          <w:highlight w:val="none"/>
          <w:lang w:val="en-US" w:eastAsia="zh-CN" w:bidi="ar-SA"/>
        </w:rPr>
        <w:t>五、</w:t>
      </w:r>
      <w:r>
        <w:rPr>
          <w:rFonts w:hint="eastAsia" w:ascii="宋体" w:hAnsi="宋体" w:eastAsia="宋体" w:cs="宋体"/>
          <w:b/>
          <w:color w:val="auto"/>
          <w:kern w:val="0"/>
          <w:sz w:val="30"/>
          <w:szCs w:val="30"/>
          <w:highlight w:val="none"/>
          <w:lang w:val="en-US" w:eastAsia="zh-CN"/>
        </w:rPr>
        <w:t>质量保证体系和措施（投标人自行编写）</w:t>
      </w:r>
      <w:bookmarkEnd w:id="891"/>
      <w:bookmarkEnd w:id="892"/>
    </w:p>
    <w:p>
      <w:pPr>
        <w:numPr>
          <w:ilvl w:val="0"/>
          <w:numId w:val="0"/>
        </w:num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pStyle w:val="4"/>
        <w:rPr>
          <w:rFonts w:hint="default" w:ascii="宋体" w:hAnsi="宋体" w:eastAsia="宋体" w:cs="宋体"/>
          <w:b/>
          <w:color w:val="auto"/>
          <w:sz w:val="32"/>
          <w:szCs w:val="32"/>
          <w:highlight w:val="none"/>
        </w:rPr>
      </w:pPr>
      <w:bookmarkStart w:id="893" w:name="_Toc23173"/>
      <w:bookmarkStart w:id="894" w:name="_Toc18180"/>
      <w:bookmarkStart w:id="895" w:name="_Toc3750"/>
      <w:bookmarkStart w:id="896" w:name="_Toc30545"/>
      <w:bookmarkStart w:id="897" w:name="_Toc1004"/>
      <w:r>
        <w:rPr>
          <w:rFonts w:hint="eastAsia" w:hAnsi="宋体" w:eastAsia="宋体" w:cs="宋体"/>
          <w:b/>
          <w:color w:val="auto"/>
          <w:sz w:val="32"/>
          <w:szCs w:val="32"/>
          <w:highlight w:val="none"/>
          <w:lang w:val="en-US" w:eastAsia="zh-CN"/>
        </w:rPr>
        <w:t>六</w:t>
      </w:r>
      <w:r>
        <w:rPr>
          <w:rFonts w:hint="default" w:ascii="宋体" w:hAnsi="宋体" w:eastAsia="宋体" w:cs="宋体"/>
          <w:b/>
          <w:color w:val="auto"/>
          <w:sz w:val="32"/>
          <w:szCs w:val="32"/>
          <w:highlight w:val="none"/>
        </w:rPr>
        <w:t>、企业运输能力</w:t>
      </w:r>
      <w:bookmarkEnd w:id="893"/>
    </w:p>
    <w:p>
      <w:pPr>
        <w:spacing w:before="164" w:beforeLines="50" w:afterLines="0" w:line="360" w:lineRule="auto"/>
        <w:jc w:val="left"/>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注：</w:t>
      </w:r>
      <w:r>
        <w:rPr>
          <w:rFonts w:hint="eastAsia" w:ascii="宋体" w:hAnsi="宋体" w:eastAsia="宋体" w:cs="宋体"/>
          <w:color w:val="auto"/>
          <w:kern w:val="0"/>
          <w:sz w:val="21"/>
          <w:szCs w:val="24"/>
          <w:highlight w:val="none"/>
          <w:lang w:val="en-US" w:eastAsia="zh-CN"/>
        </w:rPr>
        <w:t>投标人的运输车(可用运输小苏打的槽罐车辆)</w:t>
      </w:r>
      <w:r>
        <w:rPr>
          <w:rFonts w:hint="default" w:ascii="宋体" w:hAnsi="宋体" w:eastAsia="宋体" w:cs="宋体"/>
          <w:color w:val="auto"/>
          <w:sz w:val="21"/>
          <w:szCs w:val="21"/>
          <w:highlight w:val="none"/>
        </w:rPr>
        <w:t>的相关资料。</w:t>
      </w:r>
    </w:p>
    <w:p>
      <w:pPr>
        <w:pStyle w:val="46"/>
        <w:autoSpaceDE/>
        <w:autoSpaceDN/>
        <w:adjustRightInd/>
        <w:spacing w:line="360" w:lineRule="auto"/>
        <w:ind w:right="420"/>
        <w:jc w:val="left"/>
        <w:outlineLvl w:val="9"/>
        <w:rPr>
          <w:rFonts w:hint="eastAsia" w:hAnsi="宋体" w:eastAsia="宋体" w:cs="宋体"/>
          <w:b/>
          <w:color w:val="auto"/>
          <w:kern w:val="0"/>
          <w:sz w:val="30"/>
          <w:szCs w:val="30"/>
          <w:highlight w:val="none"/>
          <w:lang w:val="en-US" w:eastAsia="zh-CN"/>
        </w:rPr>
      </w:pPr>
    </w:p>
    <w:p>
      <w:pPr>
        <w:pStyle w:val="46"/>
        <w:pageBreakBefore/>
        <w:autoSpaceDE/>
        <w:autoSpaceDN/>
        <w:adjustRightInd/>
        <w:spacing w:line="360" w:lineRule="auto"/>
        <w:ind w:right="420"/>
        <w:jc w:val="left"/>
        <w:outlineLvl w:val="2"/>
        <w:rPr>
          <w:rFonts w:hint="eastAsia" w:ascii="宋体" w:hAnsi="宋体" w:eastAsia="宋体" w:cs="宋体"/>
          <w:b/>
          <w:color w:val="auto"/>
          <w:kern w:val="0"/>
          <w:sz w:val="30"/>
          <w:szCs w:val="30"/>
          <w:highlight w:val="none"/>
        </w:rPr>
      </w:pPr>
      <w:bookmarkStart w:id="898" w:name="_Toc9686"/>
      <w:r>
        <w:rPr>
          <w:rFonts w:hint="eastAsia"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lang w:val="en-US" w:eastAsia="zh-CN"/>
        </w:rPr>
        <w:t>、</w:t>
      </w:r>
      <w:r>
        <w:rPr>
          <w:rFonts w:hint="eastAsia" w:ascii="宋体" w:hAnsi="宋体" w:eastAsia="宋体" w:cs="宋体"/>
          <w:b/>
          <w:color w:val="auto"/>
          <w:kern w:val="0"/>
          <w:sz w:val="30"/>
          <w:szCs w:val="30"/>
          <w:highlight w:val="none"/>
        </w:rPr>
        <w:t>投标人认为有必要提供的其它材料（不做强制要求）</w:t>
      </w:r>
      <w:bookmarkEnd w:id="882"/>
      <w:bookmarkEnd w:id="883"/>
      <w:bookmarkEnd w:id="884"/>
      <w:bookmarkEnd w:id="885"/>
      <w:bookmarkEnd w:id="886"/>
      <w:bookmarkEnd w:id="894"/>
      <w:bookmarkEnd w:id="895"/>
      <w:bookmarkEnd w:id="896"/>
      <w:bookmarkEnd w:id="897"/>
      <w:bookmarkEnd w:id="898"/>
    </w:p>
    <w:p>
      <w:pPr>
        <w:autoSpaceDE w:val="0"/>
        <w:autoSpaceDN w:val="0"/>
        <w:adjustRightInd w:val="0"/>
        <w:jc w:val="left"/>
        <w:outlineLvl w:val="9"/>
        <w:rPr>
          <w:rFonts w:hint="eastAsia" w:ascii="宋体" w:hAnsi="宋体" w:eastAsia="宋体" w:cs="宋体"/>
          <w:color w:val="auto"/>
          <w:kern w:val="0"/>
          <w:sz w:val="24"/>
          <w:szCs w:val="24"/>
          <w:highlight w:val="none"/>
        </w:rPr>
      </w:pPr>
    </w:p>
    <w:p>
      <w:pPr>
        <w:autoSpaceDE w:val="0"/>
        <w:autoSpaceDN w:val="0"/>
        <w:adjustRightInd w:val="0"/>
        <w:jc w:val="left"/>
        <w:outlineLvl w:val="9"/>
        <w:rPr>
          <w:rFonts w:hint="eastAsia" w:ascii="宋体" w:hAnsi="宋体" w:eastAsia="宋体" w:cs="宋体"/>
          <w:color w:val="auto"/>
          <w:kern w:val="0"/>
          <w:sz w:val="24"/>
          <w:szCs w:val="24"/>
          <w:highlight w:val="none"/>
        </w:rPr>
      </w:pPr>
    </w:p>
    <w:p>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jc w:val="center"/>
        <w:outlineLvl w:val="2"/>
        <w:rPr>
          <w:rFonts w:hint="eastAsia" w:ascii="宋体" w:hAnsi="宋体" w:eastAsia="宋体" w:cs="宋体"/>
          <w:b/>
          <w:color w:val="auto"/>
          <w:kern w:val="0"/>
          <w:sz w:val="32"/>
          <w:szCs w:val="32"/>
          <w:highlight w:val="none"/>
        </w:rPr>
      </w:pPr>
      <w:bookmarkStart w:id="899" w:name="_Toc29220"/>
      <w:bookmarkStart w:id="900" w:name="_Toc22748"/>
      <w:bookmarkStart w:id="901" w:name="_Toc18687"/>
      <w:bookmarkStart w:id="902" w:name="_Toc13980"/>
      <w:bookmarkStart w:id="903" w:name="_Toc13597"/>
      <w:bookmarkStart w:id="904" w:name="_Toc195714410"/>
      <w:bookmarkStart w:id="905" w:name="_Toc2074"/>
      <w:bookmarkStart w:id="906" w:name="_Toc29896"/>
      <w:r>
        <w:rPr>
          <w:rFonts w:hint="eastAsia" w:ascii="宋体" w:hAnsi="宋体" w:eastAsia="宋体" w:cs="宋体"/>
          <w:b/>
          <w:color w:val="auto"/>
          <w:kern w:val="0"/>
          <w:sz w:val="32"/>
          <w:szCs w:val="32"/>
          <w:highlight w:val="none"/>
        </w:rPr>
        <w:t>三  投标文件报价信封格式</w:t>
      </w:r>
      <w:bookmarkEnd w:id="899"/>
      <w:bookmarkEnd w:id="900"/>
      <w:bookmarkEnd w:id="901"/>
      <w:bookmarkEnd w:id="902"/>
      <w:bookmarkEnd w:id="903"/>
      <w:bookmarkEnd w:id="904"/>
      <w:bookmarkEnd w:id="905"/>
      <w:bookmarkEnd w:id="906"/>
    </w:p>
    <w:p>
      <w:pPr>
        <w:jc w:val="center"/>
        <w:rPr>
          <w:rFonts w:hint="eastAsia" w:ascii="宋体" w:hAnsi="宋体" w:eastAsia="宋体" w:cs="宋体"/>
          <w:b/>
          <w:color w:val="auto"/>
          <w:kern w:val="0"/>
          <w:sz w:val="32"/>
          <w:szCs w:val="32"/>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本部分由投标人使用电子标书制作软件编制并生成报价信封。报价信封的编制要求详见第二篇投标人须知第17.6.3项。由投标人按格式要求进行电子签名。</w:t>
      </w:r>
    </w:p>
    <w:p>
      <w:pPr>
        <w:autoSpaceDE w:val="0"/>
        <w:autoSpaceDN w:val="0"/>
        <w:adjustRightInd w:val="0"/>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2、报价信封投标报价单位统一为“元/吨”。</w:t>
      </w:r>
    </w:p>
    <w:p>
      <w:pPr>
        <w:autoSpaceDE w:val="0"/>
        <w:autoSpaceDN w:val="0"/>
        <w:adjustRightInd w:val="0"/>
        <w:jc w:val="left"/>
        <w:rPr>
          <w:rFonts w:hint="eastAsia" w:ascii="宋体" w:hAnsi="宋体" w:eastAsia="宋体" w:cs="宋体"/>
          <w:color w:val="auto"/>
          <w:kern w:val="0"/>
          <w:sz w:val="24"/>
          <w:szCs w:val="24"/>
          <w:highlight w:val="none"/>
        </w:rPr>
      </w:pPr>
    </w:p>
    <w:p>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b/>
          <w:bCs/>
          <w:color w:val="auto"/>
          <w:kern w:val="44"/>
          <w:sz w:val="32"/>
          <w:szCs w:val="32"/>
          <w:highlight w:val="none"/>
          <w:lang w:val="zh-CN"/>
        </w:rPr>
      </w:pPr>
      <w:bookmarkStart w:id="907" w:name="_Toc4870"/>
      <w:bookmarkStart w:id="908" w:name="_Toc142508390"/>
      <w:bookmarkStart w:id="909" w:name="_Toc14977"/>
      <w:bookmarkStart w:id="910" w:name="_Toc21059"/>
      <w:bookmarkStart w:id="911" w:name="_Toc22667"/>
      <w:bookmarkStart w:id="912" w:name="_Toc30367"/>
      <w:bookmarkStart w:id="913" w:name="_Toc5083"/>
      <w:bookmarkStart w:id="914" w:name="_Toc522047402"/>
      <w:bookmarkStart w:id="915" w:name="_Toc521918141"/>
      <w:bookmarkStart w:id="916" w:name="_Toc22601_WPSOffice_Level1"/>
      <w:r>
        <w:rPr>
          <w:rFonts w:hint="eastAsia" w:ascii="宋体" w:hAnsi="宋体" w:eastAsia="宋体" w:cs="宋体"/>
          <w:b/>
          <w:bCs/>
          <w:color w:val="auto"/>
          <w:kern w:val="44"/>
          <w:sz w:val="32"/>
          <w:szCs w:val="32"/>
          <w:highlight w:val="none"/>
          <w:lang w:val="zh-CN"/>
        </w:rPr>
        <w:t>附件一：评标工作大纲</w:t>
      </w:r>
      <w:bookmarkEnd w:id="907"/>
      <w:bookmarkEnd w:id="908"/>
      <w:bookmarkEnd w:id="909"/>
      <w:bookmarkEnd w:id="910"/>
      <w:bookmarkEnd w:id="911"/>
      <w:bookmarkEnd w:id="912"/>
      <w:bookmarkEnd w:id="913"/>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eastAsia="zh-CN"/>
        </w:rPr>
        <w:t>东莞市污泥集中处理处置项目小苏打采购项目</w:t>
      </w:r>
    </w:p>
    <w:p>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917"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sz w:val="32"/>
          <w:szCs w:val="32"/>
          <w:highlight w:val="none"/>
          <w:lang w:val="zh-CN"/>
        </w:rPr>
        <w:t>WQWHCZ12600369</w:t>
      </w:r>
      <w:r>
        <w:rPr>
          <w:rFonts w:hint="eastAsia" w:ascii="宋体" w:hAnsi="宋体" w:eastAsia="宋体" w:cs="宋体"/>
          <w:b/>
          <w:bCs/>
          <w:color w:val="auto"/>
          <w:sz w:val="36"/>
          <w:szCs w:val="36"/>
          <w:highlight w:val="none"/>
          <w:lang w:val="zh-CN"/>
        </w:rPr>
        <w:t>）</w:t>
      </w:r>
      <w:bookmarkEnd w:id="917"/>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918" w:name="_Toc18947_WPSOffice_Level2"/>
      <w:r>
        <w:rPr>
          <w:rFonts w:hint="eastAsia" w:ascii="宋体" w:hAnsi="宋体" w:eastAsia="宋体" w:cs="宋体"/>
          <w:b/>
          <w:bCs/>
          <w:color w:val="auto"/>
          <w:sz w:val="72"/>
          <w:szCs w:val="72"/>
          <w:highlight w:val="none"/>
          <w:lang w:val="zh-CN"/>
        </w:rPr>
        <w:t>评标工作大纲</w:t>
      </w:r>
      <w:bookmarkEnd w:id="918"/>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广西同泽工程项目管理股份有限公司</w:t>
      </w: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919" w:name="_Toc32395_WPSOffice_Level1"/>
      <w:r>
        <w:rPr>
          <w:rFonts w:hint="eastAsia" w:ascii="宋体" w:hAnsi="宋体" w:eastAsia="宋体" w:cs="宋体"/>
          <w:b/>
          <w:bCs/>
          <w:color w:val="auto"/>
          <w:sz w:val="36"/>
          <w:szCs w:val="36"/>
          <w:highlight w:val="none"/>
          <w:lang w:val="zh-CN"/>
        </w:rPr>
        <w:t>目录</w:t>
      </w:r>
      <w:bookmarkEnd w:id="919"/>
    </w:p>
    <w:p>
      <w:pPr>
        <w:autoSpaceDE w:val="0"/>
        <w:autoSpaceDN w:val="0"/>
        <w:adjustRightInd w:val="0"/>
        <w:spacing w:line="400" w:lineRule="atLeast"/>
        <w:jc w:val="center"/>
        <w:rPr>
          <w:rFonts w:hint="eastAsia" w:ascii="宋体" w:hAnsi="宋体" w:eastAsia="宋体" w:cs="宋体"/>
          <w:color w:val="auto"/>
          <w:sz w:val="44"/>
          <w:szCs w:val="44"/>
          <w:highlight w:val="none"/>
        </w:rPr>
      </w:pPr>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920"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920"/>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921"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921"/>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922"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922"/>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923" w:name="_Toc1206_WPSOffice_Level1"/>
      <w:r>
        <w:rPr>
          <w:rFonts w:hint="eastAsia" w:ascii="宋体" w:hAnsi="宋体" w:eastAsia="宋体" w:cs="宋体"/>
          <w:color w:val="auto"/>
          <w:szCs w:val="30"/>
          <w:highlight w:val="none"/>
        </w:rPr>
        <w:t>四、 比较和评价</w:t>
      </w:r>
      <w:bookmarkEnd w:id="923"/>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924"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924"/>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925"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925"/>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926"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926"/>
    </w:p>
    <w:p>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927"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927"/>
    </w:p>
    <w:p>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东莞市污泥集中处理处置项目小苏打采购项目</w:t>
      </w:r>
      <w:r>
        <w:rPr>
          <w:rFonts w:hint="eastAsia" w:ascii="宋体" w:hAnsi="宋体" w:eastAsia="宋体" w:cs="宋体"/>
          <w:color w:val="auto"/>
          <w:kern w:val="0"/>
          <w:szCs w:val="21"/>
          <w:highlight w:val="none"/>
          <w:lang w:val="zh-CN"/>
        </w:rPr>
        <w:t>(招标编号：</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zh-CN"/>
        </w:rPr>
        <w:t xml:space="preserve"> </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广西同泽工程项目管理股份有限公司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5"/>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928" w:name="_Toc19435_WPSOffice_Level1"/>
      <w:r>
        <w:rPr>
          <w:rFonts w:hint="eastAsia" w:ascii="宋体" w:hAnsi="宋体" w:eastAsia="宋体" w:cs="宋体"/>
          <w:b/>
          <w:bCs/>
          <w:color w:val="auto"/>
          <w:sz w:val="28"/>
          <w:szCs w:val="28"/>
          <w:highlight w:val="none"/>
          <w:lang w:val="zh-CN"/>
        </w:rPr>
        <w:t>二、投标文件的初审</w:t>
      </w:r>
      <w:bookmarkEnd w:id="928"/>
    </w:p>
    <w:p>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929" w:name="_Toc26899"/>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bookmarkEnd w:id="929"/>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投标文件签名使用的数字证书与签到的投标人名称不一致的；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投标文件附有招标人不能接受的条件的；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的要求；</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投标人未按招标文件要求交纳投标保证金的；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投标文件报价信封中填报的投标单价报价高于不含税采购限价综合单价的；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 xml:space="preserve">的要求编制、使用企业数字证书或个人数字证书电子签名的； </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930" w:name="_Toc16046"/>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投标有效期限不符合要求；</w:t>
      </w:r>
      <w:bookmarkEnd w:id="930"/>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投标文件未对招标范围内的全部内容进行投标报价或投标方案不是唯一；</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931" w:name="_Toc18040"/>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未填写或虚假填写《用户需求偏离表》的；</w:t>
      </w:r>
      <w:bookmarkEnd w:id="931"/>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未响应招标文件提出的实质性要求和条件（标注★的条款）；</w:t>
      </w:r>
    </w:p>
    <w:p>
      <w:pPr>
        <w:autoSpaceDE w:val="0"/>
        <w:autoSpaceDN w:val="0"/>
        <w:adjustRightInd w:val="0"/>
        <w:spacing w:line="360" w:lineRule="auto"/>
        <w:ind w:left="358" w:leftChars="0" w:hanging="358" w:hangingChars="170"/>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en-US" w:eastAsia="zh-CN"/>
        </w:rPr>
        <w:t>7</w:t>
      </w:r>
      <w:r>
        <w:rPr>
          <w:rFonts w:hint="eastAsia" w:ascii="宋体" w:hAnsi="宋体" w:eastAsia="宋体" w:cs="宋体"/>
          <w:b/>
          <w:bCs w:val="0"/>
          <w:color w:val="auto"/>
          <w:szCs w:val="21"/>
          <w:highlight w:val="none"/>
          <w:lang w:val="zh-CN"/>
        </w:rPr>
        <w:t>.1</w:t>
      </w:r>
      <w:r>
        <w:rPr>
          <w:rFonts w:hint="eastAsia" w:ascii="宋体" w:hAnsi="宋体" w:eastAsia="宋体" w:cs="宋体"/>
          <w:b/>
          <w:bCs w:val="0"/>
          <w:color w:val="auto"/>
          <w:szCs w:val="21"/>
          <w:highlight w:val="none"/>
          <w:lang w:val="en-US" w:eastAsia="zh-CN"/>
        </w:rPr>
        <w:t>8 投标产品的制造商及取得投标产品制造商就本次投标独家授权的经销商同时参与本项目投标的</w:t>
      </w:r>
      <w:r>
        <w:rPr>
          <w:rFonts w:hint="eastAsia" w:ascii="宋体" w:hAnsi="宋体" w:eastAsia="宋体" w:cs="宋体"/>
          <w:b/>
          <w:bCs w:val="0"/>
          <w:color w:val="auto"/>
          <w:szCs w:val="21"/>
          <w:highlight w:val="none"/>
          <w:lang w:val="zh-CN"/>
        </w:rPr>
        <w:t>；</w:t>
      </w:r>
    </w:p>
    <w:p>
      <w:pPr>
        <w:spacing w:line="360" w:lineRule="auto"/>
        <w:ind w:left="358" w:leftChars="0" w:hanging="358" w:hangingChars="170"/>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szCs w:val="21"/>
          <w:highlight w:val="none"/>
          <w:lang w:val="en-US" w:eastAsia="zh-CN"/>
        </w:rPr>
        <w:t>7</w:t>
      </w: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 xml:space="preserve">19 </w:t>
      </w:r>
      <w:r>
        <w:rPr>
          <w:rFonts w:hint="eastAsia" w:ascii="宋体" w:hAnsi="宋体" w:eastAsia="宋体" w:cs="宋体"/>
          <w:b/>
          <w:bCs w:val="0"/>
          <w:color w:val="auto"/>
          <w:szCs w:val="21"/>
          <w:highlight w:val="none"/>
          <w:lang w:val="en-US"/>
        </w:rPr>
        <w:t>同一投标产品的制造商通过两家或以上就本次投标独家授权的经销商同时参与本项目投标的</w:t>
      </w:r>
      <w:r>
        <w:rPr>
          <w:rFonts w:hint="eastAsia" w:ascii="宋体" w:hAnsi="宋体" w:eastAsia="宋体" w:cs="宋体"/>
          <w:b/>
          <w:bCs w:val="0"/>
          <w:color w:val="auto"/>
          <w:szCs w:val="21"/>
          <w:highlight w:val="none"/>
          <w:lang w:val="en-US" w:eastAsia="zh-CN"/>
        </w:rPr>
        <w:t>；</w:t>
      </w:r>
    </w:p>
    <w:p>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hint="eastAsia"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932" w:name="_Toc4109_WPSOffice_Level1"/>
      <w:r>
        <w:rPr>
          <w:rFonts w:hint="eastAsia" w:ascii="宋体" w:hAnsi="宋体" w:eastAsia="宋体" w:cs="宋体"/>
          <w:b/>
          <w:bCs/>
          <w:color w:val="auto"/>
          <w:sz w:val="28"/>
          <w:szCs w:val="28"/>
          <w:highlight w:val="none"/>
          <w:lang w:val="zh-CN"/>
        </w:rPr>
        <w:t>三、澄清有关问题</w:t>
      </w:r>
      <w:bookmarkEnd w:id="932"/>
    </w:p>
    <w:p>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szCs w:val="24"/>
          <w:highlight w:val="none"/>
          <w:lang w:val="zh-CN"/>
        </w:rPr>
        <w:t>9.</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kern w:val="0"/>
          <w:szCs w:val="21"/>
          <w:highlight w:val="none"/>
        </w:rPr>
        <w:t>投标文件报价计算错误的修正</w:t>
      </w:r>
    </w:p>
    <w:p>
      <w:pPr>
        <w:spacing w:line="360" w:lineRule="auto"/>
        <w:ind w:left="556" w:leftChars="195" w:hanging="147" w:hangingChars="7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pPr>
        <w:autoSpaceDE w:val="0"/>
        <w:autoSpaceDN w:val="0"/>
        <w:adjustRightInd w:val="0"/>
        <w:spacing w:line="360" w:lineRule="auto"/>
        <w:ind w:left="512" w:leftChars="194" w:right="18" w:hanging="105" w:hangingChars="5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hint="eastAsia" w:ascii="宋体" w:hAnsi="宋体" w:eastAsia="宋体" w:cs="宋体"/>
          <w:b/>
          <w:color w:val="auto"/>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 xml:space="preserve"> 若投标人出现超低报价，</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若出现下列情形之一的，评审委员会应启动异常低价投标审查程序：</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（1）投标报价低于合格</w:t>
      </w:r>
      <w:r>
        <w:rPr>
          <w:rFonts w:hint="eastAsia" w:ascii="宋体" w:hAnsi="宋体" w:eastAsia="宋体" w:cs="宋体"/>
          <w:b/>
          <w:color w:val="auto"/>
          <w:kern w:val="2"/>
          <w:sz w:val="21"/>
          <w:szCs w:val="21"/>
          <w:highlight w:val="none"/>
          <w:lang w:val="zh-CN"/>
        </w:rPr>
        <w:t>投标人</w:t>
      </w:r>
      <w:r>
        <w:rPr>
          <w:rFonts w:hint="eastAsia" w:ascii="宋体" w:hAnsi="宋体" w:eastAsia="宋体" w:cs="宋体"/>
          <w:b/>
          <w:color w:val="auto"/>
          <w:szCs w:val="21"/>
          <w:highlight w:val="none"/>
          <w:lang w:val="zh-CN"/>
        </w:rPr>
        <w:t>报价平均值50%的；</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（2）投标报价低于合格且报价次低</w:t>
      </w:r>
      <w:r>
        <w:rPr>
          <w:rFonts w:hint="eastAsia" w:ascii="宋体" w:hAnsi="宋体" w:eastAsia="宋体" w:cs="宋体"/>
          <w:b/>
          <w:color w:val="auto"/>
          <w:kern w:val="2"/>
          <w:sz w:val="21"/>
          <w:szCs w:val="21"/>
          <w:highlight w:val="none"/>
          <w:lang w:val="zh-CN"/>
        </w:rPr>
        <w:t>投标人</w:t>
      </w:r>
      <w:r>
        <w:rPr>
          <w:rFonts w:hint="eastAsia" w:ascii="宋体" w:hAnsi="宋体" w:eastAsia="宋体" w:cs="宋体"/>
          <w:b/>
          <w:color w:val="auto"/>
          <w:szCs w:val="21"/>
          <w:highlight w:val="none"/>
          <w:lang w:val="zh-CN"/>
        </w:rPr>
        <w:t>报价50%的；</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（3）投标报价低于采购项目采购限价45%的；</w:t>
      </w:r>
    </w:p>
    <w:p>
      <w:pPr>
        <w:tabs>
          <w:tab w:val="left" w:pos="567"/>
        </w:tabs>
        <w:spacing w:line="360" w:lineRule="auto"/>
        <w:ind w:left="0" w:firstLine="567" w:firstLineChars="0"/>
        <w:rPr>
          <w:rFonts w:hint="eastAsia" w:ascii="宋体" w:hAnsi="宋体" w:eastAsia="宋体" w:cs="宋体"/>
          <w:color w:val="auto"/>
          <w:kern w:val="0"/>
          <w:szCs w:val="21"/>
          <w:highlight w:val="none"/>
          <w:lang w:val="zh-CN"/>
        </w:rPr>
      </w:pPr>
      <w:r>
        <w:rPr>
          <w:rFonts w:hint="eastAsia" w:ascii="宋体" w:hAnsi="宋体" w:eastAsia="宋体" w:cs="宋体"/>
          <w:b/>
          <w:color w:val="auto"/>
          <w:szCs w:val="21"/>
          <w:highlight w:val="none"/>
          <w:lang w:val="zh-CN"/>
        </w:rPr>
        <w:t>（4）评审委员会认为投标</w:t>
      </w:r>
      <w:r>
        <w:rPr>
          <w:rFonts w:hint="eastAsia" w:ascii="宋体" w:hAnsi="宋体" w:eastAsia="宋体" w:cs="宋体"/>
          <w:b/>
          <w:color w:val="auto"/>
          <w:szCs w:val="21"/>
          <w:highlight w:val="none"/>
          <w:lang w:val="en-US" w:eastAsia="zh-CN"/>
        </w:rPr>
        <w:t>人</w:t>
      </w:r>
      <w:r>
        <w:rPr>
          <w:rFonts w:hint="eastAsia" w:ascii="宋体" w:hAnsi="宋体" w:eastAsia="宋体" w:cs="宋体"/>
          <w:b/>
          <w:color w:val="auto"/>
          <w:szCs w:val="21"/>
          <w:highlight w:val="none"/>
          <w:lang w:val="zh-CN"/>
        </w:rPr>
        <w:t>报价过低，有可能影响产品质量或者不能诚信履约的。</w:t>
      </w:r>
    </w:p>
    <w:p>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933" w:name="_Toc8518_WPSOffice_Level1"/>
    </w:p>
    <w:p>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933"/>
    </w:p>
    <w:p>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pPr>
        <w:autoSpaceDE w:val="0"/>
        <w:autoSpaceDN w:val="0"/>
        <w:adjustRightInd w:val="0"/>
        <w:spacing w:line="360" w:lineRule="auto"/>
        <w:rPr>
          <w:rFonts w:hint="eastAsia" w:ascii="宋体" w:hAnsi="宋体" w:eastAsia="宋体" w:cs="宋体"/>
          <w:color w:val="auto"/>
          <w:szCs w:val="24"/>
          <w:highlight w:val="none"/>
          <w:lang w:val="zh-CN"/>
        </w:rPr>
      </w:pPr>
    </w:p>
    <w:p>
      <w:pPr>
        <w:tabs>
          <w:tab w:val="left" w:pos="1701"/>
        </w:tabs>
        <w:autoSpaceDE w:val="0"/>
        <w:autoSpaceDN w:val="0"/>
        <w:adjustRightInd w:val="0"/>
        <w:spacing w:line="360" w:lineRule="auto"/>
        <w:outlineLvl w:val="1"/>
        <w:rPr>
          <w:rFonts w:hint="eastAsia" w:ascii="宋体" w:hAnsi="宋体" w:eastAsia="宋体" w:cs="宋体"/>
          <w:b/>
          <w:color w:val="auto"/>
          <w:szCs w:val="24"/>
          <w:highlight w:val="none"/>
          <w:lang w:val="zh-CN"/>
        </w:rPr>
      </w:pPr>
      <w:bookmarkStart w:id="934" w:name="_Toc7006"/>
      <w:bookmarkStart w:id="935" w:name="_Toc18288"/>
      <w:r>
        <w:rPr>
          <w:rFonts w:hint="eastAsia" w:ascii="宋体" w:hAnsi="宋体" w:eastAsia="宋体" w:cs="宋体"/>
          <w:b/>
          <w:color w:val="auto"/>
          <w:szCs w:val="24"/>
          <w:highlight w:val="none"/>
          <w:lang w:val="zh-CN"/>
        </w:rPr>
        <w:t>12、评分因素及分值</w:t>
      </w:r>
      <w:bookmarkEnd w:id="934"/>
      <w:bookmarkEnd w:id="935"/>
    </w:p>
    <w:tbl>
      <w:tblPr>
        <w:tblStyle w:val="44"/>
        <w:tblW w:w="967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50"/>
        <w:gridCol w:w="48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4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48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4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4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4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4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4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4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Cs w:val="21"/>
                <w:highlight w:val="none"/>
                <w:lang w:val="en-US" w:eastAsia="zh-CN"/>
              </w:rPr>
              <w:t>60</w:t>
            </w:r>
            <w:r>
              <w:rPr>
                <w:rFonts w:hint="eastAsia" w:ascii="宋体" w:hAnsi="宋体" w:eastAsia="宋体" w:cs="宋体"/>
                <w:b/>
                <w:color w:val="auto"/>
                <w:szCs w:val="21"/>
                <w:highlight w:val="none"/>
                <w:lang w:val="zh-CN"/>
              </w:rPr>
              <w:t>分</w:t>
            </w:r>
          </w:p>
        </w:tc>
      </w:tr>
    </w:tbl>
    <w:p>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936" w:name="_Toc18349_WPSOffice_Level2"/>
    </w:p>
    <w:p>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936"/>
    </w:p>
    <w:tbl>
      <w:tblPr>
        <w:tblStyle w:val="44"/>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59"/>
        <w:gridCol w:w="714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left="0" w:firstLine="0"/>
              <w:jc w:val="center"/>
              <w:rPr>
                <w:rFonts w:ascii="宋体" w:hAnsi="宋体" w:eastAsia="宋体" w:cs="宋体"/>
                <w:b/>
                <w:color w:val="auto"/>
                <w:kern w:val="0"/>
                <w:szCs w:val="21"/>
                <w:highlight w:val="none"/>
              </w:rPr>
            </w:pPr>
            <w:bookmarkStart w:id="937" w:name="_Toc11639_WPSOffice_Level2"/>
            <w:r>
              <w:rPr>
                <w:rFonts w:hint="eastAsia" w:ascii="宋体" w:hAnsi="宋体" w:eastAsia="宋体" w:cs="宋体"/>
                <w:b/>
                <w:color w:val="auto"/>
                <w:kern w:val="0"/>
                <w:szCs w:val="21"/>
                <w:highlight w:val="none"/>
              </w:rPr>
              <w:t>序号</w:t>
            </w:r>
          </w:p>
        </w:tc>
        <w:tc>
          <w:tcPr>
            <w:tcW w:w="10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left="0" w:firstLine="0"/>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评审</w:t>
            </w:r>
          </w:p>
          <w:p>
            <w:pPr>
              <w:autoSpaceDE w:val="0"/>
              <w:autoSpaceDN w:val="0"/>
              <w:adjustRightInd w:val="0"/>
              <w:spacing w:line="400" w:lineRule="exact"/>
              <w:ind w:left="0" w:firstLine="0"/>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内容</w:t>
            </w:r>
          </w:p>
        </w:tc>
        <w:tc>
          <w:tcPr>
            <w:tcW w:w="71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left="0" w:firstLine="0"/>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left="0" w:firstLine="0"/>
              <w:jc w:val="center"/>
              <w:rPr>
                <w:rFonts w:ascii="宋体" w:hAnsi="宋体" w:eastAsia="宋体" w:cs="宋体"/>
                <w:b/>
                <w:color w:val="auto"/>
                <w:kern w:val="0"/>
                <w:szCs w:val="21"/>
                <w:highlight w:val="none"/>
              </w:rPr>
            </w:pPr>
            <w:r>
              <w:rPr>
                <w:rFonts w:hint="eastAsia" w:ascii="宋体" w:hAnsi="宋体" w:eastAsia="宋体" w:cs="宋体"/>
                <w:b/>
                <w:color w:val="auto"/>
                <w:spacing w:val="-6"/>
                <w:kern w:val="0"/>
                <w:sz w:val="21"/>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ascii="宋体" w:hAnsi="宋体" w:eastAsia="宋体" w:cs="宋体"/>
                <w:color w:val="auto"/>
                <w:szCs w:val="21"/>
                <w:highlight w:val="none"/>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146" w:type="dxa"/>
            <w:tcBorders>
              <w:top w:val="single" w:color="auto" w:sz="4" w:space="0"/>
              <w:left w:val="single" w:color="auto" w:sz="4" w:space="0"/>
              <w:bottom w:val="single" w:color="auto" w:sz="4" w:space="0"/>
              <w:right w:val="single" w:color="auto" w:sz="4" w:space="0"/>
            </w:tcBorders>
            <w:vAlign w:val="center"/>
          </w:tcPr>
          <w:p>
            <w:pPr>
              <w:adjustRightInd/>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pPr>
              <w:snapToGrid w:val="0"/>
              <w:spacing w:line="360" w:lineRule="auto"/>
              <w:jc w:val="both"/>
              <w:rPr>
                <w:rFonts w:ascii="宋体" w:hAnsi="宋体" w:eastAsia="宋体" w:cs="宋体"/>
                <w:b/>
                <w:color w:val="auto"/>
                <w:kern w:val="0"/>
                <w:szCs w:val="21"/>
                <w:highlight w:val="none"/>
                <w:lang w:val="zh-CN"/>
              </w:rPr>
            </w:pPr>
            <w:r>
              <w:rPr>
                <w:rFonts w:hint="eastAsia" w:ascii="宋体" w:hAnsi="宋体" w:eastAsia="宋体" w:cs="宋体"/>
                <w:b/>
                <w:color w:val="auto"/>
                <w:sz w:val="21"/>
                <w:szCs w:val="21"/>
                <w:highlight w:val="none"/>
                <w:lang w:val="zh-CN"/>
              </w:rPr>
              <w:t>备注：盈利指净利润为正数（非零、非负数），投标人应提供202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年三个年度的财务报表，净利润以对应年度经审计的财务报表为准，应提供经独立会计师事务所审计过的有效的财务报表</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lang w:val="zh-CN"/>
              </w:rPr>
              <w:t>；未提供前述财务报表或财务报表未能反映净利润的，不得分</w:t>
            </w:r>
            <w:r>
              <w:rPr>
                <w:rFonts w:hint="eastAsia" w:ascii="宋体" w:hAnsi="宋体" w:eastAsia="宋体" w:cs="宋体"/>
                <w:color w:val="auto"/>
                <w:sz w:val="21"/>
                <w:szCs w:val="21"/>
                <w:highlight w:val="none"/>
                <w:lang w:val="zh-CN"/>
              </w:rPr>
              <w:t>。</w:t>
            </w:r>
          </w:p>
        </w:tc>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lang w:eastAsia="zh-CN"/>
              </w:rPr>
            </w:pPr>
            <w:bookmarkStart w:id="938" w:name="_Hlk104987354"/>
            <w:r>
              <w:rPr>
                <w:rFonts w:hint="eastAsia" w:ascii="宋体" w:hAnsi="宋体" w:eastAsia="宋体" w:cs="宋体"/>
                <w:color w:val="auto"/>
                <w:szCs w:val="21"/>
                <w:highlight w:val="none"/>
                <w:lang w:val="en-US" w:eastAsia="zh-CN"/>
              </w:rPr>
              <w:t>2</w:t>
            </w:r>
          </w:p>
        </w:tc>
        <w:tc>
          <w:tcPr>
            <w:tcW w:w="1059" w:type="dxa"/>
            <w:tcBorders>
              <w:top w:val="single" w:color="auto" w:sz="4" w:space="0"/>
              <w:left w:val="single" w:color="auto" w:sz="4" w:space="0"/>
              <w:bottom w:val="single" w:color="auto" w:sz="4" w:space="0"/>
              <w:right w:val="single" w:color="auto" w:sz="4" w:space="0"/>
            </w:tcBorders>
            <w:vAlign w:val="center"/>
          </w:tcPr>
          <w:p>
            <w:pPr>
              <w:autoSpaceDE/>
              <w:autoSpaceDN/>
              <w:adjustRightInd/>
              <w:snapToGrid w:val="0"/>
              <w:spacing w:line="360" w:lineRule="auto"/>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7146" w:type="dxa"/>
            <w:tcBorders>
              <w:top w:val="single" w:color="auto" w:sz="4" w:space="0"/>
              <w:left w:val="single" w:color="auto" w:sz="4" w:space="0"/>
              <w:bottom w:val="single" w:color="auto" w:sz="4" w:space="0"/>
              <w:right w:val="single" w:color="auto" w:sz="4" w:space="0"/>
            </w:tcBorders>
            <w:vAlign w:val="center"/>
          </w:tcPr>
          <w:p>
            <w:pPr>
              <w:pStyle w:val="23"/>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hAnsi="宋体" w:cs="宋体"/>
                <w:color w:val="auto"/>
                <w:sz w:val="21"/>
                <w:szCs w:val="21"/>
                <w:highlight w:val="none"/>
                <w:lang w:eastAsia="zh-CN"/>
              </w:rPr>
              <w:t>2023年1月1日</w:t>
            </w:r>
            <w:r>
              <w:rPr>
                <w:rFonts w:hint="eastAsia" w:ascii="宋体" w:hAnsi="宋体" w:eastAsia="宋体" w:cs="宋体"/>
                <w:color w:val="auto"/>
                <w:sz w:val="21"/>
                <w:szCs w:val="21"/>
                <w:highlight w:val="none"/>
              </w:rPr>
              <w:t>以来具有的投标品牌</w:t>
            </w:r>
            <w:r>
              <w:rPr>
                <w:rFonts w:hint="eastAsia" w:hAnsi="宋体" w:cs="宋体"/>
                <w:color w:val="auto"/>
                <w:sz w:val="21"/>
                <w:szCs w:val="21"/>
                <w:highlight w:val="none"/>
                <w:lang w:eastAsia="zh-CN"/>
              </w:rPr>
              <w:t>小苏打</w:t>
            </w:r>
            <w:r>
              <w:rPr>
                <w:rFonts w:hint="eastAsia" w:ascii="宋体" w:hAnsi="宋体" w:eastAsia="宋体" w:cs="宋体"/>
                <w:color w:val="auto"/>
                <w:sz w:val="21"/>
                <w:szCs w:val="21"/>
                <w:highlight w:val="none"/>
              </w:rPr>
              <w:t>供货业绩（</w:t>
            </w:r>
            <w:r>
              <w:rPr>
                <w:rFonts w:hint="eastAsia" w:hAnsi="宋体" w:cs="宋体"/>
                <w:color w:val="auto"/>
                <w:szCs w:val="21"/>
                <w:highlight w:val="none"/>
              </w:rPr>
              <w:t>合同签订日期</w:t>
            </w:r>
            <w:r>
              <w:rPr>
                <w:rFonts w:hint="eastAsia" w:ascii="宋体" w:hAnsi="宋体" w:eastAsia="宋体" w:cs="宋体"/>
                <w:color w:val="auto"/>
                <w:sz w:val="21"/>
                <w:szCs w:val="21"/>
                <w:highlight w:val="none"/>
              </w:rPr>
              <w:t>为</w:t>
            </w:r>
            <w:r>
              <w:rPr>
                <w:rFonts w:hint="eastAsia" w:hAnsi="宋体" w:cs="宋体"/>
                <w:color w:val="auto"/>
                <w:sz w:val="21"/>
                <w:szCs w:val="21"/>
                <w:highlight w:val="none"/>
                <w:lang w:eastAsia="zh-CN"/>
              </w:rPr>
              <w:t>2023年1月1日</w:t>
            </w:r>
            <w:r>
              <w:rPr>
                <w:rFonts w:hint="eastAsia" w:ascii="宋体" w:hAnsi="宋体" w:eastAsia="宋体" w:cs="宋体"/>
                <w:color w:val="auto"/>
                <w:sz w:val="21"/>
                <w:szCs w:val="21"/>
                <w:highlight w:val="none"/>
              </w:rPr>
              <w:t>或以后），按下列情况评分：</w:t>
            </w:r>
          </w:p>
          <w:p>
            <w:pPr>
              <w:pStyle w:val="23"/>
              <w:snapToGrid w:val="0"/>
              <w:spacing w:line="360" w:lineRule="auto"/>
              <w:ind w:left="420" w:hanging="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单项合同金额≥</w:t>
            </w:r>
            <w:r>
              <w:rPr>
                <w:rFonts w:hint="eastAsia" w:hAnsi="宋体" w:cs="宋体"/>
                <w:color w:val="auto"/>
                <w:sz w:val="21"/>
                <w:szCs w:val="21"/>
                <w:highlight w:val="none"/>
                <w:lang w:val="en-US" w:eastAsia="zh-CN"/>
              </w:rPr>
              <w:t>700</w:t>
            </w:r>
            <w:r>
              <w:rPr>
                <w:rFonts w:hint="eastAsia" w:ascii="宋体" w:hAnsi="宋体" w:eastAsia="宋体" w:cs="宋体"/>
                <w:color w:val="auto"/>
                <w:sz w:val="21"/>
                <w:szCs w:val="21"/>
                <w:highlight w:val="none"/>
              </w:rPr>
              <w:t>万元的前述业绩的，每项得3分</w:t>
            </w:r>
            <w:r>
              <w:rPr>
                <w:rFonts w:hint="eastAsia" w:hAnsi="宋体" w:cs="宋体"/>
                <w:color w:val="auto"/>
                <w:sz w:val="21"/>
                <w:szCs w:val="21"/>
                <w:highlight w:val="none"/>
                <w:lang w:val="en-US" w:eastAsia="zh-CN"/>
              </w:rPr>
              <w:t>；</w:t>
            </w:r>
          </w:p>
          <w:p>
            <w:pPr>
              <w:pStyle w:val="23"/>
              <w:snapToGrid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350</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700</w:t>
            </w:r>
            <w:r>
              <w:rPr>
                <w:rFonts w:hint="eastAsia" w:ascii="宋体" w:hAnsi="宋体" w:eastAsia="宋体" w:cs="宋体"/>
                <w:color w:val="auto"/>
                <w:sz w:val="21"/>
                <w:szCs w:val="21"/>
                <w:highlight w:val="none"/>
              </w:rPr>
              <w:t>万元的前述业绩的，每项得2分</w:t>
            </w:r>
            <w:r>
              <w:rPr>
                <w:rFonts w:hint="eastAsia" w:hAnsi="宋体" w:cs="宋体"/>
                <w:color w:val="auto"/>
                <w:sz w:val="21"/>
                <w:szCs w:val="21"/>
                <w:highlight w:val="none"/>
                <w:lang w:val="en-US" w:eastAsia="zh-CN"/>
              </w:rPr>
              <w:t>；</w:t>
            </w:r>
          </w:p>
          <w:p>
            <w:pPr>
              <w:pStyle w:val="23"/>
              <w:snapToGrid w:val="0"/>
              <w:spacing w:line="360" w:lineRule="auto"/>
              <w:ind w:left="0" w:firstLine="0" w:firstLineChars="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70</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350</w:t>
            </w:r>
            <w:r>
              <w:rPr>
                <w:rFonts w:hint="eastAsia" w:ascii="宋体" w:hAnsi="宋体" w:eastAsia="宋体" w:cs="宋体"/>
                <w:color w:val="auto"/>
                <w:sz w:val="21"/>
                <w:szCs w:val="21"/>
                <w:highlight w:val="none"/>
              </w:rPr>
              <w:t>万元的前述业绩的，每项得1分，本子项满分</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pStyle w:val="23"/>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pStyle w:val="23"/>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业绩按以下条款作为考评依据：</w:t>
            </w:r>
          </w:p>
          <w:p>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）业绩须同时提供</w:t>
            </w:r>
            <w:r>
              <w:rPr>
                <w:rFonts w:hint="eastAsia" w:ascii="宋体" w:hAnsi="宋体" w:eastAsia="宋体" w:cs="宋体"/>
                <w:b/>
                <w:color w:val="auto"/>
                <w:sz w:val="21"/>
                <w:szCs w:val="21"/>
                <w:highlight w:val="none"/>
                <w:lang w:val="en-US" w:eastAsia="zh-CN"/>
              </w:rPr>
              <w:t>①合同扫描件（合同卖方为投标人），②已供货产品任意一张发票扫描件（发票开具日期须在本项目招标公告发布之日前）</w:t>
            </w:r>
            <w:r>
              <w:rPr>
                <w:rFonts w:hint="eastAsia" w:ascii="宋体" w:hAnsi="宋体" w:eastAsia="宋体" w:cs="宋体"/>
                <w:b/>
                <w:bCs/>
                <w:color w:val="auto"/>
                <w:sz w:val="21"/>
                <w:szCs w:val="21"/>
                <w:highlight w:val="none"/>
                <w:lang w:val="en-US" w:eastAsia="zh-CN"/>
              </w:rPr>
              <w:t>，否则不得分</w:t>
            </w:r>
            <w:r>
              <w:rPr>
                <w:rFonts w:hint="eastAsia" w:ascii="宋体" w:hAnsi="宋体" w:eastAsia="宋体" w:cs="宋体"/>
                <w:b/>
                <w:bCs/>
                <w:color w:val="auto"/>
                <w:sz w:val="21"/>
                <w:szCs w:val="21"/>
                <w:highlight w:val="none"/>
              </w:rPr>
              <w:t>；</w:t>
            </w:r>
          </w:p>
          <w:p>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若业绩为框架式协议或资格入围</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rPr>
              <w:t>无明确金额的合同，必须同时提供合同期限内已供货产品发票金额统计表和供货发票</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bCs/>
                <w:color w:val="auto"/>
                <w:sz w:val="21"/>
                <w:szCs w:val="21"/>
                <w:highlight w:val="none"/>
              </w:rPr>
              <w:t>，否则，视为无效业绩；</w:t>
            </w:r>
          </w:p>
          <w:p>
            <w:pPr>
              <w:snapToGrid w:val="0"/>
              <w:spacing w:line="360" w:lineRule="auto"/>
              <w:rPr>
                <w:rFonts w:hint="eastAsia"/>
                <w:b/>
                <w:bCs/>
                <w:color w:val="auto"/>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若合同无法反映评分条件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卖方为投标人、合同签订日期为</w:t>
            </w:r>
            <w:r>
              <w:rPr>
                <w:rFonts w:hint="eastAsia" w:ascii="宋体" w:hAnsi="宋体" w:eastAsia="宋体" w:cs="宋体"/>
                <w:b/>
                <w:bCs/>
                <w:color w:val="auto"/>
                <w:sz w:val="21"/>
                <w:szCs w:val="21"/>
                <w:highlight w:val="none"/>
                <w:lang w:eastAsia="zh-CN"/>
              </w:rPr>
              <w:t>2023年1月1日</w:t>
            </w:r>
            <w:r>
              <w:rPr>
                <w:rFonts w:hint="eastAsia" w:ascii="宋体" w:hAnsi="宋体" w:eastAsia="宋体" w:cs="宋体"/>
                <w:b/>
                <w:bCs/>
                <w:color w:val="auto"/>
                <w:sz w:val="21"/>
                <w:szCs w:val="21"/>
                <w:highlight w:val="none"/>
              </w:rPr>
              <w:t>或以后、金额</w:t>
            </w:r>
            <w:r>
              <w:rPr>
                <w:rFonts w:hint="eastAsia" w:ascii="宋体" w:hAnsi="宋体" w:eastAsia="宋体" w:cs="宋体"/>
                <w:b/>
                <w:bCs/>
                <w:color w:val="auto"/>
                <w:sz w:val="21"/>
                <w:szCs w:val="21"/>
                <w:highlight w:val="none"/>
                <w:lang w:eastAsia="zh-CN"/>
              </w:rPr>
              <w:t>、合同标的必须包含投标品牌小苏打</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w:t>
            </w:r>
            <w:r>
              <w:rPr>
                <w:rFonts w:hint="eastAsia" w:ascii="宋体" w:hAnsi="宋体" w:eastAsia="宋体" w:cs="宋体"/>
                <w:b/>
                <w:color w:val="auto"/>
                <w:kern w:val="0"/>
                <w:szCs w:val="21"/>
                <w:highlight w:val="none"/>
              </w:rPr>
              <w:t>还需提供产品购买方出具的书面补充说明文件</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kern w:val="0"/>
                <w:szCs w:val="21"/>
                <w:highlight w:val="none"/>
              </w:rPr>
              <w:t>作为辅助证明（补充说明文件</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kern w:val="0"/>
                <w:szCs w:val="21"/>
                <w:highlight w:val="none"/>
              </w:rPr>
              <w:t>能显示购买方公章），否则不得分</w:t>
            </w:r>
            <w:r>
              <w:rPr>
                <w:rFonts w:hint="eastAsia" w:ascii="宋体" w:hAnsi="宋体" w:eastAsia="宋体" w:cs="宋体"/>
                <w:b/>
                <w:bCs/>
                <w:color w:val="auto"/>
                <w:sz w:val="21"/>
                <w:szCs w:val="21"/>
                <w:highlight w:val="none"/>
              </w:rPr>
              <w:t>；</w:t>
            </w:r>
          </w:p>
          <w:p>
            <w:pPr>
              <w:snapToGrid w:val="0"/>
              <w:spacing w:line="360" w:lineRule="auto"/>
              <w:rPr>
                <w:rFonts w:hint="eastAsia" w:ascii="宋体" w:hAnsi="宋体" w:eastAsia="宋体" w:cs="宋体"/>
                <w:b/>
                <w:color w:val="auto"/>
                <w:kern w:val="0"/>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未按上述要求提供证明材料的业绩，或所附材料无法证明填报项目符合本项评分要求的业绩，在评标时将不予考虑。</w:t>
            </w:r>
          </w:p>
        </w:tc>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tc>
      </w:tr>
      <w:bookmarkEnd w:id="938"/>
    </w:tbl>
    <w:p>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937"/>
    </w:p>
    <w:tbl>
      <w:tblPr>
        <w:tblStyle w:val="44"/>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059"/>
        <w:gridCol w:w="7150"/>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left="0" w:firstLine="0"/>
              <w:jc w:val="center"/>
              <w:rPr>
                <w:rFonts w:ascii="宋体" w:hAnsi="宋体" w:eastAsia="宋体" w:cs="宋体"/>
                <w:b/>
                <w:color w:val="auto"/>
                <w:kern w:val="0"/>
                <w:szCs w:val="21"/>
                <w:highlight w:val="none"/>
              </w:rPr>
            </w:pPr>
            <w:bookmarkStart w:id="939" w:name="_Hlk104987779"/>
            <w:r>
              <w:rPr>
                <w:rFonts w:hint="eastAsia" w:ascii="宋体" w:hAnsi="宋体" w:eastAsia="宋体" w:cs="宋体"/>
                <w:b/>
                <w:color w:val="auto"/>
                <w:kern w:val="0"/>
                <w:szCs w:val="21"/>
                <w:highlight w:val="none"/>
              </w:rPr>
              <w:t>序号</w:t>
            </w:r>
          </w:p>
        </w:tc>
        <w:tc>
          <w:tcPr>
            <w:tcW w:w="10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left="0" w:firstLine="0"/>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评审</w:t>
            </w:r>
          </w:p>
          <w:p>
            <w:pPr>
              <w:autoSpaceDE w:val="0"/>
              <w:autoSpaceDN w:val="0"/>
              <w:adjustRightInd w:val="0"/>
              <w:spacing w:line="400" w:lineRule="exact"/>
              <w:ind w:left="0" w:firstLine="0"/>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内容</w:t>
            </w:r>
          </w:p>
        </w:tc>
        <w:tc>
          <w:tcPr>
            <w:tcW w:w="71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left="0" w:firstLine="0"/>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left="0" w:firstLine="0"/>
              <w:jc w:val="center"/>
              <w:rPr>
                <w:rFonts w:ascii="宋体" w:hAnsi="宋体" w:eastAsia="宋体" w:cs="宋体"/>
                <w:b/>
                <w:color w:val="auto"/>
                <w:kern w:val="0"/>
                <w:szCs w:val="21"/>
                <w:highlight w:val="none"/>
              </w:rPr>
            </w:pPr>
            <w:r>
              <w:rPr>
                <w:rFonts w:hint="eastAsia" w:ascii="宋体" w:hAnsi="宋体" w:eastAsia="宋体" w:cs="宋体"/>
                <w:b/>
                <w:color w:val="auto"/>
                <w:spacing w:val="-6"/>
                <w:kern w:val="0"/>
                <w:sz w:val="21"/>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0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zh-CN"/>
              </w:rPr>
              <w:t>用户需求的响应程度</w:t>
            </w:r>
          </w:p>
        </w:tc>
        <w:tc>
          <w:tcPr>
            <w:tcW w:w="7150"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分；本项最低分为0分。</w:t>
            </w:r>
          </w:p>
        </w:tc>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生产工艺</w:t>
            </w:r>
          </w:p>
        </w:tc>
        <w:tc>
          <w:tcPr>
            <w:tcW w:w="7150" w:type="dxa"/>
            <w:tcBorders>
              <w:top w:val="single" w:color="auto" w:sz="4" w:space="0"/>
              <w:left w:val="single" w:color="auto" w:sz="4" w:space="0"/>
              <w:bottom w:val="single" w:color="auto" w:sz="4" w:space="0"/>
              <w:right w:val="single" w:color="auto" w:sz="4" w:space="0"/>
            </w:tcBorders>
            <w:vAlign w:val="center"/>
          </w:tcPr>
          <w:p>
            <w:pPr>
              <w:keepNext w:val="0"/>
              <w:snapToGrid w:val="0"/>
              <w:spacing w:after="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提供关键节点生产现场照片，包括但不限于生产、储存设施（设备）等进行评审：</w:t>
            </w:r>
          </w:p>
          <w:p>
            <w:pPr>
              <w:keepNext w:val="0"/>
              <w:snapToGrid w:val="0"/>
              <w:spacing w:after="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优：</w:t>
            </w:r>
            <w:r>
              <w:rPr>
                <w:rFonts w:hint="eastAsia" w:ascii="宋体" w:hAnsi="宋体" w:eastAsia="宋体" w:cs="宋体"/>
                <w:color w:val="auto"/>
                <w:sz w:val="21"/>
                <w:szCs w:val="21"/>
                <w:highlight w:val="none"/>
              </w:rPr>
              <w:t>提供的生产原理、生产工艺流程图详细、全面、合理，关键节点的生产、储存设施（设备）等与项目实施的配合度高的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p>
          <w:p>
            <w:pPr>
              <w:keepNext w:val="0"/>
              <w:snapToGrid w:val="0"/>
              <w:spacing w:after="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有提供生产原理、生产工艺流程图</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，关键节点的生产、储存设施（设备）等与项目实施的配合度</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的</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p>
          <w:p>
            <w:pPr>
              <w:keepNext w:val="0"/>
              <w:snapToGrid w:val="0"/>
              <w:spacing w:after="0" w:line="360" w:lineRule="auto"/>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有提供生产原理、生产工艺流程图，但不详细、不全面，关键节点的生产、储存设施（设备）等与项目实施的配合度低的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-0]分。</w:t>
            </w:r>
          </w:p>
        </w:tc>
        <w:tc>
          <w:tcPr>
            <w:tcW w:w="846" w:type="dxa"/>
            <w:tcBorders>
              <w:top w:val="single" w:color="auto" w:sz="4" w:space="0"/>
              <w:left w:val="single" w:color="auto" w:sz="4" w:space="0"/>
              <w:bottom w:val="single" w:color="auto" w:sz="4" w:space="0"/>
              <w:right w:val="single" w:color="auto" w:sz="4" w:space="0"/>
            </w:tcBorders>
            <w:vAlign w:val="center"/>
          </w:tcPr>
          <w:p>
            <w:pPr>
              <w:pStyle w:val="195"/>
              <w:keepNext w:val="0"/>
              <w:tabs>
                <w:tab w:val="left" w:pos="585"/>
                <w:tab w:val="left" w:pos="680"/>
              </w:tabs>
              <w:spacing w:after="0" w:line="360" w:lineRule="auto"/>
              <w:ind w:right="0" w:rightChars="0"/>
              <w:jc w:val="center"/>
              <w:rPr>
                <w:rFonts w:ascii="宋体" w:hAnsi="宋体" w:eastAsia="宋体" w:cs="宋体"/>
                <w:color w:val="auto"/>
                <w:kern w:val="0"/>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p>
        </w:tc>
        <w:tc>
          <w:tcPr>
            <w:tcW w:w="1059" w:type="dxa"/>
            <w:tcBorders>
              <w:top w:val="single" w:color="auto" w:sz="4" w:space="0"/>
              <w:left w:val="single" w:color="auto" w:sz="4" w:space="0"/>
              <w:bottom w:val="single" w:color="auto" w:sz="4" w:space="0"/>
              <w:right w:val="single" w:color="auto" w:sz="4" w:space="0"/>
            </w:tcBorders>
            <w:vAlign w:val="center"/>
          </w:tcPr>
          <w:p>
            <w:pPr>
              <w:pStyle w:val="195"/>
              <w:keepNext w:val="0"/>
              <w:tabs>
                <w:tab w:val="left" w:pos="585"/>
                <w:tab w:val="left" w:pos="680"/>
              </w:tabs>
              <w:spacing w:after="0" w:line="360" w:lineRule="auto"/>
              <w:ind w:right="0" w:rightChars="0"/>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生产供货保障能力</w:t>
            </w:r>
          </w:p>
        </w:tc>
        <w:tc>
          <w:tcPr>
            <w:tcW w:w="71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横向比较制造商生产小苏打产品的场地规模、生产环境、设施设备资料、产能证明资料</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zh-CN"/>
              </w:rPr>
              <w:t>服务团队等</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lang w:val="zh-CN"/>
              </w:rPr>
              <w:t>：</w:t>
            </w:r>
          </w:p>
          <w:p>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优：场地规模</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lang w:val="zh-CN"/>
              </w:rPr>
              <w:t>、生产环境</w:t>
            </w:r>
            <w:r>
              <w:rPr>
                <w:rFonts w:hint="eastAsia" w:ascii="宋体" w:hAnsi="宋体" w:eastAsia="宋体" w:cs="宋体"/>
                <w:color w:val="auto"/>
                <w:sz w:val="21"/>
                <w:szCs w:val="21"/>
                <w:highlight w:val="none"/>
                <w:lang w:val="en-US" w:eastAsia="zh-CN"/>
              </w:rPr>
              <w:t>好、设施设备先进、</w:t>
            </w:r>
            <w:r>
              <w:rPr>
                <w:rFonts w:hint="eastAsia" w:ascii="宋体" w:hAnsi="宋体" w:eastAsia="宋体" w:cs="宋体"/>
                <w:b w:val="0"/>
                <w:bCs w:val="0"/>
                <w:color w:val="auto"/>
                <w:kern w:val="2"/>
                <w:sz w:val="21"/>
                <w:szCs w:val="21"/>
                <w:highlight w:val="none"/>
                <w:lang w:val="zh-CN"/>
              </w:rPr>
              <w:t>产能证明资料充分且可靠、</w:t>
            </w:r>
            <w:r>
              <w:rPr>
                <w:rFonts w:hint="eastAsia" w:ascii="宋体" w:hAnsi="宋体" w:eastAsia="宋体" w:cs="宋体"/>
                <w:color w:val="auto"/>
                <w:sz w:val="21"/>
                <w:szCs w:val="21"/>
                <w:highlight w:val="none"/>
                <w:lang w:val="zh-CN"/>
              </w:rPr>
              <w:t>服务团队</w:t>
            </w:r>
            <w:r>
              <w:rPr>
                <w:rFonts w:hint="eastAsia" w:ascii="宋体" w:hAnsi="宋体" w:eastAsia="宋体" w:cs="宋体"/>
                <w:color w:val="auto"/>
                <w:sz w:val="21"/>
                <w:szCs w:val="21"/>
                <w:highlight w:val="none"/>
                <w:lang w:val="en-US" w:eastAsia="zh-CN"/>
              </w:rPr>
              <w:t>人员充足、</w:t>
            </w:r>
            <w:r>
              <w:rPr>
                <w:rFonts w:hint="eastAsia" w:ascii="宋体" w:hAnsi="宋体" w:eastAsia="宋体" w:cs="宋体"/>
                <w:color w:val="auto"/>
                <w:kern w:val="2"/>
                <w:sz w:val="21"/>
                <w:szCs w:val="21"/>
                <w:highlight w:val="none"/>
                <w:lang w:val="zh-CN"/>
              </w:rPr>
              <w:t>具备丰富的行业经验和专业</w:t>
            </w:r>
            <w:r>
              <w:rPr>
                <w:rFonts w:hint="eastAsia" w:ascii="宋体" w:hAnsi="宋体" w:eastAsia="宋体" w:cs="宋体"/>
                <w:color w:val="auto"/>
                <w:kern w:val="2"/>
                <w:sz w:val="21"/>
                <w:szCs w:val="21"/>
                <w:highlight w:val="none"/>
                <w:lang w:val="en-US" w:eastAsia="zh-CN"/>
              </w:rPr>
              <w:t>能力</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中：场地规模</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、生产环境</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、设施设备</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kern w:val="2"/>
                <w:sz w:val="21"/>
                <w:szCs w:val="21"/>
                <w:highlight w:val="none"/>
                <w:lang w:val="zh-CN"/>
              </w:rPr>
              <w:t>产能证明资料基本能反映生产能力、</w:t>
            </w:r>
            <w:r>
              <w:rPr>
                <w:rFonts w:hint="eastAsia" w:ascii="宋体" w:hAnsi="宋体" w:eastAsia="宋体" w:cs="宋体"/>
                <w:color w:val="auto"/>
                <w:sz w:val="21"/>
                <w:szCs w:val="21"/>
                <w:highlight w:val="none"/>
                <w:lang w:val="zh-CN"/>
              </w:rPr>
              <w:t>服务团队</w:t>
            </w:r>
            <w:r>
              <w:rPr>
                <w:rFonts w:hint="eastAsia" w:ascii="宋体" w:hAnsi="宋体" w:eastAsia="宋体" w:cs="宋体"/>
                <w:color w:val="auto"/>
                <w:sz w:val="21"/>
                <w:szCs w:val="21"/>
                <w:highlight w:val="none"/>
                <w:lang w:val="en-US" w:eastAsia="zh-CN"/>
              </w:rPr>
              <w:t>人员较少、</w:t>
            </w:r>
            <w:r>
              <w:rPr>
                <w:rFonts w:hint="eastAsia" w:ascii="宋体" w:hAnsi="宋体" w:eastAsia="宋体" w:cs="宋体"/>
                <w:color w:val="auto"/>
                <w:kern w:val="2"/>
                <w:sz w:val="21"/>
                <w:szCs w:val="21"/>
                <w:highlight w:val="none"/>
                <w:lang w:val="zh-CN"/>
              </w:rPr>
              <w:t>行业经验和专业</w:t>
            </w:r>
            <w:r>
              <w:rPr>
                <w:rFonts w:hint="eastAsia" w:ascii="宋体" w:hAnsi="宋体" w:eastAsia="宋体" w:cs="宋体"/>
                <w:color w:val="auto"/>
                <w:kern w:val="2"/>
                <w:sz w:val="21"/>
                <w:szCs w:val="21"/>
                <w:highlight w:val="none"/>
                <w:lang w:val="en-US" w:eastAsia="zh-CN"/>
              </w:rPr>
              <w:t>能力一般</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差：场地规模</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lang w:val="zh-CN"/>
              </w:rPr>
              <w:t>、生产环境</w:t>
            </w:r>
            <w:r>
              <w:rPr>
                <w:rFonts w:hint="eastAsia" w:ascii="宋体" w:hAnsi="宋体" w:eastAsia="宋体" w:cs="宋体"/>
                <w:color w:val="auto"/>
                <w:sz w:val="21"/>
                <w:szCs w:val="21"/>
                <w:highlight w:val="none"/>
                <w:lang w:val="en-US" w:eastAsia="zh-CN"/>
              </w:rPr>
              <w:t>简陋</w:t>
            </w:r>
            <w:r>
              <w:rPr>
                <w:rFonts w:hint="eastAsia" w:ascii="宋体" w:hAnsi="宋体" w:eastAsia="宋体" w:cs="宋体"/>
                <w:color w:val="auto"/>
                <w:sz w:val="21"/>
                <w:szCs w:val="21"/>
                <w:highlight w:val="none"/>
                <w:lang w:val="zh-CN"/>
              </w:rPr>
              <w:t>、设施设备</w:t>
            </w:r>
            <w:r>
              <w:rPr>
                <w:rFonts w:hint="eastAsia" w:ascii="宋体" w:hAnsi="宋体" w:eastAsia="宋体" w:cs="宋体"/>
                <w:color w:val="auto"/>
                <w:sz w:val="21"/>
                <w:szCs w:val="21"/>
                <w:highlight w:val="none"/>
                <w:lang w:val="en-US" w:eastAsia="zh-CN"/>
              </w:rPr>
              <w:t>差、</w:t>
            </w:r>
            <w:r>
              <w:rPr>
                <w:rFonts w:hint="eastAsia" w:ascii="宋体" w:hAnsi="宋体" w:eastAsia="宋体" w:cs="宋体"/>
                <w:b w:val="0"/>
                <w:bCs w:val="0"/>
                <w:color w:val="auto"/>
                <w:kern w:val="2"/>
                <w:sz w:val="21"/>
                <w:szCs w:val="21"/>
                <w:highlight w:val="none"/>
                <w:lang w:val="zh-CN"/>
              </w:rPr>
              <w:t>产能证明资料不足、</w:t>
            </w:r>
            <w:r>
              <w:rPr>
                <w:rFonts w:hint="eastAsia" w:ascii="宋体" w:hAnsi="宋体" w:eastAsia="宋体" w:cs="宋体"/>
                <w:color w:val="auto"/>
                <w:sz w:val="21"/>
                <w:szCs w:val="21"/>
                <w:highlight w:val="none"/>
                <w:lang w:val="zh-CN"/>
              </w:rPr>
              <w:t>服务团队</w:t>
            </w:r>
            <w:r>
              <w:rPr>
                <w:rFonts w:hint="eastAsia" w:ascii="宋体" w:hAnsi="宋体" w:eastAsia="宋体" w:cs="宋体"/>
                <w:color w:val="auto"/>
                <w:sz w:val="21"/>
                <w:szCs w:val="21"/>
                <w:highlight w:val="none"/>
                <w:lang w:val="en-US" w:eastAsia="zh-CN"/>
              </w:rPr>
              <w:t>人员少、</w:t>
            </w:r>
            <w:r>
              <w:rPr>
                <w:rFonts w:hint="eastAsia" w:ascii="宋体" w:hAnsi="宋体" w:eastAsia="宋体" w:cs="宋体"/>
                <w:color w:val="auto"/>
                <w:kern w:val="2"/>
                <w:sz w:val="21"/>
                <w:szCs w:val="21"/>
                <w:highlight w:val="none"/>
                <w:lang w:val="zh-CN"/>
              </w:rPr>
              <w:t>行业经验和专业</w:t>
            </w:r>
            <w:r>
              <w:rPr>
                <w:rFonts w:hint="eastAsia" w:ascii="宋体" w:hAnsi="宋体" w:eastAsia="宋体" w:cs="宋体"/>
                <w:color w:val="auto"/>
                <w:kern w:val="2"/>
                <w:sz w:val="21"/>
                <w:szCs w:val="21"/>
                <w:highlight w:val="none"/>
                <w:lang w:val="en-US" w:eastAsia="zh-CN"/>
              </w:rPr>
              <w:t>能力</w:t>
            </w:r>
            <w:r>
              <w:rPr>
                <w:rFonts w:hint="eastAsia" w:ascii="宋体" w:hAnsi="宋体" w:eastAsia="宋体" w:cs="宋体"/>
                <w:color w:val="auto"/>
                <w:kern w:val="2"/>
                <w:sz w:val="21"/>
                <w:szCs w:val="21"/>
                <w:highlight w:val="none"/>
                <w:lang w:val="zh-CN"/>
              </w:rPr>
              <w:t>不足</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-0]分。</w:t>
            </w:r>
          </w:p>
          <w:p>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（1）提供制造商场地自有产权证明</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lang w:val="zh-CN"/>
              </w:rPr>
              <w:t>（或非自有产权时提供承租人为制造商的租赁合同</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lang w:val="zh-CN"/>
              </w:rPr>
              <w:t>），产权证明或租赁合同的有效期须至202</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31</w:t>
            </w:r>
            <w:r>
              <w:rPr>
                <w:rFonts w:hint="eastAsia" w:ascii="宋体" w:hAnsi="宋体" w:eastAsia="宋体" w:cs="宋体"/>
                <w:b/>
                <w:color w:val="auto"/>
                <w:sz w:val="21"/>
                <w:szCs w:val="21"/>
                <w:highlight w:val="none"/>
                <w:lang w:val="zh-CN"/>
              </w:rPr>
              <w:t>日或以后；</w:t>
            </w:r>
          </w:p>
          <w:p>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（2）提供制造商现场经营、生产环境、生产设备设施的照片/图片（照片/图片须清晰显示拍摄时间为202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lang w:val="zh-CN"/>
              </w:rPr>
              <w:t>月1日或以后），生产设备设施清单和（付款单位/购买方为制造商的）购置发票</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lang w:val="zh-CN"/>
              </w:rPr>
              <w:t>等，并提供能证明其生产能力的环评报告或其他生产能力证明资料；</w:t>
            </w:r>
          </w:p>
          <w:p>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（3）若投标人为制造商，提供制造商生产及管理人员清单及人力资源和社会保障部门（或税务部门）出具的202</w:t>
            </w:r>
            <w:r>
              <w:rPr>
                <w:rFonts w:hint="eastAsia" w:ascii="宋体" w:hAnsi="宋体" w:eastAsia="宋体" w:cs="宋体"/>
                <w:b/>
                <w:color w:val="auto"/>
                <w:sz w:val="21"/>
                <w:szCs w:val="21"/>
                <w:highlight w:val="none"/>
                <w:lang w:val="zh-CN" w:eastAsia="zh-CN"/>
              </w:rPr>
              <w:t>5</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zh-CN" w:eastAsia="zh-CN"/>
              </w:rPr>
              <w:t>1</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eastAsia="zh-CN"/>
              </w:rPr>
              <w:t>月、202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eastAsia="zh-CN"/>
              </w:rPr>
              <w:t>年</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lang w:val="zh-CN" w:eastAsia="zh-CN"/>
              </w:rPr>
              <w:t>月、2026年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eastAsia="zh-CN"/>
              </w:rPr>
              <w:t>月</w:t>
            </w:r>
            <w:r>
              <w:rPr>
                <w:rFonts w:hint="eastAsia" w:ascii="宋体" w:hAnsi="宋体" w:eastAsia="宋体" w:cs="宋体"/>
                <w:b/>
                <w:color w:val="auto"/>
                <w:sz w:val="21"/>
                <w:szCs w:val="21"/>
                <w:highlight w:val="none"/>
                <w:lang w:val="zh-CN"/>
              </w:rPr>
              <w:t>制造商为其缴纳的社保证明</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lang w:val="zh-CN"/>
              </w:rPr>
              <w:t>；若投标人为经销商，需同时提供制造商及经销商生产及管理人员清单及人力资源和社会保障部门（或税务部门）出具的202</w:t>
            </w:r>
            <w:r>
              <w:rPr>
                <w:rFonts w:hint="eastAsia" w:ascii="宋体" w:hAnsi="宋体" w:eastAsia="宋体" w:cs="宋体"/>
                <w:b/>
                <w:color w:val="auto"/>
                <w:sz w:val="21"/>
                <w:szCs w:val="21"/>
                <w:highlight w:val="none"/>
                <w:lang w:val="zh-CN" w:eastAsia="zh-CN"/>
              </w:rPr>
              <w:t>5</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zh-CN" w:eastAsia="zh-CN"/>
              </w:rPr>
              <w:t>11月、2025年12月、2026年1月</w:t>
            </w:r>
            <w:r>
              <w:rPr>
                <w:rFonts w:hint="eastAsia" w:ascii="宋体" w:hAnsi="宋体" w:eastAsia="宋体" w:cs="宋体"/>
                <w:b/>
                <w:color w:val="auto"/>
                <w:sz w:val="21"/>
                <w:szCs w:val="21"/>
                <w:highlight w:val="none"/>
                <w:lang w:val="zh-CN"/>
              </w:rPr>
              <w:t>制造商及经销商为其缴纳的社保证明</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lang w:val="zh-CN"/>
              </w:rPr>
              <w:t>；</w:t>
            </w:r>
          </w:p>
          <w:p>
            <w:pPr>
              <w:snapToGrid w:val="0"/>
              <w:spacing w:line="360" w:lineRule="auto"/>
              <w:rPr>
                <w:rFonts w:hAnsi="宋体" w:cs="宋体"/>
                <w:color w:val="auto"/>
                <w:kern w:val="0"/>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）投标人除文字介绍外，</w:t>
            </w:r>
            <w:r>
              <w:rPr>
                <w:rFonts w:hint="default" w:ascii="宋体" w:hAnsi="宋体" w:eastAsia="宋体" w:cs="宋体"/>
                <w:b/>
                <w:color w:val="auto"/>
                <w:sz w:val="21"/>
                <w:szCs w:val="21"/>
                <w:highlight w:val="none"/>
                <w:lang w:val="en-US"/>
              </w:rPr>
              <w:t>须</w:t>
            </w:r>
            <w:r>
              <w:rPr>
                <w:rFonts w:hint="eastAsia" w:ascii="宋体" w:hAnsi="宋体" w:eastAsia="宋体" w:cs="宋体"/>
                <w:b/>
                <w:color w:val="auto"/>
                <w:sz w:val="21"/>
                <w:szCs w:val="21"/>
                <w:highlight w:val="none"/>
                <w:lang w:val="zh-CN"/>
              </w:rPr>
              <w:t>提供以上材料</w:t>
            </w:r>
            <w:r>
              <w:rPr>
                <w:rFonts w:hint="eastAsia" w:ascii="宋体" w:hAnsi="宋体" w:eastAsia="宋体" w:cs="宋体"/>
                <w:b/>
                <w:color w:val="auto"/>
                <w:sz w:val="21"/>
                <w:szCs w:val="21"/>
                <w:highlight w:val="none"/>
                <w:lang w:val="en-US" w:eastAsia="zh-CN"/>
              </w:rPr>
              <w:t>作为辅助证明；如投标人不能完整提供上述证明材料的，在评标时将不予考虑评为“优”</w:t>
            </w:r>
            <w:r>
              <w:rPr>
                <w:rFonts w:hint="eastAsia" w:ascii="宋体" w:hAnsi="宋体" w:eastAsia="宋体" w:cs="宋体"/>
                <w:b/>
                <w:color w:val="auto"/>
                <w:sz w:val="21"/>
                <w:szCs w:val="21"/>
                <w:highlight w:val="none"/>
                <w:lang w:val="zh-CN"/>
              </w:rPr>
              <w:t>。</w:t>
            </w:r>
          </w:p>
        </w:tc>
        <w:tc>
          <w:tcPr>
            <w:tcW w:w="846" w:type="dxa"/>
            <w:tcBorders>
              <w:top w:val="single" w:color="auto" w:sz="4" w:space="0"/>
              <w:left w:val="single" w:color="auto" w:sz="4" w:space="0"/>
              <w:bottom w:val="single" w:color="auto" w:sz="4" w:space="0"/>
              <w:right w:val="single" w:color="auto" w:sz="4" w:space="0"/>
            </w:tcBorders>
            <w:vAlign w:val="center"/>
          </w:tcPr>
          <w:p>
            <w:pPr>
              <w:pStyle w:val="195"/>
              <w:keepNext w:val="0"/>
              <w:tabs>
                <w:tab w:val="left" w:pos="585"/>
                <w:tab w:val="left" w:pos="680"/>
              </w:tabs>
              <w:spacing w:after="0" w:line="360" w:lineRule="auto"/>
              <w:ind w:right="0" w:rightChars="0"/>
              <w:jc w:val="center"/>
              <w:rPr>
                <w:rFonts w:ascii="宋体" w:hAnsi="宋体" w:eastAsia="宋体" w:cs="宋体"/>
                <w:color w:val="auto"/>
                <w:kern w:val="0"/>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3" w:hRule="atLeast"/>
          <w:jc w:val="center"/>
        </w:trPr>
        <w:tc>
          <w:tcPr>
            <w:tcW w:w="621" w:type="dxa"/>
            <w:tcBorders>
              <w:top w:val="single" w:color="auto" w:sz="4" w:space="0"/>
              <w:left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4</w:t>
            </w:r>
          </w:p>
        </w:tc>
        <w:tc>
          <w:tcPr>
            <w:tcW w:w="1059" w:type="dxa"/>
            <w:tcBorders>
              <w:top w:val="single" w:color="auto" w:sz="4" w:space="0"/>
              <w:left w:val="single" w:color="auto" w:sz="4" w:space="0"/>
              <w:right w:val="single" w:color="auto" w:sz="4" w:space="0"/>
            </w:tcBorders>
            <w:vAlign w:val="center"/>
          </w:tcPr>
          <w:p>
            <w:pPr>
              <w:pStyle w:val="195"/>
              <w:keepNext w:val="0"/>
              <w:tabs>
                <w:tab w:val="left" w:pos="585"/>
                <w:tab w:val="left" w:pos="680"/>
              </w:tabs>
              <w:spacing w:after="0" w:line="360" w:lineRule="auto"/>
              <w:ind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质量保证体系和措施</w:t>
            </w:r>
          </w:p>
          <w:p>
            <w:pPr>
              <w:pStyle w:val="195"/>
              <w:keepNext w:val="0"/>
              <w:tabs>
                <w:tab w:val="left" w:pos="585"/>
                <w:tab w:val="left" w:pos="680"/>
              </w:tabs>
              <w:spacing w:after="0" w:line="360" w:lineRule="auto"/>
              <w:ind w:right="0" w:rightChars="0"/>
              <w:jc w:val="center"/>
              <w:rPr>
                <w:rFonts w:hint="eastAsia" w:ascii="宋体" w:hAnsi="宋体" w:eastAsia="宋体" w:cs="宋体"/>
                <w:color w:val="auto"/>
                <w:szCs w:val="21"/>
                <w:highlight w:val="none"/>
              </w:rPr>
            </w:pPr>
          </w:p>
        </w:tc>
        <w:tc>
          <w:tcPr>
            <w:tcW w:w="7150" w:type="dxa"/>
            <w:tcBorders>
              <w:top w:val="single" w:color="auto" w:sz="4" w:space="0"/>
              <w:left w:val="single" w:color="auto" w:sz="4" w:space="0"/>
              <w:right w:val="single" w:color="auto" w:sz="4" w:space="0"/>
            </w:tcBorders>
            <w:vAlign w:val="center"/>
          </w:tcPr>
          <w:p>
            <w:pPr>
              <w:pStyle w:val="195"/>
              <w:keepNext w:val="0"/>
              <w:tabs>
                <w:tab w:val="left" w:pos="585"/>
                <w:tab w:val="left" w:pos="680"/>
              </w:tabs>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对比投标人针对投标产品的测试、验收、质量保证实施计划和对招标人的设备状况</w:t>
            </w:r>
            <w:r>
              <w:rPr>
                <w:rFonts w:hint="eastAsia" w:ascii="宋体" w:hAnsi="宋体" w:eastAsia="宋体" w:cs="宋体"/>
                <w:color w:val="auto"/>
                <w:szCs w:val="21"/>
                <w:highlight w:val="none"/>
                <w:lang w:val="en-US" w:eastAsia="zh-CN"/>
              </w:rPr>
              <w:t>和</w:t>
            </w:r>
            <w:r>
              <w:rPr>
                <w:rFonts w:hint="eastAsia" w:ascii="宋体" w:hAnsi="宋体" w:eastAsia="宋体" w:cs="宋体"/>
                <w:color w:val="auto"/>
                <w:szCs w:val="21"/>
                <w:highlight w:val="none"/>
              </w:rPr>
              <w:t>运营情况进行</w:t>
            </w:r>
            <w:r>
              <w:rPr>
                <w:rFonts w:hint="eastAsia" w:ascii="宋体" w:hAnsi="宋体" w:cs="宋体"/>
                <w:color w:val="auto"/>
                <w:szCs w:val="21"/>
                <w:highlight w:val="none"/>
                <w:lang w:eastAsia="zh-CN"/>
              </w:rPr>
              <w:t>小苏打</w:t>
            </w:r>
            <w:r>
              <w:rPr>
                <w:rFonts w:hint="eastAsia" w:ascii="宋体" w:hAnsi="宋体" w:eastAsia="宋体" w:cs="宋体"/>
                <w:color w:val="auto"/>
                <w:szCs w:val="21"/>
                <w:highlight w:val="none"/>
              </w:rPr>
              <w:t>小试具体方案情况进行评审</w:t>
            </w:r>
            <w:r>
              <w:rPr>
                <w:rFonts w:hint="eastAsia" w:ascii="宋体" w:hAnsi="宋体" w:cs="宋体"/>
                <w:color w:val="auto"/>
                <w:szCs w:val="21"/>
                <w:highlight w:val="none"/>
                <w:lang w:eastAsia="zh-CN"/>
              </w:rPr>
              <w:t>：</w:t>
            </w:r>
          </w:p>
          <w:p>
            <w:pPr>
              <w:pStyle w:val="195"/>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eastAsia="zh-CN"/>
              </w:rPr>
              <w:t>：</w:t>
            </w:r>
            <w:r>
              <w:rPr>
                <w:rFonts w:hint="eastAsia" w:ascii="宋体" w:hAnsi="宋体" w:cs="宋体"/>
                <w:color w:val="auto"/>
                <w:kern w:val="2"/>
                <w:sz w:val="21"/>
                <w:szCs w:val="21"/>
                <w:highlight w:val="none"/>
                <w:lang w:eastAsia="zh-CN"/>
              </w:rPr>
              <w:t>提供的测试、验收实施计划详细</w:t>
            </w:r>
            <w:r>
              <w:rPr>
                <w:rFonts w:hint="eastAsia" w:ascii="宋体" w:hAnsi="宋体" w:cs="宋体"/>
                <w:color w:val="auto"/>
                <w:kern w:val="2"/>
                <w:sz w:val="21"/>
                <w:szCs w:val="21"/>
                <w:highlight w:val="none"/>
                <w:lang w:val="en-US" w:eastAsia="zh-CN"/>
              </w:rPr>
              <w:t>；</w:t>
            </w:r>
            <w:r>
              <w:rPr>
                <w:color w:val="auto"/>
                <w:highlight w:val="none"/>
              </w:rPr>
              <w:t>质量保证体系完善、科学</w:t>
            </w:r>
            <w:r>
              <w:rPr>
                <w:rFonts w:hint="eastAsia" w:ascii="宋体" w:hAnsi="宋体" w:cs="宋体"/>
                <w:color w:val="auto"/>
                <w:kern w:val="2"/>
                <w:sz w:val="21"/>
                <w:szCs w:val="21"/>
                <w:highlight w:val="none"/>
                <w:lang w:eastAsia="zh-CN"/>
              </w:rPr>
              <w:t>；小试方案充分考虑了招标人的设备状况</w:t>
            </w:r>
            <w:r>
              <w:rPr>
                <w:rFonts w:hint="eastAsia" w:ascii="宋体" w:hAnsi="宋体" w:cs="宋体"/>
                <w:color w:val="auto"/>
                <w:kern w:val="2"/>
                <w:sz w:val="21"/>
                <w:szCs w:val="21"/>
                <w:highlight w:val="none"/>
                <w:lang w:val="en-US" w:eastAsia="zh-CN"/>
              </w:rPr>
              <w:t>和</w:t>
            </w:r>
            <w:r>
              <w:rPr>
                <w:rFonts w:hint="eastAsia" w:ascii="宋体" w:hAnsi="宋体" w:cs="宋体"/>
                <w:color w:val="auto"/>
                <w:kern w:val="2"/>
                <w:sz w:val="21"/>
                <w:szCs w:val="21"/>
                <w:highlight w:val="none"/>
                <w:lang w:eastAsia="zh-CN"/>
              </w:rPr>
              <w:t>运营情况，方案针对性和可操作性</w:t>
            </w:r>
            <w:r>
              <w:rPr>
                <w:rFonts w:hint="eastAsia" w:ascii="宋体" w:hAnsi="宋体" w:cs="宋体"/>
                <w:color w:val="auto"/>
                <w:kern w:val="2"/>
                <w:sz w:val="21"/>
                <w:szCs w:val="21"/>
                <w:highlight w:val="none"/>
                <w:lang w:val="en-US" w:eastAsia="zh-CN"/>
              </w:rPr>
              <w:t>强的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pPr>
              <w:pStyle w:val="195"/>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eastAsia="zh-CN"/>
              </w:rPr>
              <w:t>：</w:t>
            </w:r>
            <w:r>
              <w:rPr>
                <w:rFonts w:hint="eastAsia" w:ascii="宋体" w:hAnsi="宋体" w:cs="宋体"/>
                <w:color w:val="auto"/>
                <w:kern w:val="2"/>
                <w:sz w:val="21"/>
                <w:szCs w:val="21"/>
                <w:highlight w:val="none"/>
                <w:lang w:eastAsia="zh-CN"/>
              </w:rPr>
              <w:t>提供的测试、验收实施计划</w:t>
            </w:r>
            <w:r>
              <w:rPr>
                <w:rFonts w:hint="eastAsia" w:ascii="宋体" w:hAnsi="宋体" w:cs="宋体"/>
                <w:color w:val="auto"/>
                <w:kern w:val="2"/>
                <w:sz w:val="21"/>
                <w:szCs w:val="21"/>
                <w:highlight w:val="none"/>
                <w:lang w:val="en-US" w:eastAsia="zh-CN"/>
              </w:rPr>
              <w:t>一般；</w:t>
            </w:r>
            <w:r>
              <w:rPr>
                <w:color w:val="auto"/>
                <w:highlight w:val="none"/>
              </w:rPr>
              <w:t>质量保证体系</w:t>
            </w:r>
            <w:r>
              <w:rPr>
                <w:rFonts w:hint="eastAsia" w:ascii="宋体" w:hAnsi="宋体" w:cs="宋体"/>
                <w:color w:val="auto"/>
                <w:kern w:val="2"/>
                <w:sz w:val="21"/>
                <w:szCs w:val="21"/>
                <w:highlight w:val="none"/>
                <w:lang w:val="en-US" w:eastAsia="zh-CN"/>
              </w:rPr>
              <w:t>一般</w:t>
            </w:r>
            <w:r>
              <w:rPr>
                <w:rFonts w:hint="eastAsia" w:ascii="宋体" w:hAnsi="宋体" w:cs="宋体"/>
                <w:color w:val="auto"/>
                <w:kern w:val="2"/>
                <w:sz w:val="21"/>
                <w:szCs w:val="21"/>
                <w:highlight w:val="none"/>
                <w:lang w:eastAsia="zh-CN"/>
              </w:rPr>
              <w:t>；小试方案</w:t>
            </w:r>
            <w:r>
              <w:rPr>
                <w:rFonts w:hint="eastAsia" w:ascii="宋体" w:hAnsi="宋体" w:cs="宋体"/>
                <w:color w:val="auto"/>
                <w:kern w:val="2"/>
                <w:sz w:val="21"/>
                <w:szCs w:val="21"/>
                <w:highlight w:val="none"/>
                <w:lang w:val="en-US" w:eastAsia="zh-CN"/>
              </w:rPr>
              <w:t>基本</w:t>
            </w:r>
            <w:r>
              <w:rPr>
                <w:rFonts w:hint="eastAsia" w:ascii="宋体" w:hAnsi="宋体" w:cs="宋体"/>
                <w:color w:val="auto"/>
                <w:kern w:val="2"/>
                <w:sz w:val="21"/>
                <w:szCs w:val="21"/>
                <w:highlight w:val="none"/>
                <w:lang w:eastAsia="zh-CN"/>
              </w:rPr>
              <w:t>考虑了招标人的设备状况</w:t>
            </w:r>
            <w:r>
              <w:rPr>
                <w:rFonts w:hint="eastAsia" w:ascii="宋体" w:hAnsi="宋体" w:cs="宋体"/>
                <w:color w:val="auto"/>
                <w:kern w:val="2"/>
                <w:sz w:val="21"/>
                <w:szCs w:val="21"/>
                <w:highlight w:val="none"/>
                <w:lang w:val="en-US" w:eastAsia="zh-CN"/>
              </w:rPr>
              <w:t>和</w:t>
            </w:r>
            <w:r>
              <w:rPr>
                <w:rFonts w:hint="eastAsia" w:ascii="宋体" w:hAnsi="宋体" w:cs="宋体"/>
                <w:color w:val="auto"/>
                <w:kern w:val="2"/>
                <w:sz w:val="21"/>
                <w:szCs w:val="21"/>
                <w:highlight w:val="none"/>
                <w:lang w:eastAsia="zh-CN"/>
              </w:rPr>
              <w:t>运营情况，方案针对性和可操作性</w:t>
            </w:r>
            <w:r>
              <w:rPr>
                <w:rFonts w:hint="eastAsia" w:ascii="宋体" w:hAnsi="宋体" w:cs="宋体"/>
                <w:color w:val="auto"/>
                <w:kern w:val="2"/>
                <w:sz w:val="21"/>
                <w:szCs w:val="21"/>
                <w:highlight w:val="none"/>
                <w:lang w:val="en-US" w:eastAsia="zh-CN"/>
              </w:rPr>
              <w:t>一般的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pPr>
              <w:pStyle w:val="195"/>
              <w:keepNext w:val="0"/>
              <w:tabs>
                <w:tab w:val="left" w:pos="585"/>
                <w:tab w:val="left" w:pos="680"/>
              </w:tabs>
              <w:spacing w:after="0" w:line="360" w:lineRule="auto"/>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eastAsia="zh-CN"/>
              </w:rPr>
              <w:t>：</w:t>
            </w:r>
            <w:r>
              <w:rPr>
                <w:rFonts w:hint="eastAsia" w:ascii="宋体" w:hAnsi="宋体" w:cs="宋体"/>
                <w:color w:val="auto"/>
                <w:kern w:val="2"/>
                <w:sz w:val="21"/>
                <w:szCs w:val="21"/>
                <w:highlight w:val="none"/>
                <w:lang w:eastAsia="zh-CN"/>
              </w:rPr>
              <w:t>提供的测试、验收实施计划</w:t>
            </w:r>
            <w:r>
              <w:rPr>
                <w:rFonts w:hint="eastAsia" w:ascii="宋体" w:hAnsi="宋体" w:eastAsia="宋体" w:cs="宋体"/>
                <w:b w:val="0"/>
                <w:bCs w:val="0"/>
                <w:color w:val="auto"/>
                <w:kern w:val="2"/>
                <w:szCs w:val="21"/>
                <w:highlight w:val="none"/>
                <w:lang w:val="zh-CN"/>
              </w:rPr>
              <w:t>存在一定缺失或不够详细</w:t>
            </w:r>
            <w:r>
              <w:rPr>
                <w:rFonts w:hint="eastAsia" w:ascii="宋体" w:hAnsi="宋体" w:cs="宋体"/>
                <w:color w:val="auto"/>
                <w:kern w:val="2"/>
                <w:sz w:val="21"/>
                <w:szCs w:val="21"/>
                <w:highlight w:val="none"/>
                <w:lang w:val="en-US" w:eastAsia="zh-CN"/>
              </w:rPr>
              <w:t>；</w:t>
            </w:r>
            <w:r>
              <w:rPr>
                <w:color w:val="auto"/>
                <w:highlight w:val="none"/>
              </w:rPr>
              <w:t>质量保证体系</w:t>
            </w:r>
            <w:r>
              <w:rPr>
                <w:rFonts w:hint="eastAsia"/>
                <w:color w:val="auto"/>
                <w:highlight w:val="none"/>
                <w:lang w:val="en-US" w:eastAsia="zh-CN"/>
              </w:rPr>
              <w:t>不完整或未提供</w:t>
            </w:r>
            <w:r>
              <w:rPr>
                <w:rFonts w:hint="eastAsia" w:ascii="宋体" w:hAnsi="宋体" w:cs="宋体"/>
                <w:color w:val="auto"/>
                <w:kern w:val="2"/>
                <w:sz w:val="21"/>
                <w:szCs w:val="21"/>
                <w:highlight w:val="none"/>
                <w:lang w:eastAsia="zh-CN"/>
              </w:rPr>
              <w:t>；小试方案</w:t>
            </w:r>
            <w:r>
              <w:rPr>
                <w:rFonts w:hint="eastAsia" w:ascii="宋体" w:hAnsi="宋体" w:cs="宋体"/>
                <w:color w:val="auto"/>
                <w:kern w:val="2"/>
                <w:sz w:val="21"/>
                <w:szCs w:val="21"/>
                <w:highlight w:val="none"/>
                <w:lang w:val="en-US" w:eastAsia="zh-CN"/>
              </w:rPr>
              <w:t>未能</w:t>
            </w:r>
            <w:r>
              <w:rPr>
                <w:rFonts w:hint="eastAsia" w:ascii="宋体" w:hAnsi="宋体" w:cs="宋体"/>
                <w:color w:val="auto"/>
                <w:kern w:val="2"/>
                <w:sz w:val="21"/>
                <w:szCs w:val="21"/>
                <w:highlight w:val="none"/>
                <w:lang w:eastAsia="zh-CN"/>
              </w:rPr>
              <w:t>考虑招标人的设备状况</w:t>
            </w:r>
            <w:r>
              <w:rPr>
                <w:rFonts w:hint="eastAsia" w:ascii="宋体" w:hAnsi="宋体" w:cs="宋体"/>
                <w:color w:val="auto"/>
                <w:kern w:val="2"/>
                <w:sz w:val="21"/>
                <w:szCs w:val="21"/>
                <w:highlight w:val="none"/>
                <w:lang w:val="en-US" w:eastAsia="zh-CN"/>
              </w:rPr>
              <w:t>和</w:t>
            </w:r>
            <w:r>
              <w:rPr>
                <w:rFonts w:hint="eastAsia" w:ascii="宋体" w:hAnsi="宋体" w:cs="宋体"/>
                <w:color w:val="auto"/>
                <w:kern w:val="2"/>
                <w:sz w:val="21"/>
                <w:szCs w:val="21"/>
                <w:highlight w:val="none"/>
                <w:lang w:eastAsia="zh-CN"/>
              </w:rPr>
              <w:t>运营情况，方案针对性和可操作性</w:t>
            </w:r>
            <w:r>
              <w:rPr>
                <w:rFonts w:hint="eastAsia" w:ascii="宋体" w:hAnsi="宋体" w:cs="宋体"/>
                <w:color w:val="auto"/>
                <w:kern w:val="2"/>
                <w:sz w:val="21"/>
                <w:szCs w:val="21"/>
                <w:highlight w:val="none"/>
                <w:lang w:val="en-US" w:eastAsia="zh-CN"/>
              </w:rPr>
              <w:t>差的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-0]分</w:t>
            </w:r>
            <w:r>
              <w:rPr>
                <w:rFonts w:hint="eastAsia" w:ascii="宋体" w:hAnsi="宋体" w:eastAsia="宋体" w:cs="宋体"/>
                <w:color w:val="auto"/>
                <w:szCs w:val="21"/>
                <w:highlight w:val="none"/>
                <w:lang w:eastAsia="zh-CN"/>
              </w:rPr>
              <w:t>。</w:t>
            </w:r>
          </w:p>
        </w:tc>
        <w:tc>
          <w:tcPr>
            <w:tcW w:w="846" w:type="dxa"/>
            <w:tcBorders>
              <w:top w:val="single" w:color="auto" w:sz="4" w:space="0"/>
              <w:left w:val="single" w:color="auto" w:sz="4" w:space="0"/>
              <w:bottom w:val="single" w:color="auto" w:sz="4" w:space="0"/>
              <w:right w:val="single" w:color="auto" w:sz="4" w:space="0"/>
            </w:tcBorders>
            <w:vAlign w:val="center"/>
          </w:tcPr>
          <w:p>
            <w:pPr>
              <w:pStyle w:val="195"/>
              <w:keepNext w:val="0"/>
              <w:tabs>
                <w:tab w:val="left" w:pos="585"/>
                <w:tab w:val="left" w:pos="680"/>
              </w:tabs>
              <w:snapToGrid w:val="0"/>
              <w:spacing w:after="0" w:line="360" w:lineRule="auto"/>
              <w:ind w:right="0" w:rightChars="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p>
            <w:pPr>
              <w:pStyle w:val="195"/>
              <w:keepNext w:val="0"/>
              <w:tabs>
                <w:tab w:val="left" w:pos="585"/>
                <w:tab w:val="left" w:pos="680"/>
              </w:tabs>
              <w:snapToGrid w:val="0"/>
              <w:spacing w:after="0" w:line="360" w:lineRule="auto"/>
              <w:ind w:right="0" w:rightChars="0"/>
              <w:jc w:val="center"/>
              <w:rPr>
                <w:rFonts w:hint="eastAsia" w:ascii="宋体" w:hAnsi="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21"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059" w:type="dxa"/>
            <w:tcBorders>
              <w:left w:val="single" w:color="auto" w:sz="4" w:space="0"/>
              <w:bottom w:val="single" w:color="auto" w:sz="4" w:space="0"/>
              <w:right w:val="single" w:color="auto" w:sz="4" w:space="0"/>
            </w:tcBorders>
            <w:vAlign w:val="center"/>
          </w:tcPr>
          <w:p>
            <w:pPr>
              <w:keepNext w:val="0"/>
              <w:snapToGrid w:val="0"/>
              <w:spacing w:after="0"/>
              <w:ind w:right="0" w:rightChars="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企业运输能力</w:t>
            </w:r>
          </w:p>
        </w:tc>
        <w:tc>
          <w:tcPr>
            <w:tcW w:w="715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hAnsi="宋体" w:cs="宋体"/>
                <w:color w:val="auto"/>
                <w:szCs w:val="21"/>
                <w:highlight w:val="none"/>
              </w:rPr>
            </w:pPr>
            <w:r>
              <w:rPr>
                <w:rFonts w:hint="eastAsia" w:hAnsi="宋体" w:cs="宋体"/>
                <w:color w:val="auto"/>
                <w:szCs w:val="21"/>
                <w:highlight w:val="none"/>
              </w:rPr>
              <w:t>根据投标人的运输能力进行评审：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（1）投标人的运输车(可用运输小苏打的槽罐车辆)数量累计达到3台的，得1.5分；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（2）投标人的运输车(可用运输小苏打的槽罐车辆)数量累计＞3台的，得3分。</w:t>
            </w:r>
          </w:p>
          <w:p>
            <w:p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自有的运输车的须提供：①行驶证</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rPr>
              <w:t>②车辆照片/图片（照片/图片须清晰</w:t>
            </w:r>
            <w:r>
              <w:rPr>
                <w:rFonts w:hint="eastAsia" w:ascii="宋体" w:hAnsi="宋体" w:eastAsia="宋体" w:cs="宋体"/>
                <w:b/>
                <w:bCs/>
                <w:color w:val="auto"/>
                <w:sz w:val="21"/>
                <w:szCs w:val="21"/>
                <w:highlight w:val="none"/>
                <w:lang w:val="zh-CN"/>
              </w:rPr>
              <w:t>显示</w:t>
            </w:r>
            <w:r>
              <w:rPr>
                <w:rFonts w:hint="eastAsia" w:ascii="宋体" w:hAnsi="宋体" w:eastAsia="宋体" w:cs="宋体"/>
                <w:b/>
                <w:bCs/>
                <w:color w:val="auto"/>
                <w:sz w:val="21"/>
                <w:szCs w:val="21"/>
                <w:highlight w:val="none"/>
              </w:rPr>
              <w:t>拍摄时间为</w:t>
            </w:r>
            <w:r>
              <w:rPr>
                <w:rFonts w:hint="eastAsia" w:ascii="宋体" w:hAnsi="宋体" w:eastAsia="宋体" w:cs="宋体"/>
                <w:b/>
                <w:bCs/>
                <w:color w:val="auto"/>
                <w:szCs w:val="21"/>
                <w:highlight w:val="none"/>
              </w:rPr>
              <w:t>2025年</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月1日</w:t>
            </w:r>
            <w:r>
              <w:rPr>
                <w:rFonts w:hint="eastAsia" w:ascii="宋体" w:hAnsi="宋体" w:eastAsia="宋体" w:cs="宋体"/>
                <w:b/>
                <w:bCs/>
                <w:color w:val="auto"/>
                <w:sz w:val="21"/>
                <w:szCs w:val="21"/>
                <w:highlight w:val="none"/>
              </w:rPr>
              <w:t>或以后）</w:t>
            </w:r>
            <w:r>
              <w:rPr>
                <w:rFonts w:hint="eastAsia" w:ascii="宋体" w:hAnsi="宋体" w:eastAsia="宋体" w:cs="宋体"/>
                <w:b/>
                <w:bCs/>
                <w:color w:val="auto"/>
                <w:sz w:val="21"/>
                <w:szCs w:val="21"/>
                <w:highlight w:val="none"/>
                <w:lang w:val="zh-CN"/>
              </w:rPr>
              <w:t>。</w:t>
            </w:r>
          </w:p>
          <w:p>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委托第三方运输的须提供：①运输合同扫描件；</w:t>
            </w:r>
            <w:r>
              <w:rPr>
                <w:rFonts w:hint="eastAsia" w:ascii="宋体" w:hAnsi="宋体" w:eastAsia="宋体" w:cs="宋体"/>
                <w:b/>
                <w:bCs/>
                <w:color w:val="auto"/>
                <w:sz w:val="21"/>
                <w:szCs w:val="21"/>
                <w:highlight w:val="none"/>
              </w:rPr>
              <w:t>②受托方道路运输经营许可证</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③车辆道路运输证</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bCs/>
                <w:color w:val="auto"/>
                <w:sz w:val="21"/>
                <w:szCs w:val="21"/>
                <w:highlight w:val="none"/>
                <w:lang w:val="zh-CN"/>
              </w:rPr>
              <w:t>；④车辆行驶证</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bCs/>
                <w:color w:val="auto"/>
                <w:sz w:val="21"/>
                <w:szCs w:val="21"/>
                <w:highlight w:val="none"/>
                <w:lang w:val="zh-CN"/>
              </w:rPr>
              <w:t>；⑤</w:t>
            </w:r>
            <w:r>
              <w:rPr>
                <w:rFonts w:hint="eastAsia" w:ascii="宋体" w:hAnsi="宋体" w:eastAsia="宋体" w:cs="宋体"/>
                <w:b/>
                <w:bCs/>
                <w:color w:val="auto"/>
                <w:sz w:val="21"/>
                <w:szCs w:val="21"/>
                <w:highlight w:val="none"/>
              </w:rPr>
              <w:t>车辆照片/图片（照片/图片须清晰</w:t>
            </w:r>
            <w:r>
              <w:rPr>
                <w:rFonts w:hint="eastAsia" w:ascii="宋体" w:hAnsi="宋体" w:eastAsia="宋体" w:cs="宋体"/>
                <w:b/>
                <w:bCs/>
                <w:color w:val="auto"/>
                <w:sz w:val="21"/>
                <w:szCs w:val="21"/>
                <w:highlight w:val="none"/>
                <w:lang w:val="zh-CN"/>
              </w:rPr>
              <w:t>显示</w:t>
            </w:r>
            <w:r>
              <w:rPr>
                <w:rFonts w:hint="eastAsia" w:ascii="宋体" w:hAnsi="宋体" w:eastAsia="宋体" w:cs="宋体"/>
                <w:b/>
                <w:bCs/>
                <w:color w:val="auto"/>
                <w:sz w:val="21"/>
                <w:szCs w:val="21"/>
                <w:highlight w:val="none"/>
              </w:rPr>
              <w:t>拍摄时间为</w:t>
            </w:r>
            <w:r>
              <w:rPr>
                <w:rFonts w:hint="eastAsia" w:ascii="宋体" w:hAnsi="宋体" w:eastAsia="宋体" w:cs="宋体"/>
                <w:b/>
                <w:bCs/>
                <w:color w:val="auto"/>
                <w:szCs w:val="21"/>
                <w:highlight w:val="none"/>
              </w:rPr>
              <w:t>2025年</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月1日</w:t>
            </w:r>
            <w:r>
              <w:rPr>
                <w:rFonts w:hint="eastAsia" w:ascii="宋体" w:hAnsi="宋体" w:eastAsia="宋体" w:cs="宋体"/>
                <w:b/>
                <w:bCs/>
                <w:color w:val="auto"/>
                <w:sz w:val="21"/>
                <w:szCs w:val="21"/>
                <w:highlight w:val="none"/>
              </w:rPr>
              <w:t>或以后）</w:t>
            </w:r>
            <w:r>
              <w:rPr>
                <w:rFonts w:hint="eastAsia" w:ascii="宋体" w:hAnsi="宋体" w:eastAsia="宋体" w:cs="宋体"/>
                <w:b/>
                <w:bCs/>
                <w:color w:val="auto"/>
                <w:sz w:val="21"/>
                <w:szCs w:val="21"/>
                <w:highlight w:val="none"/>
                <w:lang w:val="zh-CN"/>
              </w:rPr>
              <w:t>。</w:t>
            </w:r>
          </w:p>
          <w:p>
            <w:pPr>
              <w:keepNext w:val="0"/>
              <w:spacing w:after="0"/>
              <w:ind w:right="0" w:right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未提供或者提供信息不全或证件无效的相应车辆不得分。</w:t>
            </w:r>
          </w:p>
        </w:tc>
        <w:tc>
          <w:tcPr>
            <w:tcW w:w="846" w:type="dxa"/>
            <w:tcBorders>
              <w:top w:val="single" w:color="auto" w:sz="4" w:space="0"/>
              <w:left w:val="single" w:color="auto" w:sz="4" w:space="0"/>
              <w:bottom w:val="single" w:color="auto" w:sz="4" w:space="0"/>
              <w:right w:val="single" w:color="auto" w:sz="4" w:space="0"/>
            </w:tcBorders>
            <w:vAlign w:val="center"/>
          </w:tcPr>
          <w:p>
            <w:pPr>
              <w:pStyle w:val="195"/>
              <w:keepNext w:val="0"/>
              <w:tabs>
                <w:tab w:val="left" w:pos="585"/>
                <w:tab w:val="left" w:pos="680"/>
              </w:tabs>
              <w:snapToGrid w:val="0"/>
              <w:spacing w:after="0" w:line="360" w:lineRule="auto"/>
              <w:ind w:right="0" w:rightChars="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zh-CN"/>
              </w:rPr>
              <w:t>分</w:t>
            </w:r>
          </w:p>
        </w:tc>
      </w:tr>
      <w:bookmarkEnd w:id="939"/>
    </w:tbl>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①表中“[”代表闭区间，“]”代表闭区间，如[0，1]代表该分数段范围为大于等于0且小于等于1。表中“（”代表开区间，“]”代表闭区间，如（1，2]代表该分数段范围为大于1且小于等于2。</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②分数出现小数点，保留小数点后2位，从小数点后第3位四舍五入。</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color w:val="auto"/>
          <w:szCs w:val="24"/>
          <w:highlight w:val="none"/>
          <w:lang w:val="zh-CN"/>
        </w:rPr>
        <w:t>上述“评分项目”中按“优、</w:t>
      </w:r>
      <w:r>
        <w:rPr>
          <w:rFonts w:hint="eastAsia" w:ascii="宋体" w:hAnsi="宋体" w:eastAsia="宋体" w:cs="宋体"/>
          <w:b/>
          <w:color w:val="auto"/>
          <w:szCs w:val="24"/>
          <w:highlight w:val="none"/>
          <w:lang w:val="en-US" w:eastAsia="zh-CN"/>
        </w:rPr>
        <w:t>中</w:t>
      </w:r>
      <w:r>
        <w:rPr>
          <w:rFonts w:hint="eastAsia" w:ascii="宋体" w:hAnsi="宋体" w:eastAsia="宋体" w:cs="宋体"/>
          <w:b/>
          <w:color w:val="auto"/>
          <w:szCs w:val="24"/>
          <w:highlight w:val="none"/>
          <w:lang w:val="zh-CN"/>
        </w:rPr>
        <w:t>、差”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hint="eastAsia" w:ascii="宋体" w:hAnsi="宋体" w:eastAsia="宋体" w:cs="宋体"/>
          <w:color w:val="auto"/>
          <w:kern w:val="0"/>
          <w:szCs w:val="21"/>
          <w:highlight w:val="none"/>
          <w:lang w:val="zh-CN"/>
        </w:rPr>
      </w:pPr>
    </w:p>
    <w:p>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hint="eastAsia" w:ascii="宋体" w:hAnsi="宋体" w:eastAsia="宋体" w:cs="宋体"/>
          <w:color w:val="auto"/>
          <w:kern w:val="0"/>
          <w:szCs w:val="28"/>
          <w:highlight w:val="none"/>
          <w:lang w:val="zh-CN"/>
        </w:rPr>
      </w:pPr>
      <w:bookmarkStart w:id="940" w:name="_Toc31624_WPSOffice_Level2"/>
      <w:r>
        <w:rPr>
          <w:rFonts w:hint="eastAsia" w:ascii="宋体" w:hAnsi="宋体" w:eastAsia="宋体" w:cs="宋体"/>
          <w:color w:val="auto"/>
          <w:kern w:val="0"/>
          <w:szCs w:val="28"/>
          <w:highlight w:val="none"/>
          <w:lang w:val="zh-CN"/>
        </w:rPr>
        <w:t>评标总得分=F1＋F2＋……+Fn</w:t>
      </w:r>
      <w:bookmarkEnd w:id="940"/>
    </w:p>
    <w:p>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941" w:name="_Toc13236_WPSOffice_Level2"/>
      <w:r>
        <w:rPr>
          <w:rFonts w:hint="eastAsia" w:ascii="宋体" w:hAnsi="宋体" w:eastAsia="宋体" w:cs="宋体"/>
          <w:color w:val="auto"/>
          <w:kern w:val="0"/>
          <w:szCs w:val="21"/>
          <w:highlight w:val="none"/>
        </w:rPr>
        <w:t>F1、F2、……Fn分别为各项评分因素的得分</w:t>
      </w:r>
      <w:bookmarkEnd w:id="941"/>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942" w:name="_Toc518_WPSOffice_Level1"/>
      <w:r>
        <w:rPr>
          <w:rFonts w:hint="eastAsia" w:ascii="宋体" w:hAnsi="宋体" w:eastAsia="宋体" w:cs="宋体"/>
          <w:b/>
          <w:bCs/>
          <w:color w:val="auto"/>
          <w:sz w:val="28"/>
          <w:szCs w:val="28"/>
          <w:highlight w:val="none"/>
          <w:lang w:val="zh-CN"/>
        </w:rPr>
        <w:t>五、推荐中标人</w:t>
      </w:r>
      <w:bookmarkEnd w:id="942"/>
    </w:p>
    <w:p>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943" w:name="_Toc22724_WPSOffice_Level1"/>
      <w:r>
        <w:rPr>
          <w:rFonts w:hint="eastAsia" w:ascii="宋体" w:hAnsi="宋体" w:eastAsia="宋体" w:cs="宋体"/>
          <w:b/>
          <w:bCs/>
          <w:color w:val="auto"/>
          <w:sz w:val="28"/>
          <w:szCs w:val="28"/>
          <w:highlight w:val="none"/>
          <w:lang w:val="zh-CN"/>
        </w:rPr>
        <w:t>六、编写评标报告</w:t>
      </w:r>
      <w:bookmarkEnd w:id="943"/>
    </w:p>
    <w:p>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w:t>
      </w:r>
      <w:bookmarkStart w:id="945" w:name="_GoBack"/>
      <w:bookmarkEnd w:id="945"/>
      <w:r>
        <w:rPr>
          <w:rFonts w:hint="eastAsia" w:ascii="宋体" w:hAnsi="宋体" w:eastAsia="宋体" w:cs="宋体"/>
          <w:color w:val="auto"/>
          <w:szCs w:val="24"/>
          <w:highlight w:val="none"/>
          <w:lang w:val="zh-CN"/>
        </w:rPr>
        <w:t>录和评审结果编写的报告，其主要内容包括：</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944" w:name="_Toc23773_WPSOffice_Level1"/>
      <w:r>
        <w:rPr>
          <w:rFonts w:hint="eastAsia" w:ascii="宋体" w:hAnsi="宋体" w:eastAsia="宋体" w:cs="宋体"/>
          <w:b/>
          <w:bCs/>
          <w:color w:val="auto"/>
          <w:sz w:val="28"/>
          <w:szCs w:val="28"/>
          <w:highlight w:val="none"/>
          <w:lang w:val="zh-CN"/>
        </w:rPr>
        <w:t>七、注意事项</w:t>
      </w:r>
      <w:bookmarkEnd w:id="944"/>
    </w:p>
    <w:p>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887"/>
    <w:bookmarkEnd w:id="914"/>
    <w:bookmarkEnd w:id="915"/>
    <w:bookmarkEnd w:id="916"/>
    <w:p>
      <w:pPr>
        <w:widowControl/>
        <w:jc w:val="left"/>
        <w:rPr>
          <w:rFonts w:hint="eastAsia" w:ascii="宋体" w:hAnsi="宋体" w:eastAsia="宋体" w:cs="宋体"/>
          <w:color w:val="auto"/>
          <w:szCs w:val="24"/>
          <w:highlight w:val="none"/>
          <w:lang w:val="zh-CN"/>
        </w:rPr>
      </w:pPr>
    </w:p>
    <w:sectPr>
      <w:pgSz w:w="12240" w:h="15840"/>
      <w:pgMar w:top="1191" w:right="1737"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Noto Sans SC"/>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Aptos">
    <w:altName w:val="Segoe Print"/>
    <w:panose1 w:val="00000000000000000000"/>
    <w:charset w:val="00"/>
    <w:family w:val="swiss"/>
    <w:pitch w:val="default"/>
    <w:sig w:usb0="00000000" w:usb1="00000000" w:usb2="00000000" w:usb3="00000000" w:csb0="0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SC">
    <w:panose1 w:val="020B0200000000000000"/>
    <w:charset w:val="86"/>
    <w:family w:val="auto"/>
    <w:pitch w:val="default"/>
    <w:sig w:usb0="20000083" w:usb1="2ADF3C10" w:usb2="00000016" w:usb3="00000000" w:csb0="6006010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adjustRightInd w:val="0"/>
      <w:snapToGrid w:val="0"/>
      <w:spacing w:beforeLines="0" w:afterLines="0"/>
      <w:jc w:val="center"/>
      <w:rPr>
        <w:rFonts w:hint="default" w:ascii="宋体" w:hAnsi="Times New Roman" w:eastAsia="宋体" w:cs="Times New Roman"/>
        <w:sz w:val="18"/>
        <w:szCs w:val="18"/>
        <w:lang w:val="en-US" w:eastAsia="zh-CN" w:bidi="ar-SA"/>
      </w:rPr>
    </w:pPr>
    <w:r>
      <w:rPr>
        <w:rFonts w:hint="default" w:ascii="宋体" w:hAnsi="Times New Roman" w:eastAsia="宋体" w:cs="Times New Roman"/>
        <w:sz w:val="18"/>
        <w:szCs w:val="18"/>
        <w:lang w:val="en-US" w:eastAsia="zh-CN" w:bidi="ar-SA"/>
      </w:rPr>
      <w:t>第</w:t>
    </w:r>
    <w:r>
      <w:rPr>
        <w:rFonts w:hint="default" w:ascii="宋体" w:hAnsi="Times New Roman" w:eastAsia="宋体" w:cs="Times New Roman"/>
        <w:sz w:val="18"/>
        <w:szCs w:val="18"/>
        <w:lang w:val="zh-CN" w:eastAsia="zh-CN" w:bidi="ar-SA"/>
      </w:rPr>
      <w:t xml:space="preserve"> </w:t>
    </w:r>
    <w:r>
      <w:rPr>
        <w:rFonts w:hint="default" w:ascii="宋体" w:hAnsi="Times New Roman" w:eastAsia="宋体" w:cs="Times New Roman"/>
        <w:sz w:val="18"/>
        <w:szCs w:val="18"/>
        <w:lang w:val="en-US" w:eastAsia="zh-CN" w:bidi="ar-SA"/>
      </w:rPr>
      <w:fldChar w:fldCharType="begin"/>
    </w:r>
    <w:r>
      <w:rPr>
        <w:rFonts w:hint="default" w:ascii="宋体" w:hAnsi="Times New Roman" w:eastAsia="宋体" w:cs="Times New Roman"/>
        <w:sz w:val="18"/>
        <w:szCs w:val="18"/>
        <w:lang w:val="en-US" w:eastAsia="zh-CN" w:bidi="ar-SA"/>
      </w:rPr>
      <w:instrText xml:space="preserve">PAGE</w:instrText>
    </w:r>
    <w:r>
      <w:rPr>
        <w:rFonts w:hint="default" w:ascii="宋体" w:hAnsi="Times New Roman" w:eastAsia="宋体" w:cs="Times New Roman"/>
        <w:sz w:val="18"/>
        <w:szCs w:val="18"/>
        <w:lang w:val="en-US" w:eastAsia="zh-CN" w:bidi="ar-SA"/>
      </w:rPr>
      <w:fldChar w:fldCharType="separate"/>
    </w:r>
    <w:r>
      <w:rPr>
        <w:rFonts w:hint="default" w:ascii="宋体" w:hAnsi="Times New Roman" w:eastAsia="宋体" w:cs="Times New Roman"/>
        <w:sz w:val="18"/>
        <w:szCs w:val="18"/>
        <w:lang w:val="en-US" w:eastAsia="zh-CN" w:bidi="ar-SA"/>
      </w:rPr>
      <w:t>110</w:t>
    </w:r>
    <w:r>
      <w:rPr>
        <w:rFonts w:hint="default" w:ascii="宋体" w:hAnsi="Times New Roman" w:eastAsia="宋体" w:cs="Times New Roman"/>
        <w:sz w:val="18"/>
        <w:szCs w:val="18"/>
        <w:lang w:val="en-US" w:eastAsia="zh-CN" w:bidi="ar-SA"/>
      </w:rPr>
      <w:fldChar w:fldCharType="end"/>
    </w:r>
    <w:r>
      <w:rPr>
        <w:rFonts w:hint="default" w:ascii="宋体" w:hAnsi="Times New Roman" w:eastAsia="宋体" w:cs="Times New Roman"/>
        <w:sz w:val="18"/>
        <w:szCs w:val="18"/>
        <w:lang w:val="zh-CN" w:eastAsia="zh-CN" w:bidi="ar-SA"/>
      </w:rPr>
      <w:t xml:space="preserve"> 页，共 </w:t>
    </w:r>
    <w:r>
      <w:rPr>
        <w:rFonts w:hint="default" w:ascii="宋体" w:hAnsi="Times New Roman" w:eastAsia="宋体" w:cs="Times New Roman"/>
        <w:sz w:val="18"/>
        <w:szCs w:val="18"/>
        <w:lang w:val="en-US" w:eastAsia="zh-CN" w:bidi="ar-SA"/>
      </w:rPr>
      <w:fldChar w:fldCharType="begin"/>
    </w:r>
    <w:r>
      <w:rPr>
        <w:rFonts w:hint="default" w:ascii="宋体" w:hAnsi="Times New Roman" w:eastAsia="宋体" w:cs="Times New Roman"/>
        <w:sz w:val="18"/>
        <w:szCs w:val="18"/>
        <w:lang w:val="en-US" w:eastAsia="zh-CN" w:bidi="ar-SA"/>
      </w:rPr>
      <w:instrText xml:space="preserve">NUMPAGES</w:instrText>
    </w:r>
    <w:r>
      <w:rPr>
        <w:rFonts w:hint="default" w:ascii="宋体" w:hAnsi="Times New Roman" w:eastAsia="宋体" w:cs="Times New Roman"/>
        <w:sz w:val="18"/>
        <w:szCs w:val="18"/>
        <w:lang w:val="en-US" w:eastAsia="zh-CN" w:bidi="ar-SA"/>
      </w:rPr>
      <w:fldChar w:fldCharType="separate"/>
    </w:r>
    <w:r>
      <w:rPr>
        <w:rFonts w:hint="default" w:ascii="宋体" w:hAnsi="Times New Roman" w:eastAsia="宋体" w:cs="Times New Roman"/>
        <w:sz w:val="18"/>
        <w:szCs w:val="18"/>
        <w:lang w:val="en-US" w:eastAsia="zh-CN" w:bidi="ar-SA"/>
      </w:rPr>
      <w:t>110</w:t>
    </w:r>
    <w:r>
      <w:rPr>
        <w:rFonts w:hint="default" w:ascii="宋体" w:hAnsi="Times New Roman" w:eastAsia="宋体" w:cs="Times New Roman"/>
        <w:sz w:val="18"/>
        <w:szCs w:val="18"/>
        <w:lang w:val="en-US" w:eastAsia="zh-CN" w:bidi="ar-SA"/>
      </w:rPr>
      <w:fldChar w:fldCharType="end"/>
    </w:r>
    <w:r>
      <w:rPr>
        <w:rFonts w:hint="default" w:ascii="宋体" w:hAnsi="Times New Roman" w:eastAsia="宋体" w:cs="Times New Roman"/>
        <w:b/>
        <w:sz w:val="24"/>
        <w:szCs w:val="24"/>
        <w:lang w:val="en-US" w:eastAsia="zh-CN" w:bidi="ar-SA"/>
      </w:rPr>
      <w:t xml:space="preserve"> </w:t>
    </w:r>
    <w:r>
      <w:rPr>
        <w:rFonts w:hint="default" w:ascii="宋体" w:hAnsi="Times New Roman" w:eastAsia="宋体" w:cs="Times New Roman"/>
        <w:sz w:val="18"/>
        <w:szCs w:val="18"/>
        <w:lang w:val="en-US" w:eastAsia="zh-CN" w:bidi="ar-SA"/>
      </w:rPr>
      <w:t>页</w:t>
    </w:r>
  </w:p>
  <w:p>
    <w:pPr>
      <w:widowControl w:val="0"/>
      <w:tabs>
        <w:tab w:val="center" w:pos="4153"/>
        <w:tab w:val="right" w:pos="8306"/>
      </w:tabs>
      <w:autoSpaceDE w:val="0"/>
      <w:autoSpaceDN w:val="0"/>
      <w:adjustRightInd w:val="0"/>
      <w:snapToGrid w:val="0"/>
      <w:spacing w:beforeLines="0" w:afterLines="0"/>
      <w:rPr>
        <w:rFonts w:hint="default" w:ascii="宋体" w:hAnsi="Times New Roman"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rFonts w:hint="eastAsia" w:ascii="宋体" w:hAnsi="等线" w:eastAsia="宋体" w:cs="Times New Roman"/>
        <w:kern w:val="2"/>
        <w:sz w:val="18"/>
        <w:szCs w:val="18"/>
        <w:lang w:val="en-US" w:eastAsia="zh-CN" w:bidi="ar-SA"/>
      </w:rPr>
      <w:t>第</w:t>
    </w:r>
    <w:r>
      <w:rPr>
        <w:rFonts w:ascii="宋体" w:hAnsi="等线" w:eastAsia="宋体" w:cs="Times New Roman"/>
        <w:kern w:val="2"/>
        <w:sz w:val="18"/>
        <w:szCs w:val="18"/>
        <w:lang w:val="en-US" w:eastAsia="zh-CN" w:bidi="ar-SA"/>
      </w:rPr>
      <w:fldChar w:fldCharType="begin"/>
    </w:r>
    <w:r>
      <w:rPr>
        <w:rFonts w:ascii="等线" w:hAnsi="等线" w:eastAsia="等线" w:cs="Times New Roman"/>
        <w:kern w:val="2"/>
        <w:sz w:val="21"/>
        <w:szCs w:val="22"/>
        <w:lang w:val="en-US" w:eastAsia="zh-CN" w:bidi="ar-SA"/>
      </w:rPr>
      <w:instrText xml:space="preserve"> PAGE </w:instrText>
    </w:r>
    <w:r>
      <w:rPr>
        <w:rFonts w:ascii="宋体" w:hAnsi="等线" w:eastAsia="宋体" w:cs="Times New Roman"/>
        <w:kern w:val="2"/>
        <w:sz w:val="18"/>
        <w:szCs w:val="18"/>
        <w:lang w:val="en-US" w:eastAsia="zh-CN" w:bidi="ar-SA"/>
      </w:rPr>
      <w:fldChar w:fldCharType="separate"/>
    </w:r>
    <w:r>
      <w:rPr>
        <w:rFonts w:ascii="等线" w:hAnsi="等线" w:eastAsia="等线" w:cs="Times New Roman"/>
        <w:kern w:val="2"/>
        <w:sz w:val="21"/>
        <w:szCs w:val="22"/>
        <w:lang w:val="en-US" w:eastAsia="zh-CN" w:bidi="ar-SA"/>
      </w:rPr>
      <w:t>35</w:t>
    </w:r>
    <w:r>
      <w:rPr>
        <w:rFonts w:ascii="宋体" w:hAnsi="等线" w:eastAsia="宋体" w:cs="Times New Roman"/>
        <w:kern w:val="2"/>
        <w:sz w:val="18"/>
        <w:szCs w:val="18"/>
        <w:lang w:val="en-US" w:eastAsia="zh-CN" w:bidi="ar-SA"/>
      </w:rPr>
      <w:fldChar w:fldCharType="end"/>
    </w:r>
    <w:r>
      <w:rPr>
        <w:rFonts w:hint="eastAsia" w:ascii="等线" w:hAnsi="等线" w:eastAsia="等线" w:cs="Times New Roman"/>
        <w:kern w:val="2"/>
        <w:sz w:val="21"/>
        <w:szCs w:val="22"/>
        <w:lang w:val="en-US" w:eastAsia="zh-CN" w:bidi="ar-SA"/>
      </w:rPr>
      <w:t>页，共</w:t>
    </w:r>
    <w:r>
      <w:rPr>
        <w:rFonts w:ascii="宋体" w:hAnsi="等线" w:eastAsia="宋体" w:cs="Times New Roman"/>
        <w:kern w:val="2"/>
        <w:sz w:val="18"/>
        <w:szCs w:val="18"/>
        <w:lang w:val="en-US" w:eastAsia="zh-CN" w:bidi="ar-SA"/>
      </w:rPr>
      <w:fldChar w:fldCharType="begin"/>
    </w:r>
    <w:r>
      <w:rPr>
        <w:rFonts w:ascii="等线" w:hAnsi="等线" w:eastAsia="等线" w:cs="Times New Roman"/>
        <w:kern w:val="2"/>
        <w:sz w:val="21"/>
        <w:szCs w:val="22"/>
        <w:lang w:val="en-US" w:eastAsia="zh-CN" w:bidi="ar-SA"/>
      </w:rPr>
      <w:instrText xml:space="preserve"> NUMPAGES </w:instrText>
    </w:r>
    <w:r>
      <w:rPr>
        <w:rFonts w:ascii="宋体" w:hAnsi="等线" w:eastAsia="宋体" w:cs="Times New Roman"/>
        <w:kern w:val="2"/>
        <w:sz w:val="18"/>
        <w:szCs w:val="18"/>
        <w:lang w:val="en-US" w:eastAsia="zh-CN" w:bidi="ar-SA"/>
      </w:rPr>
      <w:fldChar w:fldCharType="separate"/>
    </w:r>
    <w:r>
      <w:rPr>
        <w:rFonts w:ascii="等线" w:hAnsi="等线" w:eastAsia="等线" w:cs="Times New Roman"/>
        <w:kern w:val="2"/>
        <w:sz w:val="21"/>
        <w:szCs w:val="22"/>
        <w:lang w:val="en-US" w:eastAsia="zh-CN" w:bidi="ar-SA"/>
      </w:rPr>
      <w:t>115</w:t>
    </w:r>
    <w:r>
      <w:rPr>
        <w:rFonts w:ascii="宋体" w:hAnsi="等线" w:eastAsia="宋体" w:cs="Times New Roman"/>
        <w:kern w:val="2"/>
        <w:sz w:val="18"/>
        <w:szCs w:val="18"/>
        <w:lang w:val="en-US" w:eastAsia="zh-CN" w:bidi="ar-SA"/>
      </w:rPr>
      <w:fldChar w:fldCharType="end"/>
    </w:r>
    <w:r>
      <w:rPr>
        <w:rFonts w:hint="eastAsia" w:ascii="等线" w:hAnsi="等线" w:eastAsia="等线" w:cs="Times New Roman"/>
        <w:kern w:val="2"/>
        <w:sz w:val="21"/>
        <w:szCs w:val="22"/>
        <w:lang w:val="en-US" w:eastAsia="zh-CN" w:bidi="ar-S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rFonts w:hint="eastAsia" w:ascii="宋体" w:hAnsi="等线" w:eastAsia="宋体" w:cs="Times New Roman"/>
        <w:kern w:val="2"/>
        <w:sz w:val="18"/>
        <w:szCs w:val="18"/>
        <w:lang w:val="en-US" w:eastAsia="zh-CN" w:bidi="ar-SA"/>
      </w:rPr>
      <w:t>第</w:t>
    </w:r>
    <w:r>
      <w:rPr>
        <w:rFonts w:ascii="宋体" w:hAnsi="等线" w:eastAsia="宋体" w:cs="Times New Roman"/>
        <w:bCs/>
        <w:kern w:val="2"/>
        <w:sz w:val="18"/>
        <w:szCs w:val="18"/>
        <w:lang w:val="en-US" w:eastAsia="zh-CN" w:bidi="ar-SA"/>
      </w:rPr>
      <w:fldChar w:fldCharType="begin"/>
    </w:r>
    <w:r>
      <w:rPr>
        <w:rFonts w:ascii="宋体" w:hAnsi="等线" w:eastAsia="宋体" w:cs="Times New Roman"/>
        <w:bCs/>
        <w:kern w:val="2"/>
        <w:sz w:val="18"/>
        <w:szCs w:val="18"/>
        <w:lang w:val="en-US" w:eastAsia="zh-CN" w:bidi="ar-SA"/>
      </w:rPr>
      <w:instrText xml:space="preserve">PAGE</w:instrText>
    </w:r>
    <w:r>
      <w:rPr>
        <w:rFonts w:ascii="宋体" w:hAnsi="等线" w:eastAsia="宋体" w:cs="Times New Roman"/>
        <w:bCs/>
        <w:kern w:val="2"/>
        <w:sz w:val="18"/>
        <w:szCs w:val="18"/>
        <w:lang w:val="en-US" w:eastAsia="zh-CN" w:bidi="ar-SA"/>
      </w:rPr>
      <w:fldChar w:fldCharType="separate"/>
    </w:r>
    <w:r>
      <w:rPr>
        <w:rFonts w:ascii="宋体" w:hAnsi="等线" w:eastAsia="宋体" w:cs="Times New Roman"/>
        <w:bCs/>
        <w:kern w:val="2"/>
        <w:sz w:val="18"/>
        <w:szCs w:val="18"/>
        <w:lang w:val="en-US" w:eastAsia="zh-CN" w:bidi="ar-SA"/>
      </w:rPr>
      <w:t>49</w:t>
    </w:r>
    <w:r>
      <w:rPr>
        <w:rFonts w:ascii="宋体" w:hAnsi="等线" w:eastAsia="宋体" w:cs="Times New Roman"/>
        <w:bCs/>
        <w:kern w:val="2"/>
        <w:sz w:val="18"/>
        <w:szCs w:val="18"/>
        <w:lang w:val="en-US" w:eastAsia="zh-CN" w:bidi="ar-SA"/>
      </w:rPr>
      <w:fldChar w:fldCharType="end"/>
    </w:r>
    <w:r>
      <w:rPr>
        <w:rFonts w:hint="eastAsia" w:ascii="宋体" w:hAnsi="等线" w:eastAsia="宋体" w:cs="Times New Roman"/>
        <w:kern w:val="2"/>
        <w:sz w:val="18"/>
        <w:szCs w:val="18"/>
        <w:lang w:val="zh-CN" w:eastAsia="zh-CN" w:bidi="ar-SA"/>
      </w:rPr>
      <w:t>页 共</w:t>
    </w:r>
    <w:r>
      <w:rPr>
        <w:rFonts w:ascii="宋体" w:hAnsi="等线" w:eastAsia="宋体" w:cs="Times New Roman"/>
        <w:bCs/>
        <w:kern w:val="2"/>
        <w:sz w:val="18"/>
        <w:szCs w:val="18"/>
        <w:lang w:val="en-US" w:eastAsia="zh-CN" w:bidi="ar-SA"/>
      </w:rPr>
      <w:fldChar w:fldCharType="begin"/>
    </w:r>
    <w:r>
      <w:rPr>
        <w:rFonts w:ascii="宋体" w:hAnsi="等线" w:eastAsia="宋体" w:cs="Times New Roman"/>
        <w:bCs/>
        <w:kern w:val="2"/>
        <w:sz w:val="18"/>
        <w:szCs w:val="18"/>
        <w:lang w:val="en-US" w:eastAsia="zh-CN" w:bidi="ar-SA"/>
      </w:rPr>
      <w:instrText xml:space="preserve">NUMPAGES</w:instrText>
    </w:r>
    <w:r>
      <w:rPr>
        <w:rFonts w:ascii="宋体" w:hAnsi="等线" w:eastAsia="宋体" w:cs="Times New Roman"/>
        <w:bCs/>
        <w:kern w:val="2"/>
        <w:sz w:val="18"/>
        <w:szCs w:val="18"/>
        <w:lang w:val="en-US" w:eastAsia="zh-CN" w:bidi="ar-SA"/>
      </w:rPr>
      <w:fldChar w:fldCharType="separate"/>
    </w:r>
    <w:r>
      <w:rPr>
        <w:rFonts w:ascii="宋体" w:hAnsi="等线" w:eastAsia="宋体" w:cs="Times New Roman"/>
        <w:bCs/>
        <w:kern w:val="2"/>
        <w:sz w:val="18"/>
        <w:szCs w:val="18"/>
        <w:lang w:val="en-US" w:eastAsia="zh-CN" w:bidi="ar-SA"/>
      </w:rPr>
      <w:t>49</w:t>
    </w:r>
    <w:r>
      <w:rPr>
        <w:rFonts w:ascii="宋体" w:hAnsi="等线" w:eastAsia="宋体" w:cs="Times New Roman"/>
        <w:bCs/>
        <w:kern w:val="2"/>
        <w:sz w:val="18"/>
        <w:szCs w:val="18"/>
        <w:lang w:val="en-US" w:eastAsia="zh-CN" w:bidi="ar-SA"/>
      </w:rPr>
      <w:fldChar w:fldCharType="end"/>
    </w:r>
    <w:r>
      <w:rPr>
        <w:rFonts w:hint="eastAsia" w:ascii="宋体" w:hAnsi="等线" w:eastAsia="宋体" w:cs="Times New Roman"/>
        <w:bCs/>
        <w:kern w:val="2"/>
        <w:sz w:val="18"/>
        <w:szCs w:val="18"/>
        <w:lang w:val="en-US" w:eastAsia="zh-CN" w:bidi="ar-S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等线" w:hAnsi="等线" w:eastAsia="等线" w:cs="Times New Roman"/>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E2E0F6"/>
    <w:multiLevelType w:val="singleLevel"/>
    <w:tmpl w:val="99E2E0F6"/>
    <w:lvl w:ilvl="0" w:tentative="0">
      <w:start w:val="3"/>
      <w:numFmt w:val="decimal"/>
      <w:suff w:val="nothing"/>
      <w:lvlText w:val="%1、"/>
      <w:lvlJc w:val="left"/>
    </w:lvl>
  </w:abstractNum>
  <w:abstractNum w:abstractNumId="1">
    <w:nsid w:val="EEFEB810"/>
    <w:multiLevelType w:val="multilevel"/>
    <w:tmpl w:val="EEFEB810"/>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199E657"/>
    <w:multiLevelType w:val="multilevel"/>
    <w:tmpl w:val="1199E657"/>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669288AD"/>
    <w:multiLevelType w:val="multilevel"/>
    <w:tmpl w:val="669288AD"/>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F6D53"/>
    <w:rsid w:val="01244937"/>
    <w:rsid w:val="01716DCB"/>
    <w:rsid w:val="01CC0CC7"/>
    <w:rsid w:val="01F47ED3"/>
    <w:rsid w:val="02B26E88"/>
    <w:rsid w:val="04204C4A"/>
    <w:rsid w:val="04485A3C"/>
    <w:rsid w:val="052027CE"/>
    <w:rsid w:val="052F2A11"/>
    <w:rsid w:val="054A633B"/>
    <w:rsid w:val="05DB04A3"/>
    <w:rsid w:val="05F13F79"/>
    <w:rsid w:val="072B7208"/>
    <w:rsid w:val="074958E1"/>
    <w:rsid w:val="07ED2710"/>
    <w:rsid w:val="07EF46DA"/>
    <w:rsid w:val="08135BF2"/>
    <w:rsid w:val="08283748"/>
    <w:rsid w:val="084A5DB4"/>
    <w:rsid w:val="08D277C2"/>
    <w:rsid w:val="09AF4121"/>
    <w:rsid w:val="09B47989"/>
    <w:rsid w:val="0ACA6D12"/>
    <w:rsid w:val="0AD96646"/>
    <w:rsid w:val="0AF315CC"/>
    <w:rsid w:val="0AFA13CC"/>
    <w:rsid w:val="0B6815BF"/>
    <w:rsid w:val="0B792C38"/>
    <w:rsid w:val="0B9B339A"/>
    <w:rsid w:val="0C7D19DA"/>
    <w:rsid w:val="0D19047D"/>
    <w:rsid w:val="0E7E6F6F"/>
    <w:rsid w:val="0EB45D35"/>
    <w:rsid w:val="0EE04D7C"/>
    <w:rsid w:val="0F31382A"/>
    <w:rsid w:val="10141182"/>
    <w:rsid w:val="101E5B5C"/>
    <w:rsid w:val="103E735C"/>
    <w:rsid w:val="10CD1330"/>
    <w:rsid w:val="10D41128"/>
    <w:rsid w:val="11FF19BD"/>
    <w:rsid w:val="12B66520"/>
    <w:rsid w:val="13CA1B57"/>
    <w:rsid w:val="13F35552"/>
    <w:rsid w:val="14EA0703"/>
    <w:rsid w:val="15181F28"/>
    <w:rsid w:val="1546259C"/>
    <w:rsid w:val="157331F5"/>
    <w:rsid w:val="159D7523"/>
    <w:rsid w:val="163D20FF"/>
    <w:rsid w:val="164D1579"/>
    <w:rsid w:val="165B48BF"/>
    <w:rsid w:val="167F131F"/>
    <w:rsid w:val="169F1F24"/>
    <w:rsid w:val="17451C21"/>
    <w:rsid w:val="17EF431F"/>
    <w:rsid w:val="182201B4"/>
    <w:rsid w:val="186218F5"/>
    <w:rsid w:val="19364274"/>
    <w:rsid w:val="1A383A49"/>
    <w:rsid w:val="1A613215"/>
    <w:rsid w:val="1AF51BB0"/>
    <w:rsid w:val="1BF142A3"/>
    <w:rsid w:val="1C5337D7"/>
    <w:rsid w:val="1C5634BD"/>
    <w:rsid w:val="1C7611B1"/>
    <w:rsid w:val="1D1F5503"/>
    <w:rsid w:val="1D3946BA"/>
    <w:rsid w:val="1D8F776A"/>
    <w:rsid w:val="1FE02E2E"/>
    <w:rsid w:val="203B62B7"/>
    <w:rsid w:val="203B7C18"/>
    <w:rsid w:val="20BF1B10"/>
    <w:rsid w:val="21894E00"/>
    <w:rsid w:val="21D06ED2"/>
    <w:rsid w:val="221943D6"/>
    <w:rsid w:val="223E3E3C"/>
    <w:rsid w:val="226D0FF1"/>
    <w:rsid w:val="22A5210D"/>
    <w:rsid w:val="22C407E5"/>
    <w:rsid w:val="23203E25"/>
    <w:rsid w:val="234F08C0"/>
    <w:rsid w:val="23813BD0"/>
    <w:rsid w:val="24771887"/>
    <w:rsid w:val="25647C5C"/>
    <w:rsid w:val="260B2287"/>
    <w:rsid w:val="265C22FB"/>
    <w:rsid w:val="2666782D"/>
    <w:rsid w:val="26ED5E31"/>
    <w:rsid w:val="27075144"/>
    <w:rsid w:val="280C22E7"/>
    <w:rsid w:val="285F2D5E"/>
    <w:rsid w:val="28D07583"/>
    <w:rsid w:val="28FF7DAE"/>
    <w:rsid w:val="292F651F"/>
    <w:rsid w:val="29747C24"/>
    <w:rsid w:val="2A0B250F"/>
    <w:rsid w:val="2A3D0E7D"/>
    <w:rsid w:val="2B2C517A"/>
    <w:rsid w:val="2C7F091E"/>
    <w:rsid w:val="2D084923"/>
    <w:rsid w:val="2D12214D"/>
    <w:rsid w:val="2DB248A0"/>
    <w:rsid w:val="2DC7118A"/>
    <w:rsid w:val="2E604C76"/>
    <w:rsid w:val="2EBE7776"/>
    <w:rsid w:val="2ED61D9E"/>
    <w:rsid w:val="2EF064BE"/>
    <w:rsid w:val="2F0D15D6"/>
    <w:rsid w:val="30C16364"/>
    <w:rsid w:val="31BA266A"/>
    <w:rsid w:val="31FB3AF8"/>
    <w:rsid w:val="327F0285"/>
    <w:rsid w:val="3337290D"/>
    <w:rsid w:val="334533B8"/>
    <w:rsid w:val="33955886"/>
    <w:rsid w:val="34441786"/>
    <w:rsid w:val="35343375"/>
    <w:rsid w:val="355D686C"/>
    <w:rsid w:val="35994020"/>
    <w:rsid w:val="35B00755"/>
    <w:rsid w:val="35C44C2A"/>
    <w:rsid w:val="35FC1BEC"/>
    <w:rsid w:val="36176A26"/>
    <w:rsid w:val="380B7797"/>
    <w:rsid w:val="38C82ED6"/>
    <w:rsid w:val="3957180B"/>
    <w:rsid w:val="39CA4CB2"/>
    <w:rsid w:val="3A443B62"/>
    <w:rsid w:val="3ADE5D64"/>
    <w:rsid w:val="3B8F1A46"/>
    <w:rsid w:val="3BB8680C"/>
    <w:rsid w:val="3C5B7DA1"/>
    <w:rsid w:val="3D3B749E"/>
    <w:rsid w:val="3DE9514C"/>
    <w:rsid w:val="3ED100BA"/>
    <w:rsid w:val="3FA5377A"/>
    <w:rsid w:val="406754CF"/>
    <w:rsid w:val="406A6A15"/>
    <w:rsid w:val="40F8304B"/>
    <w:rsid w:val="42696F47"/>
    <w:rsid w:val="43632D4D"/>
    <w:rsid w:val="44547C6D"/>
    <w:rsid w:val="44835C44"/>
    <w:rsid w:val="44B36900"/>
    <w:rsid w:val="452B63B8"/>
    <w:rsid w:val="4609638B"/>
    <w:rsid w:val="469F5137"/>
    <w:rsid w:val="47596E9F"/>
    <w:rsid w:val="476D1EFD"/>
    <w:rsid w:val="48CB5C1D"/>
    <w:rsid w:val="48E704DA"/>
    <w:rsid w:val="49172B6D"/>
    <w:rsid w:val="4A244932"/>
    <w:rsid w:val="4A2D6BAB"/>
    <w:rsid w:val="4AA93C99"/>
    <w:rsid w:val="4AD62F17"/>
    <w:rsid w:val="4AFA2693"/>
    <w:rsid w:val="4B38569D"/>
    <w:rsid w:val="4B5945B2"/>
    <w:rsid w:val="4C3C28EB"/>
    <w:rsid w:val="4CF84A64"/>
    <w:rsid w:val="4D0D6132"/>
    <w:rsid w:val="4DCA6493"/>
    <w:rsid w:val="4E1079A3"/>
    <w:rsid w:val="4EC310A1"/>
    <w:rsid w:val="4FEC5804"/>
    <w:rsid w:val="510C54C2"/>
    <w:rsid w:val="51D3240E"/>
    <w:rsid w:val="52636E23"/>
    <w:rsid w:val="529E039B"/>
    <w:rsid w:val="52C41FFE"/>
    <w:rsid w:val="53234805"/>
    <w:rsid w:val="53547C35"/>
    <w:rsid w:val="536D5F95"/>
    <w:rsid w:val="54C87412"/>
    <w:rsid w:val="54ED50CA"/>
    <w:rsid w:val="550C37A2"/>
    <w:rsid w:val="55241026"/>
    <w:rsid w:val="56075D18"/>
    <w:rsid w:val="561346BC"/>
    <w:rsid w:val="569357FD"/>
    <w:rsid w:val="56E44CE8"/>
    <w:rsid w:val="572A59C9"/>
    <w:rsid w:val="57DE2D2C"/>
    <w:rsid w:val="584A0389"/>
    <w:rsid w:val="59423504"/>
    <w:rsid w:val="59601568"/>
    <w:rsid w:val="5984145C"/>
    <w:rsid w:val="5A812648"/>
    <w:rsid w:val="5B9067AF"/>
    <w:rsid w:val="5B967E42"/>
    <w:rsid w:val="5BDB5C7C"/>
    <w:rsid w:val="5BEE3D39"/>
    <w:rsid w:val="5C8956D8"/>
    <w:rsid w:val="5CFB7A99"/>
    <w:rsid w:val="5D121B72"/>
    <w:rsid w:val="5E6737F7"/>
    <w:rsid w:val="5E793037"/>
    <w:rsid w:val="5E87459A"/>
    <w:rsid w:val="5F2C54A2"/>
    <w:rsid w:val="5F2D4A41"/>
    <w:rsid w:val="604A33D1"/>
    <w:rsid w:val="614E2283"/>
    <w:rsid w:val="616C473C"/>
    <w:rsid w:val="62AB4752"/>
    <w:rsid w:val="63727480"/>
    <w:rsid w:val="639C2195"/>
    <w:rsid w:val="63FC2C34"/>
    <w:rsid w:val="641D655D"/>
    <w:rsid w:val="643B2AF7"/>
    <w:rsid w:val="65BD4645"/>
    <w:rsid w:val="66A55805"/>
    <w:rsid w:val="67F012C2"/>
    <w:rsid w:val="68C1269E"/>
    <w:rsid w:val="69AF24F6"/>
    <w:rsid w:val="69DB0C82"/>
    <w:rsid w:val="6AF6662F"/>
    <w:rsid w:val="6BF6265F"/>
    <w:rsid w:val="6C5233A1"/>
    <w:rsid w:val="6CBF1C8E"/>
    <w:rsid w:val="6D9739CD"/>
    <w:rsid w:val="6DC02F24"/>
    <w:rsid w:val="6E554C00"/>
    <w:rsid w:val="6E880F3F"/>
    <w:rsid w:val="6EC145AA"/>
    <w:rsid w:val="6F0230C8"/>
    <w:rsid w:val="6F4B2CC1"/>
    <w:rsid w:val="6FF8039F"/>
    <w:rsid w:val="702B137A"/>
    <w:rsid w:val="70A034EB"/>
    <w:rsid w:val="715275D8"/>
    <w:rsid w:val="72127AC6"/>
    <w:rsid w:val="72227D09"/>
    <w:rsid w:val="723D0FE7"/>
    <w:rsid w:val="72BB1F0C"/>
    <w:rsid w:val="733C304D"/>
    <w:rsid w:val="73487C44"/>
    <w:rsid w:val="73F05BE5"/>
    <w:rsid w:val="74027162"/>
    <w:rsid w:val="74B454CD"/>
    <w:rsid w:val="74EB5B7C"/>
    <w:rsid w:val="75023E22"/>
    <w:rsid w:val="751678CE"/>
    <w:rsid w:val="75DA18A2"/>
    <w:rsid w:val="76116A13"/>
    <w:rsid w:val="76F11F48"/>
    <w:rsid w:val="76FC6712"/>
    <w:rsid w:val="77297D8C"/>
    <w:rsid w:val="779846E4"/>
    <w:rsid w:val="779D7E32"/>
    <w:rsid w:val="77A613DD"/>
    <w:rsid w:val="78C80469"/>
    <w:rsid w:val="7973709D"/>
    <w:rsid w:val="7984574E"/>
    <w:rsid w:val="7AAA11E4"/>
    <w:rsid w:val="7B971768"/>
    <w:rsid w:val="7B9F686F"/>
    <w:rsid w:val="7BB971A8"/>
    <w:rsid w:val="7C1A5EF5"/>
    <w:rsid w:val="7C642902"/>
    <w:rsid w:val="7CDB439D"/>
    <w:rsid w:val="7E174DE1"/>
    <w:rsid w:val="7E5E47BF"/>
    <w:rsid w:val="7EF50554"/>
    <w:rsid w:val="7F314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7">
    <w:name w:val="Default Paragraph Font"/>
    <w:unhideWhenUsed/>
    <w:qFormat/>
    <w:uiPriority w:val="1"/>
  </w:style>
  <w:style w:type="table" w:default="1" w:styleId="44">
    <w:name w:val="Normal Table"/>
    <w:unhideWhenUsed/>
    <w:qFormat/>
    <w:uiPriority w:val="99"/>
    <w:tblPr>
      <w:tblLayout w:type="fixed"/>
      <w:tblCellMar>
        <w:top w:w="0" w:type="dxa"/>
        <w:left w:w="108" w:type="dxa"/>
        <w:bottom w:w="0" w:type="dxa"/>
        <w:right w:w="108" w:type="dxa"/>
      </w:tblCellMar>
    </w:tblPr>
  </w:style>
  <w:style w:type="paragraph" w:customStyle="1" w:styleId="8">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annotation subject"/>
    <w:basedOn w:val="13"/>
    <w:next w:val="13"/>
    <w:link w:val="111"/>
    <w:qFormat/>
    <w:uiPriority w:val="99"/>
    <w:pPr>
      <w:autoSpaceDE w:val="0"/>
      <w:autoSpaceDN w:val="0"/>
      <w:adjustRightInd w:val="0"/>
    </w:pPr>
    <w:rPr>
      <w:rFonts w:ascii="宋体" w:hAnsi="Times New Roman" w:eastAsia="宋体" w:cs="Times New Roman"/>
      <w:b/>
      <w:bCs/>
      <w:kern w:val="0"/>
      <w:sz w:val="24"/>
      <w:szCs w:val="24"/>
    </w:rPr>
  </w:style>
  <w:style w:type="paragraph" w:styleId="13">
    <w:name w:val="annotation text"/>
    <w:basedOn w:val="1"/>
    <w:link w:val="164"/>
    <w:unhideWhenUsed/>
    <w:qFormat/>
    <w:uiPriority w:val="99"/>
    <w:pPr>
      <w:jc w:val="left"/>
    </w:pPr>
  </w:style>
  <w:style w:type="paragraph" w:styleId="14">
    <w:name w:val="Body Text First Indent"/>
    <w:basedOn w:val="15"/>
    <w:link w:val="202"/>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15">
    <w:name w:val="Body Text"/>
    <w:basedOn w:val="1"/>
    <w:next w:val="14"/>
    <w:link w:val="119"/>
    <w:qFormat/>
    <w:uiPriority w:val="99"/>
    <w:pPr>
      <w:autoSpaceDE w:val="0"/>
      <w:autoSpaceDN w:val="0"/>
      <w:adjustRightInd w:val="0"/>
      <w:ind w:right="-26"/>
      <w:jc w:val="center"/>
    </w:pPr>
    <w:rPr>
      <w:rFonts w:ascii="宋体" w:eastAsia="宋体"/>
      <w:b/>
      <w:bCs/>
      <w:sz w:val="84"/>
      <w:szCs w:val="84"/>
      <w:lang w:val="zh-CN"/>
    </w:rPr>
  </w:style>
  <w:style w:type="paragraph" w:styleId="16">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7">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8">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0">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Body Text Indent"/>
    <w:basedOn w:val="1"/>
    <w:link w:val="93"/>
    <w:qFormat/>
    <w:uiPriority w:val="0"/>
    <w:pPr>
      <w:ind w:left="567" w:leftChars="270"/>
    </w:pPr>
    <w:rPr>
      <w:rFonts w:ascii="Times New Roman" w:hAnsi="Times New Roman" w:eastAsia="宋体" w:cs="Times New Roman"/>
      <w:szCs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1"/>
    <w:qFormat/>
    <w:uiPriority w:val="0"/>
    <w:rPr>
      <w:rFonts w:ascii="宋体" w:hAnsi="Courier New" w:eastAsia="宋体"/>
    </w:rPr>
  </w:style>
  <w:style w:type="paragraph" w:styleId="24">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6">
    <w:name w:val="Balloon Text"/>
    <w:basedOn w:val="1"/>
    <w:link w:val="75"/>
    <w:qFormat/>
    <w:uiPriority w:val="0"/>
    <w:rPr>
      <w:rFonts w:ascii="Times New Roman" w:hAnsi="Times New Roman" w:eastAsia="宋体" w:cs="Times New Roman"/>
      <w:sz w:val="18"/>
      <w:szCs w:val="18"/>
    </w:rPr>
  </w:style>
  <w:style w:type="paragraph" w:styleId="27">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unhideWhenUsed/>
    <w:qFormat/>
    <w:uiPriority w:val="39"/>
    <w:pPr>
      <w:ind w:left="420" w:leftChars="200"/>
    </w:pPr>
  </w:style>
  <w:style w:type="paragraph" w:styleId="33">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character" w:styleId="38">
    <w:name w:val="Strong"/>
    <w:qFormat/>
    <w:uiPriority w:val="0"/>
    <w:rPr>
      <w:b/>
      <w:bCs/>
    </w:rPr>
  </w:style>
  <w:style w:type="character" w:styleId="39">
    <w:name w:val="page number"/>
    <w:qFormat/>
    <w:uiPriority w:val="0"/>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basedOn w:val="37"/>
    <w:qFormat/>
    <w:uiPriority w:val="99"/>
    <w:rPr>
      <w:sz w:val="21"/>
      <w:szCs w:val="21"/>
    </w:rPr>
  </w:style>
  <w:style w:type="table" w:styleId="45">
    <w:name w:val="Table Grid"/>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6">
    <w:name w:val="文档正文"/>
    <w:basedOn w:val="1"/>
    <w:qFormat/>
    <w:uiPriority w:val="0"/>
    <w:pPr>
      <w:spacing w:line="360" w:lineRule="auto"/>
    </w:pPr>
    <w:rPr>
      <w:rFonts w:ascii="宋体" w:cs="Arial"/>
      <w:bCs/>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37"/>
    <w:qFormat/>
    <w:uiPriority w:val="0"/>
    <w:rPr>
      <w:b/>
      <w:bCs/>
      <w:kern w:val="44"/>
      <w:sz w:val="44"/>
      <w:szCs w:val="44"/>
    </w:rPr>
  </w:style>
  <w:style w:type="character" w:customStyle="1" w:styleId="49">
    <w:name w:val="标题 2 Char"/>
    <w:basedOn w:val="37"/>
    <w:link w:val="3"/>
    <w:qFormat/>
    <w:uiPriority w:val="0"/>
    <w:rPr>
      <w:rFonts w:ascii="宋体" w:hAnsi="Calibri" w:eastAsia="宋体" w:cs="Times New Roman"/>
      <w:kern w:val="0"/>
      <w:sz w:val="24"/>
      <w:szCs w:val="24"/>
    </w:rPr>
  </w:style>
  <w:style w:type="character" w:customStyle="1" w:styleId="50">
    <w:name w:val="标题 3 字符"/>
    <w:basedOn w:val="37"/>
    <w:qFormat/>
    <w:uiPriority w:val="0"/>
    <w:rPr>
      <w:b/>
      <w:bCs/>
      <w:sz w:val="32"/>
      <w:szCs w:val="32"/>
    </w:rPr>
  </w:style>
  <w:style w:type="character" w:customStyle="1" w:styleId="51">
    <w:name w:val="标题 4 Char1"/>
    <w:basedOn w:val="37"/>
    <w:link w:val="5"/>
    <w:qFormat/>
    <w:uiPriority w:val="9"/>
    <w:rPr>
      <w:rFonts w:ascii="Arial" w:hAnsi="Arial" w:eastAsia="黑体" w:cs="Times New Roman"/>
      <w:b/>
      <w:bCs/>
      <w:kern w:val="0"/>
      <w:sz w:val="28"/>
      <w:szCs w:val="28"/>
    </w:rPr>
  </w:style>
  <w:style w:type="character" w:customStyle="1" w:styleId="52">
    <w:name w:val="标题 5 字符"/>
    <w:basedOn w:val="37"/>
    <w:qFormat/>
    <w:uiPriority w:val="9"/>
    <w:rPr>
      <w:b/>
      <w:bCs/>
      <w:sz w:val="28"/>
      <w:szCs w:val="28"/>
    </w:rPr>
  </w:style>
  <w:style w:type="character" w:customStyle="1" w:styleId="53">
    <w:name w:val="标题 6 字符"/>
    <w:basedOn w:val="37"/>
    <w:qFormat/>
    <w:uiPriority w:val="0"/>
    <w:rPr>
      <w:rFonts w:asciiTheme="majorHAnsi" w:hAnsiTheme="majorHAnsi" w:eastAsiaTheme="majorEastAsia" w:cstheme="majorBidi"/>
      <w:b/>
      <w:bCs/>
      <w:sz w:val="24"/>
      <w:szCs w:val="24"/>
    </w:rPr>
  </w:style>
  <w:style w:type="character" w:customStyle="1" w:styleId="54">
    <w:name w:val="标题 7 Char"/>
    <w:basedOn w:val="37"/>
    <w:link w:val="9"/>
    <w:qFormat/>
    <w:uiPriority w:val="9"/>
    <w:rPr>
      <w:rFonts w:ascii="Times New Roman" w:hAnsi="Calibri" w:eastAsia="黑体" w:cs="Times New Roman"/>
      <w:b/>
      <w:bCs/>
      <w:kern w:val="0"/>
      <w:sz w:val="28"/>
      <w:szCs w:val="24"/>
    </w:rPr>
  </w:style>
  <w:style w:type="character" w:customStyle="1" w:styleId="55">
    <w:name w:val="标题 8 Char"/>
    <w:basedOn w:val="37"/>
    <w:link w:val="10"/>
    <w:qFormat/>
    <w:uiPriority w:val="9"/>
    <w:rPr>
      <w:rFonts w:ascii="Times New Roman" w:hAnsi="Calibri" w:eastAsia="黑体" w:cs="Times New Roman"/>
      <w:b/>
      <w:kern w:val="0"/>
      <w:sz w:val="28"/>
      <w:szCs w:val="24"/>
    </w:rPr>
  </w:style>
  <w:style w:type="character" w:customStyle="1" w:styleId="56">
    <w:name w:val="标题 9 Char"/>
    <w:basedOn w:val="37"/>
    <w:link w:val="11"/>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6"/>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6"/>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7"/>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7"/>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4"/>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4"/>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21"/>
    <w:qFormat/>
    <w:uiPriority w:val="0"/>
    <w:rPr>
      <w:rFonts w:ascii="Times New Roman" w:hAnsi="Times New Roman" w:eastAsia="宋体" w:cs="Times New Roman"/>
      <w:szCs w:val="20"/>
    </w:rPr>
  </w:style>
  <w:style w:type="character" w:customStyle="1" w:styleId="94">
    <w:name w:val="普通(网站) Char1"/>
    <w:link w:val="35"/>
    <w:qFormat/>
    <w:locked/>
    <w:uiPriority w:val="0"/>
    <w:rPr>
      <w:rFonts w:ascii="宋体" w:hAnsi="宋体"/>
      <w:sz w:val="15"/>
      <w:szCs w:val="15"/>
    </w:rPr>
  </w:style>
  <w:style w:type="character" w:customStyle="1" w:styleId="95">
    <w:name w:val="模板正文 Char"/>
    <w:link w:val="8"/>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3"/>
    <w:qFormat/>
    <w:uiPriority w:val="0"/>
    <w:rPr>
      <w:rFonts w:ascii="宋体" w:hAnsi="Courier New" w:eastAsia="宋体"/>
    </w:rPr>
  </w:style>
  <w:style w:type="character" w:customStyle="1" w:styleId="102">
    <w:name w:val="正文文本缩进 2 Char"/>
    <w:link w:val="25"/>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4"/>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12"/>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8"/>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15"/>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8"/>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customStyle="1"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6"/>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7"/>
    <w:qFormat/>
    <w:uiPriority w:val="9"/>
    <w:rPr>
      <w:rFonts w:ascii="Times New Roman" w:hAnsi="Calibri" w:eastAsia="黑体" w:cs="Times New Roman"/>
      <w:b/>
      <w:bCs/>
      <w:kern w:val="0"/>
      <w:sz w:val="28"/>
      <w:szCs w:val="24"/>
    </w:rPr>
  </w:style>
  <w:style w:type="character" w:customStyle="1" w:styleId="144">
    <w:name w:val="正文文本 2 Char"/>
    <w:link w:val="33"/>
    <w:qFormat/>
    <w:uiPriority w:val="0"/>
    <w:rPr>
      <w:rFonts w:ascii="Arial" w:hAnsi="Arial" w:eastAsia="宋体" w:cs="Times New Roman"/>
      <w:color w:val="000000"/>
      <w:szCs w:val="24"/>
    </w:rPr>
  </w:style>
  <w:style w:type="character" w:customStyle="1" w:styleId="145">
    <w:name w:val="标题 3 Char"/>
    <w:link w:val="4"/>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2"/>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1"/>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20"/>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37"/>
    <w:semiHidden/>
    <w:qFormat/>
    <w:uiPriority w:val="99"/>
    <w:rPr>
      <w:rFonts w:hAnsi="Courier New" w:cs="Courier New" w:asciiTheme="minorEastAsia"/>
    </w:rPr>
  </w:style>
  <w:style w:type="character" w:customStyle="1" w:styleId="164">
    <w:name w:val="批注文字 Char2"/>
    <w:basedOn w:val="37"/>
    <w:link w:val="13"/>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37"/>
    <w:qFormat/>
    <w:uiPriority w:val="10"/>
    <w:rPr>
      <w:rFonts w:asciiTheme="majorHAnsi" w:hAnsiTheme="majorHAnsi" w:eastAsiaTheme="majorEastAsia" w:cstheme="majorBidi"/>
      <w:b/>
      <w:bCs/>
      <w:sz w:val="32"/>
      <w:szCs w:val="32"/>
    </w:rPr>
  </w:style>
  <w:style w:type="character" w:customStyle="1" w:styleId="167">
    <w:name w:val="正文文本缩进 字符3"/>
    <w:basedOn w:val="37"/>
    <w:semiHidden/>
    <w:qFormat/>
    <w:uiPriority w:val="99"/>
  </w:style>
  <w:style w:type="character" w:customStyle="1" w:styleId="168">
    <w:name w:val="正文文本 字符4"/>
    <w:basedOn w:val="37"/>
    <w:semiHidden/>
    <w:qFormat/>
    <w:uiPriority w:val="99"/>
  </w:style>
  <w:style w:type="character" w:customStyle="1" w:styleId="169">
    <w:name w:val="正文文本缩进 3 字符2"/>
    <w:basedOn w:val="37"/>
    <w:semiHidden/>
    <w:qFormat/>
    <w:uiPriority w:val="99"/>
    <w:rPr>
      <w:sz w:val="16"/>
      <w:szCs w:val="16"/>
    </w:rPr>
  </w:style>
  <w:style w:type="character" w:customStyle="1" w:styleId="170">
    <w:name w:val="页眉 字符2"/>
    <w:basedOn w:val="37"/>
    <w:semiHidden/>
    <w:qFormat/>
    <w:uiPriority w:val="99"/>
    <w:rPr>
      <w:sz w:val="18"/>
      <w:szCs w:val="18"/>
    </w:rPr>
  </w:style>
  <w:style w:type="character" w:customStyle="1" w:styleId="171">
    <w:name w:val="批注框文本 字符2"/>
    <w:basedOn w:val="37"/>
    <w:semiHidden/>
    <w:qFormat/>
    <w:uiPriority w:val="99"/>
    <w:rPr>
      <w:sz w:val="18"/>
      <w:szCs w:val="18"/>
    </w:rPr>
  </w:style>
  <w:style w:type="character" w:customStyle="1" w:styleId="172">
    <w:name w:val="HTML 预设格式 字符2"/>
    <w:basedOn w:val="37"/>
    <w:semiHidden/>
    <w:qFormat/>
    <w:uiPriority w:val="99"/>
    <w:rPr>
      <w:rFonts w:ascii="Courier New" w:hAnsi="Courier New" w:cs="Courier New"/>
      <w:sz w:val="20"/>
      <w:szCs w:val="20"/>
    </w:rPr>
  </w:style>
  <w:style w:type="character" w:customStyle="1" w:styleId="173">
    <w:name w:val="页脚 字符2"/>
    <w:basedOn w:val="37"/>
    <w:semiHidden/>
    <w:qFormat/>
    <w:uiPriority w:val="99"/>
    <w:rPr>
      <w:sz w:val="18"/>
      <w:szCs w:val="18"/>
    </w:rPr>
  </w:style>
  <w:style w:type="character" w:customStyle="1" w:styleId="174">
    <w:name w:val="正文文本缩进 2 字符2"/>
    <w:basedOn w:val="37"/>
    <w:semiHidden/>
    <w:qFormat/>
    <w:uiPriority w:val="99"/>
  </w:style>
  <w:style w:type="character" w:customStyle="1" w:styleId="175">
    <w:name w:val="正文文本 3 字符2"/>
    <w:basedOn w:val="37"/>
    <w:semiHidden/>
    <w:qFormat/>
    <w:uiPriority w:val="99"/>
    <w:rPr>
      <w:sz w:val="16"/>
      <w:szCs w:val="16"/>
    </w:rPr>
  </w:style>
  <w:style w:type="character" w:customStyle="1" w:styleId="176">
    <w:name w:val="正文文本 2 字符2"/>
    <w:basedOn w:val="37"/>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37"/>
    <w:semiHidden/>
    <w:qFormat/>
    <w:uiPriority w:val="99"/>
    <w:rPr>
      <w:rFonts w:ascii="Microsoft YaHei UI" w:eastAsia="Microsoft YaHei UI"/>
      <w:sz w:val="18"/>
      <w:szCs w:val="18"/>
    </w:rPr>
  </w:style>
  <w:style w:type="character" w:customStyle="1" w:styleId="180">
    <w:name w:val="日期 字符2"/>
    <w:basedOn w:val="37"/>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5"/>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14"/>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1435</Words>
  <Characters>1571</Characters>
  <Lines>314</Lines>
  <Paragraphs>88</Paragraphs>
  <TotalTime>0</TotalTime>
  <ScaleCrop>false</ScaleCrop>
  <LinksUpToDate>false</LinksUpToDate>
  <CharactersWithSpaces>1687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2023-07-19T18:55:00Z</dcterms:created>
  <dc:creator>HS</dc:creator>
  <cp:lastModifiedBy>张晓彬</cp:lastModifiedBy>
  <cp:lastPrinted>2026-03-17T09:14:00Z</cp:lastPrinted>
  <dcterms:modified xsi:type="dcterms:W3CDTF">2026-03-27T07:34:49Z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2DBE40373F594640BEAFD3DF48668C30_13</vt:lpwstr>
  </property>
  <property fmtid="{D5CDD505-2E9C-101B-9397-08002B2CF9AE}" pid="4" name="KSOTemplateDocerSaveRecord">
    <vt:lpwstr>eyJoZGlkIjoiNTBkZjg0MTczYWI2OTU4ZWUxNjM1Y2EzMWZmZDZmNDUiLCJ1c2VySWQiOiIxNjAzNDQ0NzIxIn0=</vt:lpwstr>
  </property>
</Properties>
</file>