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CAF1">
      <w:pPr>
        <w:rPr>
          <w:rFonts w:ascii="宋体" w:hAnsi="宋体"/>
          <w:color w:val="auto"/>
          <w:highlight w:val="none"/>
        </w:rPr>
      </w:pPr>
    </w:p>
    <w:p w14:paraId="5AA0EC2F">
      <w:pPr>
        <w:jc w:val="center"/>
        <w:rPr>
          <w:rFonts w:hint="eastAsia" w:ascii="宋体" w:hAnsi="宋体"/>
          <w:b/>
          <w:color w:val="auto"/>
          <w:sz w:val="44"/>
          <w:szCs w:val="44"/>
          <w:highlight w:val="none"/>
          <w:lang w:eastAsia="zh-CN"/>
        </w:rPr>
      </w:pPr>
    </w:p>
    <w:p w14:paraId="44CBEBFF">
      <w:pPr>
        <w:jc w:val="center"/>
        <w:rPr>
          <w:rFonts w:hint="eastAsia" w:ascii="宋体" w:hAnsi="宋体"/>
          <w:b/>
          <w:color w:val="auto"/>
          <w:sz w:val="44"/>
          <w:szCs w:val="44"/>
          <w:highlight w:val="none"/>
          <w:lang w:eastAsia="zh-CN"/>
        </w:rPr>
      </w:pPr>
    </w:p>
    <w:p w14:paraId="1B196D6E">
      <w:pPr>
        <w:spacing w:line="360" w:lineRule="auto"/>
        <w:ind w:firstLine="782" w:firstLineChars="177"/>
        <w:jc w:val="center"/>
        <w:rPr>
          <w:rFonts w:hint="eastAsia" w:ascii="宋体" w:hAnsi="宋体" w:eastAsia="宋体" w:cs="Times New Roman"/>
          <w:b/>
          <w:bCs w:val="0"/>
          <w:color w:val="auto"/>
          <w:sz w:val="44"/>
          <w:szCs w:val="44"/>
          <w:highlight w:val="none"/>
          <w:u w:val="none"/>
        </w:rPr>
      </w:pPr>
      <w:bookmarkStart w:id="0" w:name="OLE_LINK4"/>
      <w:r>
        <w:rPr>
          <w:rFonts w:hint="eastAsia" w:ascii="宋体" w:hAnsi="宋体" w:eastAsia="宋体" w:cs="Times New Roman"/>
          <w:b/>
          <w:bCs w:val="0"/>
          <w:color w:val="auto"/>
          <w:sz w:val="44"/>
          <w:szCs w:val="44"/>
          <w:highlight w:val="none"/>
          <w:u w:val="none"/>
        </w:rPr>
        <w:t>东莞市</w:t>
      </w:r>
      <w:r>
        <w:rPr>
          <w:rFonts w:hint="eastAsia" w:ascii="宋体" w:hAnsi="宋体" w:eastAsia="宋体" w:cs="Times New Roman"/>
          <w:b/>
          <w:bCs w:val="0"/>
          <w:color w:val="auto"/>
          <w:sz w:val="44"/>
          <w:szCs w:val="44"/>
          <w:highlight w:val="none"/>
          <w:u w:val="none"/>
          <w:lang w:val="en-US" w:eastAsia="zh-CN"/>
        </w:rPr>
        <w:t>福地饮用水</w:t>
      </w:r>
      <w:r>
        <w:rPr>
          <w:rFonts w:hint="eastAsia" w:ascii="宋体" w:hAnsi="宋体" w:eastAsia="宋体" w:cs="Times New Roman"/>
          <w:b/>
          <w:bCs w:val="0"/>
          <w:color w:val="auto"/>
          <w:sz w:val="44"/>
          <w:szCs w:val="44"/>
          <w:highlight w:val="none"/>
          <w:u w:val="none"/>
        </w:rPr>
        <w:t>有限公司</w:t>
      </w:r>
    </w:p>
    <w:p w14:paraId="4DD612EA">
      <w:pPr>
        <w:spacing w:line="360" w:lineRule="auto"/>
        <w:ind w:firstLine="782" w:firstLineChars="177"/>
        <w:jc w:val="center"/>
        <w:rPr>
          <w:rFonts w:hint="eastAsia" w:ascii="宋体" w:hAnsi="宋体" w:eastAsia="宋体" w:cs="Times New Roman"/>
          <w:b/>
          <w:color w:val="auto"/>
          <w:sz w:val="44"/>
          <w:szCs w:val="44"/>
          <w:highlight w:val="none"/>
          <w:lang w:eastAsia="zh-CN"/>
        </w:rPr>
      </w:pPr>
      <w:r>
        <w:rPr>
          <w:rFonts w:hint="eastAsia" w:ascii="宋体" w:hAnsi="宋体" w:eastAsia="宋体" w:cs="Times New Roman"/>
          <w:b/>
          <w:bCs w:val="0"/>
          <w:color w:val="auto"/>
          <w:sz w:val="44"/>
          <w:szCs w:val="44"/>
          <w:highlight w:val="none"/>
          <w:u w:val="none"/>
          <w:lang w:val="en-US" w:eastAsia="zh-CN"/>
        </w:rPr>
        <w:t>202</w:t>
      </w:r>
      <w:r>
        <w:rPr>
          <w:rFonts w:hint="eastAsia" w:ascii="宋体" w:hAnsi="宋体" w:cs="Times New Roman"/>
          <w:b/>
          <w:bCs w:val="0"/>
          <w:color w:val="auto"/>
          <w:sz w:val="44"/>
          <w:szCs w:val="44"/>
          <w:highlight w:val="none"/>
          <w:u w:val="none"/>
          <w:lang w:val="en-US" w:eastAsia="zh-CN"/>
        </w:rPr>
        <w:t>6</w:t>
      </w:r>
      <w:r>
        <w:rPr>
          <w:rFonts w:hint="eastAsia" w:ascii="宋体" w:hAnsi="宋体" w:eastAsia="宋体" w:cs="Times New Roman"/>
          <w:b/>
          <w:bCs w:val="0"/>
          <w:color w:val="auto"/>
          <w:sz w:val="44"/>
          <w:szCs w:val="44"/>
          <w:highlight w:val="none"/>
          <w:u w:val="none"/>
          <w:lang w:val="en-US" w:eastAsia="zh-CN"/>
        </w:rPr>
        <w:t>年包装水物流配送服务项目</w:t>
      </w:r>
      <w:bookmarkEnd w:id="0"/>
      <w:r>
        <w:rPr>
          <w:rFonts w:hint="eastAsia" w:ascii="宋体" w:hAnsi="宋体" w:cs="Times New Roman"/>
          <w:b/>
          <w:bCs w:val="0"/>
          <w:color w:val="auto"/>
          <w:sz w:val="44"/>
          <w:szCs w:val="44"/>
          <w:highlight w:val="none"/>
          <w:u w:val="none"/>
          <w:lang w:val="en-US" w:eastAsia="zh-CN"/>
        </w:rPr>
        <w:t>（二）</w:t>
      </w:r>
    </w:p>
    <w:p w14:paraId="3B29C680">
      <w:pPr>
        <w:jc w:val="center"/>
        <w:rPr>
          <w:rFonts w:hint="eastAsia" w:ascii="宋体" w:hAnsi="宋体" w:eastAsia="宋体"/>
          <w:color w:val="auto"/>
          <w:highlight w:val="none"/>
          <w:lang w:eastAsia="zh-CN"/>
        </w:rPr>
      </w:pPr>
    </w:p>
    <w:p w14:paraId="6E15A329">
      <w:pPr>
        <w:rPr>
          <w:rFonts w:ascii="宋体" w:hAnsi="宋体"/>
          <w:color w:val="auto"/>
          <w:highlight w:val="none"/>
        </w:rPr>
      </w:pPr>
    </w:p>
    <w:p w14:paraId="69678C16">
      <w:pPr>
        <w:rPr>
          <w:rFonts w:ascii="宋体" w:hAnsi="宋体"/>
          <w:color w:val="auto"/>
          <w:highlight w:val="none"/>
        </w:rPr>
      </w:pPr>
    </w:p>
    <w:p w14:paraId="429318BB">
      <w:pPr>
        <w:rPr>
          <w:rFonts w:ascii="宋体" w:hAnsi="宋体"/>
          <w:color w:val="auto"/>
          <w:highlight w:val="none"/>
        </w:rPr>
      </w:pPr>
    </w:p>
    <w:p w14:paraId="02843087">
      <w:pPr>
        <w:rPr>
          <w:rFonts w:ascii="宋体" w:hAnsi="宋体"/>
          <w:color w:val="auto"/>
          <w:highlight w:val="none"/>
        </w:rPr>
      </w:pPr>
    </w:p>
    <w:p w14:paraId="15DEAB5A">
      <w:pPr>
        <w:rPr>
          <w:rFonts w:ascii="宋体" w:hAnsi="宋体"/>
          <w:color w:val="auto"/>
          <w:highlight w:val="none"/>
        </w:rPr>
      </w:pPr>
    </w:p>
    <w:p w14:paraId="70020247">
      <w:pPr>
        <w:jc w:val="center"/>
        <w:rPr>
          <w:rFonts w:ascii="宋体" w:hAnsi="宋体"/>
          <w:b/>
          <w:color w:val="auto"/>
          <w:sz w:val="72"/>
          <w:szCs w:val="72"/>
          <w:highlight w:val="none"/>
        </w:rPr>
      </w:pPr>
      <w:r>
        <w:rPr>
          <w:rFonts w:hint="eastAsia" w:ascii="宋体" w:hAnsi="宋体"/>
          <w:b/>
          <w:color w:val="auto"/>
          <w:sz w:val="72"/>
          <w:szCs w:val="72"/>
          <w:highlight w:val="none"/>
        </w:rPr>
        <w:t xml:space="preserve">询 </w:t>
      </w:r>
      <w:r>
        <w:rPr>
          <w:rFonts w:hint="eastAsia" w:ascii="宋体" w:hAnsi="宋体"/>
          <w:b/>
          <w:color w:val="auto"/>
          <w:sz w:val="72"/>
          <w:szCs w:val="72"/>
          <w:highlight w:val="none"/>
          <w:lang w:val="en-US" w:eastAsia="zh-CN"/>
        </w:rPr>
        <w:t>比</w:t>
      </w:r>
      <w:r>
        <w:rPr>
          <w:rFonts w:hint="eastAsia" w:ascii="宋体" w:hAnsi="宋体"/>
          <w:b/>
          <w:color w:val="auto"/>
          <w:sz w:val="72"/>
          <w:szCs w:val="72"/>
          <w:highlight w:val="none"/>
        </w:rPr>
        <w:t xml:space="preserve"> 文 件</w:t>
      </w:r>
    </w:p>
    <w:p w14:paraId="7D85E88D">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6920C27C">
      <w:pPr>
        <w:rPr>
          <w:rFonts w:ascii="宋体" w:hAnsi="宋体"/>
          <w:color w:val="auto"/>
          <w:sz w:val="52"/>
          <w:highlight w:val="none"/>
        </w:rPr>
      </w:pPr>
    </w:p>
    <w:p w14:paraId="6731AFC1">
      <w:pPr>
        <w:rPr>
          <w:rFonts w:ascii="宋体" w:hAnsi="宋体"/>
          <w:color w:val="auto"/>
          <w:sz w:val="52"/>
          <w:highlight w:val="none"/>
        </w:rPr>
      </w:pPr>
    </w:p>
    <w:p w14:paraId="3863978D">
      <w:pPr>
        <w:tabs>
          <w:tab w:val="left" w:pos="1620"/>
          <w:tab w:val="left" w:pos="1800"/>
        </w:tabs>
        <w:spacing w:line="740" w:lineRule="exact"/>
        <w:rPr>
          <w:rFonts w:ascii="宋体" w:hAnsi="宋体"/>
          <w:b/>
          <w:bCs/>
          <w:color w:val="auto"/>
          <w:sz w:val="32"/>
          <w:szCs w:val="32"/>
          <w:highlight w:val="none"/>
        </w:rPr>
      </w:pPr>
    </w:p>
    <w:p w14:paraId="1B624E45">
      <w:pPr>
        <w:tabs>
          <w:tab w:val="left" w:pos="1620"/>
          <w:tab w:val="left" w:pos="1800"/>
        </w:tabs>
        <w:spacing w:line="740" w:lineRule="exact"/>
        <w:rPr>
          <w:rFonts w:ascii="宋体" w:hAnsi="宋体"/>
          <w:b/>
          <w:bCs/>
          <w:color w:val="auto"/>
          <w:sz w:val="32"/>
          <w:szCs w:val="32"/>
          <w:highlight w:val="none"/>
        </w:rPr>
      </w:pPr>
    </w:p>
    <w:p w14:paraId="35250927">
      <w:pPr>
        <w:tabs>
          <w:tab w:val="left" w:pos="1620"/>
          <w:tab w:val="left" w:pos="1800"/>
          <w:tab w:val="left" w:pos="8460"/>
        </w:tabs>
        <w:spacing w:line="740" w:lineRule="exact"/>
        <w:rPr>
          <w:rFonts w:ascii="宋体" w:hAnsi="宋体"/>
          <w:b/>
          <w:bCs/>
          <w:color w:val="auto"/>
          <w:sz w:val="32"/>
          <w:szCs w:val="32"/>
          <w:highlight w:val="none"/>
        </w:rPr>
      </w:pPr>
    </w:p>
    <w:p w14:paraId="19627F0D">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lang w:val="en-US" w:eastAsia="zh-CN"/>
        </w:rPr>
        <w:t xml:space="preserve"> FDCG20260007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146E36A5">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pacing w:val="28"/>
          <w:sz w:val="32"/>
          <w:szCs w:val="32"/>
          <w:highlight w:val="none"/>
          <w:u w:val="single"/>
          <w:lang w:val="en-US" w:eastAsia="zh-CN"/>
        </w:rPr>
        <w:t xml:space="preserve">     东</w:t>
      </w:r>
      <w:r>
        <w:rPr>
          <w:rFonts w:hint="eastAsia" w:ascii="宋体" w:hAnsi="宋体"/>
          <w:b/>
          <w:bCs/>
          <w:color w:val="auto"/>
          <w:spacing w:val="28"/>
          <w:sz w:val="32"/>
          <w:szCs w:val="32"/>
          <w:highlight w:val="none"/>
          <w:u w:val="single"/>
          <w:lang w:eastAsia="zh-CN"/>
        </w:rPr>
        <w:t>莞市</w:t>
      </w:r>
      <w:r>
        <w:rPr>
          <w:rFonts w:hint="eastAsia" w:ascii="宋体" w:hAnsi="宋体"/>
          <w:b/>
          <w:bCs/>
          <w:color w:val="auto"/>
          <w:spacing w:val="28"/>
          <w:sz w:val="32"/>
          <w:szCs w:val="32"/>
          <w:highlight w:val="none"/>
          <w:u w:val="single"/>
          <w:lang w:val="en-US" w:eastAsia="zh-CN"/>
        </w:rPr>
        <w:t xml:space="preserve">福地饮用水有限公司      </w:t>
      </w:r>
    </w:p>
    <w:p w14:paraId="3D10E6C2">
      <w:pPr>
        <w:spacing w:line="700" w:lineRule="exact"/>
        <w:ind w:right="-28" w:hanging="482"/>
        <w:jc w:val="center"/>
        <w:rPr>
          <w:rFonts w:ascii="宋体" w:hAnsi="宋体"/>
          <w:b/>
          <w:bCs/>
          <w:color w:val="auto"/>
          <w:sz w:val="32"/>
          <w:szCs w:val="32"/>
          <w:highlight w:val="none"/>
          <w:lang w:val="zh-CN"/>
        </w:rPr>
      </w:pPr>
    </w:p>
    <w:p w14:paraId="3D352870">
      <w:pPr>
        <w:spacing w:line="700" w:lineRule="exact"/>
        <w:ind w:right="-28" w:hanging="482"/>
        <w:jc w:val="center"/>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2026</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10</w:t>
      </w:r>
      <w:r>
        <w:rPr>
          <w:rFonts w:hint="eastAsia" w:ascii="宋体" w:hAnsi="宋体"/>
          <w:b/>
          <w:bCs/>
          <w:color w:val="auto"/>
          <w:sz w:val="32"/>
          <w:szCs w:val="32"/>
          <w:highlight w:val="none"/>
          <w:lang w:val="zh-CN"/>
        </w:rPr>
        <w:t>日</w:t>
      </w:r>
    </w:p>
    <w:p w14:paraId="28AAA1E5">
      <w:pPr>
        <w:rPr>
          <w:lang w:val="zh-CN"/>
        </w:rPr>
      </w:pPr>
      <w:r>
        <w:rPr>
          <w:lang w:val="zh-CN"/>
        </w:rPr>
        <w:br w:type="page"/>
      </w:r>
    </w:p>
    <w:sdt>
      <w:sdtPr>
        <w:rPr>
          <w:rFonts w:ascii="宋体" w:hAnsi="宋体" w:eastAsia="宋体" w:cs="Times New Roman"/>
          <w:sz w:val="21"/>
          <w:szCs w:val="24"/>
          <w:lang w:val="en-US" w:eastAsia="zh-CN" w:bidi="ar-SA"/>
        </w:rPr>
        <w:id w:val="147451138"/>
        <w15:color w:val="DBDBDB"/>
        <w:docPartObj>
          <w:docPartGallery w:val="Table of Contents"/>
          <w:docPartUnique/>
        </w:docPartObj>
      </w:sdtPr>
      <w:sdtEndPr>
        <w:rPr>
          <w:rFonts w:hint="default" w:ascii="Times New Roman" w:hAnsi="Times New Roman" w:eastAsia="宋体" w:cs="Times New Roman"/>
          <w:sz w:val="24"/>
          <w:szCs w:val="32"/>
          <w:highlight w:val="none"/>
          <w:lang w:val="en-US" w:eastAsia="zh-CN" w:bidi="ar-SA"/>
        </w:rPr>
      </w:sdtEndPr>
      <w:sdtContent>
        <w:p w14:paraId="4BB31D6A">
          <w:pPr>
            <w:spacing w:before="0" w:beforeLines="0" w:after="0" w:afterLines="0" w:line="240" w:lineRule="auto"/>
            <w:ind w:left="0" w:leftChars="0" w:right="0" w:rightChars="0" w:firstLine="0" w:firstLineChars="0"/>
            <w:jc w:val="center"/>
            <w:rPr>
              <w:rFonts w:hint="eastAsia" w:ascii="宋体" w:hAnsi="宋体" w:eastAsia="宋体" w:cs="宋体"/>
              <w:sz w:val="30"/>
              <w:szCs w:val="30"/>
            </w:rPr>
          </w:pPr>
          <w:r>
            <w:rPr>
              <w:rFonts w:hint="eastAsia" w:ascii="宋体" w:hAnsi="宋体" w:eastAsia="宋体" w:cs="宋体"/>
              <w:sz w:val="30"/>
              <w:szCs w:val="30"/>
            </w:rPr>
            <w:t>目录</w:t>
          </w:r>
        </w:p>
        <w:p w14:paraId="1B7F551A">
          <w:pPr>
            <w:pStyle w:val="14"/>
            <w:tabs>
              <w:tab w:val="right" w:leader="dot" w:pos="9638"/>
              <w:tab w:val="clear" w:pos="1260"/>
              <w:tab w:val="clear" w:pos="8722"/>
            </w:tabs>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_Toc16547 </w:instrText>
          </w:r>
          <w:r>
            <w:rPr>
              <w:rFonts w:hint="eastAsia" w:ascii="宋体" w:hAnsi="宋体" w:eastAsia="宋体" w:cs="宋体"/>
              <w:szCs w:val="30"/>
              <w:highlight w:val="none"/>
            </w:rPr>
            <w:fldChar w:fldCharType="separate"/>
          </w:r>
          <w:r>
            <w:rPr>
              <w:rFonts w:hint="eastAsia" w:ascii="宋体" w:hAnsi="宋体"/>
              <w:szCs w:val="30"/>
              <w:highlight w:val="none"/>
              <w:lang w:val="zh-CN"/>
            </w:rPr>
            <w:t xml:space="preserve">第一篇 </w:t>
          </w:r>
          <w:r>
            <w:rPr>
              <w:rFonts w:hint="eastAsia" w:ascii="宋体" w:hAnsi="宋体"/>
              <w:szCs w:val="30"/>
              <w:highlight w:val="none"/>
              <w:lang w:val="en-US" w:eastAsia="zh-CN"/>
            </w:rPr>
            <w:t>询比采购公告</w:t>
          </w:r>
          <w:r>
            <w:tab/>
          </w:r>
          <w:r>
            <w:fldChar w:fldCharType="begin"/>
          </w:r>
          <w:r>
            <w:instrText xml:space="preserve"> PAGEREF _Toc16547 \h </w:instrText>
          </w:r>
          <w:r>
            <w:fldChar w:fldCharType="separate"/>
          </w:r>
          <w:r>
            <w:t>3</w:t>
          </w:r>
          <w:r>
            <w:fldChar w:fldCharType="end"/>
          </w:r>
          <w:r>
            <w:rPr>
              <w:rFonts w:hint="eastAsia" w:ascii="宋体" w:hAnsi="宋体" w:eastAsia="宋体" w:cs="宋体"/>
              <w:szCs w:val="30"/>
              <w:highlight w:val="none"/>
            </w:rPr>
            <w:fldChar w:fldCharType="end"/>
          </w:r>
        </w:p>
        <w:p w14:paraId="06DE20D4">
          <w:pPr>
            <w:pStyle w:val="14"/>
            <w:tabs>
              <w:tab w:val="right" w:leader="dot" w:pos="9638"/>
              <w:tab w:val="clear" w:pos="1260"/>
              <w:tab w:val="clear" w:pos="8722"/>
            </w:tabs>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_Toc23651 </w:instrText>
          </w:r>
          <w:r>
            <w:rPr>
              <w:rFonts w:hint="eastAsia" w:ascii="宋体" w:hAnsi="宋体" w:eastAsia="宋体" w:cs="宋体"/>
              <w:szCs w:val="30"/>
              <w:highlight w:val="none"/>
            </w:rPr>
            <w:fldChar w:fldCharType="separate"/>
          </w:r>
          <w:r>
            <w:rPr>
              <w:rFonts w:hint="eastAsia" w:ascii="宋体" w:hAnsi="宋体"/>
              <w:szCs w:val="30"/>
              <w:highlight w:val="none"/>
              <w:lang w:val="zh-CN"/>
            </w:rPr>
            <w:t>第</w:t>
          </w:r>
          <w:r>
            <w:rPr>
              <w:rFonts w:hint="eastAsia" w:ascii="宋体" w:hAnsi="宋体"/>
              <w:szCs w:val="30"/>
              <w:highlight w:val="none"/>
              <w:lang w:val="en-US" w:eastAsia="zh-CN"/>
            </w:rPr>
            <w:t>二</w:t>
          </w:r>
          <w:r>
            <w:rPr>
              <w:rFonts w:hint="eastAsia" w:ascii="宋体" w:hAnsi="宋体"/>
              <w:szCs w:val="30"/>
              <w:highlight w:val="none"/>
              <w:lang w:val="zh-CN"/>
            </w:rPr>
            <w:t>篇 用户需求书</w:t>
          </w:r>
          <w:r>
            <w:tab/>
          </w:r>
          <w:r>
            <w:fldChar w:fldCharType="begin"/>
          </w:r>
          <w:r>
            <w:instrText xml:space="preserve"> PAGEREF _Toc23651 \h </w:instrText>
          </w:r>
          <w:r>
            <w:fldChar w:fldCharType="separate"/>
          </w:r>
          <w:r>
            <w:t>4</w:t>
          </w:r>
          <w:r>
            <w:fldChar w:fldCharType="end"/>
          </w:r>
          <w:r>
            <w:rPr>
              <w:rFonts w:hint="eastAsia" w:ascii="宋体" w:hAnsi="宋体" w:eastAsia="宋体" w:cs="宋体"/>
              <w:szCs w:val="30"/>
              <w:highlight w:val="none"/>
            </w:rPr>
            <w:fldChar w:fldCharType="end"/>
          </w:r>
        </w:p>
        <w:p w14:paraId="2B78ACA9">
          <w:pPr>
            <w:pStyle w:val="14"/>
            <w:tabs>
              <w:tab w:val="right" w:leader="dot" w:pos="9638"/>
              <w:tab w:val="clear" w:pos="1260"/>
              <w:tab w:val="clear" w:pos="8722"/>
            </w:tabs>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_Toc20859 </w:instrText>
          </w:r>
          <w:r>
            <w:rPr>
              <w:rFonts w:hint="eastAsia" w:ascii="宋体" w:hAnsi="宋体" w:eastAsia="宋体" w:cs="宋体"/>
              <w:szCs w:val="30"/>
              <w:highlight w:val="none"/>
            </w:rPr>
            <w:fldChar w:fldCharType="separate"/>
          </w:r>
          <w:r>
            <w:rPr>
              <w:rFonts w:hint="eastAsia" w:ascii="宋体" w:hAnsi="宋体"/>
              <w:szCs w:val="44"/>
              <w:highlight w:val="none"/>
              <w:lang w:val="zh-CN"/>
            </w:rPr>
            <w:t>第</w:t>
          </w:r>
          <w:r>
            <w:rPr>
              <w:rFonts w:hint="eastAsia" w:ascii="宋体" w:hAnsi="宋体"/>
              <w:szCs w:val="44"/>
              <w:highlight w:val="none"/>
              <w:lang w:val="en-US" w:eastAsia="zh-CN"/>
            </w:rPr>
            <w:t>三</w:t>
          </w:r>
          <w:r>
            <w:rPr>
              <w:rFonts w:hint="eastAsia" w:ascii="宋体" w:hAnsi="宋体"/>
              <w:szCs w:val="44"/>
              <w:highlight w:val="none"/>
              <w:lang w:val="zh-CN"/>
            </w:rPr>
            <w:t>篇 合同条款</w:t>
          </w:r>
          <w:r>
            <w:tab/>
          </w:r>
          <w:r>
            <w:fldChar w:fldCharType="begin"/>
          </w:r>
          <w:r>
            <w:instrText xml:space="preserve"> PAGEREF _Toc20859 \h </w:instrText>
          </w:r>
          <w:r>
            <w:fldChar w:fldCharType="separate"/>
          </w:r>
          <w:r>
            <w:t>8</w:t>
          </w:r>
          <w:r>
            <w:fldChar w:fldCharType="end"/>
          </w:r>
          <w:r>
            <w:rPr>
              <w:rFonts w:hint="eastAsia" w:ascii="宋体" w:hAnsi="宋体" w:eastAsia="宋体" w:cs="宋体"/>
              <w:szCs w:val="30"/>
              <w:highlight w:val="none"/>
            </w:rPr>
            <w:fldChar w:fldCharType="end"/>
          </w:r>
        </w:p>
        <w:p w14:paraId="568141DF">
          <w:pPr>
            <w:pStyle w:val="14"/>
            <w:tabs>
              <w:tab w:val="right" w:leader="dot" w:pos="9638"/>
              <w:tab w:val="clear" w:pos="1260"/>
              <w:tab w:val="clear" w:pos="8722"/>
            </w:tabs>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_Toc31061 </w:instrText>
          </w:r>
          <w:r>
            <w:rPr>
              <w:rFonts w:hint="eastAsia" w:ascii="宋体" w:hAnsi="宋体" w:eastAsia="宋体" w:cs="宋体"/>
              <w:szCs w:val="30"/>
              <w:highlight w:val="none"/>
            </w:rPr>
            <w:fldChar w:fldCharType="separate"/>
          </w:r>
          <w:r>
            <w:rPr>
              <w:rFonts w:hint="eastAsia" w:ascii="宋体" w:hAnsi="宋体"/>
              <w:szCs w:val="30"/>
              <w:highlight w:val="none"/>
              <w:lang w:val="zh-CN"/>
            </w:rPr>
            <w:t>第</w:t>
          </w:r>
          <w:r>
            <w:rPr>
              <w:rFonts w:hint="eastAsia" w:ascii="宋体" w:hAnsi="宋体"/>
              <w:szCs w:val="30"/>
              <w:highlight w:val="none"/>
              <w:lang w:val="en-US" w:eastAsia="zh-CN"/>
            </w:rPr>
            <w:t>四</w:t>
          </w:r>
          <w:r>
            <w:rPr>
              <w:rFonts w:hint="eastAsia" w:ascii="宋体" w:hAnsi="宋体"/>
              <w:szCs w:val="30"/>
              <w:highlight w:val="none"/>
              <w:lang w:val="zh-CN"/>
            </w:rPr>
            <w:t xml:space="preserve">篇 </w:t>
          </w:r>
          <w:r>
            <w:rPr>
              <w:rFonts w:hint="eastAsia" w:ascii="宋体" w:hAnsi="宋体"/>
              <w:szCs w:val="30"/>
              <w:highlight w:val="none"/>
              <w:lang w:val="en-US" w:eastAsia="zh-CN"/>
            </w:rPr>
            <w:t>响应</w:t>
          </w:r>
          <w:r>
            <w:rPr>
              <w:rFonts w:hint="eastAsia" w:ascii="宋体" w:hAnsi="宋体"/>
              <w:szCs w:val="30"/>
              <w:highlight w:val="none"/>
              <w:lang w:val="zh-CN"/>
            </w:rPr>
            <w:t>须知</w:t>
          </w:r>
          <w:r>
            <w:tab/>
          </w:r>
          <w:r>
            <w:fldChar w:fldCharType="begin"/>
          </w:r>
          <w:r>
            <w:instrText xml:space="preserve"> PAGEREF _Toc31061 \h </w:instrText>
          </w:r>
          <w:r>
            <w:fldChar w:fldCharType="separate"/>
          </w:r>
          <w:r>
            <w:t>14</w:t>
          </w:r>
          <w:r>
            <w:fldChar w:fldCharType="end"/>
          </w:r>
          <w:r>
            <w:rPr>
              <w:rFonts w:hint="eastAsia" w:ascii="宋体" w:hAnsi="宋体" w:eastAsia="宋体" w:cs="宋体"/>
              <w:szCs w:val="30"/>
              <w:highlight w:val="none"/>
            </w:rPr>
            <w:fldChar w:fldCharType="end"/>
          </w:r>
        </w:p>
        <w:p w14:paraId="21C19009">
          <w:pPr>
            <w:pStyle w:val="14"/>
            <w:tabs>
              <w:tab w:val="right" w:leader="dot" w:pos="9638"/>
              <w:tab w:val="clear" w:pos="1260"/>
              <w:tab w:val="clear" w:pos="8722"/>
            </w:tabs>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_Toc3028 </w:instrText>
          </w:r>
          <w:r>
            <w:rPr>
              <w:rFonts w:hint="eastAsia" w:ascii="宋体" w:hAnsi="宋体" w:eastAsia="宋体" w:cs="宋体"/>
              <w:szCs w:val="30"/>
              <w:highlight w:val="none"/>
            </w:rPr>
            <w:fldChar w:fldCharType="separate"/>
          </w:r>
          <w:r>
            <w:rPr>
              <w:rFonts w:hint="eastAsia" w:ascii="宋体" w:hAnsi="宋体"/>
              <w:szCs w:val="30"/>
              <w:highlight w:val="none"/>
              <w:lang w:val="zh-CN"/>
            </w:rPr>
            <w:t xml:space="preserve">第五篇 </w:t>
          </w:r>
          <w:r>
            <w:rPr>
              <w:rFonts w:hint="eastAsia" w:ascii="宋体" w:hAnsi="宋体"/>
              <w:szCs w:val="30"/>
              <w:highlight w:val="none"/>
              <w:lang w:val="en-US" w:eastAsia="zh-CN"/>
            </w:rPr>
            <w:t>响应</w:t>
          </w:r>
          <w:r>
            <w:rPr>
              <w:rFonts w:hint="eastAsia" w:ascii="宋体" w:hAnsi="宋体"/>
              <w:szCs w:val="30"/>
              <w:highlight w:val="none"/>
              <w:lang w:val="zh-CN"/>
            </w:rPr>
            <w:t>文件（格式）</w:t>
          </w:r>
          <w:r>
            <w:tab/>
          </w:r>
          <w:r>
            <w:fldChar w:fldCharType="begin"/>
          </w:r>
          <w:r>
            <w:instrText xml:space="preserve"> PAGEREF _Toc3028 \h </w:instrText>
          </w:r>
          <w:r>
            <w:fldChar w:fldCharType="separate"/>
          </w:r>
          <w:r>
            <w:t>17</w:t>
          </w:r>
          <w:r>
            <w:fldChar w:fldCharType="end"/>
          </w:r>
          <w:r>
            <w:rPr>
              <w:rFonts w:hint="eastAsia" w:ascii="宋体" w:hAnsi="宋体" w:eastAsia="宋体" w:cs="宋体"/>
              <w:szCs w:val="30"/>
              <w:highlight w:val="none"/>
            </w:rPr>
            <w:fldChar w:fldCharType="end"/>
          </w:r>
        </w:p>
        <w:p w14:paraId="05905E16">
          <w:pPr>
            <w:pStyle w:val="8"/>
            <w:spacing w:line="720" w:lineRule="auto"/>
            <w:rPr>
              <w:rFonts w:hint="default" w:ascii="Times New Roman" w:hAnsi="Times New Roman" w:eastAsia="宋体" w:cs="Times New Roman"/>
              <w:sz w:val="24"/>
              <w:szCs w:val="32"/>
              <w:highlight w:val="none"/>
              <w:lang w:val="en-US" w:eastAsia="zh-CN" w:bidi="ar-SA"/>
            </w:rPr>
          </w:pPr>
          <w:r>
            <w:rPr>
              <w:rFonts w:hint="eastAsia" w:ascii="宋体" w:hAnsi="宋体" w:eastAsia="宋体" w:cs="宋体"/>
              <w:szCs w:val="30"/>
              <w:highlight w:val="none"/>
            </w:rPr>
            <w:fldChar w:fldCharType="end"/>
          </w:r>
        </w:p>
      </w:sdtContent>
    </w:sdt>
    <w:p w14:paraId="06D890AE">
      <w:pPr>
        <w:pStyle w:val="8"/>
        <w:rPr>
          <w:rFonts w:hint="default" w:ascii="Times New Roman" w:hAnsi="Times New Roman" w:eastAsia="宋体" w:cs="Times New Roman"/>
          <w:sz w:val="24"/>
          <w:szCs w:val="32"/>
          <w:highlight w:val="none"/>
          <w:lang w:val="zh-CN" w:eastAsia="zh-CN" w:bidi="ar-SA"/>
        </w:rPr>
      </w:pPr>
    </w:p>
    <w:p w14:paraId="7C6D3429">
      <w:pPr>
        <w:pStyle w:val="15"/>
        <w:spacing w:before="0" w:after="0" w:line="312" w:lineRule="auto"/>
        <w:ind w:left="158"/>
        <w:rPr>
          <w:rFonts w:asciiTheme="minorEastAsia" w:hAnsiTheme="minorEastAsia" w:eastAsiaTheme="minorEastAsia"/>
          <w:bCs/>
          <w:color w:val="auto"/>
          <w:szCs w:val="21"/>
          <w:highlight w:val="none"/>
          <w:lang w:val="zh-CN"/>
        </w:rPr>
      </w:pPr>
    </w:p>
    <w:p w14:paraId="6770E0A1">
      <w:pPr>
        <w:rPr>
          <w:rFonts w:asciiTheme="minorEastAsia" w:hAnsiTheme="minorEastAsia" w:eastAsiaTheme="minorEastAsia"/>
          <w:bCs/>
          <w:color w:val="auto"/>
          <w:szCs w:val="21"/>
          <w:highlight w:val="none"/>
          <w:lang w:val="zh-CN"/>
        </w:rPr>
      </w:pPr>
    </w:p>
    <w:p w14:paraId="07689457">
      <w:pPr>
        <w:pStyle w:val="7"/>
        <w:rPr>
          <w:rFonts w:hint="eastAsia"/>
          <w:lang w:val="zh-CN"/>
        </w:rPr>
      </w:pPr>
    </w:p>
    <w:p w14:paraId="5FEDB421">
      <w:pPr>
        <w:rPr>
          <w:rFonts w:hint="eastAsia" w:ascii="宋体" w:hAnsi="宋体"/>
          <w:color w:val="auto"/>
          <w:sz w:val="30"/>
          <w:szCs w:val="30"/>
          <w:highlight w:val="none"/>
          <w:lang w:val="zh-CN"/>
        </w:rPr>
      </w:pPr>
      <w:bookmarkStart w:id="1" w:name="_Toc2241"/>
      <w:r>
        <w:rPr>
          <w:rFonts w:hint="eastAsia" w:ascii="宋体" w:hAnsi="宋体"/>
          <w:color w:val="auto"/>
          <w:sz w:val="30"/>
          <w:szCs w:val="30"/>
          <w:highlight w:val="none"/>
          <w:lang w:val="zh-CN"/>
        </w:rPr>
        <w:br w:type="page"/>
      </w:r>
    </w:p>
    <w:p w14:paraId="578371B4">
      <w:pPr>
        <w:pStyle w:val="17"/>
        <w:spacing w:before="0" w:after="0" w:line="360" w:lineRule="auto"/>
        <w:rPr>
          <w:rFonts w:hint="default" w:ascii="宋体" w:hAnsi="宋体" w:eastAsia="宋体"/>
          <w:color w:val="auto"/>
          <w:highlight w:val="none"/>
          <w:lang w:val="en-US" w:eastAsia="zh-CN"/>
        </w:rPr>
      </w:pPr>
      <w:bookmarkStart w:id="2" w:name="_Toc16547"/>
      <w:bookmarkStart w:id="3" w:name="_Toc26483"/>
      <w:r>
        <w:rPr>
          <w:rFonts w:hint="eastAsia" w:ascii="宋体" w:hAnsi="宋体"/>
          <w:color w:val="auto"/>
          <w:sz w:val="30"/>
          <w:szCs w:val="30"/>
          <w:highlight w:val="none"/>
          <w:lang w:val="zh-CN"/>
        </w:rPr>
        <w:t xml:space="preserve">第一篇 </w:t>
      </w:r>
      <w:bookmarkEnd w:id="1"/>
      <w:r>
        <w:rPr>
          <w:rFonts w:hint="eastAsia" w:ascii="宋体" w:hAnsi="宋体"/>
          <w:color w:val="auto"/>
          <w:sz w:val="30"/>
          <w:szCs w:val="30"/>
          <w:highlight w:val="none"/>
          <w:lang w:val="en-US" w:eastAsia="zh-CN"/>
        </w:rPr>
        <w:t>询比采购公告</w:t>
      </w:r>
      <w:bookmarkEnd w:id="2"/>
      <w:bookmarkEnd w:id="3"/>
    </w:p>
    <w:p w14:paraId="13B5F488">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34F1BDD7">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bookmarkStart w:id="4" w:name="OLE_LINK5"/>
      <w:r>
        <w:rPr>
          <w:rFonts w:hint="eastAsia"/>
          <w:highlight w:val="none"/>
          <w:u w:val="single"/>
        </w:rPr>
        <w:t>东莞市福地饮用水有限公司202</w:t>
      </w:r>
      <w:r>
        <w:rPr>
          <w:rFonts w:hint="eastAsia"/>
          <w:highlight w:val="none"/>
          <w:u w:val="single"/>
          <w:lang w:val="en-US" w:eastAsia="zh-CN"/>
        </w:rPr>
        <w:t>6</w:t>
      </w:r>
      <w:r>
        <w:rPr>
          <w:rFonts w:hint="eastAsia"/>
          <w:highlight w:val="none"/>
          <w:u w:val="single"/>
        </w:rPr>
        <w:t>年包装水物流配送服务</w:t>
      </w:r>
      <w:r>
        <w:rPr>
          <w:rFonts w:hint="eastAsia"/>
          <w:highlight w:val="none"/>
          <w:u w:val="single"/>
          <w:lang w:val="en-US" w:eastAsia="zh-CN"/>
        </w:rPr>
        <w:t>采购</w:t>
      </w:r>
      <w:r>
        <w:rPr>
          <w:rFonts w:hint="eastAsia"/>
          <w:highlight w:val="none"/>
          <w:u w:val="single"/>
        </w:rPr>
        <w:t>项目</w:t>
      </w:r>
      <w:bookmarkEnd w:id="4"/>
      <w:r>
        <w:rPr>
          <w:rFonts w:hint="eastAsia"/>
          <w:highlight w:val="none"/>
          <w:u w:val="single"/>
          <w:lang w:eastAsia="zh-CN"/>
        </w:rPr>
        <w:t>（</w:t>
      </w:r>
      <w:r>
        <w:rPr>
          <w:rFonts w:hint="eastAsia"/>
          <w:highlight w:val="none"/>
          <w:u w:val="single"/>
          <w:lang w:val="en-US" w:eastAsia="zh-CN"/>
        </w:rPr>
        <w:t>二</w:t>
      </w:r>
      <w:r>
        <w:rPr>
          <w:rFonts w:hint="eastAsia"/>
          <w:highlight w:val="none"/>
          <w:u w:val="single"/>
          <w:lang w:eastAsia="zh-CN"/>
        </w:rPr>
        <w:t>）</w:t>
      </w:r>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w:t>
      </w:r>
      <w:r>
        <w:rPr>
          <w:rFonts w:hint="eastAsia" w:cs="Times New Roman"/>
          <w:highlight w:val="none"/>
          <w:lang w:val="en-US" w:eastAsia="zh-CN"/>
        </w:rPr>
        <w:t>比</w:t>
      </w:r>
      <w:r>
        <w:rPr>
          <w:rFonts w:hint="default" w:ascii="Times New Roman" w:hAnsi="Times New Roman" w:cs="Times New Roman"/>
          <w:highlight w:val="none"/>
        </w:rPr>
        <w:t>采购。具体采购信息如下：</w:t>
      </w:r>
    </w:p>
    <w:p w14:paraId="35FE5478">
      <w:pPr>
        <w:spacing w:line="360" w:lineRule="auto"/>
        <w:ind w:firstLine="371"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：FDCG2026000</w:t>
      </w:r>
      <w:r>
        <w:rPr>
          <w:rFonts w:hint="eastAsia" w:cs="Times New Roman"/>
          <w:color w:val="000000" w:themeColor="text1"/>
          <w:highlight w:val="none"/>
          <w:lang w:val="en-US" w:eastAsia="zh-CN"/>
          <w14:textFill>
            <w14:solidFill>
              <w14:schemeClr w14:val="tx1"/>
            </w14:solidFill>
          </w14:textFill>
        </w:rPr>
        <w:t xml:space="preserve">7             </w:t>
      </w:r>
    </w:p>
    <w:p w14:paraId="17A5E6C4">
      <w:pPr>
        <w:spacing w:line="360" w:lineRule="auto"/>
        <w:ind w:firstLine="371" w:firstLineChars="177"/>
        <w:rPr>
          <w:rFonts w:hint="eastAsia" w:ascii="Times New Roman" w:eastAsia="宋体"/>
          <w:lang w:val="en-US" w:eastAsia="zh-CN"/>
        </w:rPr>
      </w:pPr>
      <w:r>
        <w:rPr>
          <w:rFonts w:hint="default" w:ascii="Times New Roman" w:hAnsi="Times New Roman" w:cs="Times New Roman"/>
          <w:highlight w:val="none"/>
        </w:rPr>
        <w:t>二、采购项目名称：</w:t>
      </w:r>
      <w:r>
        <w:rPr>
          <w:rFonts w:hint="default" w:ascii="Times New Roman" w:hAnsi="Times New Roman" w:eastAsia="宋体" w:cs="Times New Roman"/>
          <w:b w:val="0"/>
          <w:bCs w:val="0"/>
          <w:sz w:val="21"/>
          <w:szCs w:val="24"/>
          <w:highlight w:val="none"/>
          <w:u w:val="none"/>
        </w:rPr>
        <w:t>东莞市福地饮用水有限公司202</w:t>
      </w:r>
      <w:r>
        <w:rPr>
          <w:rFonts w:hint="eastAsia" w:cs="Times New Roman"/>
          <w:b w:val="0"/>
          <w:bCs w:val="0"/>
          <w:sz w:val="21"/>
          <w:szCs w:val="24"/>
          <w:highlight w:val="none"/>
          <w:u w:val="none"/>
          <w:lang w:val="en-US" w:eastAsia="zh-CN"/>
        </w:rPr>
        <w:t>6</w:t>
      </w:r>
      <w:r>
        <w:rPr>
          <w:rFonts w:hint="default" w:ascii="Times New Roman" w:hAnsi="Times New Roman" w:eastAsia="宋体" w:cs="Times New Roman"/>
          <w:b w:val="0"/>
          <w:bCs w:val="0"/>
          <w:sz w:val="21"/>
          <w:szCs w:val="24"/>
          <w:highlight w:val="none"/>
          <w:u w:val="none"/>
        </w:rPr>
        <w:t>年包装水物流配送服务采购项目</w:t>
      </w:r>
      <w:r>
        <w:rPr>
          <w:rFonts w:hint="eastAsia" w:cs="Times New Roman"/>
          <w:b w:val="0"/>
          <w:bCs w:val="0"/>
          <w:sz w:val="21"/>
          <w:szCs w:val="24"/>
          <w:highlight w:val="none"/>
          <w:u w:val="none"/>
          <w:lang w:eastAsia="zh-CN"/>
        </w:rPr>
        <w:t>（</w:t>
      </w:r>
      <w:r>
        <w:rPr>
          <w:rFonts w:hint="eastAsia" w:cs="Times New Roman"/>
          <w:b w:val="0"/>
          <w:bCs w:val="0"/>
          <w:sz w:val="21"/>
          <w:szCs w:val="24"/>
          <w:highlight w:val="none"/>
          <w:u w:val="none"/>
          <w:lang w:val="en-US" w:eastAsia="zh-CN"/>
        </w:rPr>
        <w:t>二</w:t>
      </w:r>
      <w:r>
        <w:rPr>
          <w:rFonts w:hint="eastAsia" w:cs="Times New Roman"/>
          <w:b w:val="0"/>
          <w:bCs w:val="0"/>
          <w:sz w:val="21"/>
          <w:szCs w:val="24"/>
          <w:highlight w:val="none"/>
          <w:u w:val="none"/>
          <w:lang w:eastAsia="zh-CN"/>
        </w:rPr>
        <w:t>）</w:t>
      </w:r>
    </w:p>
    <w:p w14:paraId="1B2B30FE">
      <w:pPr>
        <w:spacing w:line="360" w:lineRule="auto"/>
        <w:ind w:firstLine="371" w:firstLineChars="177"/>
        <w:rPr>
          <w:rFonts w:hint="eastAsia" w:ascii="Times New Roman"/>
          <w:b/>
          <w:bCs/>
          <w:color w:val="FF0000"/>
        </w:rPr>
      </w:pPr>
      <w:r>
        <w:rPr>
          <w:rFonts w:hint="eastAsia" w:ascii="Times New Roman"/>
          <w:lang w:val="en-US" w:eastAsia="zh-CN"/>
        </w:rPr>
        <w:t>三</w:t>
      </w:r>
      <w:r>
        <w:rPr>
          <w:rFonts w:ascii="Times New Roman"/>
        </w:rPr>
        <w:t>、采购预算：</w:t>
      </w:r>
      <w:bookmarkStart w:id="5" w:name="_Hlk40436243"/>
      <w:r>
        <w:rPr>
          <w:rFonts w:ascii="Times New Roman"/>
          <w:b/>
          <w:bCs/>
          <w:color w:val="FF0000"/>
        </w:rPr>
        <w:t>不含税</w:t>
      </w:r>
      <w:r>
        <w:rPr>
          <w:rFonts w:hint="eastAsia" w:ascii="Times New Roman"/>
          <w:b/>
          <w:bCs/>
          <w:color w:val="FF0000"/>
        </w:rPr>
        <w:t>预算单价为</w:t>
      </w:r>
      <w:r>
        <w:rPr>
          <w:rFonts w:hint="eastAsia"/>
          <w:b/>
          <w:bCs/>
          <w:color w:val="FF0000"/>
          <w:lang w:val="en-US" w:eastAsia="zh-CN"/>
        </w:rPr>
        <w:t>4.54</w:t>
      </w:r>
      <w:r>
        <w:rPr>
          <w:rFonts w:hint="eastAsia" w:ascii="Times New Roman" w:hAnsi="Times New Roman" w:eastAsia="宋体" w:cs="Times New Roman"/>
          <w:b/>
          <w:bCs/>
          <w:color w:val="FF0000"/>
          <w:szCs w:val="24"/>
          <w:u w:val="none"/>
          <w:shd w:val="clear"/>
          <w:lang w:val="en-US" w:eastAsia="zh-CN"/>
        </w:rPr>
        <w:t>元/件</w:t>
      </w:r>
      <w:r>
        <w:rPr>
          <w:rFonts w:hint="eastAsia" w:ascii="Times New Roman"/>
          <w:b/>
          <w:bCs/>
          <w:color w:val="FF0000"/>
        </w:rPr>
        <w:t>（大写</w:t>
      </w:r>
      <w:r>
        <w:rPr>
          <w:rFonts w:hint="eastAsia"/>
          <w:b/>
          <w:bCs/>
          <w:color w:val="FF0000"/>
          <w:lang w:val="en-US" w:eastAsia="zh-CN"/>
        </w:rPr>
        <w:t>肆元伍角肆分</w:t>
      </w:r>
      <w:r>
        <w:rPr>
          <w:rFonts w:hint="eastAsia" w:ascii="Times New Roman"/>
          <w:b/>
          <w:bCs/>
          <w:color w:val="FF0000"/>
        </w:rPr>
        <w:t>）</w:t>
      </w:r>
      <w:bookmarkEnd w:id="5"/>
      <w:r>
        <w:rPr>
          <w:rFonts w:hint="eastAsia"/>
          <w:b/>
          <w:bCs/>
          <w:color w:val="FF0000"/>
          <w:lang w:eastAsia="zh-CN"/>
        </w:rPr>
        <w:t>，</w:t>
      </w:r>
      <w:r>
        <w:rPr>
          <w:rFonts w:hint="eastAsia" w:ascii="Times New Roman"/>
          <w:b/>
          <w:bCs/>
          <w:color w:val="FF0000"/>
        </w:rPr>
        <w:t>供应商各梯度报价均不得超过对应最高限价，否则视为无效响应。</w:t>
      </w:r>
    </w:p>
    <w:p w14:paraId="04C15A9E">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四</w:t>
      </w:r>
      <w:r>
        <w:rPr>
          <w:rFonts w:hint="default" w:ascii="Times New Roman" w:hAnsi="Times New Roman" w:cs="Times New Roman"/>
          <w:highlight w:val="none"/>
        </w:rPr>
        <w:t>、采购内容：</w:t>
      </w:r>
      <w:r>
        <w:rPr>
          <w:rFonts w:hint="eastAsia" w:ascii="Times New Roman" w:cs="Times New Roman"/>
          <w:highlight w:val="none"/>
          <w:u w:val="single"/>
          <w:lang w:eastAsia="zh-CN"/>
        </w:rPr>
        <w:t>物流配送服务</w:t>
      </w:r>
      <w:r>
        <w:rPr>
          <w:rFonts w:hint="default" w:ascii="Times New Roman" w:hAnsi="Times New Roman" w:cs="Times New Roman"/>
          <w:highlight w:val="none"/>
        </w:rPr>
        <w:t>（具体详见用户需求书）。</w:t>
      </w:r>
    </w:p>
    <w:p w14:paraId="067AC84A">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五</w:t>
      </w:r>
      <w:r>
        <w:rPr>
          <w:rFonts w:hint="default" w:ascii="Times New Roman" w:hAnsi="Times New Roman" w:cs="Times New Roman"/>
          <w:highlight w:val="none"/>
        </w:rPr>
        <w:t>、成交原则： 从实质性满足采购需求的供应商中，按照综合评分法，以综合得分最高者确定为成交供应商。</w:t>
      </w:r>
    </w:p>
    <w:p w14:paraId="555601DA">
      <w:pPr>
        <w:spacing w:line="360" w:lineRule="auto"/>
        <w:ind w:firstLine="371" w:firstLineChars="177"/>
        <w:rPr>
          <w:rFonts w:hint="eastAsia" w:ascii="宋体" w:hAnsi="宋体" w:eastAsia="宋体" w:cs="宋体"/>
          <w:b w:val="0"/>
          <w:bCs w:val="0"/>
          <w:color w:val="000000" w:themeColor="text1"/>
          <w:highlight w:val="none"/>
          <w14:textFill>
            <w14:solidFill>
              <w14:schemeClr w14:val="tx1"/>
            </w14:solidFill>
          </w14:textFill>
        </w:rPr>
      </w:pPr>
      <w:r>
        <w:rPr>
          <w:rFonts w:hint="eastAsia" w:hAnsi="宋体" w:cs="宋体"/>
          <w:b w:val="0"/>
          <w:bCs w:val="0"/>
          <w:color w:val="000000" w:themeColor="text1"/>
          <w:highlight w:val="none"/>
          <w:lang w:val="en-US" w:eastAsia="zh-CN"/>
          <w14:textFill>
            <w14:solidFill>
              <w14:schemeClr w14:val="tx1"/>
            </w14:solidFill>
          </w14:textFill>
        </w:rPr>
        <w:t>六</w:t>
      </w:r>
      <w:r>
        <w:rPr>
          <w:rFonts w:hint="eastAsia" w:ascii="宋体" w:hAnsi="宋体" w:eastAsia="宋体" w:cs="宋体"/>
          <w:b w:val="0"/>
          <w:bCs w:val="0"/>
          <w:color w:val="000000" w:themeColor="text1"/>
          <w:highlight w:val="none"/>
          <w14:textFill>
            <w14:solidFill>
              <w14:schemeClr w14:val="tx1"/>
            </w14:solidFill>
          </w14:textFill>
        </w:rPr>
        <w:t>、成交供应商的合作角色按以下规则确定：</w:t>
      </w:r>
    </w:p>
    <w:p w14:paraId="2DF0D338">
      <w:pPr>
        <w:spacing w:line="360" w:lineRule="auto"/>
        <w:ind w:firstLine="371" w:firstLineChars="177"/>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（1）若成交供应商加权平均不含税报价低于</w:t>
      </w:r>
      <w:r>
        <w:rPr>
          <w:rFonts w:hint="eastAsia" w:ascii="宋体" w:hAnsi="宋体" w:cs="宋体"/>
          <w:b w:val="0"/>
          <w:bCs w:val="0"/>
          <w:color w:val="000000" w:themeColor="text1"/>
          <w:highlight w:val="none"/>
          <w:lang w:val="en-US" w:eastAsia="zh-CN"/>
          <w14:textFill>
            <w14:solidFill>
              <w14:schemeClr w14:val="tx1"/>
            </w14:solidFill>
          </w14:textFill>
        </w:rPr>
        <w:t>我司现有</w:t>
      </w:r>
      <w:r>
        <w:rPr>
          <w:rFonts w:hint="eastAsia" w:ascii="宋体" w:hAnsi="宋体" w:eastAsia="宋体" w:cs="宋体"/>
          <w:b w:val="0"/>
          <w:bCs w:val="0"/>
          <w:color w:val="000000" w:themeColor="text1"/>
          <w:highlight w:val="none"/>
          <w14:textFill>
            <w14:solidFill>
              <w14:schemeClr w14:val="tx1"/>
            </w14:solidFill>
          </w14:textFill>
        </w:rPr>
        <w:t>核心物流商报价，且服务能力满足项目履约要求，确定为本项目</w:t>
      </w:r>
      <w:r>
        <w:rPr>
          <w:rFonts w:hint="eastAsia" w:ascii="宋体" w:hAnsi="宋体" w:eastAsia="宋体" w:cs="宋体"/>
          <w:b/>
          <w:bCs/>
          <w:color w:val="000000" w:themeColor="text1"/>
          <w:highlight w:val="none"/>
          <w14:textFill>
            <w14:solidFill>
              <w14:schemeClr w14:val="tx1"/>
            </w14:solidFill>
          </w14:textFill>
        </w:rPr>
        <w:t>核心物流商</w:t>
      </w:r>
      <w:r>
        <w:rPr>
          <w:rFonts w:hint="eastAsia" w:ascii="宋体" w:hAnsi="宋体" w:eastAsia="宋体" w:cs="宋体"/>
          <w:b w:val="0"/>
          <w:bCs w:val="0"/>
          <w:color w:val="000000" w:themeColor="text1"/>
          <w:highlight w:val="none"/>
          <w14:textFill>
            <w14:solidFill>
              <w14:schemeClr w14:val="tx1"/>
            </w14:solidFill>
          </w14:textFill>
        </w:rPr>
        <w:t>，与</w:t>
      </w:r>
      <w:r>
        <w:rPr>
          <w:rFonts w:hint="eastAsia" w:ascii="宋体" w:hAnsi="宋体" w:cs="宋体"/>
          <w:b w:val="0"/>
          <w:bCs w:val="0"/>
          <w:color w:val="000000" w:themeColor="text1"/>
          <w:highlight w:val="none"/>
          <w:lang w:val="en-US" w:eastAsia="zh-CN"/>
          <w14:textFill>
            <w14:solidFill>
              <w14:schemeClr w14:val="tx1"/>
            </w14:solidFill>
          </w14:textFill>
        </w:rPr>
        <w:t>我司</w:t>
      </w:r>
      <w:r>
        <w:rPr>
          <w:rFonts w:hint="eastAsia" w:ascii="宋体" w:hAnsi="宋体" w:eastAsia="宋体" w:cs="宋体"/>
          <w:b w:val="0"/>
          <w:bCs w:val="0"/>
          <w:color w:val="000000" w:themeColor="text1"/>
          <w:highlight w:val="none"/>
          <w14:textFill>
            <w14:solidFill>
              <w14:schemeClr w14:val="tx1"/>
            </w14:solidFill>
          </w14:textFill>
        </w:rPr>
        <w:t>形成核心服务合作模式；</w:t>
      </w:r>
    </w:p>
    <w:p w14:paraId="11BA8CB0">
      <w:pPr>
        <w:spacing w:line="360" w:lineRule="auto"/>
        <w:ind w:firstLine="371" w:firstLineChars="177"/>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（2）若成交供应商加权平均不含税报价不低于</w:t>
      </w:r>
      <w:r>
        <w:rPr>
          <w:rFonts w:hint="eastAsia" w:ascii="宋体" w:hAnsi="宋体" w:cs="宋体"/>
          <w:b w:val="0"/>
          <w:bCs w:val="0"/>
          <w:color w:val="000000" w:themeColor="text1"/>
          <w:highlight w:val="none"/>
          <w:lang w:val="en-US" w:eastAsia="zh-CN"/>
          <w14:textFill>
            <w14:solidFill>
              <w14:schemeClr w14:val="tx1"/>
            </w14:solidFill>
          </w14:textFill>
        </w:rPr>
        <w:t>我司</w:t>
      </w:r>
      <w:r>
        <w:rPr>
          <w:rFonts w:hint="eastAsia" w:ascii="宋体" w:hAnsi="宋体" w:eastAsia="宋体" w:cs="宋体"/>
          <w:b w:val="0"/>
          <w:bCs w:val="0"/>
          <w:color w:val="000000" w:themeColor="text1"/>
          <w:highlight w:val="none"/>
          <w14:textFill>
            <w14:solidFill>
              <w14:schemeClr w14:val="tx1"/>
            </w14:solidFill>
          </w14:textFill>
        </w:rPr>
        <w:t>现有核心物流商报价，确定为本项目</w:t>
      </w:r>
      <w:r>
        <w:rPr>
          <w:rFonts w:hint="eastAsia" w:ascii="宋体" w:hAnsi="宋体" w:eastAsia="宋体" w:cs="宋体"/>
          <w:b/>
          <w:bCs/>
          <w:color w:val="000000" w:themeColor="text1"/>
          <w:highlight w:val="none"/>
          <w14:textFill>
            <w14:solidFill>
              <w14:schemeClr w14:val="tx1"/>
            </w14:solidFill>
          </w14:textFill>
        </w:rPr>
        <w:t>备用物流商</w:t>
      </w:r>
      <w:r>
        <w:rPr>
          <w:rFonts w:hint="eastAsia" w:ascii="宋体" w:hAnsi="宋体" w:eastAsia="宋体" w:cs="宋体"/>
          <w:b w:val="0"/>
          <w:bCs w:val="0"/>
          <w:color w:val="000000" w:themeColor="text1"/>
          <w:highlight w:val="none"/>
          <w14:textFill>
            <w14:solidFill>
              <w14:schemeClr w14:val="tx1"/>
            </w14:solidFill>
          </w14:textFill>
        </w:rPr>
        <w:t>，与现有核心物流商形成“核心+备用”双供应商协作模式；</w:t>
      </w:r>
    </w:p>
    <w:p w14:paraId="51E50CE3">
      <w:pPr>
        <w:spacing w:line="360" w:lineRule="auto"/>
        <w:ind w:firstLine="371" w:firstLineChars="177"/>
        <w:rPr>
          <w:rFonts w:hint="eastAsia"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（3）</w:t>
      </w:r>
      <w:r>
        <w:rPr>
          <w:rFonts w:hint="eastAsia" w:ascii="宋体" w:hAnsi="宋体" w:cs="宋体"/>
          <w:b w:val="0"/>
          <w:bCs w:val="0"/>
          <w:color w:val="000000" w:themeColor="text1"/>
          <w:highlight w:val="none"/>
          <w:lang w:val="en-US" w:eastAsia="zh-CN"/>
          <w14:textFill>
            <w14:solidFill>
              <w14:schemeClr w14:val="tx1"/>
            </w14:solidFill>
          </w14:textFill>
        </w:rPr>
        <w:t>我司</w:t>
      </w:r>
      <w:r>
        <w:rPr>
          <w:rFonts w:hint="eastAsia" w:ascii="宋体" w:hAnsi="宋体" w:eastAsia="宋体" w:cs="宋体"/>
          <w:b w:val="0"/>
          <w:bCs w:val="0"/>
          <w:color w:val="000000" w:themeColor="text1"/>
          <w:highlight w:val="none"/>
          <w14:textFill>
            <w14:solidFill>
              <w14:schemeClr w14:val="tx1"/>
            </w14:solidFill>
          </w14:textFill>
        </w:rPr>
        <w:t>可根据实际需求及供应商综合能力</w:t>
      </w:r>
      <w:r>
        <w:rPr>
          <w:rFonts w:hint="eastAsia" w:ascii="宋体" w:hAnsi="宋体" w:cs="宋体"/>
          <w:b w:val="0"/>
          <w:bCs w:val="0"/>
          <w:color w:val="000000" w:themeColor="text1"/>
          <w:highlight w:val="none"/>
          <w:lang w:val="en-US" w:eastAsia="zh-CN"/>
          <w14:textFill>
            <w14:solidFill>
              <w14:schemeClr w14:val="tx1"/>
            </w14:solidFill>
          </w14:textFill>
        </w:rPr>
        <w:t>与服务水平</w:t>
      </w:r>
      <w:r>
        <w:rPr>
          <w:rFonts w:hint="eastAsia" w:ascii="宋体" w:hAnsi="宋体" w:eastAsia="宋体" w:cs="宋体"/>
          <w:b w:val="0"/>
          <w:bCs w:val="0"/>
          <w:color w:val="000000" w:themeColor="text1"/>
          <w:highlight w:val="none"/>
          <w14:textFill>
            <w14:solidFill>
              <w14:schemeClr w14:val="tx1"/>
            </w14:solidFill>
          </w14:textFill>
        </w:rPr>
        <w:t>，确定是否形成双核心物流商合作模式</w:t>
      </w:r>
      <w:r>
        <w:rPr>
          <w:rFonts w:hint="eastAsia" w:ascii="宋体" w:hAnsi="宋体" w:cs="宋体"/>
          <w:b w:val="0"/>
          <w:bCs w:val="0"/>
          <w:color w:val="000000" w:themeColor="text1"/>
          <w:highlight w:val="none"/>
          <w:lang w:eastAsia="zh-CN"/>
          <w14:textFill>
            <w14:solidFill>
              <w14:schemeClr w14:val="tx1"/>
            </w14:solidFill>
          </w14:textFill>
        </w:rPr>
        <w:t>。</w:t>
      </w:r>
    </w:p>
    <w:p w14:paraId="03876A90">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文件递交截止时间：</w:t>
      </w:r>
      <w:r>
        <w:rPr>
          <w:rFonts w:hint="eastAsia" w:ascii="宋体" w:hAnsi="宋体" w:eastAsia="宋体" w:cs="宋体"/>
          <w:color w:val="000000" w:themeColor="text1"/>
          <w:highlight w:val="none"/>
          <w:lang w:eastAsia="zh-CN"/>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3</w:t>
      </w:r>
      <w:r>
        <w:rPr>
          <w:rFonts w:hint="eastAsia" w:hAnsi="宋体" w:cs="宋体"/>
          <w:color w:val="000000" w:themeColor="text1"/>
          <w:highlight w:val="none"/>
          <w:lang w:val="en-US" w:eastAsia="zh-CN"/>
          <w14:textFill>
            <w14:solidFill>
              <w14:schemeClr w14:val="tx1"/>
            </w14:solidFill>
          </w14:textFill>
        </w:rPr>
        <w:t>月20日9</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00分</w:t>
      </w:r>
      <w:r>
        <w:rPr>
          <w:rFonts w:hint="eastAsia" w:ascii="宋体" w:hAnsi="宋体" w:eastAsia="宋体" w:cs="宋体"/>
          <w:color w:val="000000" w:themeColor="text1"/>
          <w:highlight w:val="none"/>
          <w14:textFill>
            <w14:solidFill>
              <w14:schemeClr w14:val="tx1"/>
            </w14:solidFill>
          </w14:textFill>
        </w:rPr>
        <w:t>。</w:t>
      </w:r>
    </w:p>
    <w:p w14:paraId="20F29D48">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文件递交地点：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p>
    <w:p w14:paraId="3E7AA860">
      <w:pPr>
        <w:spacing w:line="360" w:lineRule="auto"/>
        <w:ind w:firstLine="371" w:firstLineChars="177"/>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pPr>
      <w:r>
        <w:rPr>
          <w:rFonts w:hint="eastAsia" w:ascii="宋体" w:hAnsi="宋体" w:cs="宋体"/>
          <w:b w:val="0"/>
          <w:bCs w:val="0"/>
          <w:color w:val="000000" w:themeColor="text1"/>
          <w:sz w:val="21"/>
          <w:szCs w:val="24"/>
          <w:highlight w:val="none"/>
          <w:lang w:val="en-US" w:eastAsia="zh-CN"/>
          <w14:textFill>
            <w14:solidFill>
              <w14:schemeClr w14:val="tx1"/>
            </w14:solidFill>
          </w14:textFill>
        </w:rPr>
        <w:t>九</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文件开封时间：202</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年</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月</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日</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0分</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29E7A9DF">
      <w:pPr>
        <w:spacing w:line="360" w:lineRule="auto"/>
        <w:ind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sz w:val="21"/>
          <w:szCs w:val="24"/>
          <w:highlight w:val="none"/>
          <w:lang w:val="en-US" w:eastAsia="zh-CN"/>
          <w14:textFill>
            <w14:solidFill>
              <w14:schemeClr w14:val="tx1"/>
            </w14:solidFill>
          </w14:textFill>
        </w:rPr>
        <w:t>十</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文件开封地点：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1775E167">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十</w:t>
      </w:r>
      <w:r>
        <w:rPr>
          <w:rFonts w:hint="eastAsia" w:ascii="宋体" w:hAnsi="宋体" w:cs="宋体"/>
          <w:color w:val="000000" w:themeColor="text1"/>
          <w:highlight w:val="none"/>
          <w:lang w:val="en-US" w:eastAsia="zh-CN"/>
          <w14:textFill>
            <w14:solidFill>
              <w14:schemeClr w14:val="tx1"/>
            </w14:solidFill>
          </w14:textFill>
        </w:rPr>
        <w:t>一</w:t>
      </w:r>
      <w:r>
        <w:rPr>
          <w:rFonts w:hint="eastAsia" w:ascii="宋体" w:hAnsi="宋体" w:eastAsia="宋体" w:cs="宋体"/>
          <w:color w:val="000000" w:themeColor="text1"/>
          <w:highlight w:val="none"/>
          <w14:textFill>
            <w14:solidFill>
              <w14:schemeClr w14:val="tx1"/>
            </w14:solidFill>
          </w14:textFill>
        </w:rPr>
        <w:t>、采购人联系方式</w:t>
      </w:r>
    </w:p>
    <w:p w14:paraId="6BC8F7FF">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bookmarkStart w:id="6"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ascii="宋体" w:hAnsi="宋体" w:cs="宋体"/>
          <w:color w:val="000000" w:themeColor="text1"/>
          <w:highlight w:val="none"/>
          <w:lang w:val="en-US" w:eastAsia="zh-CN"/>
          <w14:textFill>
            <w14:solidFill>
              <w14:schemeClr w14:val="tx1"/>
            </w14:solidFill>
          </w14:textFill>
        </w:rPr>
        <w:t>翟</w:t>
      </w:r>
      <w:r>
        <w:rPr>
          <w:rFonts w:hint="eastAsia" w:ascii="宋体" w:hAnsi="宋体" w:eastAsia="宋体" w:cs="宋体"/>
          <w:color w:val="000000" w:themeColor="text1"/>
          <w:highlight w:val="none"/>
          <w:lang w:val="en-US" w:eastAsia="zh-CN"/>
          <w14:textFill>
            <w14:solidFill>
              <w14:schemeClr w14:val="tx1"/>
            </w14:solidFill>
          </w14:textFill>
        </w:rPr>
        <w:t>先生</w:t>
      </w:r>
    </w:p>
    <w:p w14:paraId="3F8FE7C8">
      <w:pPr>
        <w:ind w:firstLine="371" w:firstLineChars="177"/>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3925760788</w:t>
      </w:r>
    </w:p>
    <w:p w14:paraId="5F309FC4">
      <w:pPr>
        <w:ind w:firstLine="371" w:firstLineChars="177"/>
        <w:rPr>
          <w:rFonts w:hint="default"/>
          <w:lang w:val="en-US" w:eastAsia="zh-CN"/>
        </w:rPr>
      </w:pPr>
      <w:r>
        <w:rPr>
          <w:rFonts w:hint="eastAsia" w:ascii="宋体" w:hAnsi="宋体" w:cs="宋体"/>
          <w:bCs w:val="0"/>
          <w:color w:val="000000" w:themeColor="text1"/>
          <w:highlight w:val="none"/>
          <w:lang w:val="en-US" w:eastAsia="zh-CN"/>
          <w14:textFill>
            <w14:solidFill>
              <w14:schemeClr w14:val="tx1"/>
            </w14:solidFill>
          </w14:textFill>
        </w:rPr>
        <w:t>联系邮箱：</w:t>
      </w:r>
      <w:r>
        <w:rPr>
          <w:rFonts w:hint="eastAsia" w:ascii="宋体" w:hAnsi="宋体" w:cs="宋体"/>
          <w:color w:val="000000" w:themeColor="text1"/>
          <w:highlight w:val="none"/>
          <w14:textFill>
            <w14:solidFill>
              <w14:schemeClr w14:val="tx1"/>
            </w14:solidFill>
          </w14:textFill>
        </w:rPr>
        <w:t>fortunato@fdyys.cn</w:t>
      </w:r>
    </w:p>
    <w:p w14:paraId="215F35C9">
      <w:pPr>
        <w:spacing w:line="360" w:lineRule="auto"/>
        <w:ind w:left="0" w:leftChars="0"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bookmarkEnd w:id="6"/>
      <w:r>
        <w:rPr>
          <w:rFonts w:hint="eastAsia" w:ascii="宋体" w:hAnsi="宋体" w:eastAsia="宋体" w:cs="宋体"/>
          <w:color w:val="000000" w:themeColor="text1"/>
          <w:highlight w:val="none"/>
          <w14:textFill>
            <w14:solidFill>
              <w14:schemeClr w14:val="tx1"/>
            </w14:solidFill>
          </w14:textFill>
        </w:rPr>
        <w:t>东莞市东城街道育华路1号（</w:t>
      </w:r>
      <w:r>
        <w:rPr>
          <w:rFonts w:hint="eastAsia" w:ascii="宋体" w:hAnsi="宋体" w:eastAsia="宋体" w:cs="宋体"/>
          <w:color w:val="000000" w:themeColor="text1"/>
          <w:highlight w:val="none"/>
          <w:lang w:eastAsia="zh-CN"/>
          <w14:textFill>
            <w14:solidFill>
              <w14:schemeClr w14:val="tx1"/>
            </w14:solidFill>
          </w14:textFill>
        </w:rPr>
        <w:t>东莞市</w:t>
      </w:r>
      <w:r>
        <w:rPr>
          <w:rFonts w:hint="eastAsia" w:ascii="宋体" w:hAnsi="宋体" w:cs="宋体"/>
          <w:color w:val="000000" w:themeColor="text1"/>
          <w:highlight w:val="none"/>
          <w:lang w:val="en-US" w:eastAsia="zh-CN"/>
          <w14:textFill>
            <w14:solidFill>
              <w14:schemeClr w14:val="tx1"/>
            </w14:solidFill>
          </w14:textFill>
        </w:rPr>
        <w:t>水务环境集团</w:t>
      </w:r>
      <w:r>
        <w:rPr>
          <w:rFonts w:hint="eastAsia" w:ascii="宋体" w:hAnsi="宋体" w:eastAsia="宋体" w:cs="宋体"/>
          <w:color w:val="000000" w:themeColor="text1"/>
          <w:highlight w:val="none"/>
          <w14:textFill>
            <w14:solidFill>
              <w14:schemeClr w14:val="tx1"/>
            </w14:solidFill>
          </w14:textFill>
        </w:rPr>
        <w:t>）。</w:t>
      </w:r>
    </w:p>
    <w:p w14:paraId="20A472BC">
      <w:pPr>
        <w:rPr>
          <w:rFonts w:hint="default" w:ascii="Times New Roman" w:hAnsi="Times New Roman" w:cs="Times New Roman"/>
          <w:color w:val="000000" w:themeColor="text1"/>
          <w:highlight w:val="none"/>
          <w14:textFill>
            <w14:solidFill>
              <w14:schemeClr w14:val="tx1"/>
            </w14:solidFill>
          </w14:textFill>
        </w:rPr>
      </w:pPr>
    </w:p>
    <w:p w14:paraId="63D4D5FC">
      <w:pPr>
        <w:rPr>
          <w:rFonts w:hint="default" w:ascii="Times New Roman" w:hAnsi="Times New Roman" w:cs="Times New Roman"/>
          <w:color w:val="000000" w:themeColor="text1"/>
          <w:highlight w:val="none"/>
          <w14:textFill>
            <w14:solidFill>
              <w14:schemeClr w14:val="tx1"/>
            </w14:solidFill>
          </w14:textFill>
        </w:rPr>
      </w:pPr>
    </w:p>
    <w:p w14:paraId="209C96A6">
      <w:pPr>
        <w:spacing w:line="360" w:lineRule="auto"/>
        <w:ind w:left="743" w:leftChars="354" w:firstLine="5642" w:firstLineChars="2687"/>
        <w:rPr>
          <w:rFonts w:hint="eastAsia" w:ascii="Times New Roman" w:hAnsi="Times New Roman" w:eastAsia="宋体" w:cs="Times New Roman"/>
          <w:color w:val="000000" w:themeColor="text1"/>
          <w:highlight w:val="none"/>
          <w:lang w:eastAsia="zh-CN"/>
          <w14:textFill>
            <w14:solidFill>
              <w14:schemeClr w14:val="tx1"/>
            </w14:solidFill>
          </w14:textFill>
        </w:rPr>
      </w:pPr>
      <w:bookmarkStart w:id="7" w:name="_Hlk27138410"/>
      <w:r>
        <w:rPr>
          <w:rFonts w:hint="eastAsia" w:ascii="Times New Roman" w:cs="Times New Roman"/>
          <w:color w:val="000000" w:themeColor="text1"/>
          <w:highlight w:val="none"/>
          <w:lang w:eastAsia="zh-CN"/>
          <w14:textFill>
            <w14:solidFill>
              <w14:schemeClr w14:val="tx1"/>
            </w14:solidFill>
          </w14:textFill>
        </w:rPr>
        <w:t>东莞市福地饮用水有限公司</w:t>
      </w:r>
    </w:p>
    <w:p w14:paraId="7BFADE46">
      <w:pPr>
        <w:spacing w:line="360" w:lineRule="auto"/>
        <w:ind w:left="743" w:leftChars="354" w:firstLine="6510" w:firstLineChars="3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3</w:t>
      </w:r>
      <w:r>
        <w:rPr>
          <w:rFonts w:hint="eastAsia" w:ascii="Times New Roman" w:cs="Times New Roman"/>
          <w:color w:val="000000" w:themeColor="text1"/>
          <w:highlight w:val="none"/>
          <w:lang w:val="en-US" w:eastAsia="zh-CN"/>
          <w14:textFill>
            <w14:solidFill>
              <w14:schemeClr w14:val="tx1"/>
            </w14:solidFill>
          </w14:textFill>
        </w:rPr>
        <w:t>月</w:t>
      </w:r>
      <w:r>
        <w:rPr>
          <w:rFonts w:hint="eastAsia" w:cs="Times New Roman"/>
          <w:color w:val="000000" w:themeColor="text1"/>
          <w:highlight w:val="none"/>
          <w:lang w:val="en-US" w:eastAsia="zh-CN"/>
          <w14:textFill>
            <w14:solidFill>
              <w14:schemeClr w14:val="tx1"/>
            </w14:solidFill>
          </w14:textFill>
        </w:rPr>
        <w:t>10</w:t>
      </w:r>
      <w:r>
        <w:rPr>
          <w:rFonts w:hint="eastAsia" w:ascii="Times New Roman" w:cs="Times New Roman"/>
          <w:color w:val="000000" w:themeColor="text1"/>
          <w:highlight w:val="none"/>
          <w:lang w:val="en-US" w:eastAsia="zh-CN"/>
          <w14:textFill>
            <w14:solidFill>
              <w14:schemeClr w14:val="tx1"/>
            </w14:solidFill>
          </w14:textFill>
        </w:rPr>
        <w:t>日</w:t>
      </w:r>
    </w:p>
    <w:bookmarkEnd w:id="7"/>
    <w:p w14:paraId="0F0E274E">
      <w:pPr>
        <w:rPr>
          <w:lang w:val="zh-CN"/>
        </w:rPr>
      </w:pPr>
    </w:p>
    <w:p w14:paraId="2B98F012">
      <w:pPr>
        <w:pStyle w:val="17"/>
        <w:pageBreakBefore/>
        <w:rPr>
          <w:rFonts w:ascii="宋体" w:hAnsi="宋体"/>
          <w:color w:val="auto"/>
          <w:sz w:val="30"/>
          <w:szCs w:val="30"/>
          <w:highlight w:val="none"/>
          <w:lang w:val="zh-CN"/>
        </w:rPr>
      </w:pPr>
      <w:bookmarkStart w:id="8" w:name="_Toc29163"/>
      <w:bookmarkStart w:id="9" w:name="_Toc23651"/>
      <w:bookmarkStart w:id="10" w:name="_Toc3543"/>
      <w:r>
        <w:rPr>
          <w:rFonts w:hint="eastAsia" w:ascii="宋体" w:hAnsi="宋体"/>
          <w:color w:val="auto"/>
          <w:sz w:val="30"/>
          <w:szCs w:val="30"/>
          <w:highlight w:val="none"/>
          <w:lang w:val="zh-CN"/>
        </w:rPr>
        <w:t>第</w:t>
      </w:r>
      <w:r>
        <w:rPr>
          <w:rFonts w:hint="eastAsia" w:ascii="宋体" w:hAnsi="宋体"/>
          <w:color w:val="auto"/>
          <w:sz w:val="30"/>
          <w:szCs w:val="30"/>
          <w:highlight w:val="none"/>
          <w:lang w:val="en-US" w:eastAsia="zh-CN"/>
        </w:rPr>
        <w:t>二</w:t>
      </w:r>
      <w:r>
        <w:rPr>
          <w:rFonts w:hint="eastAsia" w:ascii="宋体" w:hAnsi="宋体"/>
          <w:color w:val="auto"/>
          <w:sz w:val="30"/>
          <w:szCs w:val="30"/>
          <w:highlight w:val="none"/>
          <w:lang w:val="zh-CN"/>
        </w:rPr>
        <w:t>篇 用户需求书</w:t>
      </w:r>
      <w:bookmarkEnd w:id="8"/>
      <w:bookmarkEnd w:id="9"/>
      <w:bookmarkEnd w:id="10"/>
      <w:bookmarkStart w:id="11" w:name="_Hlt507989741"/>
      <w:bookmarkEnd w:id="11"/>
      <w:bookmarkStart w:id="12" w:name="_Hlt107921814"/>
      <w:bookmarkEnd w:id="12"/>
      <w:bookmarkStart w:id="13" w:name="_Hlt137898605"/>
      <w:bookmarkEnd w:id="13"/>
      <w:bookmarkStart w:id="14" w:name="_Hlt92097802"/>
      <w:bookmarkEnd w:id="14"/>
      <w:bookmarkStart w:id="15" w:name="_Hlt92101665"/>
      <w:bookmarkEnd w:id="15"/>
      <w:bookmarkStart w:id="16" w:name="_Hlt92477987"/>
      <w:bookmarkEnd w:id="16"/>
      <w:bookmarkStart w:id="17" w:name="_Hlt92472623"/>
      <w:bookmarkEnd w:id="17"/>
      <w:bookmarkStart w:id="18" w:name="_Hlt74192688"/>
      <w:bookmarkEnd w:id="18"/>
      <w:bookmarkStart w:id="19" w:name="_Hlt133291417"/>
      <w:bookmarkEnd w:id="19"/>
      <w:bookmarkStart w:id="20" w:name="_Hlt137959623"/>
      <w:bookmarkEnd w:id="20"/>
      <w:bookmarkStart w:id="21" w:name="_Hlt107746026"/>
      <w:bookmarkEnd w:id="21"/>
      <w:bookmarkStart w:id="22" w:name="_Hlt133639916"/>
      <w:bookmarkEnd w:id="22"/>
      <w:bookmarkStart w:id="23" w:name="yqh"/>
      <w:bookmarkEnd w:id="23"/>
      <w:bookmarkStart w:id="24" w:name="_Hlt91899334"/>
      <w:bookmarkEnd w:id="24"/>
      <w:bookmarkStart w:id="25" w:name="_Hlt87773422"/>
      <w:bookmarkEnd w:id="25"/>
      <w:bookmarkStart w:id="26" w:name="_Hlt92100255"/>
      <w:bookmarkEnd w:id="26"/>
      <w:bookmarkStart w:id="27" w:name="_Hlt92097807"/>
      <w:bookmarkEnd w:id="27"/>
      <w:bookmarkStart w:id="28" w:name="_Hlt109563261"/>
      <w:bookmarkEnd w:id="28"/>
    </w:p>
    <w:p w14:paraId="3CE7128B">
      <w:pPr>
        <w:pStyle w:val="26"/>
        <w:jc w:val="center"/>
        <w:rPr>
          <w:rFonts w:ascii="宋体" w:hAnsi="宋体"/>
          <w:color w:val="auto"/>
          <w:sz w:val="30"/>
          <w:szCs w:val="30"/>
          <w:highlight w:val="none"/>
          <w:lang w:val="zh-CN"/>
        </w:rPr>
      </w:pPr>
      <w:r>
        <w:rPr>
          <w:rFonts w:hint="eastAsia" w:ascii="宋体" w:hAnsi="宋体"/>
          <w:b/>
          <w:bCs w:val="0"/>
          <w:color w:val="auto"/>
          <w:sz w:val="30"/>
          <w:szCs w:val="30"/>
          <w:highlight w:val="none"/>
          <w:lang w:val="zh-CN"/>
        </w:rPr>
        <w:t>用户需求书</w:t>
      </w:r>
    </w:p>
    <w:p w14:paraId="73214A20">
      <w:pPr>
        <w:spacing w:line="36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一、项目概况</w:t>
      </w:r>
    </w:p>
    <w:p w14:paraId="682D53E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东莞市福地饮用水有限公司（以下简称“采购人”）负责的包装水产品需采购物流配送服务，将包装水产品从采购人</w:t>
      </w:r>
      <w:r>
        <w:rPr>
          <w:rFonts w:hint="eastAsia" w:ascii="宋体" w:hAnsi="宋体" w:cs="宋体"/>
          <w:color w:val="auto"/>
          <w:sz w:val="21"/>
          <w:szCs w:val="21"/>
          <w:highlight w:val="none"/>
          <w:lang w:val="en-US" w:eastAsia="zh-CN"/>
        </w:rPr>
        <w:t>指定的</w:t>
      </w:r>
      <w:r>
        <w:rPr>
          <w:rFonts w:hint="eastAsia" w:ascii="宋体" w:hAnsi="宋体" w:eastAsia="宋体" w:cs="宋体"/>
          <w:color w:val="auto"/>
          <w:sz w:val="21"/>
          <w:szCs w:val="21"/>
          <w:highlight w:val="none"/>
          <w:lang w:val="en-US" w:eastAsia="zh-CN"/>
        </w:rPr>
        <w:t>储存仓库中提货向东莞市范围的客户配送，以完成采购人对购买客户的产品交付。本次采购按配送件数进行梯度报价，以满足不同规模订单的配送精细化管理的需求。</w:t>
      </w:r>
    </w:p>
    <w:p w14:paraId="314BE085">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配送</w:t>
      </w:r>
      <w:r>
        <w:rPr>
          <w:rFonts w:hint="eastAsia" w:ascii="宋体" w:hAnsi="宋体" w:cs="宋体"/>
          <w:color w:val="auto"/>
          <w:sz w:val="21"/>
          <w:szCs w:val="21"/>
          <w:highlight w:val="none"/>
          <w:lang w:val="en-US" w:eastAsia="zh-CN"/>
        </w:rPr>
        <w:t>饮用水</w:t>
      </w:r>
      <w:r>
        <w:rPr>
          <w:rFonts w:hint="eastAsia" w:ascii="宋体" w:hAnsi="宋体" w:eastAsia="宋体" w:cs="宋体"/>
          <w:color w:val="auto"/>
          <w:sz w:val="21"/>
          <w:szCs w:val="21"/>
          <w:highlight w:val="none"/>
          <w:lang w:val="en-US" w:eastAsia="zh-CN"/>
        </w:rPr>
        <w:t>产品</w:t>
      </w:r>
      <w:r>
        <w:rPr>
          <w:rFonts w:hint="eastAsia" w:ascii="宋体" w:hAnsi="宋体" w:cs="宋体"/>
          <w:color w:val="auto"/>
          <w:sz w:val="21"/>
          <w:szCs w:val="21"/>
          <w:highlight w:val="none"/>
          <w:lang w:val="en-US" w:eastAsia="zh-CN"/>
        </w:rPr>
        <w:t>（3KG及以上）</w:t>
      </w:r>
      <w:r>
        <w:rPr>
          <w:rFonts w:hint="eastAsia" w:ascii="宋体" w:hAnsi="宋体" w:eastAsia="宋体" w:cs="宋体"/>
          <w:color w:val="auto"/>
          <w:sz w:val="21"/>
          <w:szCs w:val="21"/>
          <w:highlight w:val="none"/>
          <w:shd w:val="clear" w:color="auto" w:fill="auto"/>
          <w:lang w:val="en-US" w:eastAsia="zh-CN"/>
        </w:rPr>
        <w:t>包括但不限于：</w:t>
      </w:r>
      <w:r>
        <w:rPr>
          <w:rFonts w:hint="eastAsia" w:ascii="宋体" w:hAnsi="宋体" w:eastAsia="宋体" w:cs="宋体"/>
          <w:color w:val="auto"/>
          <w:szCs w:val="21"/>
          <w:highlight w:val="none"/>
          <w:shd w:val="clear" w:color="auto" w:fill="auto"/>
          <w:lang w:val="en-US" w:eastAsia="zh-CN"/>
        </w:rPr>
        <w:t>桶装水产品：12.3L(约</w:t>
      </w:r>
      <w:r>
        <w:rPr>
          <w:rFonts w:hint="eastAsia" w:ascii="宋体" w:hAnsi="宋体" w:eastAsia="宋体" w:cs="宋体"/>
          <w:i w:val="0"/>
          <w:iCs w:val="0"/>
          <w:caps w:val="0"/>
          <w:color w:val="auto"/>
          <w:spacing w:val="0"/>
          <w:sz w:val="21"/>
          <w:szCs w:val="21"/>
          <w:highlight w:val="none"/>
          <w:shd w:val="clear" w:color="auto" w:fill="auto"/>
        </w:rPr>
        <w:t>12.30 </w:t>
      </w:r>
      <w:r>
        <w:rPr>
          <w:rFonts w:hint="eastAsia" w:ascii="宋体" w:hAnsi="宋体" w:eastAsia="宋体" w:cs="宋体"/>
          <w:color w:val="auto"/>
          <w:szCs w:val="21"/>
          <w:highlight w:val="none"/>
          <w:shd w:val="clear" w:color="auto" w:fill="auto"/>
          <w:lang w:val="en-US" w:eastAsia="zh-CN"/>
        </w:rPr>
        <w:t>kg/桶)、15L（约15kg/</w:t>
      </w:r>
      <w:r>
        <w:rPr>
          <w:rFonts w:hint="eastAsia" w:ascii="宋体" w:hAnsi="宋体" w:eastAsia="宋体" w:cs="宋体"/>
          <w:color w:val="auto"/>
          <w:szCs w:val="21"/>
          <w:highlight w:val="none"/>
          <w:shd w:val="clear" w:color="auto" w:fill="auto"/>
          <w:lang w:val="zh-CN" w:eastAsia="zh-CN"/>
        </w:rPr>
        <w:t>桶</w:t>
      </w:r>
      <w:r>
        <w:rPr>
          <w:rFonts w:hint="eastAsia" w:ascii="宋体" w:hAnsi="宋体" w:eastAsia="宋体" w:cs="宋体"/>
          <w:color w:val="auto"/>
          <w:szCs w:val="21"/>
          <w:highlight w:val="none"/>
          <w:shd w:val="clear" w:color="auto" w:fill="auto"/>
          <w:lang w:val="en-US" w:eastAsia="zh-CN"/>
        </w:rPr>
        <w:t>）、5.28L*3桶（约</w:t>
      </w:r>
      <w:r>
        <w:rPr>
          <w:rFonts w:hint="eastAsia" w:ascii="宋体" w:hAnsi="宋体" w:eastAsia="宋体" w:cs="宋体"/>
          <w:i w:val="0"/>
          <w:iCs w:val="0"/>
          <w:caps w:val="0"/>
          <w:color w:val="auto"/>
          <w:spacing w:val="0"/>
          <w:sz w:val="21"/>
          <w:szCs w:val="21"/>
          <w:highlight w:val="none"/>
          <w:shd w:val="clear" w:color="auto" w:fill="auto"/>
        </w:rPr>
        <w:t>15.84</w:t>
      </w:r>
      <w:r>
        <w:rPr>
          <w:rFonts w:hint="eastAsia" w:ascii="宋体" w:hAnsi="宋体" w:eastAsia="宋体" w:cs="宋体"/>
          <w:color w:val="auto"/>
          <w:szCs w:val="21"/>
          <w:highlight w:val="none"/>
          <w:shd w:val="clear" w:color="auto" w:fill="auto"/>
          <w:lang w:val="en-US" w:eastAsia="zh-CN"/>
        </w:rPr>
        <w:t>kg/件）、5L*4桶（约</w:t>
      </w:r>
      <w:r>
        <w:rPr>
          <w:rFonts w:hint="eastAsia" w:ascii="宋体" w:hAnsi="宋体" w:eastAsia="宋体" w:cs="宋体"/>
          <w:i w:val="0"/>
          <w:iCs w:val="0"/>
          <w:caps w:val="0"/>
          <w:color w:val="auto"/>
          <w:spacing w:val="0"/>
          <w:sz w:val="21"/>
          <w:szCs w:val="21"/>
          <w:highlight w:val="none"/>
          <w:shd w:val="clear" w:color="auto" w:fill="auto"/>
          <w:lang w:val="en-US" w:eastAsia="zh-CN"/>
        </w:rPr>
        <w:t>20</w:t>
      </w:r>
      <w:r>
        <w:rPr>
          <w:rFonts w:hint="eastAsia" w:ascii="宋体" w:hAnsi="宋体" w:eastAsia="宋体" w:cs="宋体"/>
          <w:color w:val="auto"/>
          <w:szCs w:val="21"/>
          <w:highlight w:val="none"/>
          <w:shd w:val="clear" w:color="auto" w:fill="auto"/>
          <w:lang w:val="en-US" w:eastAsia="zh-CN"/>
        </w:rPr>
        <w:t>kg/件）；支装水产品：360ml*24瓶（约8.64kg/件）、350ml*24瓶（约</w:t>
      </w:r>
      <w:r>
        <w:rPr>
          <w:rFonts w:hint="eastAsia" w:ascii="宋体" w:hAnsi="宋体" w:eastAsia="宋体" w:cs="宋体"/>
          <w:i w:val="0"/>
          <w:iCs w:val="0"/>
          <w:caps w:val="0"/>
          <w:color w:val="auto"/>
          <w:spacing w:val="0"/>
          <w:sz w:val="21"/>
          <w:szCs w:val="21"/>
          <w:highlight w:val="none"/>
          <w:shd w:val="clear" w:color="auto" w:fill="auto"/>
        </w:rPr>
        <w:t>8.40</w:t>
      </w:r>
      <w:r>
        <w:rPr>
          <w:rFonts w:hint="eastAsia" w:ascii="宋体" w:hAnsi="宋体" w:eastAsia="宋体" w:cs="宋体"/>
          <w:color w:val="auto"/>
          <w:szCs w:val="21"/>
          <w:highlight w:val="none"/>
          <w:shd w:val="clear" w:color="auto" w:fill="auto"/>
          <w:lang w:val="en-US" w:eastAsia="zh-CN"/>
        </w:rPr>
        <w:t>kg/件）、390ml*24瓶（</w:t>
      </w:r>
      <w:r>
        <w:rPr>
          <w:rFonts w:hint="eastAsia" w:ascii="宋体" w:hAnsi="宋体" w:cs="宋体"/>
          <w:color w:val="auto"/>
          <w:szCs w:val="21"/>
          <w:highlight w:val="none"/>
          <w:shd w:val="clear" w:color="auto" w:fill="auto"/>
          <w:lang w:val="en-US" w:eastAsia="zh-CN"/>
        </w:rPr>
        <w:t>约</w:t>
      </w:r>
      <w:r>
        <w:rPr>
          <w:rFonts w:hint="eastAsia" w:ascii="宋体" w:hAnsi="宋体" w:eastAsia="宋体" w:cs="宋体"/>
          <w:color w:val="auto"/>
          <w:szCs w:val="21"/>
          <w:highlight w:val="none"/>
          <w:shd w:val="clear" w:color="auto" w:fill="auto"/>
          <w:lang w:val="en-US" w:eastAsia="zh-CN"/>
        </w:rPr>
        <w:t>9.36kg/件）</w:t>
      </w:r>
      <w:r>
        <w:rPr>
          <w:rFonts w:hint="eastAsia" w:ascii="宋体" w:hAnsi="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lang w:val="en-US" w:eastAsia="zh-CN"/>
        </w:rPr>
        <w:t>550ml*24瓶（约</w:t>
      </w:r>
      <w:r>
        <w:rPr>
          <w:rFonts w:hint="eastAsia" w:ascii="宋体" w:hAnsi="宋体" w:eastAsia="宋体" w:cs="宋体"/>
          <w:i w:val="0"/>
          <w:iCs w:val="0"/>
          <w:caps w:val="0"/>
          <w:color w:val="auto"/>
          <w:spacing w:val="0"/>
          <w:sz w:val="21"/>
          <w:szCs w:val="21"/>
          <w:highlight w:val="none"/>
          <w:shd w:val="clear" w:color="auto" w:fill="auto"/>
          <w:lang w:val="en-US" w:eastAsia="zh-CN"/>
        </w:rPr>
        <w:t>13.2</w:t>
      </w:r>
      <w:r>
        <w:rPr>
          <w:rFonts w:hint="eastAsia" w:ascii="宋体" w:hAnsi="宋体" w:eastAsia="宋体" w:cs="宋体"/>
          <w:i w:val="0"/>
          <w:iCs w:val="0"/>
          <w:caps w:val="0"/>
          <w:color w:val="auto"/>
          <w:spacing w:val="0"/>
          <w:sz w:val="21"/>
          <w:szCs w:val="21"/>
          <w:highlight w:val="none"/>
          <w:shd w:val="clear" w:color="auto" w:fill="auto"/>
        </w:rPr>
        <w:t>0</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Cs w:val="21"/>
          <w:highlight w:val="none"/>
          <w:shd w:val="clear" w:color="auto" w:fill="auto"/>
          <w:lang w:val="en-US" w:eastAsia="zh-CN"/>
        </w:rPr>
        <w:t>22</w:t>
      </w:r>
      <w:r>
        <w:rPr>
          <w:rFonts w:hint="eastAsia" w:ascii="宋体" w:hAnsi="宋体" w:eastAsia="宋体" w:cs="宋体"/>
          <w:color w:val="auto"/>
          <w:szCs w:val="21"/>
          <w:highlight w:val="none"/>
          <w:shd w:val="clear" w:color="auto" w:fill="auto"/>
          <w:lang w:val="en-US" w:eastAsia="zh-CN"/>
        </w:rPr>
        <w:t>0ml*</w:t>
      </w:r>
      <w:r>
        <w:rPr>
          <w:rFonts w:hint="eastAsia" w:ascii="宋体" w:hAnsi="宋体" w:cs="宋体"/>
          <w:color w:val="auto"/>
          <w:szCs w:val="21"/>
          <w:highlight w:val="none"/>
          <w:shd w:val="clear" w:color="auto" w:fill="auto"/>
          <w:lang w:val="en-US" w:eastAsia="zh-CN"/>
        </w:rPr>
        <w:t>12</w:t>
      </w:r>
      <w:r>
        <w:rPr>
          <w:rFonts w:hint="eastAsia" w:ascii="宋体" w:hAnsi="宋体" w:eastAsia="宋体" w:cs="宋体"/>
          <w:color w:val="auto"/>
          <w:szCs w:val="21"/>
          <w:highlight w:val="none"/>
          <w:shd w:val="clear" w:color="auto" w:fill="auto"/>
          <w:lang w:val="en-US" w:eastAsia="zh-CN"/>
        </w:rPr>
        <w:t>瓶（</w:t>
      </w:r>
      <w:r>
        <w:rPr>
          <w:rFonts w:hint="eastAsia" w:ascii="宋体" w:hAnsi="宋体" w:cs="宋体"/>
          <w:color w:val="auto"/>
          <w:szCs w:val="21"/>
          <w:highlight w:val="none"/>
          <w:shd w:val="clear" w:color="auto" w:fill="auto"/>
          <w:lang w:val="en-US" w:eastAsia="zh-CN"/>
        </w:rPr>
        <w:t>约3</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Cs w:val="21"/>
          <w:highlight w:val="none"/>
          <w:shd w:val="clear" w:color="auto" w:fill="auto"/>
          <w:lang w:val="en-US" w:eastAsia="zh-CN"/>
        </w:rPr>
        <w:t>、22</w:t>
      </w:r>
      <w:r>
        <w:rPr>
          <w:rFonts w:hint="eastAsia" w:ascii="宋体" w:hAnsi="宋体" w:eastAsia="宋体" w:cs="宋体"/>
          <w:color w:val="auto"/>
          <w:szCs w:val="21"/>
          <w:highlight w:val="none"/>
          <w:shd w:val="clear" w:color="auto" w:fill="auto"/>
          <w:lang w:val="en-US" w:eastAsia="zh-CN"/>
        </w:rPr>
        <w:t>0ml*24瓶（约</w:t>
      </w:r>
      <w:r>
        <w:rPr>
          <w:rFonts w:hint="eastAsia" w:ascii="宋体" w:hAnsi="宋体" w:cs="宋体"/>
          <w:i w:val="0"/>
          <w:iCs w:val="0"/>
          <w:caps w:val="0"/>
          <w:color w:val="auto"/>
          <w:spacing w:val="0"/>
          <w:sz w:val="21"/>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Cs w:val="21"/>
          <w:highlight w:val="none"/>
          <w:shd w:val="clear" w:color="auto" w:fill="auto"/>
          <w:lang w:val="en-US" w:eastAsia="zh-CN"/>
        </w:rPr>
        <w:t>。配送</w:t>
      </w:r>
      <w:r>
        <w:rPr>
          <w:rFonts w:hint="default"/>
          <w:lang w:val="en-US" w:eastAsia="zh-CN"/>
        </w:rPr>
        <w:t>非饮用水</w:t>
      </w:r>
      <w:r>
        <w:rPr>
          <w:rFonts w:hint="eastAsia"/>
          <w:lang w:val="en-US" w:eastAsia="zh-CN"/>
        </w:rPr>
        <w:t>商</w:t>
      </w:r>
      <w:r>
        <w:rPr>
          <w:rFonts w:hint="default"/>
          <w:lang w:val="en-US" w:eastAsia="zh-CN"/>
        </w:rPr>
        <w:t>品</w:t>
      </w:r>
      <w:r>
        <w:rPr>
          <w:rFonts w:hint="eastAsia"/>
          <w:lang w:val="en-US" w:eastAsia="zh-CN"/>
        </w:rPr>
        <w:t>，按整包合计</w:t>
      </w:r>
      <w:r>
        <w:rPr>
          <w:rFonts w:hint="default"/>
          <w:lang w:val="en-US" w:eastAsia="zh-CN"/>
        </w:rPr>
        <w:t>重量2KG及以下</w:t>
      </w:r>
      <w:r>
        <w:rPr>
          <w:rFonts w:hint="eastAsia"/>
          <w:lang w:val="en-US" w:eastAsia="zh-CN"/>
        </w:rPr>
        <w:t>，尺寸不超50cm*50cm*50cm为一件产品</w:t>
      </w:r>
      <w:r>
        <w:rPr>
          <w:rFonts w:hint="eastAsia" w:ascii="宋体" w:hAnsi="宋体" w:cs="宋体"/>
          <w:color w:val="auto"/>
          <w:sz w:val="21"/>
          <w:szCs w:val="21"/>
          <w:highlight w:val="none"/>
          <w:lang w:val="en-US" w:eastAsia="zh-CN"/>
        </w:rPr>
        <w:t>。</w:t>
      </w:r>
    </w:p>
    <w:p w14:paraId="188A6AC5">
      <w:pPr>
        <w:pStyle w:val="26"/>
        <w:ind w:firstLine="420" w:firstLineChars="200"/>
        <w:rPr>
          <w:rFonts w:hint="default"/>
          <w:lang w:val="en-US" w:eastAsia="zh-CN"/>
        </w:rPr>
      </w:pPr>
      <w:r>
        <w:rPr>
          <w:rFonts w:hint="default"/>
          <w:lang w:val="en-US" w:eastAsia="zh-CN"/>
        </w:rPr>
        <w:t>搭配</w:t>
      </w:r>
      <w:r>
        <w:rPr>
          <w:rFonts w:hint="eastAsia"/>
          <w:lang w:val="en-US" w:eastAsia="zh-CN"/>
        </w:rPr>
        <w:t>饮用水</w:t>
      </w:r>
      <w:r>
        <w:rPr>
          <w:rFonts w:hint="default"/>
          <w:lang w:val="en-US" w:eastAsia="zh-CN"/>
        </w:rPr>
        <w:t>产品配送的非饮用水商品，可随同批次订单免费一同配送，供应商需按相同服务标准保障配送安全与时效，不得额外收取费用。</w:t>
      </w:r>
    </w:p>
    <w:p w14:paraId="102CE03F">
      <w:pPr>
        <w:numPr>
          <w:ilvl w:val="0"/>
          <w:numId w:val="1"/>
        </w:numPr>
        <w:spacing w:line="360" w:lineRule="auto"/>
        <w:ind w:firstLine="422" w:firstLineChars="200"/>
        <w:rPr>
          <w:rFonts w:hint="eastAsia" w:cs="Times New Roman"/>
          <w:b/>
          <w:color w:val="auto"/>
          <w:sz w:val="21"/>
          <w:szCs w:val="21"/>
          <w:highlight w:val="none"/>
          <w:lang w:val="en-US" w:eastAsia="zh-CN"/>
        </w:rPr>
      </w:pPr>
      <w:r>
        <w:rPr>
          <w:rFonts w:hint="eastAsia" w:cs="Times New Roman"/>
          <w:b/>
          <w:color w:val="auto"/>
          <w:sz w:val="21"/>
          <w:szCs w:val="21"/>
          <w:highlight w:val="none"/>
          <w:lang w:val="en-US" w:eastAsia="zh-CN"/>
        </w:rPr>
        <w:t>成交供应商资格要求</w:t>
      </w:r>
    </w:p>
    <w:p w14:paraId="3D297B00">
      <w:pPr>
        <w:pStyle w:val="26"/>
        <w:numPr>
          <w:ilvl w:val="-1"/>
          <w:numId w:val="0"/>
        </w:numPr>
        <w:ind w:firstLine="420" w:firstLineChars="200"/>
        <w:rPr>
          <w:rFonts w:hint="default" w:cs="Times New Roman"/>
          <w:bCs w:val="0"/>
          <w:color w:val="auto"/>
          <w:szCs w:val="21"/>
          <w:highlight w:val="none"/>
        </w:rPr>
      </w:pP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一</w:t>
      </w:r>
      <w:r>
        <w:rPr>
          <w:rFonts w:hint="eastAsia" w:cs="Times New Roman"/>
          <w:bCs w:val="0"/>
          <w:color w:val="auto"/>
          <w:szCs w:val="21"/>
          <w:highlight w:val="none"/>
          <w:lang w:eastAsia="zh-CN"/>
        </w:rPr>
        <w:t>）</w:t>
      </w:r>
      <w:r>
        <w:rPr>
          <w:rFonts w:hint="default" w:cs="Times New Roman"/>
          <w:bCs w:val="0"/>
          <w:color w:val="auto"/>
          <w:szCs w:val="21"/>
          <w:highlight w:val="none"/>
        </w:rPr>
        <w:t>具备独立承担民事责任的能力，拥有合法有效的营业执照等相关经营资质。</w:t>
      </w:r>
    </w:p>
    <w:p w14:paraId="67BCA2F5">
      <w:pPr>
        <w:pStyle w:val="26"/>
        <w:numPr>
          <w:ilvl w:val="-1"/>
          <w:numId w:val="0"/>
        </w:numPr>
        <w:ind w:firstLine="420" w:firstLineChars="200"/>
        <w:rPr>
          <w:rFonts w:hint="default" w:cs="Times New Roman"/>
          <w:bCs w:val="0"/>
          <w:color w:val="auto"/>
          <w:szCs w:val="21"/>
          <w:highlight w:val="none"/>
        </w:rPr>
      </w:pP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二</w:t>
      </w:r>
      <w:r>
        <w:rPr>
          <w:rFonts w:hint="eastAsia" w:cs="Times New Roman"/>
          <w:bCs w:val="0"/>
          <w:color w:val="auto"/>
          <w:szCs w:val="21"/>
          <w:highlight w:val="none"/>
          <w:lang w:eastAsia="zh-CN"/>
        </w:rPr>
        <w:t>）</w:t>
      </w:r>
      <w:r>
        <w:rPr>
          <w:rFonts w:hint="default" w:cs="Times New Roman"/>
          <w:bCs w:val="0"/>
          <w:color w:val="auto"/>
          <w:szCs w:val="21"/>
          <w:highlight w:val="none"/>
        </w:rPr>
        <w:t>物流司机须具备相应的货车驾照，车辆要求为总质量4500KG及以下的全关闭厢式货车；如使用总质量4500KG以上的货车进行配送，需取得道路运输经营许可证及车辆营运证</w:t>
      </w:r>
      <w:r>
        <w:rPr>
          <w:rFonts w:hint="eastAsia" w:ascii="Times New Roman" w:hAnsi="Times New Roman" w:eastAsia="宋体" w:cs="Times New Roman"/>
          <w:color w:val="auto"/>
          <w:sz w:val="21"/>
          <w:szCs w:val="21"/>
          <w:highlight w:val="none"/>
          <w:lang w:val="en-US" w:eastAsia="zh-CN"/>
        </w:rPr>
        <w:t>，否则因违反《中华人民共和国道路运输条例》的规定产生的一切后果均由报价人承担。</w:t>
      </w:r>
    </w:p>
    <w:p w14:paraId="6194205E">
      <w:pPr>
        <w:pStyle w:val="26"/>
        <w:numPr>
          <w:ilvl w:val="-1"/>
          <w:numId w:val="0"/>
        </w:numPr>
        <w:ind w:firstLine="420" w:firstLineChars="200"/>
        <w:rPr>
          <w:rFonts w:hint="default" w:cs="Times New Roman"/>
          <w:bCs w:val="0"/>
          <w:color w:val="auto"/>
          <w:szCs w:val="21"/>
          <w:highlight w:val="none"/>
        </w:rPr>
      </w:pP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三</w:t>
      </w:r>
      <w:r>
        <w:rPr>
          <w:rFonts w:hint="eastAsia" w:cs="Times New Roman"/>
          <w:bCs w:val="0"/>
          <w:color w:val="auto"/>
          <w:szCs w:val="21"/>
          <w:highlight w:val="none"/>
          <w:lang w:eastAsia="zh-CN"/>
        </w:rPr>
        <w:t>）</w:t>
      </w:r>
      <w:r>
        <w:rPr>
          <w:rFonts w:hint="default" w:cs="Times New Roman"/>
          <w:bCs w:val="0"/>
          <w:color w:val="auto"/>
          <w:szCs w:val="21"/>
          <w:highlight w:val="none"/>
        </w:rPr>
        <w:t>日配送能力要求支装水不低于</w:t>
      </w:r>
      <w:r>
        <w:rPr>
          <w:rFonts w:hint="eastAsia" w:cs="Times New Roman"/>
          <w:bCs w:val="0"/>
          <w:color w:val="auto"/>
          <w:szCs w:val="21"/>
          <w:highlight w:val="none"/>
          <w:lang w:eastAsia="zh-CN"/>
        </w:rPr>
        <w:t>5</w:t>
      </w:r>
      <w:r>
        <w:rPr>
          <w:rFonts w:hint="default" w:cs="Times New Roman"/>
          <w:bCs w:val="0"/>
          <w:color w:val="auto"/>
          <w:szCs w:val="21"/>
          <w:highlight w:val="none"/>
        </w:rPr>
        <w:t>00件，桶装水不低于</w:t>
      </w:r>
      <w:r>
        <w:rPr>
          <w:rFonts w:hint="eastAsia" w:cs="Times New Roman"/>
          <w:bCs w:val="0"/>
          <w:color w:val="auto"/>
          <w:szCs w:val="21"/>
          <w:highlight w:val="none"/>
          <w:lang w:eastAsia="zh-CN"/>
        </w:rPr>
        <w:t>5</w:t>
      </w:r>
      <w:r>
        <w:rPr>
          <w:rFonts w:hint="default" w:cs="Times New Roman"/>
          <w:bCs w:val="0"/>
          <w:color w:val="auto"/>
          <w:szCs w:val="21"/>
          <w:highlight w:val="none"/>
        </w:rPr>
        <w:t>00桶。</w:t>
      </w:r>
    </w:p>
    <w:p w14:paraId="72B92038">
      <w:pPr>
        <w:pStyle w:val="26"/>
        <w:numPr>
          <w:ilvl w:val="-1"/>
          <w:numId w:val="0"/>
        </w:numPr>
        <w:ind w:firstLine="420" w:firstLineChars="200"/>
        <w:rPr>
          <w:rFonts w:hint="default" w:cs="Times New Roman"/>
          <w:bCs w:val="0"/>
          <w:color w:val="auto"/>
          <w:szCs w:val="21"/>
          <w:highlight w:val="none"/>
        </w:rPr>
      </w:pP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四</w:t>
      </w:r>
      <w:r>
        <w:rPr>
          <w:rFonts w:hint="eastAsia" w:cs="Times New Roman"/>
          <w:bCs w:val="0"/>
          <w:color w:val="auto"/>
          <w:szCs w:val="21"/>
          <w:highlight w:val="none"/>
          <w:lang w:eastAsia="zh-CN"/>
        </w:rPr>
        <w:t>）</w:t>
      </w:r>
      <w:r>
        <w:rPr>
          <w:rFonts w:hint="default" w:cs="Times New Roman"/>
          <w:bCs w:val="0"/>
          <w:color w:val="auto"/>
          <w:szCs w:val="21"/>
          <w:highlight w:val="none"/>
        </w:rPr>
        <w:t>具有良好的商业信誉和健全的财务会计制度，近三年内无重大违法违规记录及重大质量、安全事故。</w:t>
      </w:r>
    </w:p>
    <w:p w14:paraId="79C0C4EC">
      <w:pPr>
        <w:pStyle w:val="26"/>
        <w:numPr>
          <w:ilvl w:val="-1"/>
          <w:numId w:val="0"/>
        </w:numPr>
        <w:ind w:firstLine="420" w:firstLineChars="200"/>
        <w:rPr>
          <w:rFonts w:hint="default" w:cs="Times New Roman"/>
          <w:bCs w:val="0"/>
          <w:color w:val="auto"/>
          <w:szCs w:val="21"/>
          <w:highlight w:val="none"/>
          <w:lang w:val="en-US" w:eastAsia="zh-CN"/>
        </w:rPr>
      </w:pP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五</w:t>
      </w:r>
      <w:r>
        <w:rPr>
          <w:rFonts w:hint="eastAsia" w:cs="Times New Roman"/>
          <w:bCs w:val="0"/>
          <w:color w:val="auto"/>
          <w:szCs w:val="21"/>
          <w:highlight w:val="none"/>
          <w:lang w:eastAsia="zh-CN"/>
        </w:rPr>
        <w:t>）</w:t>
      </w:r>
      <w:r>
        <w:rPr>
          <w:rFonts w:hint="default" w:cs="Times New Roman"/>
          <w:bCs w:val="0"/>
          <w:color w:val="auto"/>
          <w:szCs w:val="21"/>
          <w:highlight w:val="none"/>
        </w:rPr>
        <w:t>具备履行合同所必需的设备、人员和专业技术能力，能够满足本需求书规定的服务要求和期限。</w:t>
      </w:r>
    </w:p>
    <w:p w14:paraId="11DC294A">
      <w:pPr>
        <w:numPr>
          <w:ilvl w:val="0"/>
          <w:numId w:val="0"/>
        </w:numPr>
        <w:spacing w:line="360" w:lineRule="auto"/>
        <w:ind w:firstLine="422" w:firstLineChars="200"/>
        <w:rPr>
          <w:rFonts w:hint="default" w:ascii="Times New Roman" w:hAnsi="Times New Roman" w:eastAsia="宋体" w:cs="Times New Roman"/>
          <w:b/>
          <w:color w:val="auto"/>
          <w:sz w:val="21"/>
          <w:szCs w:val="21"/>
          <w:highlight w:val="none"/>
          <w:lang w:val="en-US" w:eastAsia="zh-CN"/>
        </w:rPr>
      </w:pPr>
      <w:r>
        <w:rPr>
          <w:rFonts w:hint="eastAsia" w:cs="Times New Roman"/>
          <w:b/>
          <w:color w:val="auto"/>
          <w:sz w:val="21"/>
          <w:szCs w:val="21"/>
          <w:highlight w:val="none"/>
          <w:lang w:val="en-US" w:eastAsia="zh-CN"/>
        </w:rPr>
        <w:t>三、物流配送服务范围需求和单价预算</w:t>
      </w:r>
    </w:p>
    <w:p w14:paraId="5C9CD8D3">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本次服务范围在东莞市内，车辆数量</w:t>
      </w:r>
      <w:r>
        <w:rPr>
          <w:rFonts w:hint="eastAsia" w:cs="Times New Roman"/>
          <w:color w:val="auto"/>
          <w:sz w:val="21"/>
          <w:szCs w:val="21"/>
          <w:highlight w:val="none"/>
          <w:lang w:val="en-US" w:eastAsia="zh-CN"/>
        </w:rPr>
        <w:t>由报价人</w:t>
      </w:r>
      <w:r>
        <w:rPr>
          <w:rFonts w:hint="default" w:ascii="Times New Roman" w:hAnsi="Times New Roman" w:eastAsia="宋体" w:cs="Times New Roman"/>
          <w:color w:val="auto"/>
          <w:sz w:val="21"/>
          <w:szCs w:val="21"/>
          <w:highlight w:val="none"/>
          <w:lang w:val="en-US" w:eastAsia="zh-CN"/>
        </w:rPr>
        <w:t>自行配置。根据</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的订单，自行负责</w:t>
      </w:r>
      <w:r>
        <w:rPr>
          <w:rFonts w:hint="eastAsia" w:cs="Times New Roman"/>
          <w:color w:val="auto"/>
          <w:sz w:val="21"/>
          <w:szCs w:val="21"/>
          <w:highlight w:val="none"/>
          <w:lang w:val="en-US" w:eastAsia="zh-CN"/>
        </w:rPr>
        <w:t>配送</w:t>
      </w:r>
      <w:r>
        <w:rPr>
          <w:rFonts w:hint="default" w:ascii="Times New Roman" w:hAnsi="Times New Roman" w:eastAsia="宋体" w:cs="Times New Roman"/>
          <w:color w:val="auto"/>
          <w:sz w:val="21"/>
          <w:szCs w:val="21"/>
          <w:highlight w:val="none"/>
          <w:lang w:val="en-US" w:eastAsia="zh-CN"/>
        </w:rPr>
        <w:t>产品</w:t>
      </w:r>
      <w:r>
        <w:rPr>
          <w:rFonts w:hint="eastAsia"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装卸货，并配送至采购人客户指定存放点（注：个别客户存在1个或以上存放点，或者需要送货上楼）。</w:t>
      </w:r>
    </w:p>
    <w:p w14:paraId="3ADBF8CB">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（一）</w:t>
      </w:r>
      <w:r>
        <w:rPr>
          <w:rFonts w:hint="default" w:ascii="Times New Roman" w:hAnsi="Times New Roman" w:eastAsia="宋体" w:cs="Times New Roman"/>
          <w:color w:val="auto"/>
          <w:sz w:val="21"/>
          <w:szCs w:val="21"/>
          <w:highlight w:val="none"/>
          <w:lang w:val="en-US" w:eastAsia="zh-CN"/>
        </w:rPr>
        <w:t>配送服务范围</w:t>
      </w:r>
      <w:r>
        <w:rPr>
          <w:rFonts w:hint="eastAsia" w:ascii="Times New Roman" w:hAnsi="Times New Roman" w:eastAsia="宋体" w:cs="Times New Roman"/>
          <w:color w:val="auto"/>
          <w:sz w:val="21"/>
          <w:szCs w:val="21"/>
          <w:highlight w:val="none"/>
          <w:lang w:val="en-US" w:eastAsia="zh-CN"/>
        </w:rPr>
        <w:t>：</w:t>
      </w:r>
    </w:p>
    <w:p w14:paraId="1B7B0851">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配送起点为</w:t>
      </w:r>
      <w:r>
        <w:rPr>
          <w:rFonts w:hint="eastAsia" w:cs="Times New Roman"/>
          <w:color w:val="auto"/>
          <w:sz w:val="21"/>
          <w:szCs w:val="21"/>
          <w:highlight w:val="none"/>
          <w:lang w:val="en-US" w:eastAsia="zh-CN"/>
        </w:rPr>
        <w:t>采购人指定东莞市范围内仓库（合计两个仓库：南城仓库、常平仓库）</w:t>
      </w:r>
      <w:r>
        <w:rPr>
          <w:rFonts w:hint="default" w:ascii="Times New Roman" w:hAnsi="Times New Roman" w:eastAsia="宋体" w:cs="Times New Roman"/>
          <w:color w:val="auto"/>
          <w:sz w:val="21"/>
          <w:szCs w:val="21"/>
          <w:highlight w:val="none"/>
          <w:lang w:val="en-US" w:eastAsia="zh-CN"/>
        </w:rPr>
        <w:t>，终点为东莞市</w:t>
      </w:r>
      <w:r>
        <w:rPr>
          <w:rFonts w:hint="eastAsia" w:cs="Times New Roman"/>
          <w:color w:val="auto"/>
          <w:sz w:val="21"/>
          <w:szCs w:val="21"/>
          <w:highlight w:val="none"/>
          <w:lang w:val="en-US" w:eastAsia="zh-CN"/>
        </w:rPr>
        <w:t>范围内所有客户指定存放点（含多存放点、送货上楼等特殊需求场景）</w:t>
      </w:r>
      <w:r>
        <w:rPr>
          <w:rFonts w:hint="default" w:ascii="Times New Roman" w:hAnsi="Times New Roman" w:eastAsia="宋体" w:cs="Times New Roman"/>
          <w:color w:val="auto"/>
          <w:sz w:val="21"/>
          <w:szCs w:val="21"/>
          <w:highlight w:val="none"/>
          <w:lang w:val="en-US" w:eastAsia="zh-CN"/>
        </w:rPr>
        <w:t>。</w:t>
      </w:r>
    </w:p>
    <w:p w14:paraId="56491341">
      <w:pPr>
        <w:spacing w:line="360" w:lineRule="auto"/>
        <w:ind w:firstLine="420" w:firstLineChars="20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货物调拨规则：成交供应商可以根据采购人仓库管理要求，从采购人指定仓库中预提货物到成交供应商的仓库；采购人也可根据自有仓库库存调配需求，将货物预提调拨至成交人仓库，相关预提物流费用均由成交供应商承担。</w:t>
      </w:r>
    </w:p>
    <w:p w14:paraId="0D553437">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3.若合同终止，</w:t>
      </w:r>
      <w:r>
        <w:rPr>
          <w:rFonts w:hint="eastAsia"/>
          <w:color w:val="auto"/>
          <w:szCs w:val="21"/>
          <w:highlight w:val="none"/>
        </w:rPr>
        <w:t>成交供应商需在15个工作日内，将预提或预提调拨的剩余货物免费运送至采购人指定仓库，确保货物完好、数量无误。</w:t>
      </w:r>
    </w:p>
    <w:p w14:paraId="56C2D4A8">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en-US" w:eastAsia="zh-CN"/>
        </w:rPr>
      </w:pPr>
      <w:r>
        <w:rPr>
          <w:rFonts w:hint="eastAsia" w:ascii="Times New Roman" w:hAnsi="Times New Roman" w:eastAsia="宋体" w:cs="Times New Roman"/>
          <w:color w:val="auto"/>
          <w:sz w:val="21"/>
          <w:szCs w:val="21"/>
          <w:highlight w:val="none"/>
          <w:lang w:val="en-US" w:eastAsia="zh-CN"/>
        </w:rPr>
        <w:t>（二）</w:t>
      </w:r>
      <w:r>
        <w:rPr>
          <w:rFonts w:hint="eastAsia" w:ascii="仿宋_GB2312" w:hAnsi="仿宋_GB2312" w:eastAsia="仿宋_GB2312" w:cs="仿宋_GB2312"/>
          <w:color w:val="auto"/>
          <w:szCs w:val="21"/>
          <w:highlight w:val="none"/>
          <w:shd w:val="clear" w:color="auto" w:fill="FFFFFF"/>
          <w:lang w:val="en-US" w:eastAsia="zh-CN"/>
        </w:rPr>
        <w:t>配送预算单价（不含税）为4.54</w:t>
      </w:r>
      <w:r>
        <w:rPr>
          <w:rFonts w:hint="eastAsia" w:ascii="仿宋_GB2312" w:hAnsi="仿宋_GB2312" w:eastAsia="仿宋_GB2312" w:cs="仿宋_GB2312"/>
          <w:color w:val="auto"/>
          <w:szCs w:val="21"/>
          <w:highlight w:val="none"/>
          <w:u w:val="none"/>
          <w:shd w:val="clear" w:color="auto" w:fill="FFFFFF"/>
          <w:lang w:val="en-US" w:eastAsia="zh-CN"/>
        </w:rPr>
        <w:t>元/件（大写肆元伍角肆分）。</w:t>
      </w:r>
    </w:p>
    <w:p w14:paraId="161E78C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服务期限内，如采购人实际需要的物流配送服务未列入上述配送服务范围内，采购人参照当前市场价</w:t>
      </w:r>
      <w:r>
        <w:rPr>
          <w:rFonts w:hint="eastAsia" w:ascii="宋体" w:hAnsi="宋体" w:cs="宋体"/>
          <w:color w:val="auto"/>
          <w:sz w:val="21"/>
          <w:szCs w:val="21"/>
          <w:highlight w:val="none"/>
          <w:lang w:val="en-US" w:eastAsia="zh-CN"/>
        </w:rPr>
        <w:t>与成交人</w:t>
      </w:r>
      <w:r>
        <w:rPr>
          <w:rFonts w:hint="eastAsia" w:ascii="宋体" w:hAnsi="宋体" w:eastAsia="宋体" w:cs="宋体"/>
          <w:color w:val="auto"/>
          <w:sz w:val="21"/>
          <w:szCs w:val="21"/>
          <w:highlight w:val="none"/>
          <w:lang w:val="en-US" w:eastAsia="zh-CN"/>
        </w:rPr>
        <w:t>协商议定对应服务单价。供应商必须按下表梯度分别报出单价。报价应为门到门全包价，包含</w:t>
      </w:r>
      <w:r>
        <w:rPr>
          <w:rFonts w:hint="eastAsia" w:ascii="宋体" w:hAnsi="宋体" w:cs="宋体"/>
          <w:color w:val="auto"/>
          <w:sz w:val="21"/>
          <w:szCs w:val="21"/>
          <w:highlight w:val="none"/>
          <w:lang w:val="en-US" w:eastAsia="zh-CN"/>
        </w:rPr>
        <w:t>供应商为完成合同全部义务所发生的一切费用</w:t>
      </w:r>
      <w:r>
        <w:rPr>
          <w:rFonts w:hint="eastAsia" w:ascii="宋体" w:hAnsi="宋体" w:eastAsia="宋体" w:cs="宋体"/>
          <w:color w:val="auto"/>
          <w:sz w:val="21"/>
          <w:szCs w:val="21"/>
          <w:highlight w:val="none"/>
          <w:lang w:val="en-US" w:eastAsia="zh-CN"/>
        </w:rPr>
        <w:t>。</w:t>
      </w:r>
    </w:p>
    <w:tbl>
      <w:tblPr>
        <w:tblStyle w:val="19"/>
        <w:tblW w:w="7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99"/>
        <w:gridCol w:w="2518"/>
        <w:gridCol w:w="2282"/>
      </w:tblGrid>
      <w:tr w14:paraId="055C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399" w:type="dxa"/>
            <w:shd w:val="clear" w:color="auto" w:fill="auto"/>
            <w:vAlign w:val="center"/>
          </w:tcPr>
          <w:p w14:paraId="766E98DF">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1"/>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2518" w:type="dxa"/>
            <w:shd w:val="clear" w:color="auto" w:fill="auto"/>
            <w:vAlign w:val="center"/>
          </w:tcPr>
          <w:p w14:paraId="0AEE5F9B">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1"/>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2282" w:type="dxa"/>
            <w:shd w:val="clear" w:color="auto" w:fill="auto"/>
            <w:vAlign w:val="center"/>
          </w:tcPr>
          <w:p w14:paraId="7C013C06">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4EBD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2399" w:type="dxa"/>
            <w:shd w:val="clear" w:color="auto" w:fill="auto"/>
            <w:vAlign w:val="center"/>
          </w:tcPr>
          <w:p w14:paraId="1DF5074D">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1 - 19件</w:t>
            </w:r>
          </w:p>
        </w:tc>
        <w:tc>
          <w:tcPr>
            <w:tcW w:w="2518" w:type="dxa"/>
            <w:shd w:val="clear" w:color="auto" w:fill="auto"/>
            <w:vAlign w:val="center"/>
          </w:tcPr>
          <w:p w14:paraId="042966F1">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529194D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4%</w:t>
            </w:r>
          </w:p>
        </w:tc>
      </w:tr>
      <w:tr w14:paraId="252C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2399" w:type="dxa"/>
            <w:shd w:val="clear" w:color="auto" w:fill="auto"/>
            <w:vAlign w:val="center"/>
          </w:tcPr>
          <w:p w14:paraId="166E607D">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2518" w:type="dxa"/>
            <w:shd w:val="clear" w:color="auto" w:fill="auto"/>
            <w:vAlign w:val="center"/>
          </w:tcPr>
          <w:p w14:paraId="4403528C">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1"/>
                <w:rFonts w:hint="eastAsia" w:ascii="仿宋_GB2312" w:hAnsi="仿宋_GB2312" w:eastAsia="仿宋_GB2312" w:cs="仿宋_GB2312"/>
                <w:color w:val="auto"/>
                <w:sz w:val="21"/>
                <w:szCs w:val="21"/>
                <w:highlight w:val="none"/>
                <w:shd w:val="clear" w:color="auto" w:fill="FFFFFF"/>
                <w:lang w:val="en-US" w:eastAsia="zh-CN" w:bidi="ar"/>
              </w:rPr>
              <w:t>​</w:t>
            </w:r>
          </w:p>
        </w:tc>
        <w:tc>
          <w:tcPr>
            <w:tcW w:w="2282" w:type="dxa"/>
            <w:shd w:val="clear" w:color="auto" w:fill="auto"/>
            <w:vAlign w:val="center"/>
          </w:tcPr>
          <w:p w14:paraId="1E36BCDF">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18%</w:t>
            </w:r>
          </w:p>
        </w:tc>
      </w:tr>
      <w:tr w14:paraId="016F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399" w:type="dxa"/>
            <w:shd w:val="clear" w:color="auto" w:fill="auto"/>
            <w:vAlign w:val="center"/>
          </w:tcPr>
          <w:p w14:paraId="7CC08FBA">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2518" w:type="dxa"/>
            <w:shd w:val="clear" w:color="auto" w:fill="auto"/>
            <w:vAlign w:val="center"/>
          </w:tcPr>
          <w:p w14:paraId="58BD14F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1"/>
                <w:rFonts w:hint="eastAsia" w:ascii="仿宋_GB2312" w:hAnsi="仿宋_GB2312" w:eastAsia="仿宋_GB2312" w:cs="仿宋_GB2312"/>
                <w:color w:val="auto"/>
                <w:sz w:val="21"/>
                <w:szCs w:val="21"/>
                <w:highlight w:val="none"/>
                <w:shd w:val="clear" w:color="auto" w:fill="FFFFFF"/>
                <w:lang w:val="en-US" w:eastAsia="zh-CN" w:bidi="ar"/>
              </w:rPr>
              <w:t>​</w:t>
            </w:r>
          </w:p>
        </w:tc>
        <w:tc>
          <w:tcPr>
            <w:tcW w:w="2282" w:type="dxa"/>
            <w:shd w:val="clear" w:color="auto" w:fill="auto"/>
            <w:vAlign w:val="center"/>
          </w:tcPr>
          <w:p w14:paraId="6C9C2D33">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73%</w:t>
            </w:r>
          </w:p>
        </w:tc>
      </w:tr>
      <w:tr w14:paraId="78BA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399" w:type="dxa"/>
            <w:shd w:val="clear" w:color="auto" w:fill="auto"/>
            <w:vAlign w:val="center"/>
          </w:tcPr>
          <w:p w14:paraId="270569D7">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200 - 499件</w:t>
            </w:r>
          </w:p>
        </w:tc>
        <w:tc>
          <w:tcPr>
            <w:tcW w:w="2518" w:type="dxa"/>
            <w:shd w:val="clear" w:color="auto" w:fill="auto"/>
            <w:vAlign w:val="center"/>
          </w:tcPr>
          <w:p w14:paraId="313B0179">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046CE23A">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269D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399" w:type="dxa"/>
            <w:shd w:val="clear" w:color="auto" w:fill="auto"/>
            <w:vAlign w:val="center"/>
          </w:tcPr>
          <w:p w14:paraId="21469F1A">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500 - 999件</w:t>
            </w:r>
          </w:p>
        </w:tc>
        <w:tc>
          <w:tcPr>
            <w:tcW w:w="2518" w:type="dxa"/>
            <w:shd w:val="clear" w:color="auto" w:fill="auto"/>
            <w:vAlign w:val="center"/>
          </w:tcPr>
          <w:p w14:paraId="7603183F">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4209DF32">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54C5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jc w:val="center"/>
        </w:trPr>
        <w:tc>
          <w:tcPr>
            <w:tcW w:w="2399" w:type="dxa"/>
            <w:shd w:val="clear" w:color="auto" w:fill="auto"/>
            <w:vAlign w:val="center"/>
          </w:tcPr>
          <w:p w14:paraId="2237B031">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1000件及以上</w:t>
            </w:r>
          </w:p>
        </w:tc>
        <w:tc>
          <w:tcPr>
            <w:tcW w:w="2518" w:type="dxa"/>
            <w:shd w:val="clear" w:color="auto" w:fill="auto"/>
            <w:vAlign w:val="center"/>
          </w:tcPr>
          <w:p w14:paraId="5720A645">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161DBB9E">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bl>
    <w:p w14:paraId="57937216">
      <w:pPr>
        <w:pStyle w:val="26"/>
        <w:rPr>
          <w:rFonts w:hint="eastAsia"/>
          <w:highlight w:val="none"/>
        </w:rPr>
      </w:pPr>
    </w:p>
    <w:p w14:paraId="1C508F0B">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服务期限</w:t>
      </w:r>
    </w:p>
    <w:p w14:paraId="713738F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服务期限自合同签订之日起</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个月，前述期限届满或包装水物流配送服务费</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累计达到</w:t>
      </w:r>
      <w:r>
        <w:rPr>
          <w:rFonts w:hint="eastAsia" w:ascii="宋体" w:hAnsi="宋体" w:cs="宋体"/>
          <w:color w:val="auto"/>
          <w:sz w:val="21"/>
          <w:szCs w:val="21"/>
          <w:highlight w:val="none"/>
          <w:lang w:val="en-US" w:eastAsia="zh-CN"/>
        </w:rPr>
        <w:t>900,000.00</w:t>
      </w:r>
      <w:r>
        <w:rPr>
          <w:rFonts w:hint="eastAsia" w:ascii="宋体" w:hAnsi="宋体" w:eastAsia="宋体" w:cs="宋体"/>
          <w:color w:val="auto"/>
          <w:sz w:val="21"/>
          <w:szCs w:val="21"/>
          <w:highlight w:val="none"/>
          <w:lang w:val="en-US" w:eastAsia="zh-CN"/>
        </w:rPr>
        <w:t>元时止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终止日期以前述两种情况中先达到的期限为准</w:t>
      </w:r>
      <w:r>
        <w:rPr>
          <w:rFonts w:hint="eastAsia" w:ascii="宋体" w:hAnsi="宋体" w:eastAsia="宋体" w:cs="宋体"/>
          <w:color w:val="auto"/>
          <w:sz w:val="21"/>
          <w:szCs w:val="21"/>
          <w:highlight w:val="none"/>
          <w:lang w:bidi="ar"/>
        </w:rPr>
        <w:t>。</w:t>
      </w:r>
    </w:p>
    <w:p w14:paraId="170E159B">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lang w:val="en-US" w:eastAsia="zh-CN"/>
        </w:rPr>
        <w:t>、服务要求</w:t>
      </w:r>
    </w:p>
    <w:p w14:paraId="1817E93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1.成交人在服务中应注意维护采购人的企业形象、名誉。</w:t>
      </w:r>
      <w:r>
        <w:rPr>
          <w:rFonts w:hint="eastAsia" w:ascii="宋体" w:hAnsi="宋体" w:cs="宋体"/>
          <w:color w:val="auto"/>
          <w:sz w:val="21"/>
          <w:szCs w:val="21"/>
          <w:highlight w:val="none"/>
          <w:lang w:val="en-US" w:eastAsia="zh-CN"/>
        </w:rPr>
        <w:t>成交人应督促</w:t>
      </w:r>
      <w:r>
        <w:rPr>
          <w:rFonts w:hint="eastAsia" w:ascii="宋体" w:hAnsi="宋体" w:eastAsia="宋体" w:cs="宋体"/>
          <w:color w:val="auto"/>
          <w:sz w:val="21"/>
          <w:szCs w:val="21"/>
          <w:highlight w:val="none"/>
          <w:lang w:val="en-US" w:eastAsia="zh-CN"/>
        </w:rPr>
        <w:t>物流司机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搬运工禁止穿拖鞋上班、衣着要整齐、文明做事、礼貌待人、不得以任何原因与收货人产生争执，不得以任何理由向采购人客户索取物资，不得透露采购人物流配送产品的价格、数量等任何信息。</w:t>
      </w:r>
    </w:p>
    <w:p w14:paraId="7C2873B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2.物流司机要凭提货单上的数量到指定地点装车，装车完成后，由仓管员核对数量后签字确认。</w:t>
      </w:r>
    </w:p>
    <w:p w14:paraId="43EF17E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3.装卸货物时对产品要轻拿轻放、摆放整齐，如有损坏</w:t>
      </w:r>
      <w:r>
        <w:rPr>
          <w:rFonts w:hint="eastAsia" w:ascii="宋体" w:hAnsi="宋体" w:cs="宋体"/>
          <w:color w:val="auto"/>
          <w:sz w:val="21"/>
          <w:szCs w:val="21"/>
          <w:highlight w:val="none"/>
          <w:lang w:val="en-US" w:eastAsia="zh-CN"/>
        </w:rPr>
        <w:t>按照销售价</w:t>
      </w:r>
      <w:r>
        <w:rPr>
          <w:rFonts w:hint="eastAsia" w:ascii="宋体" w:hAnsi="宋体" w:eastAsia="宋体" w:cs="宋体"/>
          <w:color w:val="auto"/>
          <w:sz w:val="21"/>
          <w:szCs w:val="21"/>
          <w:highlight w:val="none"/>
          <w:lang w:val="en-US" w:eastAsia="zh-CN"/>
        </w:rPr>
        <w:t>赔偿。物流配送途中货物整齐牢固，关好车门，不超高超宽超重，以免货物撒漏破损，要保证物流配送全过程安全。</w:t>
      </w:r>
    </w:p>
    <w:p w14:paraId="6B28DC1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乙方在当天11:00前接到的物流配送任务需当天全部配送完成，11：00后的物流配送任务需次日全部配送完成（特殊情况经甲方书面同意的除外），甲方有权对乙方承运的在途货物进行跟踪。没有甲方书面同意的情况下，乙方不能把甲方客户的库存产品退回甲方，否则甲方有权在乙方的物流配送服务费中直接扣除退回产品的出厂价。</w:t>
      </w:r>
    </w:p>
    <w:p w14:paraId="1D12F083">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5.供应商必须按当天派</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eastAsia="zh-CN"/>
        </w:rPr>
        <w:t>的顺序来配送完成当天订单，不得故意不按时按点配送或因未完成当天</w:t>
      </w:r>
      <w:r>
        <w:rPr>
          <w:rFonts w:hint="eastAsia" w:ascii="宋体" w:hAnsi="宋体" w:cs="宋体"/>
          <w:color w:val="auto"/>
          <w:sz w:val="21"/>
          <w:szCs w:val="21"/>
          <w:highlight w:val="none"/>
          <w:lang w:val="en-US" w:eastAsia="zh-CN"/>
        </w:rPr>
        <w:t>的配送</w:t>
      </w:r>
      <w:r>
        <w:rPr>
          <w:rFonts w:hint="eastAsia" w:ascii="宋体" w:hAnsi="宋体" w:eastAsia="宋体" w:cs="宋体"/>
          <w:color w:val="auto"/>
          <w:sz w:val="21"/>
          <w:szCs w:val="21"/>
          <w:highlight w:val="none"/>
          <w:lang w:val="en-US" w:eastAsia="zh-CN"/>
        </w:rPr>
        <w:t>订单而造成客户投诉。</w:t>
      </w:r>
      <w:r>
        <w:rPr>
          <w:rFonts w:hint="eastAsia" w:ascii="宋体" w:hAnsi="宋体" w:cs="宋体"/>
          <w:color w:val="auto"/>
          <w:sz w:val="21"/>
          <w:szCs w:val="21"/>
          <w:highlight w:val="none"/>
          <w:lang w:val="en-US" w:eastAsia="zh-CN"/>
        </w:rPr>
        <w:t>如遇天气恶劣等原因确需推迟发车日期的，</w:t>
      </w:r>
      <w:r>
        <w:rPr>
          <w:rFonts w:hint="eastAsia" w:ascii="宋体" w:hAnsi="宋体" w:eastAsia="宋体" w:cs="宋体"/>
          <w:color w:val="auto"/>
          <w:sz w:val="21"/>
          <w:szCs w:val="21"/>
          <w:highlight w:val="none"/>
          <w:lang w:val="en-US" w:eastAsia="zh-CN"/>
        </w:rPr>
        <w:t>应在</w:t>
      </w:r>
      <w:r>
        <w:rPr>
          <w:rFonts w:hint="eastAsia" w:ascii="宋体" w:hAnsi="宋体" w:cs="宋体"/>
          <w:color w:val="auto"/>
          <w:sz w:val="21"/>
          <w:szCs w:val="21"/>
          <w:highlight w:val="none"/>
          <w:lang w:val="en-US" w:eastAsia="zh-CN"/>
        </w:rPr>
        <w:t>事先</w:t>
      </w:r>
      <w:r>
        <w:rPr>
          <w:rFonts w:hint="eastAsia" w:ascii="宋体" w:hAnsi="宋体" w:cs="宋体"/>
          <w:b w:val="0"/>
          <w:bCs/>
          <w:color w:val="auto"/>
          <w:sz w:val="21"/>
          <w:szCs w:val="21"/>
          <w:highlight w:val="none"/>
          <w:lang w:val="en-US" w:eastAsia="zh-CN"/>
        </w:rPr>
        <w:t>取得</w:t>
      </w:r>
      <w:r>
        <w:rPr>
          <w:rFonts w:hint="eastAsia" w:ascii="宋体" w:hAnsi="宋体" w:eastAsia="宋体" w:cs="宋体"/>
          <w:b w:val="0"/>
          <w:bCs/>
          <w:color w:val="auto"/>
          <w:sz w:val="21"/>
          <w:szCs w:val="21"/>
          <w:highlight w:val="none"/>
          <w:lang w:val="en-US" w:eastAsia="zh-CN"/>
        </w:rPr>
        <w:t>采购人同意的情况下，</w:t>
      </w:r>
      <w:r>
        <w:rPr>
          <w:rFonts w:hint="eastAsia" w:ascii="宋体" w:hAnsi="宋体" w:cs="宋体"/>
          <w:b w:val="0"/>
          <w:bCs/>
          <w:color w:val="auto"/>
          <w:sz w:val="21"/>
          <w:szCs w:val="21"/>
          <w:highlight w:val="none"/>
          <w:lang w:val="en-US" w:eastAsia="zh-CN"/>
        </w:rPr>
        <w:t>方</w:t>
      </w:r>
      <w:r>
        <w:rPr>
          <w:rFonts w:hint="eastAsia" w:ascii="宋体" w:hAnsi="宋体" w:eastAsia="宋体" w:cs="宋体"/>
          <w:b w:val="0"/>
          <w:bCs/>
          <w:color w:val="auto"/>
          <w:sz w:val="21"/>
          <w:szCs w:val="21"/>
          <w:highlight w:val="none"/>
          <w:lang w:val="en-US" w:eastAsia="zh-CN"/>
        </w:rPr>
        <w:t>可延迟一天配送</w:t>
      </w:r>
      <w:r>
        <w:rPr>
          <w:rFonts w:hint="eastAsia" w:ascii="宋体" w:hAnsi="宋体" w:cs="宋体"/>
          <w:b w:val="0"/>
          <w:bCs/>
          <w:color w:val="auto"/>
          <w:sz w:val="21"/>
          <w:szCs w:val="21"/>
          <w:highlight w:val="none"/>
          <w:lang w:val="en-US" w:eastAsia="zh-CN"/>
        </w:rPr>
        <w:t>订单</w:t>
      </w:r>
      <w:r>
        <w:rPr>
          <w:rFonts w:hint="eastAsia" w:ascii="宋体" w:hAnsi="宋体" w:eastAsia="宋体" w:cs="宋体"/>
          <w:b w:val="0"/>
          <w:bCs/>
          <w:color w:val="auto"/>
          <w:sz w:val="21"/>
          <w:szCs w:val="21"/>
          <w:highlight w:val="none"/>
          <w:lang w:val="en-US" w:eastAsia="zh-CN"/>
        </w:rPr>
        <w:t>。</w:t>
      </w:r>
    </w:p>
    <w:p w14:paraId="43B164F5">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lang w:val="en-US" w:eastAsia="zh-CN"/>
        </w:rPr>
        <w:t>、付款方式</w:t>
      </w:r>
    </w:p>
    <w:p w14:paraId="6A7ABD3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物流配送服务费按月进行结算</w:t>
      </w:r>
      <w:r>
        <w:rPr>
          <w:rFonts w:hint="eastAsia" w:ascii="宋体" w:hAnsi="宋体" w:cs="宋体"/>
          <w:color w:val="auto"/>
          <w:sz w:val="21"/>
          <w:szCs w:val="21"/>
          <w:highlight w:val="none"/>
          <w:lang w:val="en-US" w:eastAsia="zh-CN"/>
        </w:rPr>
        <w:t>、支付</w:t>
      </w:r>
      <w:r>
        <w:rPr>
          <w:rFonts w:hint="eastAsia" w:ascii="宋体" w:hAnsi="宋体" w:eastAsia="宋体" w:cs="宋体"/>
          <w:color w:val="auto"/>
          <w:sz w:val="21"/>
          <w:szCs w:val="21"/>
          <w:highlight w:val="none"/>
          <w:lang w:val="en-US" w:eastAsia="zh-CN"/>
        </w:rPr>
        <w:t>。成交人于次月提交上月物流配送服务请款报告，以及合法、有效的增值税专用发票，经采购人审核确认无误后15个工作日内以银行转账或汇款方式向成交人支付相应款项</w:t>
      </w:r>
      <w:r>
        <w:rPr>
          <w:rFonts w:hint="eastAsia" w:ascii="宋体" w:hAnsi="宋体" w:eastAsia="宋体" w:cs="宋体"/>
          <w:color w:val="auto"/>
          <w:sz w:val="21"/>
          <w:szCs w:val="21"/>
          <w:highlight w:val="none"/>
        </w:rPr>
        <w:t>。</w:t>
      </w:r>
    </w:p>
    <w:p w14:paraId="60B9BB06">
      <w:pPr>
        <w:pStyle w:val="7"/>
        <w:ind w:firstLine="422"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七、其他</w:t>
      </w:r>
    </w:p>
    <w:p w14:paraId="26BBCC0E">
      <w:pPr>
        <w:pStyle w:val="7"/>
        <w:ind w:firstLine="420" w:firstLineChars="200"/>
        <w:rPr>
          <w:rFonts w:hint="eastAsia"/>
          <w:lang w:val="en-US" w:eastAsia="zh-CN"/>
        </w:rPr>
      </w:pPr>
      <w:r>
        <w:rPr>
          <w:rFonts w:hint="eastAsia"/>
          <w:lang w:val="en-US" w:eastAsia="zh-CN"/>
        </w:rPr>
        <w:t>采购人将建立物流服务商月度综合评价机制，评价指标包括配送准时率、货物完好率、客户投诉率、服务响应速度等，评价结果将作为后续合作及调整合作角色的依据。评价结果为不合格的，采购人有权终止合作。</w:t>
      </w:r>
    </w:p>
    <w:p w14:paraId="51A05FAB">
      <w:pPr>
        <w:pStyle w:val="26"/>
        <w:rPr>
          <w:rFonts w:hint="default"/>
          <w:highlight w:val="none"/>
          <w:lang w:val="en-US" w:eastAsia="zh-CN"/>
        </w:rPr>
      </w:pPr>
    </w:p>
    <w:p w14:paraId="36EA9B52">
      <w:pPr>
        <w:spacing w:before="480" w:after="480" w:line="288" w:lineRule="auto"/>
        <w:ind w:left="0"/>
        <w:jc w:val="center"/>
        <w:rPr>
          <w:rFonts w:hint="eastAsia" w:ascii="Arial" w:hAnsi="Arial" w:eastAsia="等线" w:cs="Arial"/>
          <w:b/>
          <w:sz w:val="52"/>
        </w:rPr>
      </w:pPr>
      <w:bookmarkStart w:id="29" w:name="_Toc23728"/>
    </w:p>
    <w:p w14:paraId="3EEBDDFA">
      <w:pPr>
        <w:spacing w:before="0" w:after="0" w:line="360" w:lineRule="auto"/>
        <w:ind w:left="0"/>
        <w:jc w:val="left"/>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附件</w:t>
      </w:r>
    </w:p>
    <w:p w14:paraId="33A1204E">
      <w:pPr>
        <w:spacing w:before="480" w:after="480" w:line="288" w:lineRule="auto"/>
        <w:ind w:left="0"/>
        <w:jc w:val="center"/>
        <w:rPr>
          <w:rFonts w:hint="eastAsia" w:ascii="Arial" w:hAnsi="Arial" w:eastAsia="等线" w:cs="Arial"/>
          <w:b/>
          <w:sz w:val="52"/>
        </w:rPr>
      </w:pPr>
      <w:r>
        <w:rPr>
          <w:rFonts w:hint="eastAsia" w:ascii="Arial" w:hAnsi="Arial" w:eastAsia="等线" w:cs="Arial"/>
          <w:b/>
          <w:sz w:val="52"/>
        </w:rPr>
        <w:t>东莞市福地饮用水有限公司</w:t>
      </w:r>
    </w:p>
    <w:p w14:paraId="06E94F4A">
      <w:pPr>
        <w:spacing w:before="480" w:after="480" w:line="288" w:lineRule="auto"/>
        <w:ind w:left="0"/>
        <w:jc w:val="center"/>
      </w:pPr>
      <w:r>
        <w:rPr>
          <w:rFonts w:hint="eastAsia" w:ascii="Arial" w:hAnsi="Arial" w:eastAsia="等线" w:cs="Arial"/>
          <w:b/>
          <w:sz w:val="52"/>
          <w:lang w:val="en-US" w:eastAsia="zh-CN"/>
        </w:rPr>
        <w:t>物流配送服务月度综合评价</w:t>
      </w:r>
      <w:r>
        <w:rPr>
          <w:rFonts w:ascii="Arial" w:hAnsi="Arial" w:eastAsia="等线" w:cs="Arial"/>
          <w:b/>
          <w:sz w:val="52"/>
        </w:rPr>
        <w:t>表</w:t>
      </w:r>
    </w:p>
    <w:p w14:paraId="7F879EDD">
      <w:pPr>
        <w:spacing w:before="120" w:after="120" w:line="288" w:lineRule="auto"/>
        <w:ind w:left="0"/>
        <w:jc w:val="left"/>
        <w:rPr>
          <w:rFonts w:ascii="Arial" w:hAnsi="Arial" w:eastAsia="等线" w:cs="Arial"/>
          <w:sz w:val="22"/>
        </w:rPr>
      </w:pPr>
      <w:r>
        <w:rPr>
          <w:rFonts w:ascii="Arial" w:hAnsi="Arial" w:eastAsia="等线" w:cs="Arial"/>
          <w:sz w:val="22"/>
        </w:rPr>
        <w:t xml:space="preserve">考核对象：__________ </w:t>
      </w:r>
    </w:p>
    <w:p w14:paraId="4855F1B4">
      <w:pPr>
        <w:spacing w:before="120" w:after="120" w:line="288" w:lineRule="auto"/>
        <w:ind w:left="0"/>
        <w:jc w:val="left"/>
        <w:rPr>
          <w:rFonts w:ascii="Arial" w:hAnsi="Arial" w:eastAsia="等线" w:cs="Arial"/>
          <w:sz w:val="22"/>
        </w:rPr>
      </w:pPr>
      <w:r>
        <w:rPr>
          <w:rFonts w:ascii="Arial" w:hAnsi="Arial" w:eastAsia="等线" w:cs="Arial"/>
          <w:sz w:val="22"/>
        </w:rPr>
        <w:t xml:space="preserve">考核周期：____年__月__日-____年__月__日 </w:t>
      </w:r>
    </w:p>
    <w:p w14:paraId="695F9EF4">
      <w:pPr>
        <w:spacing w:before="120" w:after="120" w:line="288" w:lineRule="auto"/>
        <w:ind w:left="0"/>
        <w:jc w:val="left"/>
        <w:rPr>
          <w:rFonts w:ascii="Arial" w:hAnsi="Arial" w:eastAsia="等线" w:cs="Arial"/>
          <w:sz w:val="22"/>
        </w:rPr>
      </w:pPr>
      <w:r>
        <w:rPr>
          <w:rFonts w:ascii="Arial" w:hAnsi="Arial" w:eastAsia="等线" w:cs="Arial"/>
          <w:sz w:val="22"/>
        </w:rPr>
        <w:t xml:space="preserve">考核人：__________ </w:t>
      </w:r>
    </w:p>
    <w:p w14:paraId="2E3F1B76">
      <w:pPr>
        <w:spacing w:before="120" w:after="120" w:line="288" w:lineRule="auto"/>
        <w:ind w:left="0"/>
        <w:jc w:val="left"/>
      </w:pPr>
      <w:r>
        <w:rPr>
          <w:rFonts w:ascii="Arial" w:hAnsi="Arial" w:eastAsia="等线" w:cs="Arial"/>
          <w:sz w:val="22"/>
        </w:rPr>
        <w:t>考核得分：__________</w:t>
      </w:r>
    </w:p>
    <w:p w14:paraId="64260D7E">
      <w:pPr>
        <w:spacing w:before="120" w:after="120" w:line="288" w:lineRule="auto"/>
        <w:ind w:left="0"/>
        <w:jc w:val="left"/>
      </w:pPr>
      <w:r>
        <w:rPr>
          <w:rFonts w:ascii="Arial" w:hAnsi="Arial" w:eastAsia="等线" w:cs="Arial"/>
          <w:sz w:val="22"/>
        </w:rPr>
        <w:t>说明：总分100分，</w:t>
      </w:r>
      <w:r>
        <w:rPr>
          <w:rFonts w:hint="eastAsia" w:ascii="Arial" w:hAnsi="Arial" w:eastAsia="等线" w:cs="Arial"/>
          <w:sz w:val="22"/>
          <w:lang w:val="en-US" w:eastAsia="zh-CN"/>
        </w:rPr>
        <w:t>90</w:t>
      </w:r>
      <w:r>
        <w:rPr>
          <w:rFonts w:ascii="Arial" w:hAnsi="Arial" w:eastAsia="等线" w:cs="Arial"/>
          <w:sz w:val="22"/>
        </w:rPr>
        <w:t>分及以上为优秀，70-</w:t>
      </w:r>
      <w:r>
        <w:rPr>
          <w:rFonts w:hint="eastAsia" w:ascii="Arial" w:hAnsi="Arial" w:eastAsia="等线" w:cs="Arial"/>
          <w:sz w:val="22"/>
          <w:lang w:val="en-US" w:eastAsia="zh-CN"/>
        </w:rPr>
        <w:t>89</w:t>
      </w:r>
      <w:r>
        <w:rPr>
          <w:rFonts w:ascii="Arial" w:hAnsi="Arial" w:eastAsia="等线" w:cs="Arial"/>
          <w:sz w:val="22"/>
        </w:rPr>
        <w:t>分为合格，70分以下为不合格；扣分直接在对应项填写，扣完该项分值为止，不跨项抵扣。</w:t>
      </w:r>
    </w:p>
    <w:tbl>
      <w:tblPr>
        <w:tblStyle w:val="19"/>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81"/>
        <w:gridCol w:w="833"/>
        <w:gridCol w:w="4568"/>
        <w:gridCol w:w="1183"/>
        <w:gridCol w:w="785"/>
      </w:tblGrid>
      <w:tr w14:paraId="01D392A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07CA04B">
            <w:pPr>
              <w:spacing w:before="120" w:after="120" w:line="288" w:lineRule="auto"/>
              <w:ind w:left="0"/>
              <w:jc w:val="left"/>
            </w:pPr>
            <w:r>
              <w:rPr>
                <w:rFonts w:ascii="Arial" w:hAnsi="Arial" w:eastAsia="等线" w:cs="Arial"/>
                <w:sz w:val="22"/>
              </w:rPr>
              <w:t>考核大类</w:t>
            </w:r>
          </w:p>
        </w:tc>
        <w:tc>
          <w:tcPr>
            <w:tcW w:w="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CD47911">
            <w:pPr>
              <w:spacing w:before="120" w:after="120" w:line="288" w:lineRule="auto"/>
              <w:ind w:left="0"/>
              <w:jc w:val="left"/>
            </w:pPr>
            <w:r>
              <w:rPr>
                <w:rFonts w:ascii="Arial" w:hAnsi="Arial" w:eastAsia="等线" w:cs="Arial"/>
                <w:sz w:val="22"/>
              </w:rPr>
              <w:t>考核项目</w:t>
            </w:r>
          </w:p>
        </w:tc>
        <w:tc>
          <w:tcPr>
            <w:tcW w:w="45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2D3C69">
            <w:pPr>
              <w:spacing w:before="120" w:after="120" w:line="288" w:lineRule="auto"/>
              <w:ind w:left="0"/>
              <w:jc w:val="left"/>
            </w:pPr>
            <w:r>
              <w:rPr>
                <w:rFonts w:ascii="Arial" w:hAnsi="Arial" w:eastAsia="等线" w:cs="Arial"/>
                <w:sz w:val="22"/>
              </w:rPr>
              <w:t>评分标准</w:t>
            </w:r>
          </w:p>
        </w:tc>
        <w:tc>
          <w:tcPr>
            <w:tcW w:w="11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6B698A">
            <w:pPr>
              <w:spacing w:before="120" w:after="120" w:line="288" w:lineRule="auto"/>
              <w:ind w:left="0"/>
              <w:jc w:val="left"/>
            </w:pPr>
            <w:r>
              <w:rPr>
                <w:rFonts w:ascii="Arial" w:hAnsi="Arial" w:eastAsia="等线" w:cs="Arial"/>
                <w:sz w:val="22"/>
              </w:rPr>
              <w:t>权重（分值）</w:t>
            </w:r>
          </w:p>
        </w:tc>
        <w:tc>
          <w:tcPr>
            <w:tcW w:w="7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D88463">
            <w:pPr>
              <w:spacing w:before="120" w:after="120" w:line="288" w:lineRule="auto"/>
              <w:ind w:left="0"/>
              <w:jc w:val="left"/>
            </w:pPr>
            <w:r>
              <w:rPr>
                <w:rFonts w:ascii="Arial" w:hAnsi="Arial" w:eastAsia="等线" w:cs="Arial"/>
                <w:sz w:val="22"/>
              </w:rPr>
              <w:t>实际得分</w:t>
            </w:r>
          </w:p>
        </w:tc>
      </w:tr>
      <w:tr w14:paraId="25E423D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340" w:hRule="atLeast"/>
        </w:trPr>
        <w:tc>
          <w:tcPr>
            <w:tcW w:w="881"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A365737">
            <w:pPr>
              <w:spacing w:before="120" w:after="120" w:line="288" w:lineRule="auto"/>
              <w:ind w:left="0"/>
              <w:jc w:val="left"/>
            </w:pPr>
            <w:r>
              <w:rPr>
                <w:rFonts w:ascii="Arial" w:hAnsi="Arial" w:eastAsia="等线" w:cs="Arial"/>
                <w:sz w:val="22"/>
              </w:rPr>
              <w:t>配送时效（</w:t>
            </w:r>
            <w:r>
              <w:rPr>
                <w:rFonts w:hint="eastAsia" w:ascii="Arial" w:hAnsi="Arial" w:eastAsia="等线" w:cs="Arial"/>
                <w:sz w:val="22"/>
                <w:lang w:val="en-US" w:eastAsia="zh-CN"/>
              </w:rPr>
              <w:t>4</w:t>
            </w:r>
            <w:r>
              <w:rPr>
                <w:rFonts w:ascii="Arial" w:hAnsi="Arial" w:eastAsia="等线" w:cs="Arial"/>
                <w:sz w:val="22"/>
              </w:rPr>
              <w:t>0分）</w:t>
            </w:r>
          </w:p>
        </w:tc>
        <w:tc>
          <w:tcPr>
            <w:tcW w:w="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626A571">
            <w:pPr>
              <w:spacing w:before="120" w:after="120" w:line="288" w:lineRule="auto"/>
              <w:ind w:left="0"/>
              <w:jc w:val="left"/>
            </w:pPr>
            <w:r>
              <w:rPr>
                <w:rFonts w:ascii="Arial" w:hAnsi="Arial" w:eastAsia="等线" w:cs="Arial"/>
                <w:sz w:val="22"/>
              </w:rPr>
              <w:t>按时配送</w:t>
            </w:r>
          </w:p>
        </w:tc>
        <w:tc>
          <w:tcPr>
            <w:tcW w:w="45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178C4A">
            <w:pPr>
              <w:spacing w:before="120" w:after="120" w:line="288" w:lineRule="auto"/>
              <w:ind w:left="0"/>
              <w:jc w:val="left"/>
            </w:pPr>
            <w:r>
              <w:rPr>
                <w:rFonts w:ascii="Arial" w:hAnsi="Arial" w:eastAsia="等线" w:cs="Arial"/>
                <w:sz w:val="22"/>
              </w:rPr>
              <w:t>按订单约定时间准时送达，无延迟，得10分；每延迟</w:t>
            </w:r>
            <w:r>
              <w:rPr>
                <w:rFonts w:hint="eastAsia" w:ascii="Arial" w:hAnsi="Arial" w:eastAsia="等线" w:cs="Arial"/>
                <w:sz w:val="22"/>
                <w:lang w:val="en-US" w:eastAsia="zh-CN"/>
              </w:rPr>
              <w:t>1次</w:t>
            </w:r>
            <w:r>
              <w:rPr>
                <w:rFonts w:ascii="Arial" w:hAnsi="Arial" w:eastAsia="等线" w:cs="Arial"/>
                <w:sz w:val="22"/>
              </w:rPr>
              <w:t>扣</w:t>
            </w:r>
            <w:r>
              <w:rPr>
                <w:rFonts w:hint="default" w:ascii="Arial" w:hAnsi="Arial" w:eastAsia="等线" w:cs="Arial"/>
                <w:sz w:val="22"/>
                <w:lang w:val="en-US" w:eastAsia="zh-CN"/>
              </w:rPr>
              <w:t>3</w:t>
            </w:r>
            <w:r>
              <w:rPr>
                <w:rFonts w:ascii="Arial" w:hAnsi="Arial" w:eastAsia="等线" w:cs="Arial"/>
                <w:sz w:val="22"/>
              </w:rPr>
              <w:t>分，</w:t>
            </w:r>
            <w:r>
              <w:rPr>
                <w:rFonts w:hint="eastAsia" w:ascii="Arial" w:hAnsi="Arial" w:eastAsia="等线" w:cs="Arial"/>
                <w:sz w:val="22"/>
                <w:lang w:val="en-US" w:eastAsia="zh-CN"/>
              </w:rPr>
              <w:t>出现</w:t>
            </w:r>
            <w:r>
              <w:rPr>
                <w:rFonts w:ascii="Arial" w:hAnsi="Arial" w:eastAsia="等线" w:cs="Arial"/>
                <w:sz w:val="22"/>
              </w:rPr>
              <w:t>延迟</w:t>
            </w:r>
            <w:r>
              <w:rPr>
                <w:rFonts w:hint="eastAsia" w:ascii="Arial" w:hAnsi="Arial" w:eastAsia="等线" w:cs="Arial"/>
                <w:sz w:val="22"/>
                <w:lang w:val="en-US" w:eastAsia="zh-CN"/>
              </w:rPr>
              <w:t>48</w:t>
            </w:r>
            <w:r>
              <w:rPr>
                <w:rFonts w:ascii="Arial" w:hAnsi="Arial" w:eastAsia="等线" w:cs="Arial"/>
                <w:sz w:val="22"/>
              </w:rPr>
              <w:t>小时及以上</w:t>
            </w:r>
            <w:r>
              <w:rPr>
                <w:rFonts w:hint="eastAsia" w:ascii="Arial" w:hAnsi="Arial" w:eastAsia="等线" w:cs="Arial"/>
                <w:sz w:val="22"/>
                <w:lang w:val="en-US" w:eastAsia="zh-CN"/>
              </w:rPr>
              <w:t>订单</w:t>
            </w:r>
            <w:r>
              <w:rPr>
                <w:rFonts w:ascii="Arial" w:hAnsi="Arial" w:eastAsia="等线" w:cs="Arial"/>
                <w:sz w:val="22"/>
              </w:rPr>
              <w:t>扣完该项分值。</w:t>
            </w:r>
          </w:p>
        </w:tc>
        <w:tc>
          <w:tcPr>
            <w:tcW w:w="11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88D7955">
            <w:pPr>
              <w:spacing w:before="120" w:after="120" w:line="288" w:lineRule="auto"/>
              <w:ind w:left="0"/>
              <w:jc w:val="left"/>
            </w:pPr>
            <w:r>
              <w:rPr>
                <w:rFonts w:hint="eastAsia" w:ascii="Arial" w:hAnsi="Arial" w:eastAsia="等线" w:cs="Arial"/>
                <w:sz w:val="22"/>
                <w:lang w:val="en-US" w:eastAsia="zh-CN"/>
              </w:rPr>
              <w:t>15</w:t>
            </w:r>
            <w:r>
              <w:rPr>
                <w:rFonts w:ascii="Arial" w:hAnsi="Arial" w:eastAsia="等线" w:cs="Arial"/>
                <w:sz w:val="22"/>
              </w:rPr>
              <w:t>分</w:t>
            </w:r>
          </w:p>
        </w:tc>
        <w:tc>
          <w:tcPr>
            <w:tcW w:w="7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D8E57B">
            <w:pPr>
              <w:spacing w:before="120" w:after="120" w:line="288" w:lineRule="auto"/>
              <w:ind w:left="0"/>
              <w:jc w:val="left"/>
            </w:pPr>
          </w:p>
        </w:tc>
      </w:tr>
      <w:tr w14:paraId="6569AFA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81"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235A28">
            <w:pPr>
              <w:spacing w:before="120" w:after="120" w:line="288" w:lineRule="auto"/>
              <w:ind w:left="0"/>
              <w:jc w:val="left"/>
            </w:pPr>
          </w:p>
        </w:tc>
        <w:tc>
          <w:tcPr>
            <w:tcW w:w="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0DC32B">
            <w:pPr>
              <w:spacing w:before="120" w:after="120" w:line="288" w:lineRule="auto"/>
              <w:ind w:left="0"/>
              <w:jc w:val="left"/>
            </w:pPr>
            <w:r>
              <w:rPr>
                <w:rFonts w:ascii="Arial" w:hAnsi="Arial" w:eastAsia="等线" w:cs="Arial"/>
                <w:sz w:val="22"/>
              </w:rPr>
              <w:t>紧急订单响应</w:t>
            </w:r>
          </w:p>
        </w:tc>
        <w:tc>
          <w:tcPr>
            <w:tcW w:w="45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597AA2">
            <w:pPr>
              <w:spacing w:before="120" w:after="120" w:line="288" w:lineRule="auto"/>
              <w:ind w:left="0"/>
              <w:jc w:val="left"/>
            </w:pPr>
            <w:r>
              <w:rPr>
                <w:rFonts w:ascii="Arial" w:hAnsi="Arial" w:eastAsia="等线" w:cs="Arial"/>
                <w:sz w:val="22"/>
              </w:rPr>
              <w:t>紧急补单（</w:t>
            </w:r>
            <w:r>
              <w:rPr>
                <w:rFonts w:hint="eastAsia" w:ascii="Arial" w:hAnsi="Arial" w:eastAsia="等线" w:cs="Arial"/>
                <w:sz w:val="22"/>
                <w:lang w:val="en-US" w:eastAsia="zh-CN"/>
              </w:rPr>
              <w:t>4</w:t>
            </w:r>
            <w:r>
              <w:rPr>
                <w:rFonts w:ascii="Arial" w:hAnsi="Arial" w:eastAsia="等线" w:cs="Arial"/>
                <w:sz w:val="22"/>
              </w:rPr>
              <w:t>小时内需送达）按要求完成，得</w:t>
            </w:r>
            <w:r>
              <w:rPr>
                <w:rFonts w:hint="eastAsia" w:ascii="Arial" w:hAnsi="Arial" w:eastAsia="等线" w:cs="Arial"/>
                <w:sz w:val="22"/>
                <w:lang w:val="en-US" w:eastAsia="zh-CN"/>
              </w:rPr>
              <w:t>5</w:t>
            </w:r>
            <w:r>
              <w:rPr>
                <w:rFonts w:ascii="Arial" w:hAnsi="Arial" w:eastAsia="等线" w:cs="Arial"/>
                <w:sz w:val="22"/>
              </w:rPr>
              <w:t>分；未按时响应扣完该项分值。</w:t>
            </w:r>
          </w:p>
        </w:tc>
        <w:tc>
          <w:tcPr>
            <w:tcW w:w="11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AE866F4">
            <w:pPr>
              <w:spacing w:before="120" w:after="120" w:line="288" w:lineRule="auto"/>
              <w:ind w:left="0"/>
              <w:jc w:val="left"/>
            </w:pPr>
            <w:r>
              <w:rPr>
                <w:rFonts w:hint="eastAsia" w:ascii="Arial" w:hAnsi="Arial" w:eastAsia="等线" w:cs="Arial"/>
                <w:sz w:val="22"/>
                <w:lang w:val="en-US" w:eastAsia="zh-CN"/>
              </w:rPr>
              <w:t>10</w:t>
            </w:r>
            <w:r>
              <w:rPr>
                <w:rFonts w:ascii="Arial" w:hAnsi="Arial" w:eastAsia="等线" w:cs="Arial"/>
                <w:sz w:val="22"/>
              </w:rPr>
              <w:t>分</w:t>
            </w:r>
          </w:p>
        </w:tc>
        <w:tc>
          <w:tcPr>
            <w:tcW w:w="7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9E6EA9B">
            <w:pPr>
              <w:spacing w:before="120" w:after="120" w:line="288" w:lineRule="auto"/>
              <w:ind w:left="0"/>
              <w:jc w:val="left"/>
            </w:pPr>
          </w:p>
        </w:tc>
      </w:tr>
      <w:tr w14:paraId="662DEB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81"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A3C3551">
            <w:pPr>
              <w:spacing w:before="120" w:after="120" w:line="288" w:lineRule="auto"/>
              <w:ind w:left="0"/>
              <w:jc w:val="left"/>
            </w:pPr>
          </w:p>
        </w:tc>
        <w:tc>
          <w:tcPr>
            <w:tcW w:w="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E2EF28">
            <w:pPr>
              <w:spacing w:before="120" w:after="120" w:line="288" w:lineRule="auto"/>
              <w:ind w:left="0"/>
              <w:jc w:val="left"/>
            </w:pPr>
            <w:r>
              <w:rPr>
                <w:rFonts w:ascii="Arial" w:hAnsi="Arial" w:eastAsia="等线" w:cs="Arial"/>
                <w:sz w:val="22"/>
              </w:rPr>
              <w:t>订单完成率</w:t>
            </w:r>
          </w:p>
        </w:tc>
        <w:tc>
          <w:tcPr>
            <w:tcW w:w="45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58DA0C6">
            <w:pPr>
              <w:spacing w:before="120" w:after="120" w:line="288" w:lineRule="auto"/>
              <w:ind w:left="0"/>
              <w:jc w:val="left"/>
            </w:pPr>
            <w:r>
              <w:rPr>
                <w:rFonts w:ascii="Arial" w:hAnsi="Arial" w:eastAsia="等线" w:cs="Arial"/>
                <w:sz w:val="22"/>
              </w:rPr>
              <w:t>周期内订单</w:t>
            </w:r>
            <w:r>
              <w:rPr>
                <w:rFonts w:hint="eastAsia" w:ascii="Arial" w:hAnsi="Arial" w:eastAsia="等线" w:cs="Arial"/>
                <w:sz w:val="22"/>
                <w:lang w:val="en-US" w:eastAsia="zh-CN"/>
              </w:rPr>
              <w:t>数量</w:t>
            </w:r>
            <w:r>
              <w:rPr>
                <w:rFonts w:ascii="Arial" w:hAnsi="Arial" w:eastAsia="等线" w:cs="Arial"/>
                <w:sz w:val="22"/>
              </w:rPr>
              <w:t>100%完成配送，得10分；每少完成1单扣5分，扣完为止（不可抗力除外，需提供证明）。</w:t>
            </w:r>
          </w:p>
        </w:tc>
        <w:tc>
          <w:tcPr>
            <w:tcW w:w="11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FDBAFF">
            <w:pPr>
              <w:spacing w:before="120" w:after="120" w:line="288" w:lineRule="auto"/>
              <w:ind w:left="0"/>
              <w:jc w:val="left"/>
            </w:pPr>
            <w:r>
              <w:rPr>
                <w:rFonts w:hint="eastAsia" w:ascii="Arial" w:hAnsi="Arial" w:eastAsia="等线" w:cs="Arial"/>
                <w:sz w:val="22"/>
                <w:lang w:val="en-US" w:eastAsia="zh-CN"/>
              </w:rPr>
              <w:t>15</w:t>
            </w:r>
            <w:r>
              <w:rPr>
                <w:rFonts w:ascii="Arial" w:hAnsi="Arial" w:eastAsia="等线" w:cs="Arial"/>
                <w:sz w:val="22"/>
              </w:rPr>
              <w:t>分</w:t>
            </w:r>
          </w:p>
        </w:tc>
        <w:tc>
          <w:tcPr>
            <w:tcW w:w="7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0A38523">
            <w:pPr>
              <w:spacing w:before="120" w:after="120" w:line="288" w:lineRule="auto"/>
              <w:ind w:left="0"/>
              <w:jc w:val="left"/>
            </w:pPr>
          </w:p>
        </w:tc>
      </w:tr>
      <w:tr w14:paraId="48E666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81"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0081AD7">
            <w:pPr>
              <w:spacing w:before="120" w:after="120" w:line="288" w:lineRule="auto"/>
              <w:ind w:left="0"/>
              <w:jc w:val="left"/>
            </w:pPr>
            <w:r>
              <w:rPr>
                <w:rFonts w:ascii="Arial" w:hAnsi="Arial" w:eastAsia="等线" w:cs="Arial"/>
                <w:sz w:val="22"/>
              </w:rPr>
              <w:t>服务质量（</w:t>
            </w:r>
            <w:r>
              <w:rPr>
                <w:rFonts w:hint="eastAsia" w:ascii="Arial" w:hAnsi="Arial" w:eastAsia="等线" w:cs="Arial"/>
                <w:sz w:val="22"/>
                <w:lang w:val="en-US" w:eastAsia="zh-CN"/>
              </w:rPr>
              <w:t>4</w:t>
            </w:r>
            <w:r>
              <w:rPr>
                <w:rFonts w:ascii="Arial" w:hAnsi="Arial" w:eastAsia="等线" w:cs="Arial"/>
                <w:sz w:val="22"/>
              </w:rPr>
              <w:t>0分）</w:t>
            </w:r>
          </w:p>
        </w:tc>
        <w:tc>
          <w:tcPr>
            <w:tcW w:w="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38CA92A">
            <w:pPr>
              <w:spacing w:before="120" w:after="120" w:line="288" w:lineRule="auto"/>
              <w:ind w:left="0"/>
              <w:jc w:val="left"/>
            </w:pPr>
            <w:r>
              <w:rPr>
                <w:rFonts w:ascii="Arial" w:hAnsi="Arial" w:eastAsia="等线" w:cs="Arial"/>
                <w:sz w:val="22"/>
              </w:rPr>
              <w:t>服务态度</w:t>
            </w:r>
          </w:p>
        </w:tc>
        <w:tc>
          <w:tcPr>
            <w:tcW w:w="45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C682C12">
            <w:pPr>
              <w:spacing w:before="120" w:after="120" w:line="288" w:lineRule="auto"/>
              <w:ind w:left="0"/>
              <w:jc w:val="left"/>
            </w:pPr>
            <w:r>
              <w:rPr>
                <w:rFonts w:ascii="Arial" w:hAnsi="Arial" w:eastAsia="等线" w:cs="Arial"/>
                <w:sz w:val="22"/>
              </w:rPr>
              <w:t>着装整洁、言行文明，主动沟通配送事宜，无推诿、不耐烦行为，得1</w:t>
            </w:r>
            <w:r>
              <w:rPr>
                <w:rFonts w:hint="eastAsia" w:ascii="Arial" w:hAnsi="Arial" w:eastAsia="等线" w:cs="Arial"/>
                <w:sz w:val="22"/>
                <w:lang w:val="en-US" w:eastAsia="zh-CN"/>
              </w:rPr>
              <w:t>5</w:t>
            </w:r>
            <w:r>
              <w:rPr>
                <w:rFonts w:ascii="Arial" w:hAnsi="Arial" w:eastAsia="等线" w:cs="Arial"/>
                <w:sz w:val="22"/>
              </w:rPr>
              <w:t>分；每被投诉1次扣5分，扣完为止。</w:t>
            </w:r>
          </w:p>
        </w:tc>
        <w:tc>
          <w:tcPr>
            <w:tcW w:w="11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1F1FFC">
            <w:pPr>
              <w:spacing w:before="120" w:after="120" w:line="288" w:lineRule="auto"/>
              <w:ind w:left="0"/>
              <w:jc w:val="left"/>
            </w:pPr>
            <w:r>
              <w:rPr>
                <w:rFonts w:hint="eastAsia" w:ascii="Arial" w:hAnsi="Arial" w:eastAsia="等线" w:cs="Arial"/>
                <w:sz w:val="22"/>
                <w:lang w:val="en-US" w:eastAsia="zh-CN"/>
              </w:rPr>
              <w:t>15</w:t>
            </w:r>
            <w:r>
              <w:rPr>
                <w:rFonts w:ascii="Arial" w:hAnsi="Arial" w:eastAsia="等线" w:cs="Arial"/>
                <w:sz w:val="22"/>
              </w:rPr>
              <w:t>分</w:t>
            </w:r>
          </w:p>
        </w:tc>
        <w:tc>
          <w:tcPr>
            <w:tcW w:w="7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D0153B">
            <w:pPr>
              <w:spacing w:before="120" w:after="120" w:line="288" w:lineRule="auto"/>
              <w:ind w:left="0"/>
              <w:jc w:val="left"/>
            </w:pPr>
          </w:p>
        </w:tc>
      </w:tr>
      <w:tr w14:paraId="0F8D410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81"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9E25BA">
            <w:pPr>
              <w:spacing w:before="120" w:after="120" w:line="288" w:lineRule="auto"/>
              <w:ind w:left="0"/>
              <w:jc w:val="left"/>
            </w:pPr>
          </w:p>
        </w:tc>
        <w:tc>
          <w:tcPr>
            <w:tcW w:w="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B04853">
            <w:pPr>
              <w:spacing w:before="120" w:after="120" w:line="288" w:lineRule="auto"/>
              <w:ind w:left="0"/>
              <w:jc w:val="left"/>
            </w:pPr>
            <w:r>
              <w:rPr>
                <w:rFonts w:ascii="Arial" w:hAnsi="Arial" w:eastAsia="等线" w:cs="Arial"/>
                <w:sz w:val="22"/>
              </w:rPr>
              <w:t>配送规范</w:t>
            </w:r>
          </w:p>
        </w:tc>
        <w:tc>
          <w:tcPr>
            <w:tcW w:w="45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65C89A">
            <w:pPr>
              <w:spacing w:before="120" w:after="120" w:line="288" w:lineRule="auto"/>
              <w:ind w:left="0"/>
              <w:jc w:val="left"/>
            </w:pPr>
            <w:r>
              <w:rPr>
                <w:rFonts w:hint="eastAsia" w:ascii="Arial" w:hAnsi="Arial" w:eastAsia="等线" w:cs="Arial"/>
                <w:sz w:val="22"/>
                <w:lang w:val="en-US" w:eastAsia="zh-CN"/>
              </w:rPr>
              <w:t>遵守我方仓库装卸货管理要求，</w:t>
            </w:r>
            <w:r>
              <w:rPr>
                <w:rFonts w:ascii="Arial" w:hAnsi="Arial" w:eastAsia="等线" w:cs="Arial"/>
                <w:sz w:val="22"/>
              </w:rPr>
              <w:t>饮用水搬运轻拿轻放，无破损、漏液；按</w:t>
            </w:r>
            <w:r>
              <w:rPr>
                <w:rFonts w:hint="eastAsia" w:ascii="Arial" w:hAnsi="Arial" w:eastAsia="等线" w:cs="Arial"/>
                <w:sz w:val="22"/>
                <w:lang w:val="en-US" w:eastAsia="zh-CN"/>
              </w:rPr>
              <w:t>客户</w:t>
            </w:r>
            <w:r>
              <w:rPr>
                <w:rFonts w:ascii="Arial" w:hAnsi="Arial" w:eastAsia="等线" w:cs="Arial"/>
                <w:sz w:val="22"/>
              </w:rPr>
              <w:t>指定地点摆放，主动清理包装垃圾，得1</w:t>
            </w:r>
            <w:r>
              <w:rPr>
                <w:rFonts w:hint="eastAsia" w:ascii="Arial" w:hAnsi="Arial" w:eastAsia="等线" w:cs="Arial"/>
                <w:sz w:val="22"/>
                <w:lang w:val="en-US" w:eastAsia="zh-CN"/>
              </w:rPr>
              <w:t>5</w:t>
            </w:r>
            <w:r>
              <w:rPr>
                <w:rFonts w:ascii="Arial" w:hAnsi="Arial" w:eastAsia="等线" w:cs="Arial"/>
                <w:sz w:val="22"/>
              </w:rPr>
              <w:t>分；每破损1</w:t>
            </w:r>
            <w:r>
              <w:rPr>
                <w:rFonts w:hint="eastAsia" w:ascii="Arial" w:hAnsi="Arial" w:eastAsia="等线" w:cs="Arial"/>
                <w:sz w:val="22"/>
                <w:lang w:val="en-US" w:eastAsia="zh-CN"/>
              </w:rPr>
              <w:t>件产品</w:t>
            </w:r>
            <w:r>
              <w:rPr>
                <w:rFonts w:ascii="Arial" w:hAnsi="Arial" w:eastAsia="等线" w:cs="Arial"/>
                <w:sz w:val="22"/>
              </w:rPr>
              <w:t>扣3分，未规范摆放/清理扣2分。</w:t>
            </w:r>
          </w:p>
        </w:tc>
        <w:tc>
          <w:tcPr>
            <w:tcW w:w="11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D8BE72">
            <w:pPr>
              <w:spacing w:before="120" w:after="120" w:line="288" w:lineRule="auto"/>
              <w:ind w:left="0"/>
              <w:jc w:val="left"/>
            </w:pPr>
            <w:r>
              <w:rPr>
                <w:rFonts w:hint="eastAsia" w:ascii="Arial" w:hAnsi="Arial" w:eastAsia="等线" w:cs="Arial"/>
                <w:sz w:val="22"/>
                <w:lang w:val="en-US" w:eastAsia="zh-CN"/>
              </w:rPr>
              <w:t>15</w:t>
            </w:r>
            <w:r>
              <w:rPr>
                <w:rFonts w:ascii="Arial" w:hAnsi="Arial" w:eastAsia="等线" w:cs="Arial"/>
                <w:sz w:val="22"/>
              </w:rPr>
              <w:t>分</w:t>
            </w:r>
          </w:p>
        </w:tc>
        <w:tc>
          <w:tcPr>
            <w:tcW w:w="7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9B2824">
            <w:pPr>
              <w:spacing w:before="120" w:after="120" w:line="288" w:lineRule="auto"/>
              <w:ind w:left="0"/>
              <w:jc w:val="left"/>
            </w:pPr>
          </w:p>
        </w:tc>
      </w:tr>
      <w:tr w14:paraId="78699D7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81"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986607C">
            <w:pPr>
              <w:spacing w:before="120" w:after="120" w:line="288" w:lineRule="auto"/>
              <w:ind w:left="0"/>
              <w:jc w:val="left"/>
            </w:pPr>
          </w:p>
        </w:tc>
        <w:tc>
          <w:tcPr>
            <w:tcW w:w="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6A1E61">
            <w:pPr>
              <w:spacing w:before="120" w:after="120" w:line="288" w:lineRule="auto"/>
              <w:ind w:left="0"/>
              <w:jc w:val="left"/>
            </w:pPr>
            <w:r>
              <w:rPr>
                <w:rFonts w:ascii="Arial" w:hAnsi="Arial" w:eastAsia="等线" w:cs="Arial"/>
                <w:sz w:val="22"/>
              </w:rPr>
              <w:t>售后配合</w:t>
            </w:r>
          </w:p>
        </w:tc>
        <w:tc>
          <w:tcPr>
            <w:tcW w:w="45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CD03D3">
            <w:pPr>
              <w:spacing w:before="120" w:after="120" w:line="288" w:lineRule="auto"/>
              <w:ind w:left="0"/>
              <w:jc w:val="left"/>
            </w:pPr>
            <w:r>
              <w:rPr>
                <w:rFonts w:ascii="Arial" w:hAnsi="Arial" w:eastAsia="等线" w:cs="Arial"/>
                <w:sz w:val="22"/>
              </w:rPr>
              <w:t>出现破损、错送等问题，2小时内响应处理，主动补发或理赔，得10分；</w:t>
            </w:r>
            <w:r>
              <w:rPr>
                <w:rFonts w:hint="eastAsia" w:ascii="Arial" w:hAnsi="Arial" w:eastAsia="等线" w:cs="Arial"/>
                <w:sz w:val="22"/>
                <w:lang w:val="en-US" w:eastAsia="zh-CN"/>
              </w:rPr>
              <w:t>每次</w:t>
            </w:r>
            <w:r>
              <w:rPr>
                <w:rFonts w:ascii="Arial" w:hAnsi="Arial" w:eastAsia="等线" w:cs="Arial"/>
                <w:sz w:val="22"/>
              </w:rPr>
              <w:t>响应不及</w:t>
            </w:r>
            <w:bookmarkStart w:id="54" w:name="_GoBack"/>
            <w:bookmarkEnd w:id="54"/>
            <w:r>
              <w:rPr>
                <w:rFonts w:ascii="Arial" w:hAnsi="Arial" w:eastAsia="等线" w:cs="Arial"/>
                <w:sz w:val="22"/>
              </w:rPr>
              <w:t>时扣5分，拒不配合扣完该项分值。</w:t>
            </w:r>
          </w:p>
        </w:tc>
        <w:tc>
          <w:tcPr>
            <w:tcW w:w="11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367422">
            <w:pPr>
              <w:spacing w:before="120" w:after="120" w:line="288" w:lineRule="auto"/>
              <w:ind w:left="0"/>
              <w:jc w:val="left"/>
            </w:pPr>
            <w:r>
              <w:rPr>
                <w:rFonts w:ascii="Arial" w:hAnsi="Arial" w:eastAsia="等线" w:cs="Arial"/>
                <w:sz w:val="22"/>
              </w:rPr>
              <w:t>10分</w:t>
            </w:r>
          </w:p>
        </w:tc>
        <w:tc>
          <w:tcPr>
            <w:tcW w:w="7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4226D2B">
            <w:pPr>
              <w:spacing w:before="120" w:after="120" w:line="288" w:lineRule="auto"/>
              <w:ind w:left="0"/>
              <w:jc w:val="left"/>
            </w:pPr>
          </w:p>
        </w:tc>
      </w:tr>
      <w:tr w14:paraId="692B6C4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81"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8A4D900">
            <w:pPr>
              <w:spacing w:before="120" w:after="120" w:line="288" w:lineRule="auto"/>
              <w:ind w:left="0"/>
              <w:jc w:val="left"/>
            </w:pPr>
            <w:r>
              <w:rPr>
                <w:rFonts w:ascii="Arial" w:hAnsi="Arial" w:eastAsia="等线" w:cs="Arial"/>
                <w:sz w:val="22"/>
              </w:rPr>
              <w:t>合规运营（2</w:t>
            </w:r>
            <w:r>
              <w:rPr>
                <w:rFonts w:hint="eastAsia" w:ascii="Arial" w:hAnsi="Arial" w:eastAsia="等线" w:cs="Arial"/>
                <w:sz w:val="22"/>
                <w:lang w:val="en-US" w:eastAsia="zh-CN"/>
              </w:rPr>
              <w:t>0</w:t>
            </w:r>
            <w:r>
              <w:rPr>
                <w:rFonts w:ascii="Arial" w:hAnsi="Arial" w:eastAsia="等线" w:cs="Arial"/>
                <w:sz w:val="22"/>
              </w:rPr>
              <w:t>分）</w:t>
            </w:r>
          </w:p>
        </w:tc>
        <w:tc>
          <w:tcPr>
            <w:tcW w:w="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C93EA5D">
            <w:pPr>
              <w:spacing w:before="120" w:after="120" w:line="288" w:lineRule="auto"/>
              <w:ind w:left="0"/>
              <w:jc w:val="left"/>
            </w:pPr>
            <w:r>
              <w:rPr>
                <w:rFonts w:ascii="Arial" w:hAnsi="Arial" w:eastAsia="等线" w:cs="Arial"/>
                <w:sz w:val="22"/>
              </w:rPr>
              <w:t>物资管理</w:t>
            </w:r>
          </w:p>
          <w:p w14:paraId="0E7EAB08">
            <w:pPr>
              <w:spacing w:before="120" w:after="120" w:line="288" w:lineRule="auto"/>
              <w:ind w:left="0"/>
              <w:jc w:val="left"/>
            </w:pPr>
          </w:p>
        </w:tc>
        <w:tc>
          <w:tcPr>
            <w:tcW w:w="45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3E3C06">
            <w:pPr>
              <w:spacing w:before="120" w:after="120" w:line="288" w:lineRule="auto"/>
              <w:ind w:left="0"/>
              <w:jc w:val="left"/>
            </w:pPr>
            <w:r>
              <w:rPr>
                <w:rFonts w:ascii="Arial" w:hAnsi="Arial" w:eastAsia="等线" w:cs="Arial"/>
                <w:sz w:val="22"/>
              </w:rPr>
              <w:t>配送饮用水无破损，物资摆放规范，台账记录完整（含出入库、配送明细），得</w:t>
            </w:r>
            <w:r>
              <w:rPr>
                <w:rFonts w:hint="eastAsia" w:ascii="Arial" w:hAnsi="Arial" w:eastAsia="等线" w:cs="Arial"/>
                <w:sz w:val="22"/>
                <w:lang w:val="en-US" w:eastAsia="zh-CN"/>
              </w:rPr>
              <w:t>5</w:t>
            </w:r>
            <w:r>
              <w:rPr>
                <w:rFonts w:ascii="Arial" w:hAnsi="Arial" w:eastAsia="等线" w:cs="Arial"/>
                <w:sz w:val="22"/>
              </w:rPr>
              <w:t>分；每出现1项问题扣</w:t>
            </w:r>
            <w:r>
              <w:rPr>
                <w:rFonts w:hint="eastAsia" w:ascii="Arial" w:hAnsi="Arial" w:eastAsia="等线" w:cs="Arial"/>
                <w:sz w:val="22"/>
                <w:lang w:val="en-US" w:eastAsia="zh-CN"/>
              </w:rPr>
              <w:t>5</w:t>
            </w:r>
            <w:r>
              <w:rPr>
                <w:rFonts w:ascii="Arial" w:hAnsi="Arial" w:eastAsia="等线" w:cs="Arial"/>
                <w:sz w:val="22"/>
              </w:rPr>
              <w:t>分，扣完该项分值。</w:t>
            </w:r>
          </w:p>
        </w:tc>
        <w:tc>
          <w:tcPr>
            <w:tcW w:w="11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5E38421">
            <w:pPr>
              <w:spacing w:before="120" w:after="120" w:line="288" w:lineRule="auto"/>
              <w:ind w:left="0"/>
              <w:jc w:val="left"/>
            </w:pPr>
            <w:r>
              <w:rPr>
                <w:rFonts w:hint="eastAsia" w:ascii="Arial" w:hAnsi="Arial" w:eastAsia="等线" w:cs="Arial"/>
                <w:sz w:val="22"/>
                <w:lang w:val="en-US" w:eastAsia="zh-CN"/>
              </w:rPr>
              <w:t>10</w:t>
            </w:r>
            <w:r>
              <w:rPr>
                <w:rFonts w:ascii="Arial" w:hAnsi="Arial" w:eastAsia="等线" w:cs="Arial"/>
                <w:sz w:val="22"/>
              </w:rPr>
              <w:t>分</w:t>
            </w:r>
          </w:p>
        </w:tc>
        <w:tc>
          <w:tcPr>
            <w:tcW w:w="7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3A4A4C">
            <w:pPr>
              <w:spacing w:before="120" w:after="120" w:line="288" w:lineRule="auto"/>
              <w:ind w:left="0"/>
              <w:jc w:val="left"/>
            </w:pPr>
          </w:p>
        </w:tc>
      </w:tr>
      <w:tr w14:paraId="0ED740C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81"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4292CBB">
            <w:pPr>
              <w:spacing w:before="120" w:after="120" w:line="288" w:lineRule="auto"/>
              <w:ind w:left="0"/>
              <w:jc w:val="left"/>
            </w:pPr>
          </w:p>
        </w:tc>
        <w:tc>
          <w:tcPr>
            <w:tcW w:w="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8055D7">
            <w:pPr>
              <w:spacing w:before="120" w:after="120" w:line="288" w:lineRule="auto"/>
              <w:ind w:left="0"/>
              <w:jc w:val="left"/>
            </w:pPr>
            <w:r>
              <w:rPr>
                <w:rFonts w:ascii="Arial" w:hAnsi="Arial" w:eastAsia="等线" w:cs="Arial"/>
                <w:sz w:val="22"/>
              </w:rPr>
              <w:t>合规操作</w:t>
            </w:r>
          </w:p>
        </w:tc>
        <w:tc>
          <w:tcPr>
            <w:tcW w:w="45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03071BE">
            <w:pPr>
              <w:spacing w:before="120" w:after="120" w:line="288" w:lineRule="auto"/>
              <w:ind w:left="0"/>
              <w:jc w:val="left"/>
            </w:pPr>
            <w:r>
              <w:rPr>
                <w:rFonts w:ascii="Arial" w:hAnsi="Arial" w:eastAsia="等线" w:cs="Arial"/>
                <w:sz w:val="22"/>
              </w:rPr>
              <w:t>配送车辆整洁，无违规行驶、乱停乱放；不私自更改配送路线、替换饮用水品牌，得</w:t>
            </w:r>
            <w:r>
              <w:rPr>
                <w:rFonts w:hint="eastAsia" w:ascii="Arial" w:hAnsi="Arial" w:eastAsia="等线" w:cs="Arial"/>
                <w:sz w:val="22"/>
                <w:lang w:val="en-US" w:eastAsia="zh-CN"/>
              </w:rPr>
              <w:t>10</w:t>
            </w:r>
            <w:r>
              <w:rPr>
                <w:rFonts w:ascii="Arial" w:hAnsi="Arial" w:eastAsia="等线" w:cs="Arial"/>
                <w:sz w:val="22"/>
              </w:rPr>
              <w:t>分；每违规1次扣</w:t>
            </w:r>
            <w:r>
              <w:rPr>
                <w:rFonts w:hint="eastAsia" w:ascii="Arial" w:hAnsi="Arial" w:eastAsia="等线" w:cs="Arial"/>
                <w:sz w:val="22"/>
                <w:lang w:val="en-US" w:eastAsia="zh-CN"/>
              </w:rPr>
              <w:t>5</w:t>
            </w:r>
            <w:r>
              <w:rPr>
                <w:rFonts w:ascii="Arial" w:hAnsi="Arial" w:eastAsia="等线" w:cs="Arial"/>
                <w:sz w:val="22"/>
              </w:rPr>
              <w:t>分，扣完为止。</w:t>
            </w:r>
          </w:p>
        </w:tc>
        <w:tc>
          <w:tcPr>
            <w:tcW w:w="11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A60D64">
            <w:pPr>
              <w:spacing w:before="120" w:after="120" w:line="288" w:lineRule="auto"/>
              <w:ind w:left="0"/>
              <w:jc w:val="left"/>
            </w:pPr>
            <w:r>
              <w:rPr>
                <w:rFonts w:hint="eastAsia" w:ascii="Arial" w:hAnsi="Arial" w:eastAsia="等线" w:cs="Arial"/>
                <w:sz w:val="22"/>
                <w:lang w:val="en-US" w:eastAsia="zh-CN"/>
              </w:rPr>
              <w:t>10</w:t>
            </w:r>
            <w:r>
              <w:rPr>
                <w:rFonts w:ascii="Arial" w:hAnsi="Arial" w:eastAsia="等线" w:cs="Arial"/>
                <w:sz w:val="22"/>
              </w:rPr>
              <w:t>分</w:t>
            </w:r>
          </w:p>
        </w:tc>
        <w:tc>
          <w:tcPr>
            <w:tcW w:w="7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B39201">
            <w:pPr>
              <w:spacing w:before="120" w:after="120" w:line="288" w:lineRule="auto"/>
              <w:ind w:left="0"/>
              <w:jc w:val="left"/>
            </w:pPr>
          </w:p>
        </w:tc>
      </w:tr>
      <w:tr w14:paraId="5A22CB3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82"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D957DFE">
            <w:pPr>
              <w:spacing w:before="120" w:after="120" w:line="288" w:lineRule="auto"/>
              <w:ind w:left="0"/>
              <w:jc w:val="left"/>
            </w:pPr>
            <w:r>
              <w:rPr>
                <w:rFonts w:ascii="Arial" w:hAnsi="Arial" w:eastAsia="等线" w:cs="Arial"/>
                <w:sz w:val="22"/>
              </w:rPr>
              <w:t>考核总结（合格/不合格/优秀）：</w:t>
            </w:r>
          </w:p>
        </w:tc>
        <w:tc>
          <w:tcPr>
            <w:tcW w:w="11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D3FB4D8">
            <w:pPr>
              <w:spacing w:before="120" w:after="120" w:line="288" w:lineRule="auto"/>
              <w:ind w:left="0"/>
              <w:jc w:val="left"/>
            </w:pPr>
            <w:r>
              <w:rPr>
                <w:rFonts w:ascii="Arial" w:hAnsi="Arial" w:eastAsia="等线" w:cs="Arial"/>
                <w:sz w:val="22"/>
              </w:rPr>
              <w:t>最终得分</w:t>
            </w:r>
          </w:p>
        </w:tc>
        <w:tc>
          <w:tcPr>
            <w:tcW w:w="7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C5C946">
            <w:pPr>
              <w:spacing w:before="120" w:after="120" w:line="288" w:lineRule="auto"/>
              <w:ind w:left="0"/>
              <w:jc w:val="left"/>
            </w:pPr>
          </w:p>
        </w:tc>
      </w:tr>
      <w:tr w14:paraId="4581D0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0" w:type="dxa"/>
            <w:gridSpan w:val="5"/>
            <w:tcBorders>
              <w:top w:val="single" w:color="auto" w:sz="4" w:space="0"/>
            </w:tcBorders>
            <w:tcMar>
              <w:top w:w="60" w:type="dxa"/>
              <w:left w:w="120" w:type="dxa"/>
              <w:bottom w:w="30" w:type="dxa"/>
              <w:right w:w="120" w:type="dxa"/>
            </w:tcMar>
          </w:tcPr>
          <w:p w14:paraId="35DC161C">
            <w:pPr>
              <w:spacing w:before="120" w:after="120" w:line="288" w:lineRule="auto"/>
              <w:ind w:left="0"/>
              <w:jc w:val="left"/>
            </w:pPr>
            <w:r>
              <w:rPr>
                <w:rFonts w:ascii="Arial" w:hAnsi="Arial" w:eastAsia="等线" w:cs="Arial"/>
                <w:sz w:val="22"/>
              </w:rPr>
              <w:t>考核人签字：__________ 考核对象签字：__________ 日期：____年__月_</w:t>
            </w:r>
            <w:r>
              <w:rPr>
                <w:rFonts w:hint="eastAsia" w:ascii="Arial" w:hAnsi="Arial" w:eastAsia="等线" w:cs="Arial"/>
                <w:sz w:val="22"/>
                <w:u w:val="single"/>
                <w:lang w:val="en-US" w:eastAsia="zh-CN"/>
              </w:rPr>
              <w:t xml:space="preserve">  </w:t>
            </w:r>
            <w:r>
              <w:rPr>
                <w:rFonts w:ascii="Arial" w:hAnsi="Arial" w:eastAsia="等线" w:cs="Arial"/>
                <w:sz w:val="22"/>
              </w:rPr>
              <w:t>_日</w:t>
            </w:r>
          </w:p>
        </w:tc>
      </w:tr>
    </w:tbl>
    <w:p w14:paraId="6D5A945F">
      <w:pPr>
        <w:rPr>
          <w:rFonts w:hint="eastAsia" w:ascii="宋体" w:hAnsi="宋体"/>
          <w:color w:val="auto"/>
          <w:sz w:val="44"/>
          <w:szCs w:val="44"/>
          <w:highlight w:val="none"/>
          <w:lang w:val="zh-CN"/>
        </w:rPr>
      </w:pPr>
      <w:r>
        <w:rPr>
          <w:rFonts w:hint="eastAsia" w:ascii="宋体" w:hAnsi="宋体"/>
          <w:color w:val="auto"/>
          <w:sz w:val="44"/>
          <w:szCs w:val="44"/>
          <w:highlight w:val="none"/>
          <w:lang w:val="zh-CN"/>
        </w:rPr>
        <w:br w:type="page"/>
      </w:r>
    </w:p>
    <w:p w14:paraId="23BBC52A">
      <w:pPr>
        <w:pStyle w:val="17"/>
        <w:rPr>
          <w:rFonts w:ascii="宋体" w:hAnsi="宋体"/>
          <w:color w:val="auto"/>
          <w:sz w:val="44"/>
          <w:szCs w:val="44"/>
          <w:highlight w:val="none"/>
          <w:lang w:val="zh-CN"/>
        </w:rPr>
      </w:pPr>
      <w:bookmarkStart w:id="30" w:name="_Toc27274"/>
      <w:bookmarkStart w:id="31" w:name="_Toc20859"/>
      <w:r>
        <w:rPr>
          <w:rFonts w:hint="eastAsia" w:ascii="宋体" w:hAnsi="宋体"/>
          <w:color w:val="auto"/>
          <w:sz w:val="44"/>
          <w:szCs w:val="44"/>
          <w:highlight w:val="none"/>
          <w:lang w:val="zh-CN"/>
        </w:rPr>
        <w:t>第</w:t>
      </w:r>
      <w:r>
        <w:rPr>
          <w:rFonts w:hint="eastAsia" w:ascii="宋体" w:hAnsi="宋体"/>
          <w:color w:val="auto"/>
          <w:sz w:val="44"/>
          <w:szCs w:val="44"/>
          <w:highlight w:val="none"/>
          <w:lang w:val="en-US" w:eastAsia="zh-CN"/>
        </w:rPr>
        <w:t>三</w:t>
      </w:r>
      <w:r>
        <w:rPr>
          <w:rFonts w:hint="eastAsia" w:ascii="宋体" w:hAnsi="宋体"/>
          <w:color w:val="auto"/>
          <w:sz w:val="44"/>
          <w:szCs w:val="44"/>
          <w:highlight w:val="none"/>
          <w:lang w:val="zh-CN"/>
        </w:rPr>
        <w:t>篇 合同条款</w:t>
      </w:r>
      <w:bookmarkEnd w:id="29"/>
      <w:bookmarkEnd w:id="30"/>
      <w:bookmarkEnd w:id="31"/>
    </w:p>
    <w:p w14:paraId="0402A8D8">
      <w:pPr>
        <w:pStyle w:val="26"/>
        <w:rPr>
          <w:rFonts w:hint="eastAsia" w:ascii="方正小标宋简体" w:hAnsi="方正小标宋简体" w:eastAsia="方正小标宋简体" w:cs="方正小标宋简体"/>
          <w:b/>
          <w:bCs/>
          <w:color w:val="auto"/>
          <w:sz w:val="44"/>
          <w:szCs w:val="44"/>
          <w:highlight w:val="none"/>
          <w:u w:val="single"/>
        </w:rPr>
      </w:pPr>
    </w:p>
    <w:p w14:paraId="3C92B796">
      <w:pPr>
        <w:jc w:val="center"/>
        <w:rPr>
          <w:rFonts w:hint="eastAsia" w:ascii="方正小标宋简体" w:hAnsi="方正小标宋简体" w:eastAsia="方正小标宋简体" w:cs="方正小标宋简体"/>
          <w:b/>
          <w:bCs/>
          <w:color w:val="auto"/>
          <w:sz w:val="44"/>
          <w:szCs w:val="44"/>
          <w:highlight w:val="none"/>
          <w:u w:val="single"/>
        </w:rPr>
      </w:pPr>
      <w:r>
        <w:rPr>
          <w:rFonts w:hint="eastAsia" w:ascii="方正小标宋简体" w:hAnsi="方正小标宋简体" w:eastAsia="方正小标宋简体" w:cs="方正小标宋简体"/>
          <w:b/>
          <w:bCs/>
          <w:color w:val="auto"/>
          <w:sz w:val="44"/>
          <w:szCs w:val="44"/>
          <w:highlight w:val="none"/>
          <w:u w:val="single"/>
        </w:rPr>
        <w:t>东莞市</w:t>
      </w:r>
      <w:r>
        <w:rPr>
          <w:rFonts w:hint="eastAsia" w:ascii="方正小标宋简体" w:hAnsi="方正小标宋简体" w:eastAsia="方正小标宋简体" w:cs="方正小标宋简体"/>
          <w:b/>
          <w:bCs/>
          <w:color w:val="auto"/>
          <w:sz w:val="44"/>
          <w:szCs w:val="44"/>
          <w:highlight w:val="none"/>
          <w:u w:val="single"/>
          <w:lang w:val="en-US" w:eastAsia="zh-CN"/>
        </w:rPr>
        <w:t>福地饮用水</w:t>
      </w:r>
      <w:r>
        <w:rPr>
          <w:rFonts w:hint="eastAsia" w:ascii="方正小标宋简体" w:hAnsi="方正小标宋简体" w:eastAsia="方正小标宋简体" w:cs="方正小标宋简体"/>
          <w:b/>
          <w:bCs/>
          <w:color w:val="auto"/>
          <w:sz w:val="44"/>
          <w:szCs w:val="44"/>
          <w:highlight w:val="none"/>
          <w:u w:val="single"/>
        </w:rPr>
        <w:t>有限公司</w:t>
      </w:r>
    </w:p>
    <w:p w14:paraId="0B529704">
      <w:pPr>
        <w:jc w:val="center"/>
        <w:rPr>
          <w:rFonts w:hint="default" w:ascii="宋体" w:hAnsi="宋体" w:eastAsia="方正小标宋简体"/>
          <w:color w:val="auto"/>
          <w:highlight w:val="non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2026年包装水物流配送服务</w:t>
      </w:r>
      <w:r>
        <w:rPr>
          <w:rFonts w:hint="eastAsia" w:ascii="方正小标宋简体" w:hAnsi="方正小标宋简体" w:eastAsia="方正小标宋简体" w:cs="方正小标宋简体"/>
          <w:b/>
          <w:bCs/>
          <w:color w:val="auto"/>
          <w:sz w:val="44"/>
          <w:szCs w:val="44"/>
          <w:highlight w:val="none"/>
          <w:u w:val="single"/>
        </w:rPr>
        <w:t>合同</w:t>
      </w:r>
    </w:p>
    <w:p w14:paraId="2385627D">
      <w:pPr>
        <w:rPr>
          <w:rFonts w:ascii="宋体" w:hAnsi="宋体"/>
          <w:color w:val="auto"/>
          <w:highlight w:val="none"/>
        </w:rPr>
      </w:pPr>
    </w:p>
    <w:p w14:paraId="6F73B9C8">
      <w:pPr>
        <w:rPr>
          <w:rFonts w:ascii="宋体" w:hAnsi="宋体"/>
          <w:color w:val="auto"/>
          <w:highlight w:val="none"/>
        </w:rPr>
      </w:pPr>
    </w:p>
    <w:p w14:paraId="260A8BF6">
      <w:pPr>
        <w:rPr>
          <w:rFonts w:ascii="宋体" w:hAnsi="宋体"/>
          <w:color w:val="auto"/>
          <w:highlight w:val="none"/>
        </w:rPr>
      </w:pPr>
    </w:p>
    <w:p w14:paraId="6B7A2291">
      <w:pPr>
        <w:rPr>
          <w:rFonts w:ascii="宋体" w:hAnsi="宋体"/>
          <w:color w:val="auto"/>
          <w:highlight w:val="none"/>
        </w:rPr>
      </w:pPr>
    </w:p>
    <w:p w14:paraId="7787EF81">
      <w:pPr>
        <w:pStyle w:val="7"/>
        <w:rPr>
          <w:rFonts w:ascii="宋体" w:hAnsi="宋体"/>
          <w:color w:val="auto"/>
          <w:highlight w:val="none"/>
        </w:rPr>
      </w:pPr>
    </w:p>
    <w:p w14:paraId="62759DBC">
      <w:pPr>
        <w:pStyle w:val="7"/>
        <w:rPr>
          <w:rFonts w:ascii="宋体" w:hAnsi="宋体"/>
          <w:color w:val="auto"/>
          <w:highlight w:val="none"/>
        </w:rPr>
      </w:pPr>
    </w:p>
    <w:p w14:paraId="27DC1384">
      <w:pPr>
        <w:pStyle w:val="7"/>
        <w:rPr>
          <w:rFonts w:ascii="宋体" w:hAnsi="宋体"/>
          <w:color w:val="auto"/>
          <w:highlight w:val="none"/>
        </w:rPr>
      </w:pPr>
    </w:p>
    <w:p w14:paraId="5E02F858">
      <w:pPr>
        <w:spacing w:line="360" w:lineRule="auto"/>
        <w:rPr>
          <w:rFonts w:ascii="宋体" w:hAnsi="宋体"/>
          <w:color w:val="auto"/>
          <w:highlight w:val="none"/>
        </w:rPr>
      </w:pPr>
    </w:p>
    <w:p w14:paraId="37D72C82">
      <w:pPr>
        <w:snapToGrid w:val="0"/>
        <w:spacing w:line="360" w:lineRule="auto"/>
        <w:ind w:firstLine="964" w:firstLineChars="300"/>
        <w:jc w:val="left"/>
        <w:outlineLvl w:val="1"/>
        <w:rPr>
          <w:rFonts w:hint="default" w:ascii="仿宋_GB2312" w:hAnsi="仿宋_GB2312" w:eastAsia="宋体"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合  同  编  号：</w:t>
      </w:r>
      <w:r>
        <w:rPr>
          <w:rFonts w:hint="eastAsia" w:ascii="宋体" w:hAnsi="宋体"/>
          <w:b/>
          <w:color w:val="auto"/>
          <w:sz w:val="32"/>
          <w:szCs w:val="32"/>
          <w:highlight w:val="none"/>
          <w:u w:val="single"/>
        </w:rPr>
        <w:t>FD-</w:t>
      </w:r>
      <w:r>
        <w:rPr>
          <w:rFonts w:hint="eastAsia" w:ascii="宋体" w:hAnsi="宋体"/>
          <w:b/>
          <w:color w:val="auto"/>
          <w:sz w:val="32"/>
          <w:szCs w:val="32"/>
          <w:highlight w:val="none"/>
          <w:u w:val="single"/>
          <w:lang w:val="en-US" w:eastAsia="zh-CN"/>
        </w:rPr>
        <w:t xml:space="preserve">               </w:t>
      </w:r>
    </w:p>
    <w:p w14:paraId="451FF5C6">
      <w:pPr>
        <w:snapToGrid w:val="0"/>
        <w:spacing w:line="360" w:lineRule="auto"/>
        <w:ind w:firstLine="964" w:firstLineChars="300"/>
        <w:jc w:val="left"/>
        <w:outlineLvl w:val="1"/>
        <w:rPr>
          <w:rFonts w:ascii="宋体" w:hAnsi="宋体"/>
          <w:b/>
          <w:color w:val="auto"/>
          <w:sz w:val="32"/>
          <w:szCs w:val="32"/>
          <w:highlight w:val="none"/>
          <w:u w:val="single"/>
        </w:rPr>
      </w:pPr>
      <w:r>
        <w:rPr>
          <w:rFonts w:hint="eastAsia" w:ascii="仿宋_GB2312" w:hAnsi="仿宋_GB2312" w:eastAsia="仿宋_GB2312" w:cs="仿宋_GB2312"/>
          <w:b/>
          <w:color w:val="auto"/>
          <w:sz w:val="32"/>
          <w:szCs w:val="32"/>
          <w:highlight w:val="none"/>
          <w:lang w:val="en-US" w:eastAsia="zh-CN"/>
        </w:rPr>
        <w:t>委托</w:t>
      </w:r>
      <w:r>
        <w:rPr>
          <w:rFonts w:hint="eastAsia" w:ascii="仿宋_GB2312" w:hAnsi="仿宋_GB2312" w:eastAsia="仿宋_GB2312" w:cs="仿宋_GB2312"/>
          <w:b/>
          <w:color w:val="auto"/>
          <w:sz w:val="32"/>
          <w:szCs w:val="32"/>
          <w:highlight w:val="none"/>
        </w:rPr>
        <w:t>人（甲方）：</w:t>
      </w:r>
      <w:r>
        <w:rPr>
          <w:rFonts w:hint="eastAsia" w:ascii="仿宋_GB2312" w:hAnsi="仿宋_GB2312" w:eastAsia="仿宋_GB2312" w:cs="仿宋_GB2312"/>
          <w:b/>
          <w:color w:val="auto"/>
          <w:sz w:val="32"/>
          <w:szCs w:val="32"/>
          <w:highlight w:val="none"/>
          <w:u w:val="single"/>
          <w:lang w:val="en-US" w:eastAsia="zh-CN"/>
        </w:rPr>
        <w:t>东莞市福地饮用水有限公司</w:t>
      </w:r>
    </w:p>
    <w:p w14:paraId="52C62503">
      <w:pPr>
        <w:snapToGrid w:val="0"/>
        <w:spacing w:line="360" w:lineRule="auto"/>
        <w:ind w:firstLine="964" w:firstLineChars="300"/>
        <w:jc w:val="left"/>
        <w:outlineLvl w:val="1"/>
        <w:rPr>
          <w:rFonts w:hint="default" w:ascii="宋体" w:hAnsi="宋体" w:eastAsia="仿宋_GB2312"/>
          <w:b/>
          <w:color w:val="auto"/>
          <w:sz w:val="32"/>
          <w:szCs w:val="32"/>
          <w:highlight w:val="none"/>
          <w:u w:val="single"/>
          <w:lang w:val="en-US" w:eastAsia="zh-CN"/>
        </w:rPr>
      </w:pPr>
      <w:r>
        <w:rPr>
          <w:rFonts w:hint="eastAsia" w:ascii="仿宋_GB2312" w:hAnsi="仿宋_GB2312" w:eastAsia="仿宋_GB2312" w:cs="仿宋_GB2312"/>
          <w:b/>
          <w:color w:val="auto"/>
          <w:sz w:val="32"/>
          <w:szCs w:val="32"/>
          <w:highlight w:val="none"/>
          <w:lang w:val="en-US" w:eastAsia="zh-CN"/>
        </w:rPr>
        <w:t>受托</w:t>
      </w:r>
      <w:r>
        <w:rPr>
          <w:rFonts w:hint="eastAsia" w:ascii="仿宋_GB2312" w:hAnsi="仿宋_GB2312" w:eastAsia="仿宋_GB2312" w:cs="仿宋_GB2312"/>
          <w:b/>
          <w:color w:val="auto"/>
          <w:sz w:val="32"/>
          <w:szCs w:val="32"/>
          <w:highlight w:val="none"/>
        </w:rPr>
        <w:t>人（乙方）：</w:t>
      </w:r>
      <w:r>
        <w:rPr>
          <w:rFonts w:hint="eastAsia" w:ascii="仿宋_GB2312" w:hAnsi="仿宋_GB2312" w:eastAsia="仿宋_GB2312" w:cs="仿宋_GB2312"/>
          <w:b/>
          <w:color w:val="auto"/>
          <w:sz w:val="32"/>
          <w:szCs w:val="32"/>
          <w:highlight w:val="none"/>
          <w:u w:val="single"/>
          <w:lang w:val="en-US" w:eastAsia="zh-CN"/>
        </w:rPr>
        <w:t xml:space="preserve">                   </w:t>
      </w:r>
    </w:p>
    <w:p w14:paraId="618C1283">
      <w:pPr>
        <w:adjustRightInd w:val="0"/>
        <w:snapToGrid w:val="0"/>
        <w:spacing w:line="360" w:lineRule="auto"/>
        <w:jc w:val="center"/>
        <w:rPr>
          <w:rFonts w:ascii="宋体" w:hAnsi="宋体"/>
          <w:color w:val="auto"/>
          <w:sz w:val="32"/>
          <w:szCs w:val="32"/>
          <w:highlight w:val="none"/>
        </w:rPr>
      </w:pPr>
    </w:p>
    <w:p w14:paraId="48859B8F">
      <w:pPr>
        <w:adjustRightInd w:val="0"/>
        <w:snapToGrid w:val="0"/>
        <w:spacing w:line="360" w:lineRule="auto"/>
        <w:rPr>
          <w:rFonts w:ascii="宋体" w:hAnsi="宋体"/>
          <w:color w:val="auto"/>
          <w:sz w:val="32"/>
          <w:szCs w:val="32"/>
          <w:highlight w:val="none"/>
        </w:rPr>
      </w:pPr>
    </w:p>
    <w:p w14:paraId="31AE550C">
      <w:pPr>
        <w:ind w:firstLine="1928" w:firstLineChars="600"/>
        <w:rPr>
          <w:rFonts w:ascii="仿宋_GB2312" w:hAnsi="仿宋_GB2312" w:eastAsia="仿宋_GB2312" w:cs="仿宋_GB2312"/>
          <w:b/>
          <w:color w:val="auto"/>
          <w:sz w:val="32"/>
          <w:szCs w:val="32"/>
          <w:highlight w:val="none"/>
          <w:u w:val="single"/>
        </w:rPr>
      </w:pPr>
      <w:r>
        <w:rPr>
          <w:rFonts w:hint="eastAsia" w:ascii="仿宋_GB2312" w:hAnsi="仿宋_GB2312" w:eastAsia="仿宋_GB2312" w:cs="仿宋_GB2312"/>
          <w:b/>
          <w:color w:val="auto"/>
          <w:sz w:val="32"/>
          <w:szCs w:val="32"/>
          <w:highlight w:val="none"/>
          <w:u w:val="single"/>
        </w:rPr>
        <w:t>签订日期：     年    月    日</w:t>
      </w:r>
    </w:p>
    <w:p w14:paraId="2F547889">
      <w:pPr>
        <w:pStyle w:val="7"/>
        <w:rPr>
          <w:color w:val="auto"/>
          <w:highlight w:val="none"/>
        </w:rPr>
      </w:pPr>
    </w:p>
    <w:p w14:paraId="2E04452E">
      <w:pPr>
        <w:pStyle w:val="7"/>
        <w:rPr>
          <w:color w:val="auto"/>
          <w:highlight w:val="none"/>
        </w:rPr>
      </w:pPr>
    </w:p>
    <w:p w14:paraId="0B39BC11">
      <w:pPr>
        <w:pStyle w:val="8"/>
        <w:ind w:firstLine="210"/>
        <w:rPr>
          <w:color w:val="auto"/>
          <w:highlight w:val="none"/>
        </w:rPr>
      </w:pPr>
    </w:p>
    <w:p w14:paraId="19F2D4F9">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委托</w:t>
      </w:r>
      <w:r>
        <w:rPr>
          <w:rFonts w:hint="eastAsia" w:ascii="仿宋_GB2312" w:hAnsi="仿宋_GB2312" w:eastAsia="仿宋_GB2312" w:cs="仿宋_GB2312"/>
          <w:color w:val="auto"/>
          <w:szCs w:val="21"/>
          <w:highlight w:val="none"/>
        </w:rPr>
        <w:t>人（甲方）：</w:t>
      </w:r>
      <w:r>
        <w:rPr>
          <w:rFonts w:hint="eastAsia" w:ascii="仿宋_GB2312" w:hAnsi="仿宋_GB2312" w:eastAsia="仿宋_GB2312" w:cs="仿宋_GB2312"/>
          <w:color w:val="auto"/>
          <w:szCs w:val="21"/>
          <w:highlight w:val="none"/>
          <w:u w:val="single"/>
          <w:lang w:val="en-US" w:eastAsia="zh-CN"/>
        </w:rPr>
        <w:t>东莞市福地饮用水有限公司</w:t>
      </w:r>
    </w:p>
    <w:p w14:paraId="0F351304">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法人住所地：</w:t>
      </w:r>
      <w:r>
        <w:rPr>
          <w:rFonts w:hint="eastAsia" w:ascii="仿宋_GB2312" w:hAnsi="仿宋_GB2312" w:eastAsia="仿宋_GB2312" w:cs="仿宋_GB2312"/>
          <w:color w:val="auto"/>
          <w:szCs w:val="21"/>
          <w:highlight w:val="none"/>
          <w:u w:val="single"/>
        </w:rPr>
        <w:t>广东省东莞市南城街道宏图路39号20栋101室</w:t>
      </w:r>
    </w:p>
    <w:p w14:paraId="4B2E08C5">
      <w:pPr>
        <w:adjustRightInd w:val="0"/>
        <w:snapToGrid w:val="0"/>
        <w:spacing w:line="360" w:lineRule="auto"/>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lang w:val="en-US" w:eastAsia="zh-CN"/>
        </w:rPr>
        <w:t>杨小兵</w:t>
      </w:r>
    </w:p>
    <w:p w14:paraId="582FE93C">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统一社会信用代码</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914419007701960462 </w:t>
      </w:r>
      <w:r>
        <w:rPr>
          <w:rFonts w:hint="eastAsia" w:ascii="仿宋_GB2312" w:hAnsi="仿宋_GB2312" w:eastAsia="仿宋_GB2312" w:cs="仿宋_GB2312"/>
          <w:color w:val="auto"/>
          <w:szCs w:val="21"/>
          <w:highlight w:val="none"/>
        </w:rPr>
        <w:t xml:space="preserve"> </w:t>
      </w:r>
    </w:p>
    <w:p w14:paraId="757A0430">
      <w:pPr>
        <w:adjustRightInd w:val="0"/>
        <w:snapToGrid w:val="0"/>
        <w:spacing w:line="360" w:lineRule="auto"/>
        <w:rPr>
          <w:rFonts w:ascii="仿宋_GB2312" w:hAnsi="仿宋_GB2312" w:eastAsia="仿宋_GB2312" w:cs="仿宋_GB2312"/>
          <w:color w:val="auto"/>
          <w:szCs w:val="21"/>
          <w:highlight w:val="none"/>
        </w:rPr>
      </w:pPr>
    </w:p>
    <w:p w14:paraId="3916A668">
      <w:pPr>
        <w:adjustRightInd w:val="0"/>
        <w:snapToGrid w:val="0"/>
        <w:spacing w:line="360" w:lineRule="auto"/>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lang w:val="en-US" w:eastAsia="zh-CN"/>
        </w:rPr>
        <w:t>受托</w:t>
      </w:r>
      <w:r>
        <w:rPr>
          <w:rFonts w:hint="eastAsia" w:ascii="仿宋_GB2312" w:hAnsi="仿宋_GB2312" w:eastAsia="仿宋_GB2312" w:cs="仿宋_GB2312"/>
          <w:color w:val="auto"/>
          <w:szCs w:val="21"/>
          <w:highlight w:val="none"/>
        </w:rPr>
        <w:t>人（乙方）：</w:t>
      </w:r>
      <w:r>
        <w:rPr>
          <w:rFonts w:hint="eastAsia" w:ascii="仿宋_GB2312" w:hAnsi="仿宋_GB2312" w:eastAsia="仿宋_GB2312" w:cs="仿宋_GB2312"/>
          <w:color w:val="auto"/>
          <w:szCs w:val="21"/>
          <w:highlight w:val="none"/>
          <w:u w:val="single"/>
          <w:lang w:val="en-US" w:eastAsia="zh-CN"/>
        </w:rPr>
        <w:t xml:space="preserve">                  </w:t>
      </w:r>
    </w:p>
    <w:p w14:paraId="3AF1A6FD">
      <w:pPr>
        <w:adjustRightInd w:val="0"/>
        <w:snapToGrid w:val="0"/>
        <w:spacing w:line="360" w:lineRule="auto"/>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法人住所地：</w:t>
      </w:r>
      <w:r>
        <w:rPr>
          <w:rFonts w:hint="eastAsia" w:ascii="仿宋_GB2312" w:hAnsi="仿宋_GB2312" w:eastAsia="仿宋_GB2312" w:cs="仿宋_GB2312"/>
          <w:color w:val="auto"/>
          <w:szCs w:val="21"/>
          <w:highlight w:val="none"/>
          <w:u w:val="single"/>
          <w:lang w:val="en-US" w:eastAsia="zh-CN"/>
        </w:rPr>
        <w:t xml:space="preserve">                                </w:t>
      </w:r>
    </w:p>
    <w:p w14:paraId="4D411C81">
      <w:pPr>
        <w:pStyle w:val="7"/>
        <w:rPr>
          <w:rFonts w:hint="default" w:ascii="仿宋_GB2312" w:hAnsi="仿宋_GB2312" w:eastAsia="仿宋_GB2312" w:cs="仿宋_GB2312"/>
          <w:color w:val="auto"/>
          <w:kern w:val="2"/>
          <w:sz w:val="21"/>
          <w:szCs w:val="21"/>
          <w:highlight w:val="none"/>
          <w:u w:val="single"/>
          <w:lang w:val="en-US" w:eastAsia="zh-CN" w:bidi="ar-SA"/>
        </w:rPr>
      </w:pPr>
      <w:r>
        <w:rPr>
          <w:rFonts w:hint="eastAsia" w:ascii="仿宋_GB2312" w:hAnsi="仿宋_GB2312" w:eastAsia="仿宋_GB2312" w:cs="仿宋_GB2312"/>
          <w:color w:val="auto"/>
          <w:szCs w:val="21"/>
          <w:highlight w:val="none"/>
        </w:rPr>
        <w:t>法定代表人（或负责人）：</w:t>
      </w:r>
      <w:r>
        <w:rPr>
          <w:rFonts w:hint="eastAsia" w:ascii="仿宋_GB2312" w:hAnsi="仿宋_GB2312" w:eastAsia="仿宋_GB2312" w:cs="仿宋_GB2312"/>
          <w:color w:val="auto"/>
          <w:szCs w:val="21"/>
          <w:highlight w:val="none"/>
          <w:u w:val="single"/>
          <w:lang w:val="en-US" w:eastAsia="zh-CN"/>
        </w:rPr>
        <w:t xml:space="preserve">           </w:t>
      </w:r>
    </w:p>
    <w:p w14:paraId="20C11217">
      <w:pPr>
        <w:adjustRightInd w:val="0"/>
        <w:snapToGrid w:val="0"/>
        <w:spacing w:line="360" w:lineRule="auto"/>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highlight w:val="none"/>
        </w:rPr>
        <w:t>统一社会信用代码</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p>
    <w:p w14:paraId="62C5EDF5">
      <w:pPr>
        <w:widowControl/>
        <w:snapToGrid w:val="0"/>
        <w:spacing w:after="156" w:afterLines="50"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 xml:space="preserve"> </w:t>
      </w:r>
      <w:r>
        <w:rPr>
          <w:rFonts w:hint="eastAsia" w:ascii="仿宋_GB2312" w:hAnsi="仿宋_GB2312" w:eastAsia="仿宋_GB2312" w:cs="仿宋_GB2312"/>
          <w:b/>
          <w:bCs/>
          <w:color w:val="auto"/>
          <w:szCs w:val="21"/>
          <w:highlight w:val="none"/>
          <w:lang w:val="en-US" w:eastAsia="zh-CN"/>
        </w:rPr>
        <w:t xml:space="preserve">   </w:t>
      </w:r>
      <w:r>
        <w:rPr>
          <w:rFonts w:hint="eastAsia" w:ascii="仿宋_GB2312" w:hAnsi="仿宋_GB2312" w:eastAsia="仿宋_GB2312" w:cs="仿宋_GB2312"/>
          <w:color w:val="auto"/>
          <w:szCs w:val="21"/>
          <w:highlight w:val="none"/>
        </w:rPr>
        <w:t>根据《中华人民共和国民法典》及有关规定，</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本着诚实守信、合作共赢的原则，结合本项目的具体情况，双方在自愿、平等、协商一致的基础上签订本合同。</w:t>
      </w:r>
    </w:p>
    <w:p w14:paraId="6FAC080B">
      <w:pPr>
        <w:snapToGrid w:val="0"/>
        <w:spacing w:line="360" w:lineRule="auto"/>
        <w:ind w:firstLine="422" w:firstLineChars="200"/>
        <w:jc w:val="left"/>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一</w:t>
      </w:r>
      <w:r>
        <w:rPr>
          <w:rFonts w:hint="eastAsia" w:ascii="仿宋_GB2312" w:hAnsi="仿宋_GB2312" w:eastAsia="仿宋_GB2312" w:cs="仿宋_GB2312"/>
          <w:b/>
          <w:bCs/>
          <w:color w:val="auto"/>
          <w:szCs w:val="21"/>
          <w:highlight w:val="none"/>
          <w:shd w:val="clear" w:color="auto" w:fill="FFFFFF"/>
        </w:rPr>
        <w:t>条</w:t>
      </w:r>
      <w:r>
        <w:rPr>
          <w:rFonts w:hint="eastAsia" w:ascii="仿宋_GB2312" w:hAnsi="仿宋_GB2312" w:eastAsia="仿宋_GB2312" w:cs="仿宋_GB2312"/>
          <w:b/>
          <w:bCs/>
          <w:color w:val="auto"/>
          <w:szCs w:val="21"/>
          <w:highlight w:val="none"/>
          <w:shd w:val="clear" w:color="auto" w:fill="FFFFFF"/>
          <w:lang w:val="en-US" w:eastAsia="zh-CN"/>
        </w:rPr>
        <w:t xml:space="preserve"> </w:t>
      </w:r>
      <w:r>
        <w:rPr>
          <w:rFonts w:hint="eastAsia" w:ascii="仿宋_GB2312" w:hAnsi="仿宋_GB2312" w:eastAsia="仿宋_GB2312" w:cs="仿宋_GB2312"/>
          <w:b/>
          <w:bCs/>
          <w:color w:val="auto"/>
          <w:szCs w:val="21"/>
          <w:highlight w:val="none"/>
          <w:shd w:val="clear" w:color="auto" w:fill="FFFFFF"/>
        </w:rPr>
        <w:t>服务</w:t>
      </w:r>
      <w:r>
        <w:rPr>
          <w:rFonts w:hint="eastAsia" w:ascii="仿宋_GB2312" w:hAnsi="仿宋_GB2312" w:eastAsia="仿宋_GB2312" w:cs="仿宋_GB2312"/>
          <w:b/>
          <w:bCs/>
          <w:color w:val="auto"/>
          <w:szCs w:val="21"/>
          <w:highlight w:val="none"/>
          <w:shd w:val="clear" w:color="auto" w:fill="FFFFFF"/>
          <w:lang w:val="en-US" w:eastAsia="zh-CN"/>
        </w:rPr>
        <w:t>内容</w:t>
      </w:r>
    </w:p>
    <w:p w14:paraId="47FA3B6E">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甲方委托乙方按照甲方的订单，从甲方指定的东莞市范围内的仓库中提货后，将包装水配送至甲方或甲方客户指定的存放点，完成包装水的交付工作。</w:t>
      </w:r>
    </w:p>
    <w:p w14:paraId="4646D0E2">
      <w:pPr>
        <w:snapToGrid w:val="0"/>
        <w:spacing w:line="360" w:lineRule="auto"/>
        <w:ind w:firstLine="426" w:firstLineChars="202"/>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第二条</w:t>
      </w:r>
      <w:r>
        <w:rPr>
          <w:rFonts w:hint="eastAsia" w:ascii="仿宋_GB2312" w:hAnsi="仿宋_GB2312" w:eastAsia="仿宋_GB2312" w:cs="仿宋_GB2312"/>
          <w:b/>
          <w:bCs/>
          <w:color w:val="auto"/>
          <w:szCs w:val="21"/>
          <w:highlight w:val="none"/>
          <w:shd w:val="clear" w:color="auto" w:fill="FFFFFF"/>
          <w:lang w:val="en-US" w:eastAsia="zh-CN"/>
        </w:rPr>
        <w:t xml:space="preserve"> 配送产品</w:t>
      </w:r>
    </w:p>
    <w:p w14:paraId="4B705D41">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zh-CN" w:eastAsia="zh-CN"/>
        </w:rPr>
      </w:pPr>
      <w:r>
        <w:rPr>
          <w:rFonts w:hint="eastAsia" w:ascii="仿宋_GB2312" w:hAnsi="仿宋_GB2312" w:eastAsia="仿宋_GB2312" w:cs="仿宋_GB2312"/>
          <w:color w:val="auto"/>
          <w:szCs w:val="21"/>
          <w:highlight w:val="none"/>
          <w:shd w:val="clear" w:color="auto" w:fill="FFFFFF"/>
          <w:lang w:val="zh-CN"/>
        </w:rPr>
        <w:t>本合同涉及的配送产品为饮用水</w:t>
      </w:r>
      <w:r>
        <w:rPr>
          <w:rFonts w:hint="eastAsia" w:ascii="仿宋_GB2312" w:hAnsi="仿宋_GB2312" w:eastAsia="仿宋_GB2312" w:cs="仿宋_GB2312"/>
          <w:color w:val="auto"/>
          <w:szCs w:val="21"/>
          <w:highlight w:val="none"/>
          <w:shd w:val="clear" w:color="auto" w:fill="FFFFFF"/>
          <w:lang w:val="en-US" w:eastAsia="zh-CN"/>
        </w:rPr>
        <w:t>产品和非饮用水商品</w:t>
      </w:r>
      <w:r>
        <w:rPr>
          <w:rFonts w:hint="eastAsia" w:ascii="仿宋_GB2312" w:hAnsi="仿宋_GB2312" w:eastAsia="仿宋_GB2312" w:cs="仿宋_GB2312"/>
          <w:color w:val="auto"/>
          <w:szCs w:val="21"/>
          <w:highlight w:val="none"/>
          <w:shd w:val="clear" w:color="auto" w:fill="FFFFFF"/>
          <w:lang w:val="zh-CN"/>
        </w:rPr>
        <w:t>，</w:t>
      </w:r>
      <w:r>
        <w:rPr>
          <w:rFonts w:hint="eastAsia" w:ascii="仿宋_GB2312" w:hAnsi="仿宋_GB2312" w:eastAsia="仿宋_GB2312" w:cs="仿宋_GB2312"/>
          <w:color w:val="auto"/>
          <w:szCs w:val="21"/>
          <w:highlight w:val="none"/>
          <w:shd w:val="clear" w:color="auto" w:fill="FFFFFF"/>
          <w:lang w:val="en-US" w:eastAsia="zh-CN"/>
        </w:rPr>
        <w:t>饮用水产品</w:t>
      </w:r>
      <w:r>
        <w:rPr>
          <w:rFonts w:hint="eastAsia" w:ascii="仿宋_GB2312" w:hAnsi="仿宋_GB2312" w:eastAsia="仿宋_GB2312" w:cs="仿宋_GB2312"/>
          <w:color w:val="auto"/>
          <w:sz w:val="21"/>
          <w:szCs w:val="21"/>
          <w:highlight w:val="none"/>
          <w:shd w:val="clear" w:color="auto" w:fill="FFFFFF"/>
          <w:lang w:val="zh-CN" w:eastAsia="zh-CN"/>
        </w:rPr>
        <w:t>包括但不限于：</w:t>
      </w:r>
      <w:r>
        <w:rPr>
          <w:rFonts w:hint="eastAsia" w:ascii="仿宋_GB2312" w:hAnsi="仿宋_GB2312" w:eastAsia="仿宋_GB2312" w:cs="仿宋_GB2312"/>
          <w:color w:val="auto"/>
          <w:szCs w:val="21"/>
          <w:highlight w:val="none"/>
          <w:shd w:val="clear" w:color="auto" w:fill="FFFFFF"/>
          <w:lang w:val="zh-CN" w:eastAsia="zh-CN"/>
        </w:rPr>
        <w:t>桶装水产品：</w:t>
      </w:r>
      <w:r>
        <w:rPr>
          <w:rFonts w:hint="eastAsia" w:ascii="仿宋_GB2312" w:hAnsi="仿宋_GB2312" w:eastAsia="仿宋_GB2312" w:cs="仿宋_GB2312"/>
          <w:color w:val="auto"/>
          <w:szCs w:val="21"/>
          <w:highlight w:val="none"/>
          <w:shd w:val="clear" w:color="auto" w:fill="FFFFFF"/>
          <w:lang w:val="en-US" w:eastAsia="zh-CN"/>
        </w:rPr>
        <w:t>12.3L(约</w:t>
      </w:r>
      <w:r>
        <w:rPr>
          <w:rFonts w:hint="eastAsia" w:ascii="仿宋_GB2312" w:hAnsi="仿宋_GB2312" w:eastAsia="仿宋_GB2312" w:cs="仿宋_GB2312"/>
          <w:i w:val="0"/>
          <w:iCs w:val="0"/>
          <w:caps w:val="0"/>
          <w:color w:val="auto"/>
          <w:spacing w:val="0"/>
          <w:sz w:val="21"/>
          <w:szCs w:val="21"/>
          <w:highlight w:val="none"/>
          <w:shd w:val="clear" w:color="auto" w:fill="FFFFFF"/>
        </w:rPr>
        <w:t>12.30 </w:t>
      </w:r>
      <w:r>
        <w:rPr>
          <w:rFonts w:hint="eastAsia" w:ascii="仿宋_GB2312" w:hAnsi="仿宋_GB2312" w:eastAsia="仿宋_GB2312" w:cs="仿宋_GB2312"/>
          <w:color w:val="auto"/>
          <w:szCs w:val="21"/>
          <w:highlight w:val="none"/>
          <w:shd w:val="clear" w:color="auto" w:fill="FFFFFF"/>
          <w:lang w:val="en-US" w:eastAsia="zh-CN"/>
        </w:rPr>
        <w:t>kg/</w:t>
      </w:r>
      <w:r>
        <w:rPr>
          <w:rFonts w:hint="eastAsia" w:ascii="仿宋_GB2312" w:hAnsi="仿宋_GB2312" w:eastAsia="仿宋_GB2312" w:cs="仿宋_GB2312"/>
          <w:color w:val="auto"/>
          <w:szCs w:val="21"/>
          <w:highlight w:val="none"/>
          <w:shd w:val="clear" w:color="auto" w:fill="FFFFFF"/>
          <w:lang w:val="zh-CN" w:eastAsia="zh-CN"/>
        </w:rPr>
        <w:t>桶)</w:t>
      </w:r>
      <w:r>
        <w:rPr>
          <w:rFonts w:hint="eastAsia" w:ascii="仿宋_GB2312" w:hAnsi="仿宋_GB2312" w:eastAsia="仿宋_GB2312" w:cs="仿宋_GB2312"/>
          <w:color w:val="auto"/>
          <w:szCs w:val="21"/>
          <w:highlight w:val="none"/>
          <w:shd w:val="clear" w:color="auto" w:fill="FFFFFF"/>
          <w:lang w:val="en-US" w:eastAsia="zh-CN"/>
        </w:rPr>
        <w:t>、15L（约15kg/</w:t>
      </w:r>
      <w:r>
        <w:rPr>
          <w:rFonts w:hint="eastAsia" w:ascii="仿宋_GB2312" w:hAnsi="仿宋_GB2312" w:eastAsia="仿宋_GB2312" w:cs="仿宋_GB2312"/>
          <w:color w:val="auto"/>
          <w:szCs w:val="21"/>
          <w:highlight w:val="none"/>
          <w:shd w:val="clear" w:color="auto" w:fill="FFFFFF"/>
          <w:lang w:val="zh-CN" w:eastAsia="zh-CN"/>
        </w:rPr>
        <w:t>桶</w:t>
      </w:r>
      <w:r>
        <w:rPr>
          <w:rFonts w:hint="eastAsia" w:ascii="仿宋_GB2312" w:hAnsi="仿宋_GB2312" w:eastAsia="仿宋_GB2312" w:cs="仿宋_GB2312"/>
          <w:color w:val="auto"/>
          <w:szCs w:val="21"/>
          <w:highlight w:val="none"/>
          <w:shd w:val="clear" w:color="auto" w:fill="FFFFFF"/>
          <w:lang w:val="en-US" w:eastAsia="zh-CN"/>
        </w:rPr>
        <w:t>）、5.28L*3桶（约</w:t>
      </w:r>
      <w:r>
        <w:rPr>
          <w:rFonts w:hint="eastAsia" w:ascii="仿宋_GB2312" w:hAnsi="仿宋_GB2312" w:eastAsia="仿宋_GB2312" w:cs="仿宋_GB2312"/>
          <w:i w:val="0"/>
          <w:iCs w:val="0"/>
          <w:caps w:val="0"/>
          <w:color w:val="auto"/>
          <w:spacing w:val="0"/>
          <w:sz w:val="21"/>
          <w:szCs w:val="21"/>
          <w:highlight w:val="none"/>
          <w:shd w:val="clear" w:color="auto" w:fill="FFFFFF"/>
        </w:rPr>
        <w:t> 15.84</w:t>
      </w:r>
      <w:r>
        <w:rPr>
          <w:rFonts w:hint="eastAsia" w:ascii="仿宋_GB2312" w:hAnsi="仿宋_GB2312" w:eastAsia="仿宋_GB2312" w:cs="仿宋_GB2312"/>
          <w:color w:val="auto"/>
          <w:szCs w:val="21"/>
          <w:highlight w:val="none"/>
          <w:shd w:val="clear" w:color="auto" w:fill="FFFFFF"/>
          <w:lang w:val="en-US" w:eastAsia="zh-CN"/>
        </w:rPr>
        <w:t>kg/件）、5L*4桶（约</w:t>
      </w:r>
      <w:r>
        <w:rPr>
          <w:rFonts w:hint="eastAsia" w:ascii="仿宋_GB2312" w:hAnsi="仿宋_GB2312" w:eastAsia="仿宋_GB2312" w:cs="仿宋_GB2312"/>
          <w:i w:val="0"/>
          <w:iCs w:val="0"/>
          <w:caps w:val="0"/>
          <w:color w:val="auto"/>
          <w:spacing w:val="0"/>
          <w:sz w:val="21"/>
          <w:szCs w:val="21"/>
          <w:highlight w:val="none"/>
          <w:shd w:val="clear" w:color="auto" w:fill="FFFFFF"/>
        </w:rPr>
        <w:t> </w:t>
      </w: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20</w:t>
      </w:r>
      <w:r>
        <w:rPr>
          <w:rFonts w:hint="eastAsia" w:ascii="仿宋_GB2312" w:hAnsi="仿宋_GB2312" w:eastAsia="仿宋_GB2312" w:cs="仿宋_GB2312"/>
          <w:color w:val="auto"/>
          <w:szCs w:val="21"/>
          <w:highlight w:val="none"/>
          <w:shd w:val="clear" w:color="auto" w:fill="FFFFFF"/>
          <w:lang w:val="en-US" w:eastAsia="zh-CN"/>
        </w:rPr>
        <w:t>kg/件）</w:t>
      </w:r>
      <w:r>
        <w:rPr>
          <w:rFonts w:hint="eastAsia" w:ascii="仿宋_GB2312" w:hAnsi="仿宋_GB2312" w:eastAsia="仿宋_GB2312" w:cs="仿宋_GB2312"/>
          <w:color w:val="auto"/>
          <w:szCs w:val="21"/>
          <w:highlight w:val="none"/>
          <w:shd w:val="clear" w:color="auto" w:fill="FFFFFF"/>
          <w:lang w:val="zh-CN" w:eastAsia="zh-CN"/>
        </w:rPr>
        <w:t>；支装水产品：</w:t>
      </w:r>
      <w:r>
        <w:rPr>
          <w:rFonts w:hint="eastAsia" w:ascii="仿宋_GB2312" w:hAnsi="仿宋_GB2312" w:eastAsia="仿宋_GB2312" w:cs="仿宋_GB2312"/>
          <w:color w:val="auto"/>
          <w:szCs w:val="21"/>
          <w:highlight w:val="none"/>
          <w:shd w:val="clear" w:color="auto" w:fill="FFFFFF"/>
          <w:lang w:val="en-US" w:eastAsia="zh-CN"/>
        </w:rPr>
        <w:t>360ml*24瓶（约8.64kg/件）、350ml*24瓶（约</w:t>
      </w:r>
      <w:r>
        <w:rPr>
          <w:rFonts w:hint="eastAsia" w:ascii="仿宋_GB2312" w:hAnsi="仿宋_GB2312" w:eastAsia="仿宋_GB2312" w:cs="仿宋_GB2312"/>
          <w:i w:val="0"/>
          <w:iCs w:val="0"/>
          <w:caps w:val="0"/>
          <w:color w:val="auto"/>
          <w:spacing w:val="0"/>
          <w:sz w:val="21"/>
          <w:szCs w:val="21"/>
          <w:highlight w:val="none"/>
          <w:shd w:val="clear" w:color="auto" w:fill="FFFFFF"/>
        </w:rPr>
        <w:t> 8.40</w:t>
      </w:r>
      <w:r>
        <w:rPr>
          <w:rFonts w:hint="eastAsia" w:ascii="仿宋_GB2312" w:hAnsi="仿宋_GB2312" w:eastAsia="仿宋_GB2312" w:cs="仿宋_GB2312"/>
          <w:color w:val="auto"/>
          <w:szCs w:val="21"/>
          <w:highlight w:val="none"/>
          <w:shd w:val="clear" w:color="auto" w:fill="FFFFFF"/>
          <w:lang w:val="en-US" w:eastAsia="zh-CN"/>
        </w:rPr>
        <w:t>kg/件）、390ml*24瓶（约9.36kg/件）、550ml*24瓶（约</w:t>
      </w:r>
      <w:r>
        <w:rPr>
          <w:rFonts w:hint="eastAsia" w:ascii="仿宋_GB2312" w:hAnsi="仿宋_GB2312" w:eastAsia="仿宋_GB2312" w:cs="仿宋_GB2312"/>
          <w:i w:val="0"/>
          <w:iCs w:val="0"/>
          <w:caps w:val="0"/>
          <w:color w:val="auto"/>
          <w:spacing w:val="0"/>
          <w:sz w:val="21"/>
          <w:szCs w:val="21"/>
          <w:highlight w:val="none"/>
          <w:shd w:val="clear" w:color="auto" w:fill="FFFFFF"/>
        </w:rPr>
        <w:t> </w:t>
      </w: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13.2</w:t>
      </w:r>
      <w:r>
        <w:rPr>
          <w:rFonts w:hint="eastAsia" w:ascii="仿宋_GB2312" w:hAnsi="仿宋_GB2312" w:eastAsia="仿宋_GB2312" w:cs="仿宋_GB2312"/>
          <w:i w:val="0"/>
          <w:iCs w:val="0"/>
          <w:caps w:val="0"/>
          <w:color w:val="auto"/>
          <w:spacing w:val="0"/>
          <w:sz w:val="21"/>
          <w:szCs w:val="21"/>
          <w:highlight w:val="none"/>
          <w:shd w:val="clear" w:color="auto" w:fill="FFFFFF"/>
        </w:rPr>
        <w:t>0</w:t>
      </w:r>
      <w:r>
        <w:rPr>
          <w:rFonts w:hint="eastAsia" w:ascii="仿宋_GB2312" w:hAnsi="仿宋_GB2312" w:eastAsia="仿宋_GB2312" w:cs="仿宋_GB2312"/>
          <w:color w:val="auto"/>
          <w:szCs w:val="21"/>
          <w:highlight w:val="none"/>
          <w:shd w:val="clear" w:color="auto" w:fill="FFFFFF"/>
          <w:lang w:val="en-US" w:eastAsia="zh-CN"/>
        </w:rPr>
        <w:t>kg/件）</w:t>
      </w:r>
      <w:r>
        <w:rPr>
          <w:rFonts w:hint="eastAsia" w:ascii="宋体" w:hAnsi="宋体" w:eastAsia="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lang w:val="en-US" w:eastAsia="zh-CN"/>
        </w:rPr>
        <w:t>22</w:t>
      </w:r>
      <w:r>
        <w:rPr>
          <w:rFonts w:hint="eastAsia" w:ascii="宋体" w:hAnsi="宋体" w:eastAsia="宋体" w:cs="宋体"/>
          <w:color w:val="auto"/>
          <w:szCs w:val="21"/>
          <w:highlight w:val="none"/>
          <w:shd w:val="clear" w:color="auto" w:fill="auto"/>
          <w:lang w:val="en-US" w:eastAsia="zh-CN"/>
        </w:rPr>
        <w:t>0ml*</w:t>
      </w:r>
      <w:r>
        <w:rPr>
          <w:rFonts w:hint="eastAsia" w:ascii="宋体" w:hAnsi="宋体" w:cs="宋体"/>
          <w:color w:val="auto"/>
          <w:szCs w:val="21"/>
          <w:highlight w:val="none"/>
          <w:shd w:val="clear" w:color="auto" w:fill="auto"/>
          <w:lang w:val="en-US" w:eastAsia="zh-CN"/>
        </w:rPr>
        <w:t>12</w:t>
      </w:r>
      <w:r>
        <w:rPr>
          <w:rFonts w:hint="eastAsia" w:ascii="宋体" w:hAnsi="宋体" w:eastAsia="宋体" w:cs="宋体"/>
          <w:color w:val="auto"/>
          <w:szCs w:val="21"/>
          <w:highlight w:val="none"/>
          <w:shd w:val="clear" w:color="auto" w:fill="auto"/>
          <w:lang w:val="en-US" w:eastAsia="zh-CN"/>
        </w:rPr>
        <w:t>瓶（</w:t>
      </w:r>
      <w:r>
        <w:rPr>
          <w:rFonts w:hint="eastAsia" w:ascii="宋体" w:hAnsi="宋体" w:cs="宋体"/>
          <w:color w:val="auto"/>
          <w:szCs w:val="21"/>
          <w:highlight w:val="none"/>
          <w:shd w:val="clear" w:color="auto" w:fill="auto"/>
          <w:lang w:val="en-US" w:eastAsia="zh-CN"/>
        </w:rPr>
        <w:t>约3</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Cs w:val="21"/>
          <w:highlight w:val="none"/>
          <w:shd w:val="clear" w:color="auto" w:fill="auto"/>
          <w:lang w:val="en-US" w:eastAsia="zh-CN"/>
        </w:rPr>
        <w:t>、22</w:t>
      </w:r>
      <w:r>
        <w:rPr>
          <w:rFonts w:hint="eastAsia" w:ascii="宋体" w:hAnsi="宋体" w:eastAsia="宋体" w:cs="宋体"/>
          <w:color w:val="auto"/>
          <w:szCs w:val="21"/>
          <w:highlight w:val="none"/>
          <w:shd w:val="clear" w:color="auto" w:fill="auto"/>
          <w:lang w:val="en-US" w:eastAsia="zh-CN"/>
        </w:rPr>
        <w:t>0ml*24瓶（约</w:t>
      </w:r>
      <w:r>
        <w:rPr>
          <w:rFonts w:hint="eastAsia" w:ascii="宋体" w:hAnsi="宋体" w:cs="宋体"/>
          <w:i w:val="0"/>
          <w:iCs w:val="0"/>
          <w:caps w:val="0"/>
          <w:color w:val="auto"/>
          <w:spacing w:val="0"/>
          <w:sz w:val="21"/>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Cs w:val="21"/>
          <w:highlight w:val="none"/>
          <w:shd w:val="clear" w:color="auto" w:fill="auto"/>
          <w:lang w:val="en-US" w:eastAsia="zh-CN"/>
        </w:rPr>
        <w:t>；非饮用水商品，</w:t>
      </w:r>
      <w:r>
        <w:rPr>
          <w:rFonts w:hint="eastAsia" w:ascii="宋体" w:hAnsi="宋体" w:cs="宋体"/>
          <w:color w:val="auto"/>
          <w:szCs w:val="21"/>
          <w:highlight w:val="none"/>
          <w:shd w:val="clear" w:color="auto" w:fill="auto"/>
        </w:rPr>
        <w:t>按整包合计重量2KG及以下，尺寸不超50cm*50cm*50cm为一件产品。</w:t>
      </w:r>
      <w:r>
        <w:rPr>
          <w:rFonts w:hint="eastAsia" w:ascii="宋体" w:hAnsi="宋体" w:cs="宋体"/>
          <w:color w:val="auto"/>
          <w:sz w:val="21"/>
          <w:szCs w:val="21"/>
          <w:highlight w:val="none"/>
          <w:lang w:val="en-US" w:eastAsia="zh-CN"/>
        </w:rPr>
        <w:t>搭配饮用水产品配送的非饮用水商品（2kg以下）可以免费一起配送。</w:t>
      </w:r>
      <w:r>
        <w:rPr>
          <w:rFonts w:hint="eastAsia" w:ascii="仿宋_GB2312" w:hAnsi="仿宋_GB2312" w:eastAsia="仿宋_GB2312" w:cs="仿宋_GB2312"/>
          <w:color w:val="auto"/>
          <w:szCs w:val="21"/>
          <w:highlight w:val="none"/>
          <w:shd w:val="clear" w:color="auto" w:fill="FFFFFF"/>
          <w:lang w:val="zh-CN" w:eastAsia="zh-CN"/>
        </w:rPr>
        <w:t>。</w:t>
      </w:r>
    </w:p>
    <w:p w14:paraId="04C773B9">
      <w:pPr>
        <w:snapToGrid w:val="0"/>
        <w:spacing w:line="360" w:lineRule="auto"/>
        <w:ind w:firstLine="424" w:firstLineChars="202"/>
        <w:rPr>
          <w:rFonts w:hint="default"/>
          <w:highlight w:val="none"/>
          <w:lang w:val="en-US" w:eastAsia="zh-CN"/>
        </w:rPr>
      </w:pPr>
      <w:r>
        <w:rPr>
          <w:rFonts w:hint="eastAsia" w:ascii="仿宋_GB2312" w:hAnsi="仿宋_GB2312" w:eastAsia="仿宋_GB2312" w:cs="仿宋_GB2312"/>
          <w:color w:val="auto"/>
          <w:szCs w:val="21"/>
          <w:highlight w:val="none"/>
          <w:shd w:val="clear" w:color="auto" w:fill="FFFFFF"/>
          <w:lang w:val="en-US" w:eastAsia="zh-CN"/>
        </w:rPr>
        <w:t>本合同涉及的配送数量按实际服务需求以甲方每次下达的配送任务为准，在服务期内乙方同意不因为甲方实际要求配送数量的减少或增加而要求甲方提供任何形式的补偿或赔偿，或要求甲方按约定数量支付费用。</w:t>
      </w:r>
    </w:p>
    <w:p w14:paraId="3AE49D06">
      <w:pPr>
        <w:snapToGrid w:val="0"/>
        <w:spacing w:line="360" w:lineRule="auto"/>
        <w:ind w:firstLine="426" w:firstLineChars="202"/>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三</w:t>
      </w:r>
      <w:r>
        <w:rPr>
          <w:rFonts w:hint="eastAsia" w:ascii="仿宋_GB2312" w:hAnsi="仿宋_GB2312" w:eastAsia="仿宋_GB2312" w:cs="仿宋_GB2312"/>
          <w:b/>
          <w:bCs/>
          <w:color w:val="auto"/>
          <w:szCs w:val="21"/>
          <w:highlight w:val="none"/>
          <w:shd w:val="clear" w:color="auto" w:fill="FFFFFF"/>
        </w:rPr>
        <w:t>条</w:t>
      </w:r>
      <w:r>
        <w:rPr>
          <w:rFonts w:hint="eastAsia" w:ascii="仿宋_GB2312" w:hAnsi="仿宋_GB2312" w:eastAsia="仿宋_GB2312" w:cs="仿宋_GB2312"/>
          <w:b/>
          <w:bCs/>
          <w:color w:val="auto"/>
          <w:szCs w:val="21"/>
          <w:highlight w:val="none"/>
          <w:shd w:val="clear" w:color="auto" w:fill="FFFFFF"/>
          <w:lang w:val="en-US" w:eastAsia="zh-CN"/>
        </w:rPr>
        <w:t xml:space="preserve"> </w:t>
      </w:r>
      <w:r>
        <w:rPr>
          <w:rFonts w:hint="eastAsia" w:ascii="仿宋_GB2312" w:hAnsi="仿宋_GB2312" w:eastAsia="仿宋_GB2312" w:cs="仿宋_GB2312"/>
          <w:b/>
          <w:bCs/>
          <w:color w:val="auto"/>
          <w:szCs w:val="21"/>
          <w:highlight w:val="none"/>
          <w:shd w:val="clear" w:color="auto" w:fill="FFFFFF"/>
        </w:rPr>
        <w:t>服务</w:t>
      </w:r>
      <w:r>
        <w:rPr>
          <w:rFonts w:hint="eastAsia" w:ascii="仿宋_GB2312" w:hAnsi="仿宋_GB2312" w:eastAsia="仿宋_GB2312" w:cs="仿宋_GB2312"/>
          <w:b/>
          <w:bCs/>
          <w:color w:val="auto"/>
          <w:szCs w:val="21"/>
          <w:highlight w:val="none"/>
          <w:shd w:val="clear" w:color="auto" w:fill="FFFFFF"/>
          <w:lang w:val="en-US" w:eastAsia="zh-CN"/>
        </w:rPr>
        <w:t>期限</w:t>
      </w:r>
    </w:p>
    <w:p w14:paraId="6F814EC2">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lang w:val="en-US" w:eastAsia="zh-CN"/>
        </w:rPr>
        <w:t>服务期限自合同签订之日起12个月，前述期限届满或产品物流配送服务费（含税）累计达到900,000.00元时止，终止日期以前述两种情况中先达到的期限为准</w:t>
      </w:r>
      <w:r>
        <w:rPr>
          <w:rFonts w:hint="eastAsia" w:ascii="仿宋_GB2312" w:hAnsi="仿宋_GB2312" w:eastAsia="仿宋_GB2312" w:cs="仿宋_GB2312"/>
          <w:color w:val="auto"/>
          <w:szCs w:val="21"/>
          <w:highlight w:val="none"/>
          <w:shd w:val="clear" w:color="auto" w:fill="FFFFFF"/>
        </w:rPr>
        <w:t>。</w:t>
      </w:r>
    </w:p>
    <w:p w14:paraId="4B0B2320">
      <w:pPr>
        <w:snapToGrid w:val="0"/>
        <w:spacing w:line="360" w:lineRule="auto"/>
        <w:ind w:firstLine="422" w:firstLineChars="200"/>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四</w:t>
      </w:r>
      <w:r>
        <w:rPr>
          <w:rFonts w:hint="eastAsia" w:ascii="仿宋_GB2312" w:hAnsi="仿宋_GB2312" w:eastAsia="仿宋_GB2312" w:cs="仿宋_GB2312"/>
          <w:b/>
          <w:bCs/>
          <w:color w:val="auto"/>
          <w:szCs w:val="21"/>
          <w:highlight w:val="none"/>
          <w:shd w:val="clear" w:color="auto" w:fill="FFFFFF"/>
        </w:rPr>
        <w:t xml:space="preserve">条 </w:t>
      </w:r>
      <w:r>
        <w:rPr>
          <w:rFonts w:hint="eastAsia" w:ascii="仿宋_GB2312" w:hAnsi="仿宋_GB2312" w:eastAsia="仿宋_GB2312" w:cs="仿宋_GB2312"/>
          <w:b/>
          <w:color w:val="auto"/>
          <w:szCs w:val="21"/>
          <w:highlight w:val="none"/>
        </w:rPr>
        <w:t>合同价款及支付方式</w:t>
      </w:r>
    </w:p>
    <w:p w14:paraId="6090B065">
      <w:pPr>
        <w:widowControl/>
        <w:snapToGrid/>
        <w:spacing w:line="240" w:lineRule="auto"/>
        <w:ind w:firstLine="420" w:firstLineChars="200"/>
        <w:jc w:val="left"/>
        <w:rPr>
          <w:rFonts w:hint="eastAsia" w:ascii="仿宋_GB2312" w:hAnsi="仿宋_GB2312" w:eastAsia="仿宋_GB2312" w:cs="仿宋_GB2312"/>
          <w:color w:val="auto"/>
          <w:szCs w:val="21"/>
          <w:highlight w:val="none"/>
          <w:u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1.成交配送单价</w:t>
      </w:r>
    </w:p>
    <w:tbl>
      <w:tblPr>
        <w:tblStyle w:val="19"/>
        <w:tblW w:w="7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59"/>
        <w:gridCol w:w="2476"/>
        <w:gridCol w:w="2243"/>
      </w:tblGrid>
      <w:tr w14:paraId="17E6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359" w:type="dxa"/>
            <w:shd w:val="clear" w:color="auto" w:fill="auto"/>
            <w:vAlign w:val="center"/>
          </w:tcPr>
          <w:p w14:paraId="2487BE36">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1"/>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2476" w:type="dxa"/>
            <w:shd w:val="clear" w:color="auto" w:fill="auto"/>
            <w:vAlign w:val="center"/>
          </w:tcPr>
          <w:p w14:paraId="13679CB1">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1"/>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2243" w:type="dxa"/>
            <w:shd w:val="clear" w:color="auto" w:fill="auto"/>
            <w:vAlign w:val="center"/>
          </w:tcPr>
          <w:p w14:paraId="3745168E">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0CFF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359" w:type="dxa"/>
            <w:shd w:val="clear" w:color="auto" w:fill="auto"/>
            <w:vAlign w:val="center"/>
          </w:tcPr>
          <w:p w14:paraId="2B8F0261">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1 - 19件</w:t>
            </w:r>
          </w:p>
        </w:tc>
        <w:tc>
          <w:tcPr>
            <w:tcW w:w="2476" w:type="dxa"/>
            <w:shd w:val="clear" w:color="auto" w:fill="auto"/>
            <w:vAlign w:val="center"/>
          </w:tcPr>
          <w:p w14:paraId="7FE10C8D">
            <w:pPr>
              <w:keepNext w:val="0"/>
              <w:keepLines w:val="0"/>
              <w:widowControl/>
              <w:suppressLineNumbers w:val="0"/>
              <w:spacing w:line="240" w:lineRule="auto"/>
              <w:ind w:firstLine="0" w:firstLineChars="0"/>
              <w:jc w:val="center"/>
              <w:textAlignment w:val="auto"/>
              <w:rPr>
                <w:rStyle w:val="21"/>
                <w:rFonts w:hint="default" w:ascii="仿宋_GB2312" w:hAnsi="仿宋_GB2312" w:eastAsia="仿宋_GB2312" w:cs="仿宋_GB2312"/>
                <w:color w:val="auto"/>
                <w:sz w:val="21"/>
                <w:szCs w:val="21"/>
                <w:highlight w:val="none"/>
                <w:shd w:val="clear" w:color="auto" w:fill="FFFFFF"/>
                <w:lang w:val="en-US" w:eastAsia="zh-CN" w:bidi="ar"/>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558F25A3">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4%</w:t>
            </w:r>
          </w:p>
        </w:tc>
      </w:tr>
      <w:tr w14:paraId="44DD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359" w:type="dxa"/>
            <w:shd w:val="clear" w:color="auto" w:fill="auto"/>
            <w:vAlign w:val="center"/>
          </w:tcPr>
          <w:p w14:paraId="2B10C067">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2476" w:type="dxa"/>
            <w:shd w:val="clear" w:color="auto" w:fill="auto"/>
            <w:vAlign w:val="center"/>
          </w:tcPr>
          <w:p w14:paraId="1820B8DB">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sz w:val="21"/>
                <w:szCs w:val="21"/>
                <w:highlight w:val="none"/>
                <w:u w:val="none"/>
                <w:shd w:val="clear" w:color="auto" w:fill="FFFFFF"/>
                <w:lang w:val="en-US"/>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0844781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18%</w:t>
            </w:r>
          </w:p>
        </w:tc>
      </w:tr>
      <w:tr w14:paraId="743F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359" w:type="dxa"/>
            <w:shd w:val="clear" w:color="auto" w:fill="auto"/>
            <w:vAlign w:val="center"/>
          </w:tcPr>
          <w:p w14:paraId="269E475F">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2476" w:type="dxa"/>
            <w:shd w:val="clear" w:color="auto" w:fill="auto"/>
            <w:vAlign w:val="center"/>
          </w:tcPr>
          <w:p w14:paraId="4CBE5067">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sz w:val="21"/>
                <w:szCs w:val="21"/>
                <w:highlight w:val="none"/>
                <w:u w:val="none"/>
                <w:shd w:val="clear" w:color="auto" w:fill="FFFFFF"/>
                <w:lang w:val="en-US"/>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4EA89F55">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73%</w:t>
            </w:r>
          </w:p>
        </w:tc>
      </w:tr>
      <w:tr w14:paraId="7610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359" w:type="dxa"/>
            <w:shd w:val="clear" w:color="auto" w:fill="auto"/>
            <w:vAlign w:val="center"/>
          </w:tcPr>
          <w:p w14:paraId="51A1F1C4">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200 - 499件</w:t>
            </w:r>
          </w:p>
        </w:tc>
        <w:tc>
          <w:tcPr>
            <w:tcW w:w="2476" w:type="dxa"/>
            <w:shd w:val="clear" w:color="auto" w:fill="auto"/>
            <w:vAlign w:val="center"/>
          </w:tcPr>
          <w:p w14:paraId="727A44BE">
            <w:pPr>
              <w:keepNext w:val="0"/>
              <w:keepLines w:val="0"/>
              <w:widowControl/>
              <w:suppressLineNumbers w:val="0"/>
              <w:spacing w:line="240" w:lineRule="auto"/>
              <w:ind w:firstLine="0" w:firstLineChars="0"/>
              <w:jc w:val="center"/>
              <w:textAlignment w:val="auto"/>
              <w:rPr>
                <w:rStyle w:val="21"/>
                <w:rFonts w:hint="default" w:ascii="仿宋_GB2312" w:hAnsi="仿宋_GB2312" w:eastAsia="仿宋_GB2312" w:cs="仿宋_GB2312"/>
                <w:color w:val="auto"/>
                <w:sz w:val="21"/>
                <w:szCs w:val="21"/>
                <w:highlight w:val="none"/>
                <w:shd w:val="clear" w:color="auto" w:fill="FFFFFF"/>
                <w:lang w:val="en-US" w:eastAsia="zh-CN" w:bidi="ar"/>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4B7DB50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0D7D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359" w:type="dxa"/>
            <w:shd w:val="clear" w:color="auto" w:fill="auto"/>
            <w:vAlign w:val="center"/>
          </w:tcPr>
          <w:p w14:paraId="5B1D4049">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500 - 999件</w:t>
            </w:r>
          </w:p>
        </w:tc>
        <w:tc>
          <w:tcPr>
            <w:tcW w:w="2476" w:type="dxa"/>
            <w:shd w:val="clear" w:color="auto" w:fill="auto"/>
            <w:vAlign w:val="center"/>
          </w:tcPr>
          <w:p w14:paraId="675A1CA8">
            <w:pPr>
              <w:keepNext w:val="0"/>
              <w:keepLines w:val="0"/>
              <w:widowControl/>
              <w:suppressLineNumbers w:val="0"/>
              <w:spacing w:line="240" w:lineRule="auto"/>
              <w:ind w:firstLine="0" w:firstLineChars="0"/>
              <w:jc w:val="center"/>
              <w:textAlignment w:val="auto"/>
              <w:rPr>
                <w:rStyle w:val="21"/>
                <w:rFonts w:hint="default" w:ascii="仿宋_GB2312" w:hAnsi="仿宋_GB2312" w:eastAsia="仿宋_GB2312" w:cs="仿宋_GB2312"/>
                <w:color w:val="auto"/>
                <w:sz w:val="21"/>
                <w:szCs w:val="21"/>
                <w:highlight w:val="none"/>
                <w:shd w:val="clear" w:color="auto" w:fill="FFFFFF"/>
                <w:lang w:val="en-US" w:eastAsia="zh-CN" w:bidi="ar"/>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0AFB87B4">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4825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2359" w:type="dxa"/>
            <w:shd w:val="clear" w:color="auto" w:fill="auto"/>
            <w:vAlign w:val="center"/>
          </w:tcPr>
          <w:p w14:paraId="5D9D241F">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1000件及以上</w:t>
            </w:r>
          </w:p>
        </w:tc>
        <w:tc>
          <w:tcPr>
            <w:tcW w:w="2476" w:type="dxa"/>
            <w:shd w:val="clear" w:color="auto" w:fill="auto"/>
            <w:vAlign w:val="center"/>
          </w:tcPr>
          <w:p w14:paraId="7BA25437">
            <w:pPr>
              <w:keepNext w:val="0"/>
              <w:keepLines w:val="0"/>
              <w:widowControl/>
              <w:suppressLineNumbers w:val="0"/>
              <w:spacing w:line="240" w:lineRule="auto"/>
              <w:ind w:firstLine="0" w:firstLineChars="0"/>
              <w:jc w:val="center"/>
              <w:textAlignment w:val="auto"/>
              <w:rPr>
                <w:rStyle w:val="21"/>
                <w:rFonts w:hint="default" w:ascii="仿宋_GB2312" w:hAnsi="仿宋_GB2312" w:eastAsia="仿宋_GB2312" w:cs="仿宋_GB2312"/>
                <w:color w:val="auto"/>
                <w:sz w:val="21"/>
                <w:szCs w:val="21"/>
                <w:highlight w:val="none"/>
                <w:shd w:val="clear" w:color="auto" w:fill="FFFFFF"/>
                <w:lang w:val="en-US" w:eastAsia="zh-CN" w:bidi="ar"/>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29A8B1CE">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bl>
    <w:p w14:paraId="0129F04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lang w:val="en-US" w:eastAsia="zh-CN"/>
        </w:rPr>
        <w:t>本合同项下的物流配送服务费采用阶梯式报价，报价为门到门全包价，包含乙方为完成本合同项下全部义务所发生的一切费用。合同履约过程中，成交配送单价固定不变，不随法律法规政策、最低工资标准上调、劳务成本、运输成本等的变动或其他任何原因而</w:t>
      </w:r>
      <w:r>
        <w:rPr>
          <w:rFonts w:hint="eastAsia" w:ascii="仿宋_GB2312" w:hAnsi="仿宋_GB2312" w:eastAsia="仿宋_GB2312" w:cs="仿宋_GB2312"/>
          <w:color w:val="auto"/>
          <w:szCs w:val="21"/>
          <w:highlight w:val="none"/>
          <w:shd w:val="clear" w:color="auto" w:fill="FFFFFF"/>
          <w:lang w:val="en-US" w:eastAsia="zh-CN"/>
        </w:rPr>
        <w:t>做调整。</w:t>
      </w:r>
    </w:p>
    <w:p w14:paraId="345B3A5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2.物流配送范围为：</w:t>
      </w:r>
      <w:r>
        <w:rPr>
          <w:rFonts w:hint="eastAsia" w:ascii="仿宋_GB2312" w:hAnsi="仿宋_GB2312" w:eastAsia="仿宋_GB2312" w:cs="仿宋_GB2312"/>
          <w:color w:val="auto"/>
          <w:kern w:val="2"/>
          <w:sz w:val="21"/>
          <w:szCs w:val="21"/>
          <w:highlight w:val="none"/>
          <w:shd w:val="clear" w:color="auto" w:fill="FFFFFF"/>
          <w:vertAlign w:val="baseline"/>
          <w:lang w:val="en-US" w:eastAsia="zh-CN" w:bidi="ar-SA"/>
        </w:rPr>
        <w:t>东莞市全市范围内。</w:t>
      </w:r>
    </w:p>
    <w:p w14:paraId="145141B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仿宋_GB2312" w:hAnsi="仿宋_GB2312" w:eastAsia="仿宋_GB2312" w:cs="仿宋_GB2312"/>
          <w:color w:val="auto"/>
          <w:kern w:val="2"/>
          <w:sz w:val="21"/>
          <w:szCs w:val="21"/>
          <w:highlight w:val="none"/>
          <w:shd w:val="clear" w:color="auto" w:fill="FFFFFF"/>
          <w:lang w:val="en-US" w:eastAsia="zh-CN" w:bidi="ar-SA"/>
        </w:rPr>
        <w:t>服务期限内，如甲方实际需要的物流配送服务未列入上述配送服务范围内，甲方参照当前市场价与乙方协商议定对应服务单价。</w:t>
      </w:r>
    </w:p>
    <w:p w14:paraId="6DD3D07B">
      <w:pPr>
        <w:keepNext w:val="0"/>
        <w:keepLines w:val="0"/>
        <w:pageBreakBefore w:val="0"/>
        <w:kinsoku/>
        <w:wordWrap/>
        <w:overflowPunct/>
        <w:topLinePunct w:val="0"/>
        <w:autoSpaceDE/>
        <w:autoSpaceDN/>
        <w:bidi w:val="0"/>
        <w:adjustRightInd/>
        <w:snapToGrid w:val="0"/>
        <w:spacing w:line="360" w:lineRule="auto"/>
        <w:ind w:firstLine="424" w:firstLineChars="202"/>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依法计得并根据本合同约定确定的销项税额由甲方承担。根据《中华人民共和国增值税暂行条例》（国务院令第691号修订版）及当前税务部门的相关规定，本合同项目的增值税率暂定为</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none"/>
          <w:lang w:val="en-US" w:eastAsia="zh-CN"/>
        </w:rPr>
        <w:t>，乙方的增值税销项税额根据本合同约定按实结算。但因乙方未按合同约定按时按质提供服务、未根据合同约定提供合法、完整、准确的请款资料等乙方原因导致销项税额增加的，增加的税额及相应损失均由乙方承担</w:t>
      </w:r>
      <w:r>
        <w:rPr>
          <w:rFonts w:hint="eastAsia" w:ascii="仿宋_GB2312" w:hAnsi="仿宋_GB2312" w:eastAsia="仿宋_GB2312" w:cs="仿宋_GB2312"/>
          <w:color w:val="auto"/>
          <w:szCs w:val="21"/>
          <w:highlight w:val="none"/>
        </w:rPr>
        <w:t>。</w:t>
      </w:r>
    </w:p>
    <w:p w14:paraId="469B3467">
      <w:pPr>
        <w:keepNext w:val="0"/>
        <w:keepLines w:val="0"/>
        <w:pageBreakBefore w:val="0"/>
        <w:kinsoku/>
        <w:wordWrap/>
        <w:overflowPunct/>
        <w:topLinePunct w:val="0"/>
        <w:autoSpaceDE/>
        <w:autoSpaceDN/>
        <w:bidi w:val="0"/>
        <w:adjustRightInd/>
        <w:snapToGrid w:val="0"/>
        <w:spacing w:line="360" w:lineRule="auto"/>
        <w:ind w:firstLine="424" w:firstLineChars="202"/>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4.支付方式：甲方按月进行结算、支付，物流配送服务费根据桶装水、支装水</w:t>
      </w:r>
      <w:r>
        <w:rPr>
          <w:rFonts w:hint="eastAsia" w:ascii="仿宋_GB2312" w:hAnsi="仿宋_GB2312" w:eastAsia="仿宋_GB2312" w:cs="仿宋_GB2312"/>
          <w:color w:val="auto"/>
          <w:szCs w:val="21"/>
          <w:highlight w:val="none"/>
          <w:shd w:val="clear" w:color="auto" w:fill="FFFFFF"/>
          <w:lang w:val="en-US" w:eastAsia="zh-CN"/>
        </w:rPr>
        <w:t>实际送货数量配送结算，配送服务费用=（桶装水实际送货数量×不含税配送单价+支装水实际送货数量×不含税配送单价）×(1+增值税率），实际送货数量以双方确认为准。</w:t>
      </w:r>
      <w:r>
        <w:rPr>
          <w:rFonts w:hint="eastAsia" w:ascii="仿宋_GB2312" w:hAnsi="仿宋_GB2312" w:eastAsia="仿宋_GB2312" w:cs="仿宋_GB2312"/>
          <w:color w:val="auto"/>
          <w:szCs w:val="21"/>
          <w:highlight w:val="none"/>
          <w:lang w:val="en-US" w:eastAsia="zh-CN"/>
        </w:rPr>
        <w:t>乙方于次月提交上月物流配送服务请款报告和合法、有效、等额的</w:t>
      </w:r>
      <w:r>
        <w:rPr>
          <w:rFonts w:hint="eastAsia" w:ascii="仿宋_GB2312" w:hAnsi="仿宋_GB2312" w:eastAsia="仿宋_GB2312" w:cs="仿宋_GB2312"/>
          <w:color w:val="auto"/>
          <w:szCs w:val="21"/>
          <w:highlight w:val="none"/>
          <w:u w:val="single"/>
          <w:lang w:val="en-US" w:eastAsia="zh-CN"/>
        </w:rPr>
        <w:t>增值税专用发票</w:t>
      </w:r>
      <w:r>
        <w:rPr>
          <w:rFonts w:hint="eastAsia" w:ascii="仿宋_GB2312" w:hAnsi="仿宋_GB2312" w:eastAsia="仿宋_GB2312" w:cs="仿宋_GB2312"/>
          <w:color w:val="auto"/>
          <w:szCs w:val="21"/>
          <w:highlight w:val="none"/>
          <w:lang w:val="en-US" w:eastAsia="zh-CN"/>
        </w:rPr>
        <w:t>，甲方在收到前述材料并确认无误后15个工作日内，向乙方支付上月配送服务费的【100%】及对应税额。</w:t>
      </w:r>
    </w:p>
    <w:p w14:paraId="0FBBF48F">
      <w:pPr>
        <w:snapToGrid w:val="0"/>
        <w:spacing w:line="360" w:lineRule="auto"/>
        <w:ind w:firstLine="424" w:firstLineChars="202"/>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如甲、乙双方对于实际送货数量认定不一致的，甲方可先行支付双方认可的部分款项，尚未认可的部分待双方再次确认后处理，甲方并不因此承担任何逾期付款的违约责任。</w:t>
      </w:r>
    </w:p>
    <w:p w14:paraId="406F8D44">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5.不含税配送单价包括了乙方完成应承担合同义务的全部费用，包括但不限于：</w:t>
      </w:r>
    </w:p>
    <w:p w14:paraId="441DD730">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物流配送服务范围内所需的人工费（含加班）、车辆使用及燃油费（充电费）、包装水装车卸车的人工或器械作业费、物流配送过路桥费（含高速路费）、提供物流配送服务人员的工资、食宿、保险费（包括物流配送车辆交强险、第三者责任险等商业保险，乙方及其雇员社会保障资金、保险、第三者责任险等）、装卸费、搬运费、上楼等相关服务的费用；</w:t>
      </w:r>
    </w:p>
    <w:p w14:paraId="661FC18A">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（2）合理利润、乙方销项税额以外的税费等；</w:t>
      </w:r>
    </w:p>
    <w:p w14:paraId="737A1229">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（3）法律法规、商业公认、询价文件规定由乙方承担的其他费用。未经甲方书面同意，乙方（包括但不限于成交人指定的第三方）不得要求甲方另行支付其他任何费用。</w:t>
      </w:r>
    </w:p>
    <w:p w14:paraId="6011A128">
      <w:pPr>
        <w:snapToGrid w:val="0"/>
        <w:spacing w:line="360" w:lineRule="auto"/>
        <w:ind w:firstLine="424" w:firstLineChars="20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.以上款项由</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直接以银行转账形式支付给</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逾期提交请款材料</w:t>
      </w:r>
      <w:r>
        <w:rPr>
          <w:rFonts w:hint="eastAsia" w:ascii="仿宋_GB2312" w:hAnsi="仿宋_GB2312" w:eastAsia="仿宋_GB2312" w:cs="仿宋_GB2312"/>
          <w:color w:val="auto"/>
          <w:szCs w:val="21"/>
          <w:highlight w:val="none"/>
          <w:lang w:val="en-US" w:eastAsia="zh-CN"/>
        </w:rPr>
        <w:t>或提交材料不符合甲方要求的，甲方</w:t>
      </w:r>
      <w:r>
        <w:rPr>
          <w:rFonts w:hint="eastAsia" w:ascii="仿宋_GB2312" w:hAnsi="仿宋_GB2312" w:eastAsia="仿宋_GB2312" w:cs="仿宋_GB2312"/>
          <w:color w:val="auto"/>
          <w:szCs w:val="21"/>
          <w:highlight w:val="none"/>
        </w:rPr>
        <w:t>有权顺延支付相应款项，并不承担逾期付款的违约责任，由于</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提供的发票不符合税法规定，给</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造成的损失由</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承担赔偿责任，</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不得以此</w:t>
      </w:r>
      <w:r>
        <w:rPr>
          <w:rFonts w:hint="eastAsia" w:ascii="仿宋_GB2312" w:hAnsi="仿宋_GB2312" w:eastAsia="仿宋_GB2312" w:cs="仿宋_GB2312"/>
          <w:color w:val="auto"/>
          <w:szCs w:val="21"/>
          <w:highlight w:val="none"/>
          <w:lang w:val="en-US" w:eastAsia="zh-CN"/>
        </w:rPr>
        <w:t>为由</w:t>
      </w:r>
      <w:r>
        <w:rPr>
          <w:rFonts w:hint="eastAsia" w:ascii="仿宋_GB2312" w:hAnsi="仿宋_GB2312" w:eastAsia="仿宋_GB2312" w:cs="仿宋_GB2312"/>
          <w:color w:val="auto"/>
          <w:szCs w:val="21"/>
          <w:highlight w:val="none"/>
        </w:rPr>
        <w:t>拒绝履行合同义务。</w:t>
      </w:r>
    </w:p>
    <w:p w14:paraId="57D85E32">
      <w:pPr>
        <w:snapToGrid w:val="0"/>
        <w:spacing w:line="360" w:lineRule="auto"/>
        <w:ind w:firstLine="424" w:firstLineChars="20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.乙方收款账户信息</w:t>
      </w:r>
    </w:p>
    <w:p w14:paraId="24499CB8">
      <w:pPr>
        <w:snapToGrid w:val="0"/>
        <w:spacing w:line="360" w:lineRule="auto"/>
        <w:ind w:firstLine="420" w:firstLineChars="200"/>
        <w:jc w:val="left"/>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户名：</w:t>
      </w:r>
      <w:r>
        <w:rPr>
          <w:rFonts w:hint="eastAsia" w:ascii="仿宋_GB2312" w:hAnsi="仿宋_GB2312" w:eastAsia="仿宋_GB2312" w:cs="仿宋_GB2312"/>
          <w:color w:val="auto"/>
          <w:szCs w:val="21"/>
          <w:highlight w:val="none"/>
          <w:u w:val="single"/>
          <w:lang w:val="en-US" w:eastAsia="zh-CN"/>
        </w:rPr>
        <w:t xml:space="preserve">               </w:t>
      </w:r>
    </w:p>
    <w:p w14:paraId="093A2B94">
      <w:pPr>
        <w:snapToGrid w:val="0"/>
        <w:spacing w:line="360" w:lineRule="auto"/>
        <w:ind w:firstLine="420" w:firstLineChars="200"/>
        <w:jc w:val="left"/>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开户行：</w:t>
      </w:r>
      <w:r>
        <w:rPr>
          <w:rFonts w:hint="eastAsia" w:ascii="仿宋_GB2312" w:hAnsi="仿宋_GB2312" w:eastAsia="仿宋_GB2312" w:cs="仿宋_GB2312"/>
          <w:color w:val="auto"/>
          <w:szCs w:val="21"/>
          <w:highlight w:val="none"/>
          <w:u w:val="single"/>
          <w:lang w:val="en-US" w:eastAsia="zh-CN"/>
        </w:rPr>
        <w:t xml:space="preserve">                       </w:t>
      </w:r>
    </w:p>
    <w:p w14:paraId="5D19C7BC">
      <w:pPr>
        <w:snapToGrid w:val="0"/>
        <w:spacing w:line="360" w:lineRule="auto"/>
        <w:ind w:firstLine="420" w:firstLineChars="200"/>
        <w:jc w:val="left"/>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账号：</w:t>
      </w:r>
      <w:r>
        <w:rPr>
          <w:rFonts w:hint="eastAsia" w:ascii="仿宋_GB2312" w:hAnsi="仿宋_GB2312" w:eastAsia="仿宋_GB2312" w:cs="仿宋_GB2312"/>
          <w:color w:val="auto"/>
          <w:szCs w:val="21"/>
          <w:highlight w:val="none"/>
          <w:u w:val="single"/>
          <w:lang w:val="en-US" w:eastAsia="zh-CN"/>
        </w:rPr>
        <w:t xml:space="preserve">                     </w:t>
      </w:r>
    </w:p>
    <w:p w14:paraId="4B308515">
      <w:pPr>
        <w:keepNext/>
        <w:keepLines/>
        <w:adjustRightInd w:val="0"/>
        <w:snapToGrid w:val="0"/>
        <w:spacing w:line="360" w:lineRule="auto"/>
        <w:ind w:firstLine="422" w:firstLineChars="200"/>
        <w:outlineLvl w:val="1"/>
        <w:rPr>
          <w:rFonts w:hint="default" w:ascii="仿宋_GB2312" w:hAnsi="仿宋_GB2312" w:eastAsia="仿宋_GB2312" w:cs="仿宋_GB2312"/>
          <w:b/>
          <w:bCs/>
          <w:color w:val="auto"/>
          <w:szCs w:val="21"/>
          <w:highlight w:val="none"/>
          <w:shd w:val="clear" w:color="auto" w:fill="FFFFFF"/>
          <w:lang w:val="en-US" w:eastAsia="zh-CN"/>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五</w:t>
      </w:r>
      <w:r>
        <w:rPr>
          <w:rFonts w:hint="eastAsia" w:ascii="仿宋_GB2312" w:hAnsi="仿宋_GB2312" w:eastAsia="仿宋_GB2312" w:cs="仿宋_GB2312"/>
          <w:b/>
          <w:bCs/>
          <w:color w:val="auto"/>
          <w:szCs w:val="21"/>
          <w:highlight w:val="none"/>
          <w:shd w:val="clear" w:color="auto" w:fill="FFFFFF"/>
        </w:rPr>
        <w:t xml:space="preserve">条 </w:t>
      </w:r>
      <w:r>
        <w:rPr>
          <w:rFonts w:hint="eastAsia" w:ascii="仿宋_GB2312" w:hAnsi="仿宋_GB2312" w:eastAsia="仿宋_GB2312" w:cs="仿宋_GB2312"/>
          <w:b/>
          <w:bCs/>
          <w:color w:val="auto"/>
          <w:szCs w:val="21"/>
          <w:highlight w:val="none"/>
          <w:shd w:val="clear" w:color="auto" w:fill="FFFFFF"/>
          <w:lang w:val="en-US" w:eastAsia="zh-CN"/>
        </w:rPr>
        <w:t>服务要求及权利义务</w:t>
      </w:r>
    </w:p>
    <w:p w14:paraId="421F8095">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乙方物流司机须具备相应的货车驾照，车辆需为总质量4500KG以下的全关闭厢式货车，根据《中华人民共和国道路运输条例》的规定，乙方如使用总质量4500KG以上的货车进行配送，需取得道路运输经营许可证及车辆营运证，否则因违反《中华人民共和国道路运输条例》的规定产生的一切后果均由乙方承担。乙方日配送能力要求支装水不低于500件，桶装水不低于500桶。车辆数量由乙方自行配置。</w:t>
      </w:r>
    </w:p>
    <w:p w14:paraId="3CE921C2">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乙方根据甲方的订单及派车要求，派驻物流司机或搬运工到指定位置负责完成包装水产品装车的工作。核对包装水装车数量，并由乙方司机或搬运工在甲方开出的《出库通知单》提货人一栏签名（要求字迹清楚，签全名）。在装车完成后，由甲方仓管员核对数量后签字确认。</w:t>
      </w:r>
    </w:p>
    <w:p w14:paraId="39AAC4FA">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乙方也可以凭甲方开出的《预提单》，安排物流司机或搬运工到甲方指定仓库对货品进行预提，运输至乙方物流仓库暂存。直到乙方收到甲方的配送订单任务后，优先从预提单中的库存中出库配送。暂存期间货物所有权归属甲方，乙方不收取任何暂存费用。合同解除时，乙方需无偿将预提的剩余货物从乙方物流仓库运送回甲方指定仓库。</w:t>
      </w:r>
    </w:p>
    <w:p w14:paraId="32DBD38B">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3.到达收货地点后，乙方物流司机或搬运工自行负责卸货的工作，并按甲方客户要求摆放至指定位置。若甲方客户存在1个或以上存放点，或者需要送货上楼的情况，乙方均应无偿送达。</w:t>
      </w:r>
    </w:p>
    <w:p w14:paraId="64D7DB59">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4.乙方装卸货物时对产品要轻拿轻放、摆放整齐，如有损坏按照销售价赔偿。物流配送途中货物整齐牢固，关好车门，不超高超宽超重，以免货物撒漏破损，要保证物流配送全过程安全。</w:t>
      </w:r>
    </w:p>
    <w:p w14:paraId="3BBC006C">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乙方在服务中应注意维护甲方的企业形象、名誉。乙方应督促物流司机或搬运工禁止穿拖鞋上班、衣着要整齐、文明做事、礼貌待人、不得以任何原因与收货人产生争执，不得以任何理由向甲方客户索取物资，不得透露甲方物流配送产品的价格、数量等任何信息，否则甲方有权要求乙方更换司机、搬运工，并追究乙方的违约责任。</w:t>
      </w:r>
    </w:p>
    <w:p w14:paraId="0753B0E4">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乙方在当天11:00前接到的物流配送任务需当天全部配送完成，11：00后的物流配送任务需次日全部配送完成（特殊情况经甲方书面同意的除外），甲方有权对乙方承运的在途货物进行跟踪。没有甲方书面同意的情况下，乙方不能把甲方客户的库存产品退回甲方，否则甲方有权在乙方的物流配送服务费中直接扣除退回产品的出厂价。</w:t>
      </w:r>
    </w:p>
    <w:p w14:paraId="41A062AF">
      <w:pPr>
        <w:pStyle w:val="26"/>
        <w:rPr>
          <w:rFonts w:hint="default"/>
          <w:highlight w:val="none"/>
          <w:lang w:val="en-US" w:eastAsia="zh-CN"/>
        </w:rPr>
      </w:pPr>
      <w:r>
        <w:rPr>
          <w:rFonts w:hint="eastAsia" w:ascii="仿宋_GB2312" w:hAnsi="仿宋_GB2312" w:eastAsia="仿宋_GB2312" w:cs="仿宋_GB2312"/>
          <w:color w:val="auto"/>
          <w:szCs w:val="21"/>
          <w:highlight w:val="none"/>
          <w:lang w:val="en-US" w:eastAsia="zh-CN"/>
        </w:rPr>
        <w:t xml:space="preserve">    7.乙方应在国家法定节假日（包括但不限于春节、国庆节等）及客户指定的特殊日期期间，提前制定值班人员安排表，确保每日有足够人员值班。乙方应维持与平日相同的配送时效及覆盖范围，不得以节假日为由拒绝或延迟配送服务。</w:t>
      </w:r>
    </w:p>
    <w:p w14:paraId="1ED20EA8">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乙方必须按当天派单的顺序来完成当天的配送订单，不得故意不按时按点配送或因未完成当天的配送订单而造成客户投诉。如遇天气恶劣等原因确需推迟发车日期的，应在事先取得甲方同意的情况下，方可延迟一天配送订单。</w:t>
      </w:r>
    </w:p>
    <w:p w14:paraId="6969306E">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9.乙方须提供符合国家安全运输要求的运输工具，提供的运输车辆须证照及车辆保险等手续齐全。同时，乙方自愿承担整个运输过程的货物保险。自包装水完成出库后，货物毁损、灭失的风险由乙方承担。</w:t>
      </w:r>
    </w:p>
    <w:p w14:paraId="270252F9">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在运输及装卸货过程中车辆发生交通事故、车辆故障、自燃、人员伤亡等意外情况，由乙方自行承担所有责任。在运输及装卸货过程中或货物预提暂存至乙方仓库中，由于乙方故意或重大过失造成甲方货物的损坏、丢失、被盗、被扣等损失的，均由乙方按发生损失时甲方的货物零售价进行赔偿</w:t>
      </w:r>
      <w:r>
        <w:rPr>
          <w:rFonts w:hint="eastAsia" w:ascii="仿宋_GB2312" w:hAnsi="仿宋_GB2312" w:eastAsia="仿宋_GB2312" w:cs="仿宋_GB2312"/>
          <w:color w:val="auto"/>
          <w:szCs w:val="21"/>
          <w:highlight w:val="none"/>
        </w:rPr>
        <w:t>。</w:t>
      </w:r>
    </w:p>
    <w:p w14:paraId="0D085DCF">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乙方如将货物错运地点或收货人，应立即无偿运至甲方指定的到货地点或收货人</w:t>
      </w:r>
      <w:r>
        <w:rPr>
          <w:rFonts w:hint="eastAsia" w:ascii="仿宋_GB2312" w:hAnsi="仿宋_GB2312" w:eastAsia="仿宋_GB2312" w:cs="仿宋_GB2312"/>
          <w:color w:val="auto"/>
          <w:szCs w:val="21"/>
          <w:highlight w:val="none"/>
        </w:rPr>
        <w:t>。</w:t>
      </w:r>
    </w:p>
    <w:p w14:paraId="2B487678">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12.乙方在运输、装卸过程中发现或客户反映产品存在缺陷包括不限于漏水、收缩膜断裂、外包箱膜损坏，应免费运回给甲方。</w:t>
      </w:r>
    </w:p>
    <w:p w14:paraId="2FB6841F">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13.乙方应向甲方提供公司资质证照、运输车辆证照及其保险证明、司机证照及身份证、搬运人员身份证复印件（均需加盖乙方公章）等资质材料备案，合同履行期间前述证件、车辆、人员进行调整的，调整前向甲方更新报送备案材料。</w:t>
      </w:r>
    </w:p>
    <w:p w14:paraId="7535673F">
      <w:pPr>
        <w:keepNext/>
        <w:keepLines/>
        <w:adjustRightInd w:val="0"/>
        <w:snapToGrid w:val="0"/>
        <w:spacing w:line="360" w:lineRule="auto"/>
        <w:ind w:firstLine="422" w:firstLineChars="200"/>
        <w:outlineLvl w:val="1"/>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六</w:t>
      </w:r>
      <w:r>
        <w:rPr>
          <w:rFonts w:hint="eastAsia" w:ascii="仿宋_GB2312" w:hAnsi="仿宋_GB2312" w:eastAsia="仿宋_GB2312" w:cs="仿宋_GB2312"/>
          <w:b/>
          <w:bCs/>
          <w:color w:val="auto"/>
          <w:szCs w:val="21"/>
          <w:highlight w:val="none"/>
          <w:shd w:val="clear" w:color="auto" w:fill="FFFFFF"/>
        </w:rPr>
        <w:t>条 违约责任</w:t>
      </w:r>
    </w:p>
    <w:p w14:paraId="239FF322">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乙方收到甲方的取派件任务通知后，未按甲方要求提货、派送的，超过约定时限1个自然日的，乙方应按照对应取派件任务配送费用（含税）的50%向甲方支付违约金；超过约定时限2个自然日的，甲方有权解除合同，乙方应按照对应取派件任务配送费用（含税）的100%向甲方支付违约金</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若因配送延迟导致客户投诉、退货、索赔或甲方商誉受损，乙方应承担由此产生的全部损失；同时对于乙方无法及时配送，甲方需临时调用其他配送单位完成配送工作的，乙方应承担甲方实际支付的配送费用中超出双方合同价部分的金额。</w:t>
      </w:r>
    </w:p>
    <w:p w14:paraId="6D62FAB9">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乙方应对其从甲方收到货物后至货物送达收货人整个过程中的货物安全、完整负责。在配送过程中，若发生货物损坏（包括但不限于漏水、收缩膜断裂、外包箱膜损坏等）或丢失的情况，乙方应按照货物的市场价值向甲方进行赔偿，甲方不予支付该货物的配送费用，同时，乙方应负责及时补货，确保客户能够按时收到足额的货物，补货配送费用由乙方承担。若因货物损坏或丢失导致甲方对客户承担违约责任，乙方应一并赔偿甲方因此遭受的全部损失（包括但不限于律师费、差旅费、鉴定费、公证费等）。</w:t>
      </w:r>
    </w:p>
    <w:p w14:paraId="78514275">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若乙方将包装饮用水送错收货人或送错货物规格、数量等，甲方不予支付该货物的配送服务费用，乙方应负责立即无偿运至正确的收货人或纠正货物规格、数量，并承担因此产生的配送服务费用（包括更换货物、补齐货物的配送服务费用）。同时，乙方应按照当次订单金额的10%向甲方支付违约金。若因配送错误给甲方造成客户投诉、索赔等损失，乙方应赔偿甲方因此遭受的全部损失。</w:t>
      </w:r>
    </w:p>
    <w:p w14:paraId="1D0D2CEA">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因乙方不能按甲方客户要求返回签回单等单证，造成的有关款项无法收回或第三方要求甲方赔偿损失的或给甲方造成其他损失的，甲方因此受到的损失由乙方承担（包括但不限于甲方未能收回的款项、律师费、诉讼费、仲裁费、调查取证费等），同时乙方应按照500元/次的标准向甲方支付违约金。如乙方送货后客户签收签名不符合规范要求导致货款纠纷或损失的，乙方应当承担赔偿责任（包括但不限于甲方未能收回的款项、律师费、诉讼费、仲裁费、调查取证费等），同时乙方应按照200元/次的标准向甲方支付违约金</w:t>
      </w:r>
      <w:r>
        <w:rPr>
          <w:rFonts w:hint="eastAsia" w:ascii="仿宋_GB2312" w:hAnsi="仿宋_GB2312" w:eastAsia="仿宋_GB2312" w:cs="仿宋_GB2312"/>
          <w:color w:val="auto"/>
          <w:szCs w:val="21"/>
          <w:highlight w:val="none"/>
        </w:rPr>
        <w:t>。</w:t>
      </w:r>
    </w:p>
    <w:p w14:paraId="57E5B0ED">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若甲方收到客户关于乙方配送人员服务态度恶劣的有效投诉，乙方需向甲方按100元/次的标准支付违约金，并应立即对涉事人员进行批评教育或更换。</w:t>
      </w:r>
    </w:p>
    <w:p w14:paraId="3CC3CE8A">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乙方的配送人员在提货、运输、交付过程中，若出现违反甲方仓库管理规定、交通法规或其他相关规定的行为，乙方需承担因此产生的全部法律责任和经济赔偿责任。如因违规操作给甲方造成损失，乙方应全额赔偿甲方。</w:t>
      </w:r>
    </w:p>
    <w:p w14:paraId="72C87BEE">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7.乙方应按照甲方要求及时反馈配送进度、货物交付情况等信息。若未按时反馈或反馈信息不准确，乙方应按照100元/次的标准向甲方支付违约金。若因信息反馈问题导致甲方决策失误或对客户服务不到位，乙方需承担甲方因此遭受的全部损失。</w:t>
      </w:r>
    </w:p>
    <w:p w14:paraId="1CEFB19E">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8.若乙方提供的物流车辆不符合合同约定的要求，或乙方安排的驾驶人员不具备相应资质，乙方车辆和人员因违反《中华人民共和国道路运输条例》等法律、法规产生的一切后果均由乙方承担，同时甲方有权要求乙方立即整改。若因车辆或人员问题导致发生安全事故或其他不良后果，乙方应承担全部法律责任和经济赔偿责任。</w:t>
      </w:r>
    </w:p>
    <w:p w14:paraId="57F11E92">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.在合同履行期间，因</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违约而产生的违约金、赔偿、罚款或其他应付费用等款项，</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有权直接从未付</w:t>
      </w:r>
      <w:r>
        <w:rPr>
          <w:rFonts w:hint="eastAsia" w:ascii="仿宋_GB2312" w:hAnsi="仿宋_GB2312" w:eastAsia="仿宋_GB2312" w:cs="仿宋_GB2312"/>
          <w:color w:val="auto"/>
          <w:szCs w:val="21"/>
          <w:highlight w:val="none"/>
          <w:lang w:val="en-US" w:eastAsia="zh-CN"/>
        </w:rPr>
        <w:t>物流配送服务费</w:t>
      </w:r>
      <w:r>
        <w:rPr>
          <w:rFonts w:hint="eastAsia" w:ascii="仿宋_GB2312" w:hAnsi="仿宋_GB2312" w:eastAsia="仿宋_GB2312" w:cs="仿宋_GB2312"/>
          <w:color w:val="auto"/>
          <w:szCs w:val="21"/>
          <w:highlight w:val="none"/>
        </w:rPr>
        <w:t>中直接扣除。</w:t>
      </w:r>
    </w:p>
    <w:p w14:paraId="1999B20B">
      <w:pPr>
        <w:pStyle w:val="7"/>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第七条 不可抗力</w:t>
      </w:r>
    </w:p>
    <w:p w14:paraId="194F97D0">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本合同项下不可抗力是指战争、动乱、瘟疫、洪水、地震或其他灾害，以及其他不可预见、不可防止并不能避免或克服的事件。</w:t>
      </w:r>
    </w:p>
    <w:p w14:paraId="7B7737C9">
      <w:pPr>
        <w:widowControl/>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任何一方因不可抗力引起的履行延迟或履行不能的，不需承担违约责任。但受不可抗力影响的一方应尽快通知另一方，并在不可抗力事件发生后7日内，提供</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auto"/>
          <w:szCs w:val="21"/>
          <w:highlight w:val="none"/>
        </w:rPr>
        <w:t>证明文件。除非</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书面另有要求，否则</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应尽可能继续履行合同义务，以及寻求合理的方案履行未受不可抗力影响的其它事项。</w:t>
      </w:r>
    </w:p>
    <w:p w14:paraId="600C2325">
      <w:pPr>
        <w:adjustRightInd w:val="0"/>
        <w:snapToGrid w:val="0"/>
        <w:spacing w:line="360" w:lineRule="auto"/>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color w:val="auto"/>
          <w:szCs w:val="21"/>
          <w:highlight w:val="none"/>
        </w:rPr>
        <w:t xml:space="preserve">第八条 </w:t>
      </w:r>
      <w:r>
        <w:rPr>
          <w:rFonts w:hint="eastAsia" w:ascii="仿宋_GB2312" w:hAnsi="仿宋_GB2312" w:eastAsia="仿宋_GB2312" w:cs="仿宋_GB2312"/>
          <w:b/>
          <w:bCs/>
          <w:color w:val="auto"/>
          <w:szCs w:val="21"/>
          <w:highlight w:val="none"/>
          <w:shd w:val="clear" w:color="auto" w:fill="FFFFFF"/>
        </w:rPr>
        <w:t>争议解决</w:t>
      </w:r>
    </w:p>
    <w:p w14:paraId="652B681D">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双方因履行本合同发生的争议，首先应友好协商解决。如友好协商不能解决的，任何一方</w:t>
      </w:r>
      <w:r>
        <w:rPr>
          <w:rFonts w:hint="eastAsia" w:ascii="仿宋_GB2312" w:hAnsi="仿宋_GB2312" w:eastAsia="仿宋_GB2312" w:cs="仿宋_GB2312"/>
          <w:vanish/>
          <w:color w:val="auto"/>
          <w:szCs w:val="21"/>
          <w:highlight w:val="none"/>
        </w:rPr>
        <w:t>一方</w:t>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color w:val="auto"/>
          <w:szCs w:val="21"/>
          <w:highlight w:val="none"/>
        </w:rPr>
        <w:t>均可向</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住所地有管辖权的人民法院提起诉讼解决。</w:t>
      </w:r>
    </w:p>
    <w:p w14:paraId="04C94A20">
      <w:pPr>
        <w:adjustRightInd w:val="0"/>
        <w:snapToGrid w:val="0"/>
        <w:spacing w:line="360" w:lineRule="auto"/>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color w:val="auto"/>
          <w:szCs w:val="21"/>
          <w:highlight w:val="none"/>
        </w:rPr>
        <w:t xml:space="preserve">第九条 </w:t>
      </w:r>
      <w:r>
        <w:rPr>
          <w:rFonts w:hint="eastAsia" w:ascii="仿宋_GB2312" w:hAnsi="仿宋_GB2312" w:eastAsia="仿宋_GB2312" w:cs="仿宋_GB2312"/>
          <w:b/>
          <w:bCs/>
          <w:color w:val="auto"/>
          <w:szCs w:val="21"/>
          <w:highlight w:val="none"/>
          <w:shd w:val="clear" w:color="auto" w:fill="FFFFFF"/>
        </w:rPr>
        <w:t>其他</w:t>
      </w:r>
    </w:p>
    <w:p w14:paraId="20DBB079">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本合同自甲乙双方法定代表人或负责人或委托代理人签字并盖章之日起生效。</w:t>
      </w:r>
    </w:p>
    <w:p w14:paraId="5C876918">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本合同生效后，甲乙双方对本合同中未约定或约定不明的内容可另行签订书面协议进行补充，补充协议与本合同同具法律效力。</w:t>
      </w:r>
    </w:p>
    <w:p w14:paraId="1FD4C50A">
      <w:pPr>
        <w:pStyle w:val="7"/>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如</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有意放弃根据本协议的条款或条件享有的权利，则</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应签署书面的弃权书，并特别指明放弃何条款或条件中的权利，否则不视为弃权。</w:t>
      </w:r>
    </w:p>
    <w:p w14:paraId="5D194D35">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本合同一式</w:t>
      </w:r>
      <w:r>
        <w:rPr>
          <w:rFonts w:hint="eastAsia" w:ascii="仿宋_GB2312" w:hAnsi="仿宋_GB2312" w:eastAsia="仿宋_GB2312" w:cs="仿宋_GB2312"/>
          <w:color w:val="auto"/>
          <w:szCs w:val="21"/>
          <w:highlight w:val="none"/>
          <w:u w:val="single"/>
          <w:lang w:val="en-US" w:eastAsia="zh-CN"/>
        </w:rPr>
        <w:t>伍</w:t>
      </w:r>
      <w:r>
        <w:rPr>
          <w:rFonts w:hint="eastAsia" w:ascii="仿宋_GB2312" w:hAnsi="仿宋_GB2312" w:eastAsia="仿宋_GB2312" w:cs="仿宋_GB2312"/>
          <w:color w:val="auto"/>
          <w:szCs w:val="21"/>
          <w:highlight w:val="none"/>
        </w:rPr>
        <w:t>份，</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执</w:t>
      </w:r>
      <w:r>
        <w:rPr>
          <w:rFonts w:hint="eastAsia" w:ascii="仿宋_GB2312" w:hAnsi="仿宋_GB2312" w:eastAsia="仿宋_GB2312" w:cs="仿宋_GB2312"/>
          <w:color w:val="auto"/>
          <w:szCs w:val="21"/>
          <w:highlight w:val="none"/>
          <w:u w:val="single"/>
          <w:lang w:val="en-US" w:eastAsia="zh-CN"/>
        </w:rPr>
        <w:t>叁</w:t>
      </w:r>
      <w:r>
        <w:rPr>
          <w:rFonts w:hint="eastAsia" w:ascii="仿宋_GB2312" w:hAnsi="仿宋_GB2312" w:eastAsia="仿宋_GB2312" w:cs="仿宋_GB2312"/>
          <w:color w:val="auto"/>
          <w:szCs w:val="21"/>
          <w:highlight w:val="none"/>
        </w:rPr>
        <w:t>份，</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执</w:t>
      </w:r>
      <w:r>
        <w:rPr>
          <w:rFonts w:hint="eastAsia" w:ascii="仿宋_GB2312" w:hAnsi="仿宋_GB2312" w:eastAsia="仿宋_GB2312" w:cs="仿宋_GB2312"/>
          <w:color w:val="auto"/>
          <w:szCs w:val="21"/>
          <w:highlight w:val="none"/>
          <w:u w:val="single"/>
          <w:lang w:val="en-US" w:eastAsia="zh-CN"/>
        </w:rPr>
        <w:t>贰</w:t>
      </w:r>
      <w:r>
        <w:rPr>
          <w:rFonts w:hint="eastAsia" w:ascii="仿宋_GB2312" w:hAnsi="仿宋_GB2312" w:eastAsia="仿宋_GB2312" w:cs="仿宋_GB2312"/>
          <w:color w:val="auto"/>
          <w:szCs w:val="21"/>
          <w:highlight w:val="none"/>
        </w:rPr>
        <w:t>份，均具有同等法律效力。</w:t>
      </w:r>
    </w:p>
    <w:p w14:paraId="6D882596">
      <w:pPr>
        <w:pStyle w:val="7"/>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5.本合同附件是合同组成部分，与本合同同具法律效力，附件与本合同不一致的，以本合同约定为准。</w:t>
      </w:r>
    </w:p>
    <w:p w14:paraId="37E6EFAA">
      <w:pPr>
        <w:tabs>
          <w:tab w:val="left" w:pos="4678"/>
        </w:tabs>
        <w:snapToGrid w:val="0"/>
        <w:spacing w:line="360" w:lineRule="auto"/>
        <w:ind w:firstLine="420" w:firstLineChars="200"/>
        <w:rPr>
          <w:rFonts w:hint="eastAsia" w:ascii="仿宋_GB2312" w:hAnsi="仿宋_GB2312" w:eastAsia="仿宋_GB2312" w:cs="仿宋_GB2312"/>
          <w:color w:val="auto"/>
          <w:szCs w:val="21"/>
          <w:highlight w:val="none"/>
        </w:rPr>
      </w:pPr>
    </w:p>
    <w:p w14:paraId="320291A0">
      <w:pPr>
        <w:tabs>
          <w:tab w:val="left" w:pos="4678"/>
        </w:tabs>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：阳光合作告知函</w:t>
      </w:r>
    </w:p>
    <w:p w14:paraId="36F22840">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：报价文件</w:t>
      </w:r>
    </w:p>
    <w:p w14:paraId="0E821309">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：用户需求书</w:t>
      </w:r>
    </w:p>
    <w:p w14:paraId="5881676E">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p>
    <w:p w14:paraId="29E276ED">
      <w:pPr>
        <w:pStyle w:val="7"/>
        <w:rPr>
          <w:rFonts w:hint="default" w:eastAsia="仿宋_GB2312"/>
          <w:lang w:val="en-US" w:eastAsia="zh-CN"/>
        </w:rPr>
      </w:pPr>
      <w:r>
        <w:rPr>
          <w:rFonts w:hint="eastAsia" w:ascii="仿宋_GB2312" w:hAnsi="仿宋_GB2312" w:eastAsia="仿宋_GB2312" w:cs="仿宋_GB2312"/>
          <w:color w:val="auto"/>
          <w:szCs w:val="21"/>
          <w:highlight w:val="none"/>
          <w:lang w:val="en-US" w:eastAsia="zh-CN"/>
        </w:rPr>
        <w:t xml:space="preserve">    </w:t>
      </w:r>
    </w:p>
    <w:p w14:paraId="18B8BC29">
      <w:pPr>
        <w:snapToGrid w:val="0"/>
        <w:spacing w:line="360" w:lineRule="auto"/>
        <w:rPr>
          <w:rFonts w:eastAsiaTheme="minorEastAsia"/>
          <w:color w:val="auto"/>
          <w:szCs w:val="21"/>
          <w:highlight w:val="none"/>
        </w:rPr>
      </w:pPr>
    </w:p>
    <w:p w14:paraId="5BFA5C8A">
      <w:pPr>
        <w:snapToGrid w:val="0"/>
        <w:spacing w:line="360" w:lineRule="auto"/>
        <w:rPr>
          <w:rFonts w:eastAsiaTheme="minorEastAsia"/>
          <w:color w:val="auto"/>
          <w:szCs w:val="21"/>
          <w:highlight w:val="none"/>
        </w:rPr>
      </w:pPr>
      <w:r>
        <w:rPr>
          <w:rFonts w:eastAsiaTheme="minorEastAsia"/>
          <w:color w:val="auto"/>
          <w:szCs w:val="21"/>
          <w:highlight w:val="none"/>
        </w:rPr>
        <w:t>（以下无正文，为本合同签署栏）</w:t>
      </w:r>
    </w:p>
    <w:tbl>
      <w:tblPr>
        <w:tblStyle w:val="19"/>
        <w:tblW w:w="9974" w:type="dxa"/>
        <w:jc w:val="center"/>
        <w:tblLayout w:type="fixed"/>
        <w:tblCellMar>
          <w:top w:w="0" w:type="dxa"/>
          <w:left w:w="108" w:type="dxa"/>
          <w:bottom w:w="0" w:type="dxa"/>
          <w:right w:w="108" w:type="dxa"/>
        </w:tblCellMar>
      </w:tblPr>
      <w:tblGrid>
        <w:gridCol w:w="4832"/>
        <w:gridCol w:w="247"/>
        <w:gridCol w:w="4895"/>
      </w:tblGrid>
      <w:tr w14:paraId="76E5546C">
        <w:tblPrEx>
          <w:tblCellMar>
            <w:top w:w="0" w:type="dxa"/>
            <w:left w:w="108" w:type="dxa"/>
            <w:bottom w:w="0" w:type="dxa"/>
            <w:right w:w="108" w:type="dxa"/>
          </w:tblCellMar>
        </w:tblPrEx>
        <w:trPr>
          <w:jc w:val="center"/>
        </w:trPr>
        <w:tc>
          <w:tcPr>
            <w:tcW w:w="4832" w:type="dxa"/>
          </w:tcPr>
          <w:p w14:paraId="5A4B902C">
            <w:pPr>
              <w:spacing w:line="360" w:lineRule="auto"/>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（盖章）：</w:t>
            </w:r>
            <w:r>
              <w:rPr>
                <w:rFonts w:hint="eastAsia" w:ascii="仿宋_GB2312" w:hAnsi="仿宋_GB2312" w:eastAsia="仿宋_GB2312" w:cs="仿宋_GB2312"/>
                <w:color w:val="auto"/>
                <w:szCs w:val="21"/>
                <w:highlight w:val="none"/>
                <w:lang w:val="en-US" w:eastAsia="zh-CN"/>
              </w:rPr>
              <w:t>东莞市福地饮用水有限公司</w:t>
            </w:r>
          </w:p>
          <w:p w14:paraId="58EF0981">
            <w:pPr>
              <w:spacing w:line="360" w:lineRule="auto"/>
              <w:rPr>
                <w:rFonts w:ascii="仿宋_GB2312" w:hAnsi="仿宋_GB2312" w:eastAsia="仿宋_GB2312" w:cs="仿宋_GB2312"/>
                <w:color w:val="auto"/>
                <w:szCs w:val="21"/>
                <w:highlight w:val="none"/>
              </w:rPr>
            </w:pPr>
          </w:p>
          <w:p w14:paraId="61DE70C7">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lang w:val="en-US" w:eastAsia="zh-CN"/>
              </w:rPr>
              <w:t>/负责人</w:t>
            </w:r>
            <w:r>
              <w:rPr>
                <w:rFonts w:hint="eastAsia" w:ascii="仿宋_GB2312" w:hAnsi="仿宋_GB2312" w:eastAsia="仿宋_GB2312" w:cs="仿宋_GB2312"/>
                <w:color w:val="auto"/>
                <w:szCs w:val="21"/>
                <w:highlight w:val="none"/>
              </w:rPr>
              <w:t>（或委托代理人）：</w:t>
            </w:r>
          </w:p>
          <w:p w14:paraId="73EFBD4D">
            <w:pPr>
              <w:pStyle w:val="7"/>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（盖章或签字）                                     </w:t>
            </w:r>
          </w:p>
        </w:tc>
        <w:tc>
          <w:tcPr>
            <w:tcW w:w="247" w:type="dxa"/>
          </w:tcPr>
          <w:p w14:paraId="416B3E3B">
            <w:pPr>
              <w:spacing w:line="360" w:lineRule="auto"/>
              <w:rPr>
                <w:rFonts w:ascii="仿宋_GB2312" w:hAnsi="仿宋_GB2312" w:eastAsia="仿宋_GB2312" w:cs="仿宋_GB2312"/>
                <w:color w:val="auto"/>
                <w:szCs w:val="21"/>
                <w:highlight w:val="none"/>
              </w:rPr>
            </w:pPr>
          </w:p>
        </w:tc>
        <w:tc>
          <w:tcPr>
            <w:tcW w:w="4895" w:type="dxa"/>
          </w:tcPr>
          <w:p w14:paraId="3BCE9E64">
            <w:pPr>
              <w:spacing w:line="360" w:lineRule="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（盖章）：</w:t>
            </w:r>
            <w:r>
              <w:rPr>
                <w:rFonts w:hint="eastAsia" w:ascii="仿宋_GB2312" w:hAnsi="仿宋_GB2312" w:eastAsia="仿宋_GB2312" w:cs="仿宋_GB2312"/>
                <w:color w:val="auto"/>
                <w:szCs w:val="21"/>
                <w:highlight w:val="none"/>
                <w:lang w:val="en-US" w:eastAsia="zh-CN"/>
              </w:rPr>
              <w:t xml:space="preserve"> </w:t>
            </w:r>
          </w:p>
          <w:p w14:paraId="73758F15">
            <w:pPr>
              <w:spacing w:line="360" w:lineRule="auto"/>
              <w:rPr>
                <w:rFonts w:ascii="仿宋_GB2312" w:hAnsi="仿宋_GB2312" w:eastAsia="仿宋_GB2312" w:cs="仿宋_GB2312"/>
                <w:color w:val="auto"/>
                <w:szCs w:val="21"/>
                <w:highlight w:val="none"/>
              </w:rPr>
            </w:pPr>
          </w:p>
          <w:p w14:paraId="5AE076AA">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法定代表人/负责人（或委托代理人）：</w:t>
            </w:r>
          </w:p>
          <w:p w14:paraId="596A9FC9">
            <w:pPr>
              <w:pStyle w:val="7"/>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（盖章或签字）</w:t>
            </w:r>
          </w:p>
        </w:tc>
      </w:tr>
      <w:tr w14:paraId="209EA84F">
        <w:tblPrEx>
          <w:tblCellMar>
            <w:top w:w="0" w:type="dxa"/>
            <w:left w:w="108" w:type="dxa"/>
            <w:bottom w:w="0" w:type="dxa"/>
            <w:right w:w="108" w:type="dxa"/>
          </w:tblCellMar>
        </w:tblPrEx>
        <w:trPr>
          <w:trHeight w:val="432" w:hRule="atLeast"/>
          <w:jc w:val="center"/>
        </w:trPr>
        <w:tc>
          <w:tcPr>
            <w:tcW w:w="4832" w:type="dxa"/>
          </w:tcPr>
          <w:p w14:paraId="74228035">
            <w:pPr>
              <w:spacing w:line="360" w:lineRule="auto"/>
              <w:rPr>
                <w:rFonts w:ascii="仿宋_GB2312" w:hAnsi="仿宋_GB2312" w:eastAsia="仿宋_GB2312" w:cs="仿宋_GB2312"/>
                <w:color w:val="auto"/>
                <w:szCs w:val="21"/>
                <w:highlight w:val="none"/>
              </w:rPr>
            </w:pPr>
          </w:p>
          <w:p w14:paraId="0E717885">
            <w:pPr>
              <w:spacing w:line="360" w:lineRule="auto"/>
              <w:rPr>
                <w:rFonts w:ascii="仿宋_GB2312" w:hAnsi="仿宋_GB2312" w:eastAsia="仿宋_GB2312" w:cs="仿宋_GB2312"/>
                <w:color w:val="auto"/>
                <w:szCs w:val="21"/>
                <w:highlight w:val="none"/>
              </w:rPr>
            </w:pPr>
          </w:p>
          <w:p w14:paraId="030A830B">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签订日期：</w:t>
            </w:r>
          </w:p>
        </w:tc>
        <w:tc>
          <w:tcPr>
            <w:tcW w:w="247" w:type="dxa"/>
          </w:tcPr>
          <w:p w14:paraId="5F94215B">
            <w:pPr>
              <w:spacing w:line="360" w:lineRule="auto"/>
              <w:rPr>
                <w:rFonts w:ascii="仿宋_GB2312" w:hAnsi="仿宋_GB2312" w:eastAsia="仿宋_GB2312" w:cs="仿宋_GB2312"/>
                <w:color w:val="auto"/>
                <w:szCs w:val="21"/>
                <w:highlight w:val="none"/>
              </w:rPr>
            </w:pPr>
          </w:p>
        </w:tc>
        <w:tc>
          <w:tcPr>
            <w:tcW w:w="4895" w:type="dxa"/>
          </w:tcPr>
          <w:p w14:paraId="130175DE">
            <w:pPr>
              <w:spacing w:line="360" w:lineRule="auto"/>
              <w:rPr>
                <w:rFonts w:ascii="仿宋_GB2312" w:hAnsi="仿宋_GB2312" w:eastAsia="仿宋_GB2312" w:cs="仿宋_GB2312"/>
                <w:color w:val="auto"/>
                <w:szCs w:val="21"/>
                <w:highlight w:val="none"/>
              </w:rPr>
            </w:pPr>
          </w:p>
        </w:tc>
      </w:tr>
    </w:tbl>
    <w:p w14:paraId="4390237E">
      <w:pPr>
        <w:jc w:val="center"/>
        <w:rPr>
          <w:rFonts w:hint="eastAsia" w:ascii="方正小标宋简体" w:hAnsi="方正小标宋简体" w:eastAsia="方正小标宋简体" w:cs="方正小标宋简体"/>
          <w:b/>
          <w:bCs/>
          <w:color w:val="auto"/>
          <w:sz w:val="44"/>
          <w:szCs w:val="44"/>
          <w:highlight w:val="none"/>
          <w:u w:val="single"/>
        </w:rPr>
      </w:pPr>
    </w:p>
    <w:p w14:paraId="667A392A">
      <w:pPr>
        <w:pStyle w:val="17"/>
        <w:pageBreakBefore/>
        <w:spacing w:before="0" w:after="0" w:line="360" w:lineRule="auto"/>
        <w:ind w:firstLine="3313" w:firstLineChars="1100"/>
        <w:jc w:val="both"/>
        <w:rPr>
          <w:rFonts w:hint="eastAsia" w:ascii="宋体" w:hAnsi="宋体"/>
          <w:color w:val="auto"/>
          <w:sz w:val="30"/>
          <w:szCs w:val="30"/>
          <w:highlight w:val="none"/>
          <w:lang w:val="zh-CN"/>
        </w:rPr>
      </w:pPr>
      <w:bookmarkStart w:id="32" w:name="_Toc31368"/>
      <w:bookmarkStart w:id="33" w:name="_Toc31061"/>
      <w:bookmarkStart w:id="34" w:name="_Toc1352"/>
      <w:r>
        <w:rPr>
          <w:rFonts w:hint="eastAsia" w:ascii="宋体" w:hAnsi="宋体"/>
          <w:color w:val="auto"/>
          <w:sz w:val="30"/>
          <w:szCs w:val="30"/>
          <w:highlight w:val="none"/>
          <w:lang w:val="zh-CN"/>
        </w:rPr>
        <w:t>第</w:t>
      </w:r>
      <w:r>
        <w:rPr>
          <w:rFonts w:hint="eastAsia" w:ascii="宋体" w:hAnsi="宋体"/>
          <w:color w:val="auto"/>
          <w:sz w:val="30"/>
          <w:szCs w:val="30"/>
          <w:highlight w:val="none"/>
          <w:lang w:val="en-US" w:eastAsia="zh-CN"/>
        </w:rPr>
        <w:t>四</w:t>
      </w:r>
      <w:r>
        <w:rPr>
          <w:rFonts w:hint="eastAsia" w:ascii="宋体" w:hAnsi="宋体"/>
          <w:color w:val="auto"/>
          <w:sz w:val="30"/>
          <w:szCs w:val="30"/>
          <w:highlight w:val="none"/>
          <w:lang w:val="zh-CN"/>
        </w:rPr>
        <w:t xml:space="preserve">篇 </w:t>
      </w:r>
      <w:r>
        <w:rPr>
          <w:rFonts w:hint="eastAsia" w:ascii="宋体" w:hAnsi="宋体"/>
          <w:color w:val="auto"/>
          <w:sz w:val="30"/>
          <w:szCs w:val="30"/>
          <w:highlight w:val="none"/>
          <w:lang w:val="en-US" w:eastAsia="zh-CN"/>
        </w:rPr>
        <w:t>响应</w:t>
      </w:r>
      <w:r>
        <w:rPr>
          <w:rFonts w:hint="eastAsia" w:ascii="宋体" w:hAnsi="宋体"/>
          <w:color w:val="auto"/>
          <w:sz w:val="30"/>
          <w:szCs w:val="30"/>
          <w:highlight w:val="none"/>
          <w:lang w:val="zh-CN"/>
        </w:rPr>
        <w:t>须知</w:t>
      </w:r>
      <w:bookmarkEnd w:id="32"/>
      <w:bookmarkEnd w:id="33"/>
    </w:p>
    <w:p w14:paraId="49EFB84F">
      <w:pPr>
        <w:ind w:firstLine="422" w:firstLineChars="200"/>
        <w:rPr>
          <w:rFonts w:hint="eastAsia"/>
          <w:b/>
          <w:bCs/>
          <w:lang w:val="zh-CN"/>
        </w:rPr>
      </w:pPr>
      <w:r>
        <w:rPr>
          <w:rFonts w:hint="eastAsia"/>
          <w:b/>
          <w:bCs/>
          <w:lang w:val="zh-CN"/>
        </w:rPr>
        <w:t>一、项目费用说明</w:t>
      </w:r>
    </w:p>
    <w:p w14:paraId="053D85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报价人应按响应文件的具体要求，并结合企业的自身实际情况进行报价。所报的价格须包含为完成响应文件所规定的全部工作内容所需的一切费用（报价人销项税额除外），并应独立承担项目实施过程中的所有相应风险。</w:t>
      </w:r>
    </w:p>
    <w:p w14:paraId="400CE0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14:paraId="10944D0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lang w:val="zh-CN"/>
        </w:rPr>
      </w:pPr>
      <w:r>
        <w:rPr>
          <w:rFonts w:hint="eastAsia"/>
          <w:b/>
          <w:bCs/>
          <w:lang w:val="zh-CN"/>
        </w:rPr>
        <w:t>二、</w:t>
      </w:r>
      <w:r>
        <w:rPr>
          <w:rFonts w:hint="eastAsia"/>
          <w:b/>
          <w:bCs/>
          <w:lang w:val="en-US" w:eastAsia="zh-CN"/>
        </w:rPr>
        <w:t>响应</w:t>
      </w:r>
      <w:r>
        <w:rPr>
          <w:rFonts w:hint="eastAsia"/>
          <w:b/>
          <w:bCs/>
          <w:lang w:val="zh-CN"/>
        </w:rPr>
        <w:t>文件的组成</w:t>
      </w:r>
    </w:p>
    <w:p w14:paraId="525689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zh-CN"/>
        </w:rPr>
      </w:pPr>
      <w:r>
        <w:rPr>
          <w:rFonts w:hint="eastAsia"/>
          <w:lang w:val="zh-CN"/>
        </w:rPr>
        <w:t>1.报价表；</w:t>
      </w:r>
    </w:p>
    <w:p w14:paraId="0F08908E">
      <w:pPr>
        <w:ind w:firstLine="420" w:firstLineChars="200"/>
        <w:rPr>
          <w:rFonts w:hint="eastAsia"/>
          <w:lang w:val="zh-CN"/>
        </w:rPr>
      </w:pPr>
      <w:r>
        <w:rPr>
          <w:rFonts w:hint="eastAsia"/>
          <w:lang w:val="en-US" w:eastAsia="zh-CN"/>
        </w:rPr>
        <w:t>2</w:t>
      </w:r>
      <w:r>
        <w:rPr>
          <w:rFonts w:hint="eastAsia"/>
          <w:lang w:val="zh-CN"/>
        </w:rPr>
        <w:t>.项目响应</w:t>
      </w:r>
      <w:r>
        <w:rPr>
          <w:rFonts w:hint="eastAsia"/>
          <w:lang w:val="en-US" w:eastAsia="zh-CN"/>
        </w:rPr>
        <w:t>确认表</w:t>
      </w:r>
      <w:r>
        <w:rPr>
          <w:rFonts w:hint="eastAsia"/>
          <w:lang w:val="zh-CN"/>
        </w:rPr>
        <w:t>；</w:t>
      </w:r>
    </w:p>
    <w:p w14:paraId="59292431">
      <w:pPr>
        <w:ind w:firstLine="420" w:firstLineChars="200"/>
        <w:rPr>
          <w:rFonts w:hint="eastAsia"/>
          <w:lang w:val="zh-CN"/>
        </w:rPr>
      </w:pPr>
      <w:r>
        <w:rPr>
          <w:rFonts w:hint="eastAsia"/>
          <w:lang w:val="en-US" w:eastAsia="zh-CN"/>
        </w:rPr>
        <w:t>3</w:t>
      </w:r>
      <w:r>
        <w:rPr>
          <w:rFonts w:hint="eastAsia"/>
          <w:lang w:val="zh-CN"/>
        </w:rPr>
        <w:t>.项目响应声明；</w:t>
      </w:r>
    </w:p>
    <w:p w14:paraId="6B245B66">
      <w:pPr>
        <w:ind w:firstLine="420" w:firstLineChars="200"/>
        <w:rPr>
          <w:rFonts w:hint="eastAsia"/>
          <w:lang w:val="zh-CN"/>
        </w:rPr>
      </w:pPr>
      <w:r>
        <w:rPr>
          <w:rFonts w:hint="eastAsia"/>
          <w:lang w:val="en-US" w:eastAsia="zh-CN"/>
        </w:rPr>
        <w:t>4</w:t>
      </w:r>
      <w:r>
        <w:rPr>
          <w:rFonts w:hint="eastAsia"/>
          <w:lang w:val="zh-CN"/>
        </w:rPr>
        <w:t>.营业执照；</w:t>
      </w:r>
    </w:p>
    <w:p w14:paraId="1D8525A1">
      <w:pPr>
        <w:ind w:firstLine="420" w:firstLineChars="200"/>
        <w:rPr>
          <w:rFonts w:hint="eastAsia"/>
          <w:lang w:val="zh-CN"/>
        </w:rPr>
      </w:pPr>
      <w:r>
        <w:rPr>
          <w:rFonts w:hint="eastAsia"/>
          <w:lang w:val="en-US" w:eastAsia="zh-CN"/>
        </w:rPr>
        <w:t>5</w:t>
      </w:r>
      <w:r>
        <w:rPr>
          <w:rFonts w:hint="eastAsia"/>
          <w:lang w:val="zh-CN"/>
        </w:rPr>
        <w:t>.企业法定代表人证明及法人身份证复印件；</w:t>
      </w:r>
    </w:p>
    <w:p w14:paraId="4E74BF97">
      <w:pPr>
        <w:ind w:firstLine="420" w:firstLineChars="200"/>
        <w:rPr>
          <w:rFonts w:hint="eastAsia"/>
          <w:lang w:val="zh-CN"/>
        </w:rPr>
      </w:pPr>
      <w:r>
        <w:rPr>
          <w:rFonts w:hint="eastAsia"/>
          <w:lang w:val="en-US" w:eastAsia="zh-CN"/>
        </w:rPr>
        <w:t>6</w:t>
      </w:r>
      <w:r>
        <w:rPr>
          <w:rFonts w:hint="eastAsia"/>
          <w:lang w:val="zh-CN"/>
        </w:rPr>
        <w:t>.企业综合实力；</w:t>
      </w:r>
    </w:p>
    <w:p w14:paraId="56BDD791">
      <w:pPr>
        <w:ind w:firstLine="420" w:firstLineChars="200"/>
        <w:rPr>
          <w:rFonts w:hint="eastAsia"/>
          <w:lang w:val="zh-CN"/>
        </w:rPr>
      </w:pPr>
      <w:r>
        <w:rPr>
          <w:rFonts w:hint="eastAsia"/>
          <w:lang w:val="en-US" w:eastAsia="zh-CN"/>
        </w:rPr>
        <w:t>7</w:t>
      </w:r>
      <w:r>
        <w:rPr>
          <w:rFonts w:hint="eastAsia"/>
          <w:lang w:val="zh-CN"/>
        </w:rPr>
        <w:t>.资格业绩；</w:t>
      </w:r>
    </w:p>
    <w:p w14:paraId="1E1F8B0E">
      <w:pPr>
        <w:ind w:firstLine="420" w:firstLineChars="200"/>
        <w:rPr>
          <w:rFonts w:hint="default" w:eastAsia="宋体"/>
          <w:lang w:val="en-US" w:eastAsia="zh-CN"/>
        </w:rPr>
      </w:pPr>
      <w:r>
        <w:rPr>
          <w:rFonts w:hint="eastAsia"/>
          <w:lang w:val="en-US" w:eastAsia="zh-CN"/>
        </w:rPr>
        <w:t>8.诚信方面相关证明文件</w:t>
      </w:r>
    </w:p>
    <w:p w14:paraId="42F46FD4">
      <w:pPr>
        <w:ind w:firstLine="420" w:firstLineChars="200"/>
        <w:rPr>
          <w:rFonts w:hint="eastAsia"/>
          <w:lang w:val="zh-CN"/>
        </w:rPr>
      </w:pPr>
      <w:r>
        <w:rPr>
          <w:rFonts w:hint="eastAsia"/>
          <w:lang w:val="zh-CN"/>
        </w:rPr>
        <w:t>9.2024年度财务报表</w:t>
      </w:r>
    </w:p>
    <w:p w14:paraId="3C38F3D7">
      <w:pPr>
        <w:ind w:firstLine="420" w:firstLineChars="200"/>
        <w:rPr>
          <w:rFonts w:hint="eastAsia"/>
          <w:lang w:val="zh-CN"/>
        </w:rPr>
      </w:pPr>
      <w:r>
        <w:rPr>
          <w:rFonts w:hint="eastAsia"/>
          <w:lang w:val="zh-CN"/>
        </w:rPr>
        <w:t>10.配送服务方案资料</w:t>
      </w:r>
    </w:p>
    <w:p w14:paraId="2451BFA0">
      <w:pPr>
        <w:ind w:firstLine="420" w:firstLineChars="200"/>
        <w:rPr>
          <w:rFonts w:hint="eastAsia"/>
          <w:lang w:val="zh-CN"/>
        </w:rPr>
      </w:pPr>
      <w:r>
        <w:rPr>
          <w:rFonts w:hint="eastAsia"/>
          <w:lang w:val="zh-CN"/>
        </w:rPr>
        <w:t>11.车辆配置情况</w:t>
      </w:r>
    </w:p>
    <w:p w14:paraId="74769CCD">
      <w:pPr>
        <w:ind w:firstLine="420" w:firstLineChars="200"/>
        <w:rPr>
          <w:rFonts w:hint="eastAsia"/>
          <w:lang w:val="zh-CN"/>
        </w:rPr>
      </w:pPr>
      <w:r>
        <w:rPr>
          <w:rFonts w:hint="eastAsia"/>
          <w:lang w:val="zh-CN"/>
        </w:rPr>
        <w:t>12.人员配置情况</w:t>
      </w:r>
    </w:p>
    <w:p w14:paraId="223F30CE">
      <w:pPr>
        <w:ind w:firstLine="420" w:firstLineChars="200"/>
        <w:rPr>
          <w:rFonts w:hint="eastAsia"/>
          <w:lang w:val="zh-CN"/>
        </w:rPr>
      </w:pPr>
      <w:r>
        <w:rPr>
          <w:rFonts w:hint="eastAsia"/>
          <w:lang w:val="en-US" w:eastAsia="zh-CN"/>
        </w:rPr>
        <w:t>13</w:t>
      </w:r>
      <w:r>
        <w:rPr>
          <w:rFonts w:hint="eastAsia"/>
          <w:lang w:val="zh-CN"/>
        </w:rPr>
        <w:t>.仓库配置情况表</w:t>
      </w:r>
    </w:p>
    <w:p w14:paraId="08B860B9">
      <w:pPr>
        <w:ind w:firstLine="420" w:firstLineChars="200"/>
        <w:rPr>
          <w:rFonts w:hint="eastAsia" w:eastAsia="宋体"/>
          <w:lang w:val="en-US" w:eastAsia="zh-CN"/>
        </w:rPr>
      </w:pPr>
      <w:r>
        <w:rPr>
          <w:rFonts w:hint="eastAsia"/>
          <w:lang w:val="en-US" w:eastAsia="zh-CN"/>
        </w:rPr>
        <w:t>14.</w:t>
      </w:r>
      <w:r>
        <w:rPr>
          <w:rFonts w:hint="eastAsia"/>
          <w:lang w:val="zh-CN"/>
        </w:rPr>
        <w:t>开户信息及开户许可证。</w:t>
      </w:r>
    </w:p>
    <w:p w14:paraId="49937D95">
      <w:pPr>
        <w:ind w:firstLine="420" w:firstLineChars="200"/>
        <w:rPr>
          <w:rFonts w:hint="eastAsia"/>
          <w:lang w:val="zh-CN"/>
        </w:rPr>
      </w:pPr>
    </w:p>
    <w:p w14:paraId="1EFEE016">
      <w:pPr>
        <w:ind w:firstLine="422" w:firstLineChars="200"/>
        <w:rPr>
          <w:rFonts w:hint="eastAsia"/>
          <w:b/>
          <w:bCs/>
          <w:lang w:val="zh-CN"/>
        </w:rPr>
      </w:pPr>
      <w:r>
        <w:rPr>
          <w:rFonts w:hint="eastAsia"/>
          <w:b/>
          <w:bCs/>
          <w:lang w:val="zh-CN"/>
        </w:rPr>
        <w:t>三、</w:t>
      </w:r>
      <w:r>
        <w:rPr>
          <w:rFonts w:hint="eastAsia"/>
          <w:b/>
          <w:bCs/>
          <w:lang w:val="en-US" w:eastAsia="zh-CN"/>
        </w:rPr>
        <w:t>响应</w:t>
      </w:r>
      <w:r>
        <w:rPr>
          <w:rFonts w:hint="eastAsia"/>
          <w:b/>
          <w:bCs/>
          <w:lang w:val="zh-CN"/>
        </w:rPr>
        <w:t>文件的封装和递交</w:t>
      </w:r>
    </w:p>
    <w:p w14:paraId="0F7B6704">
      <w:pPr>
        <w:ind w:firstLine="420" w:firstLineChars="200"/>
        <w:rPr>
          <w:rFonts w:hint="eastAsia"/>
          <w:lang w:val="zh-CN"/>
        </w:rPr>
      </w:pPr>
      <w:r>
        <w:rPr>
          <w:rFonts w:hint="eastAsia"/>
          <w:lang w:val="zh-CN"/>
        </w:rPr>
        <w:t>1.报价人应提交一式</w:t>
      </w:r>
      <w:r>
        <w:rPr>
          <w:rFonts w:hint="eastAsia"/>
          <w:lang w:val="en-US" w:eastAsia="zh-CN"/>
        </w:rPr>
        <w:t>三</w:t>
      </w:r>
      <w:r>
        <w:rPr>
          <w:rFonts w:hint="eastAsia"/>
          <w:lang w:val="zh-CN"/>
        </w:rPr>
        <w:t>份（一份正本和</w:t>
      </w:r>
      <w:r>
        <w:rPr>
          <w:rFonts w:hint="eastAsia"/>
          <w:lang w:val="en-US" w:eastAsia="zh-CN"/>
        </w:rPr>
        <w:t>两</w:t>
      </w:r>
      <w:r>
        <w:rPr>
          <w:rFonts w:hint="eastAsia"/>
          <w:lang w:val="zh-CN"/>
        </w:rPr>
        <w:t>份副本）密封的“响应文件”（即整套响应文件），密封在一个不透明的外层封装中，外层密封封装表面应正确标明项目名称、报价人单位名称，封口位置盖章。响应文件要明确注明“正本”或“副本”，一旦正本和副本发现差异，以正本为准。副本文件可由正本文件复印而成。</w:t>
      </w:r>
    </w:p>
    <w:p w14:paraId="6C0166CC">
      <w:pPr>
        <w:ind w:firstLine="420" w:firstLineChars="200"/>
        <w:rPr>
          <w:rFonts w:hint="eastAsia"/>
          <w:lang w:val="zh-CN"/>
        </w:rPr>
      </w:pPr>
      <w:r>
        <w:rPr>
          <w:rFonts w:hint="eastAsia"/>
          <w:lang w:val="zh-CN"/>
        </w:rPr>
        <w:t>2. 响应文件无须装订成册。若</w:t>
      </w:r>
      <w:r>
        <w:rPr>
          <w:rFonts w:hint="eastAsia"/>
          <w:lang w:val="en-US" w:eastAsia="zh-CN"/>
        </w:rPr>
        <w:t>响应</w:t>
      </w:r>
      <w:r>
        <w:rPr>
          <w:rFonts w:hint="eastAsia"/>
          <w:lang w:val="zh-CN"/>
        </w:rPr>
        <w:t>文件装订成册，需同时提供电子文件，内容包括：签字、盖章后的报价文件扫描版PDF格式电子文件。电子文件不可设置密码，用U盘或DVD或CD-R光盘储存 ，可密封于“报价信封”内（电子文件的包装封面需注明项目名称、项目编号、报价人单位名称，并盖章）。</w:t>
      </w:r>
    </w:p>
    <w:p w14:paraId="246D1AF3">
      <w:pPr>
        <w:ind w:firstLine="420" w:firstLineChars="200"/>
        <w:rPr>
          <w:rFonts w:hint="eastAsia"/>
          <w:lang w:val="zh-CN"/>
        </w:rPr>
      </w:pPr>
      <w:r>
        <w:rPr>
          <w:rFonts w:hint="eastAsia"/>
          <w:lang w:val="zh-CN"/>
        </w:rPr>
        <w:t>3.所有按上述要求密封的响应文件，必须在询比公告中明确规定的递交截止时间之前，送达采购人指定的递交地点。逾期送达或未送达指定地点的响应文件，将被视为自动放弃参与本项目询比的资格。</w:t>
      </w:r>
    </w:p>
    <w:p w14:paraId="395A9D75">
      <w:pPr>
        <w:ind w:firstLine="420" w:firstLineChars="200"/>
        <w:rPr>
          <w:rFonts w:hint="eastAsia"/>
          <w:lang w:val="zh-CN"/>
        </w:rPr>
      </w:pPr>
    </w:p>
    <w:p w14:paraId="520EA46B">
      <w:pPr>
        <w:ind w:firstLine="422" w:firstLineChars="200"/>
        <w:rPr>
          <w:rFonts w:hint="eastAsia"/>
          <w:b/>
          <w:bCs/>
          <w:lang w:val="zh-CN"/>
        </w:rPr>
      </w:pPr>
      <w:r>
        <w:rPr>
          <w:rFonts w:hint="eastAsia"/>
          <w:b/>
          <w:bCs/>
          <w:lang w:val="zh-CN"/>
        </w:rPr>
        <w:t>四、报价有效性说明</w:t>
      </w:r>
    </w:p>
    <w:p w14:paraId="56479616">
      <w:pPr>
        <w:ind w:firstLine="420" w:firstLineChars="200"/>
        <w:rPr>
          <w:rFonts w:hint="eastAsia"/>
          <w:lang w:val="zh-CN"/>
        </w:rPr>
      </w:pPr>
      <w:r>
        <w:rPr>
          <w:rFonts w:hint="eastAsia"/>
          <w:lang w:val="zh-CN"/>
        </w:rPr>
        <w:t>1.若在响应文件递交截止后，经采购人审查确定的有效响应文件不足三家，采购人有权根据实际情况决定重新组织采购活动。</w:t>
      </w:r>
    </w:p>
    <w:p w14:paraId="1C5B7898">
      <w:pPr>
        <w:ind w:firstLine="420" w:firstLineChars="200"/>
        <w:rPr>
          <w:rFonts w:hint="eastAsia"/>
          <w:lang w:val="zh-CN"/>
        </w:rPr>
      </w:pPr>
      <w:r>
        <w:rPr>
          <w:rFonts w:hint="eastAsia"/>
          <w:lang w:val="zh-CN"/>
        </w:rPr>
        <w:t>2.当被确定为综合得分最高的成交候选供应商主动放弃成交资格，或经采购人核实确认其并未实质性满足采购需求时，采购人有权顺次确定综合得分次高的实质性满足需求的供应商为成交供应商，或有权宣布本次采购失败并重新组织采购。</w:t>
      </w:r>
    </w:p>
    <w:p w14:paraId="36B3C50A">
      <w:pPr>
        <w:ind w:firstLine="420" w:firstLineChars="200"/>
        <w:rPr>
          <w:rFonts w:hint="eastAsia"/>
          <w:lang w:val="zh-CN"/>
        </w:rPr>
      </w:pPr>
    </w:p>
    <w:p w14:paraId="0464630C">
      <w:pPr>
        <w:ind w:firstLine="422" w:firstLineChars="200"/>
        <w:rPr>
          <w:rFonts w:hint="eastAsia"/>
          <w:b/>
          <w:bCs/>
          <w:lang w:val="zh-CN"/>
        </w:rPr>
      </w:pPr>
      <w:r>
        <w:rPr>
          <w:rFonts w:hint="eastAsia"/>
          <w:b/>
          <w:bCs/>
          <w:lang w:val="zh-CN"/>
        </w:rPr>
        <w:t>五、评分标准</w:t>
      </w:r>
    </w:p>
    <w:p w14:paraId="0489C2C3">
      <w:pPr>
        <w:ind w:firstLine="420" w:firstLineChars="200"/>
        <w:rPr>
          <w:rFonts w:hint="eastAsia"/>
          <w:lang w:val="zh-CN"/>
        </w:rPr>
      </w:pPr>
      <w:r>
        <w:rPr>
          <w:rFonts w:hint="eastAsia"/>
          <w:lang w:val="zh-CN"/>
        </w:rPr>
        <w:t>采购人将组织评审小组，对实质性满足采购需求的供应商所提交的响应文件进行综合评审。综合评分满分为100分，由商务部分、技术部分和价格部分得分相加得出。评审小组将根据以下评分因素和标准进行评审：</w:t>
      </w:r>
    </w:p>
    <w:p w14:paraId="0C359261">
      <w:pPr>
        <w:ind w:firstLine="420" w:firstLineChars="200"/>
        <w:rPr>
          <w:rFonts w:hint="eastAsia"/>
          <w:lang w:val="en-US" w:eastAsia="zh-CN"/>
        </w:rPr>
      </w:pPr>
      <w:r>
        <w:rPr>
          <w:rFonts w:hint="eastAsia"/>
          <w:lang w:val="en-US" w:eastAsia="zh-CN"/>
        </w:rPr>
        <w:t>1.商务部分</w:t>
      </w:r>
    </w:p>
    <w:p w14:paraId="3E251F30">
      <w:pPr>
        <w:ind w:firstLine="420" w:firstLineChars="200"/>
        <w:rPr>
          <w:rFonts w:hint="default"/>
          <w:lang w:val="en-US" w:eastAsia="zh-CN"/>
        </w:rPr>
      </w:pPr>
    </w:p>
    <w:p w14:paraId="2D5A367D">
      <w:pPr>
        <w:ind w:firstLine="420" w:firstLineChars="200"/>
        <w:rPr>
          <w:rFonts w:hint="default"/>
          <w:lang w:val="en-US" w:eastAsia="zh-CN"/>
        </w:rPr>
      </w:pPr>
    </w:p>
    <w:p w14:paraId="725DD407">
      <w:pPr>
        <w:ind w:firstLine="420" w:firstLineChars="200"/>
        <w:rPr>
          <w:rFonts w:hint="default"/>
          <w:lang w:val="en-US" w:eastAsia="zh-CN"/>
        </w:rPr>
      </w:pPr>
    </w:p>
    <w:p w14:paraId="0F6D8FA4">
      <w:pPr>
        <w:ind w:firstLine="420" w:firstLineChars="200"/>
        <w:rPr>
          <w:rFonts w:hint="default"/>
          <w:lang w:val="en-US" w:eastAsia="zh-CN"/>
        </w:rPr>
      </w:pPr>
    </w:p>
    <w:p w14:paraId="07BF0A29">
      <w:pPr>
        <w:ind w:firstLine="420" w:firstLineChars="200"/>
        <w:rPr>
          <w:rFonts w:hint="default"/>
          <w:lang w:val="en-US" w:eastAsia="zh-CN"/>
        </w:rPr>
      </w:pPr>
    </w:p>
    <w:p w14:paraId="0608207E">
      <w:pPr>
        <w:ind w:firstLine="420" w:firstLineChars="200"/>
        <w:rPr>
          <w:rFonts w:hint="default"/>
          <w:lang w:val="en-US" w:eastAsia="zh-CN"/>
        </w:rPr>
      </w:pPr>
    </w:p>
    <w:tbl>
      <w:tblPr>
        <w:tblStyle w:val="57"/>
        <w:tblW w:w="9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223"/>
        <w:gridCol w:w="6282"/>
        <w:gridCol w:w="1726"/>
      </w:tblGrid>
      <w:tr w14:paraId="427A8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998" w:type="dxa"/>
            <w:gridSpan w:val="4"/>
            <w:shd w:val="clear" w:color="auto" w:fill="E7E6E6"/>
            <w:vAlign w:val="center"/>
          </w:tcPr>
          <w:p w14:paraId="5F3704D0">
            <w:pPr>
              <w:spacing w:before="123" w:line="232" w:lineRule="auto"/>
              <w:ind w:left="203"/>
              <w:rPr>
                <w:rFonts w:hint="default" w:ascii="仿宋" w:hAnsi="仿宋" w:eastAsia="仿宋" w:cs="仿宋"/>
                <w:b/>
                <w:bCs/>
                <w:spacing w:val="-1"/>
                <w:sz w:val="20"/>
                <w:szCs w:val="20"/>
                <w:lang w:val="en-US" w:eastAsia="zh-CN"/>
              </w:rPr>
            </w:pPr>
            <w:r>
              <w:rPr>
                <w:rFonts w:hint="eastAsia" w:ascii="仿宋" w:hAnsi="仿宋" w:eastAsia="仿宋" w:cs="仿宋"/>
                <w:b/>
                <w:bCs/>
                <w:spacing w:val="-1"/>
                <w:sz w:val="20"/>
                <w:szCs w:val="20"/>
                <w:lang w:val="en-US" w:eastAsia="zh-CN"/>
              </w:rPr>
              <w:t>商务部分评分（15分）</w:t>
            </w:r>
          </w:p>
        </w:tc>
      </w:tr>
      <w:tr w14:paraId="488F4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7" w:type="dxa"/>
            <w:vAlign w:val="center"/>
          </w:tcPr>
          <w:p w14:paraId="0A17B9FC">
            <w:pPr>
              <w:spacing w:before="65" w:line="378" w:lineRule="auto"/>
              <w:ind w:left="266" w:right="147" w:hanging="108"/>
              <w:jc w:val="center"/>
              <w:rPr>
                <w:rFonts w:hint="eastAsia" w:asciiTheme="majorEastAsia" w:hAnsiTheme="majorEastAsia" w:eastAsiaTheme="majorEastAsia" w:cstheme="majorEastAsia"/>
                <w:b/>
                <w:bCs/>
                <w:spacing w:val="5"/>
                <w:sz w:val="20"/>
                <w:szCs w:val="20"/>
                <w:lang w:val="en-US" w:eastAsia="zh-CN"/>
              </w:rPr>
            </w:pPr>
            <w:r>
              <w:rPr>
                <w:rFonts w:hint="eastAsia" w:asciiTheme="majorEastAsia" w:hAnsiTheme="majorEastAsia" w:eastAsiaTheme="majorEastAsia" w:cstheme="majorEastAsia"/>
                <w:b/>
                <w:bCs/>
                <w:spacing w:val="5"/>
                <w:sz w:val="20"/>
                <w:szCs w:val="20"/>
                <w:lang w:val="en-US" w:eastAsia="zh-CN"/>
              </w:rPr>
              <w:t>序号</w:t>
            </w:r>
          </w:p>
        </w:tc>
        <w:tc>
          <w:tcPr>
            <w:tcW w:w="1223" w:type="dxa"/>
            <w:vAlign w:val="center"/>
          </w:tcPr>
          <w:p w14:paraId="4143FC88">
            <w:pPr>
              <w:spacing w:before="65" w:line="378" w:lineRule="auto"/>
              <w:ind w:left="266" w:right="147" w:hanging="108"/>
              <w:jc w:val="center"/>
              <w:rPr>
                <w:rFonts w:hint="eastAsia" w:asciiTheme="majorEastAsia" w:hAnsiTheme="majorEastAsia" w:eastAsiaTheme="majorEastAsia" w:cstheme="majorEastAsia"/>
                <w:b/>
                <w:bCs/>
                <w:spacing w:val="5"/>
                <w:sz w:val="20"/>
                <w:szCs w:val="20"/>
                <w:lang w:val="en-US" w:eastAsia="zh-CN"/>
              </w:rPr>
            </w:pPr>
            <w:r>
              <w:rPr>
                <w:rFonts w:hint="eastAsia" w:asciiTheme="majorEastAsia" w:hAnsiTheme="majorEastAsia" w:eastAsiaTheme="majorEastAsia" w:cstheme="majorEastAsia"/>
                <w:b/>
                <w:bCs/>
                <w:spacing w:val="5"/>
                <w:sz w:val="20"/>
                <w:szCs w:val="20"/>
                <w:lang w:val="en-US" w:eastAsia="zh-CN"/>
              </w:rPr>
              <w:t>评审内容</w:t>
            </w:r>
          </w:p>
        </w:tc>
        <w:tc>
          <w:tcPr>
            <w:tcW w:w="6282" w:type="dxa"/>
            <w:vAlign w:val="center"/>
          </w:tcPr>
          <w:p w14:paraId="614D8A93">
            <w:pPr>
              <w:keepNext w:val="0"/>
              <w:keepLines w:val="0"/>
              <w:pageBreakBefore w:val="0"/>
              <w:widowControl w:val="0"/>
              <w:kinsoku/>
              <w:wordWrap/>
              <w:overflowPunct/>
              <w:topLinePunct w:val="0"/>
              <w:autoSpaceDE/>
              <w:autoSpaceDN/>
              <w:bidi w:val="0"/>
              <w:adjustRightInd/>
              <w:snapToGrid/>
              <w:spacing w:before="1" w:line="240" w:lineRule="auto"/>
              <w:ind w:left="120" w:right="105" w:hanging="11"/>
              <w:jc w:val="center"/>
              <w:textAlignment w:val="auto"/>
              <w:rPr>
                <w:rFonts w:hint="eastAsia" w:asciiTheme="majorEastAsia" w:hAnsiTheme="majorEastAsia" w:eastAsiaTheme="majorEastAsia" w:cstheme="majorEastAsia"/>
                <w:b/>
                <w:bCs/>
                <w:spacing w:val="9"/>
                <w:sz w:val="20"/>
                <w:szCs w:val="20"/>
                <w:lang w:val="en-US" w:eastAsia="zh-CN"/>
              </w:rPr>
            </w:pPr>
            <w:r>
              <w:rPr>
                <w:rFonts w:hint="eastAsia" w:asciiTheme="majorEastAsia" w:hAnsiTheme="majorEastAsia" w:eastAsiaTheme="majorEastAsia" w:cstheme="majorEastAsia"/>
                <w:b/>
                <w:bCs/>
                <w:spacing w:val="9"/>
                <w:sz w:val="20"/>
                <w:szCs w:val="20"/>
                <w:lang w:val="en-US" w:eastAsia="zh-CN"/>
              </w:rPr>
              <w:t>评审细则</w:t>
            </w:r>
          </w:p>
        </w:tc>
        <w:tc>
          <w:tcPr>
            <w:tcW w:w="1726" w:type="dxa"/>
            <w:vAlign w:val="center"/>
          </w:tcPr>
          <w:p w14:paraId="73133C19">
            <w:pPr>
              <w:spacing w:before="57" w:line="195" w:lineRule="auto"/>
              <w:jc w:val="center"/>
              <w:rPr>
                <w:rFonts w:hint="eastAsia" w:asciiTheme="majorEastAsia" w:hAnsiTheme="majorEastAsia" w:eastAsiaTheme="majorEastAsia" w:cstheme="majorEastAsia"/>
                <w:b/>
                <w:bCs/>
                <w:spacing w:val="-8"/>
                <w:sz w:val="20"/>
                <w:szCs w:val="20"/>
                <w:lang w:val="en-US" w:eastAsia="zh-CN"/>
              </w:rPr>
            </w:pPr>
            <w:r>
              <w:rPr>
                <w:rFonts w:hint="eastAsia" w:asciiTheme="majorEastAsia" w:hAnsiTheme="majorEastAsia" w:eastAsiaTheme="majorEastAsia" w:cstheme="majorEastAsia"/>
                <w:b/>
                <w:bCs/>
                <w:spacing w:val="-8"/>
                <w:sz w:val="20"/>
                <w:szCs w:val="20"/>
                <w:lang w:val="en-US" w:eastAsia="zh-CN"/>
              </w:rPr>
              <w:t>满分</w:t>
            </w:r>
          </w:p>
        </w:tc>
      </w:tr>
      <w:tr w14:paraId="2DBAD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767" w:type="dxa"/>
            <w:vAlign w:val="center"/>
          </w:tcPr>
          <w:p w14:paraId="33EB96A8">
            <w:pPr>
              <w:spacing w:before="65" w:line="378" w:lineRule="auto"/>
              <w:ind w:left="266" w:right="147" w:hanging="108"/>
              <w:jc w:val="center"/>
              <w:rPr>
                <w:rFonts w:hint="eastAsia" w:ascii="仿宋" w:hAnsi="仿宋" w:eastAsia="仿宋" w:cs="仿宋"/>
                <w:sz w:val="20"/>
                <w:szCs w:val="20"/>
                <w:lang w:val="en-US" w:eastAsia="zh-CN"/>
              </w:rPr>
            </w:pPr>
            <w:r>
              <w:rPr>
                <w:rFonts w:hint="eastAsia" w:ascii="仿宋" w:hAnsi="仿宋" w:eastAsia="仿宋" w:cs="仿宋"/>
                <w:b/>
                <w:bCs/>
                <w:spacing w:val="5"/>
                <w:sz w:val="20"/>
                <w:szCs w:val="20"/>
                <w:lang w:val="en-US" w:eastAsia="zh-CN"/>
              </w:rPr>
              <w:t>1</w:t>
            </w:r>
          </w:p>
        </w:tc>
        <w:tc>
          <w:tcPr>
            <w:tcW w:w="1223" w:type="dxa"/>
            <w:vAlign w:val="center"/>
          </w:tcPr>
          <w:p w14:paraId="588DF0E3">
            <w:pPr>
              <w:spacing w:before="65" w:line="378" w:lineRule="auto"/>
              <w:ind w:left="266" w:right="147" w:hanging="108"/>
              <w:jc w:val="left"/>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企业综合实力</w:t>
            </w:r>
          </w:p>
        </w:tc>
        <w:tc>
          <w:tcPr>
            <w:tcW w:w="6282" w:type="dxa"/>
            <w:vAlign w:val="center"/>
          </w:tcPr>
          <w:p w14:paraId="6682D627">
            <w:pPr>
              <w:keepNext w:val="0"/>
              <w:keepLines w:val="0"/>
              <w:pageBreakBefore w:val="0"/>
              <w:widowControl w:val="0"/>
              <w:kinsoku/>
              <w:wordWrap/>
              <w:overflowPunct/>
              <w:topLinePunct w:val="0"/>
              <w:autoSpaceDE/>
              <w:autoSpaceDN/>
              <w:bidi w:val="0"/>
              <w:adjustRightInd/>
              <w:snapToGrid/>
              <w:spacing w:before="1" w:line="240" w:lineRule="auto"/>
              <w:ind w:left="120" w:right="105" w:hanging="11"/>
              <w:jc w:val="left"/>
              <w:textAlignment w:val="auto"/>
              <w:rPr>
                <w:rFonts w:ascii="仿宋" w:hAnsi="仿宋" w:eastAsia="仿宋" w:cs="仿宋"/>
                <w:sz w:val="20"/>
                <w:szCs w:val="20"/>
              </w:rPr>
            </w:pPr>
            <w:r>
              <w:rPr>
                <w:rFonts w:ascii="仿宋" w:hAnsi="仿宋" w:eastAsia="仿宋" w:cs="仿宋"/>
                <w:spacing w:val="9"/>
                <w:sz w:val="20"/>
                <w:szCs w:val="20"/>
              </w:rPr>
              <w:t>具有有效的质量管理体系、环境管理体系、职业健康安全管理体系认证，每项得</w:t>
            </w:r>
            <w:r>
              <w:rPr>
                <w:rFonts w:hint="eastAsia" w:ascii="仿宋" w:hAnsi="仿宋" w:eastAsia="仿宋" w:cs="仿宋"/>
                <w:spacing w:val="9"/>
                <w:sz w:val="20"/>
                <w:szCs w:val="20"/>
                <w:lang w:val="en-US" w:eastAsia="zh-CN"/>
              </w:rPr>
              <w:t>1</w:t>
            </w:r>
            <w:r>
              <w:rPr>
                <w:rFonts w:ascii="仿宋" w:hAnsi="仿宋" w:eastAsia="仿宋" w:cs="仿宋"/>
                <w:spacing w:val="9"/>
                <w:sz w:val="20"/>
                <w:szCs w:val="20"/>
              </w:rPr>
              <w:t>分，最高</w:t>
            </w:r>
            <w:r>
              <w:rPr>
                <w:rFonts w:hint="eastAsia" w:ascii="仿宋" w:hAnsi="仿宋" w:eastAsia="仿宋" w:cs="仿宋"/>
                <w:spacing w:val="9"/>
                <w:sz w:val="20"/>
                <w:szCs w:val="20"/>
                <w:lang w:val="en-US" w:eastAsia="zh-CN"/>
              </w:rPr>
              <w:t>3</w:t>
            </w:r>
            <w:r>
              <w:rPr>
                <w:rFonts w:ascii="仿宋" w:hAnsi="仿宋" w:eastAsia="仿宋" w:cs="仿宋"/>
                <w:spacing w:val="9"/>
                <w:sz w:val="20"/>
                <w:szCs w:val="20"/>
              </w:rPr>
              <w:t>分。</w:t>
            </w:r>
          </w:p>
        </w:tc>
        <w:tc>
          <w:tcPr>
            <w:tcW w:w="1726" w:type="dxa"/>
            <w:vAlign w:val="center"/>
          </w:tcPr>
          <w:p w14:paraId="6AF07573">
            <w:pPr>
              <w:spacing w:before="57" w:line="195" w:lineRule="auto"/>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3</w:t>
            </w:r>
          </w:p>
        </w:tc>
      </w:tr>
      <w:tr w14:paraId="42C53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767" w:type="dxa"/>
            <w:vAlign w:val="center"/>
          </w:tcPr>
          <w:p w14:paraId="741DA612">
            <w:pPr>
              <w:spacing w:before="65" w:line="378" w:lineRule="auto"/>
              <w:ind w:left="266" w:right="147" w:hanging="108"/>
              <w:jc w:val="center"/>
              <w:rPr>
                <w:rFonts w:hint="eastAsia"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2</w:t>
            </w:r>
          </w:p>
        </w:tc>
        <w:tc>
          <w:tcPr>
            <w:tcW w:w="1223" w:type="dxa"/>
            <w:vAlign w:val="center"/>
          </w:tcPr>
          <w:p w14:paraId="2ECB0F80">
            <w:pPr>
              <w:spacing w:before="65" w:line="378" w:lineRule="auto"/>
              <w:ind w:left="266" w:right="147" w:hanging="108"/>
              <w:jc w:val="left"/>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类似项目业绩</w:t>
            </w:r>
          </w:p>
        </w:tc>
        <w:tc>
          <w:tcPr>
            <w:tcW w:w="6282" w:type="dxa"/>
            <w:vAlign w:val="center"/>
          </w:tcPr>
          <w:p w14:paraId="1FF1F5F0">
            <w:pPr>
              <w:keepNext w:val="0"/>
              <w:keepLines w:val="0"/>
              <w:pageBreakBefore w:val="0"/>
              <w:widowControl w:val="0"/>
              <w:kinsoku/>
              <w:wordWrap/>
              <w:overflowPunct/>
              <w:topLinePunct w:val="0"/>
              <w:autoSpaceDE/>
              <w:autoSpaceDN/>
              <w:bidi w:val="0"/>
              <w:adjustRightInd/>
              <w:snapToGrid/>
              <w:spacing w:before="1" w:line="240" w:lineRule="auto"/>
              <w:ind w:left="120" w:right="105" w:hanging="11"/>
              <w:jc w:val="left"/>
              <w:textAlignment w:val="auto"/>
              <w:rPr>
                <w:rFonts w:ascii="仿宋" w:hAnsi="仿宋" w:eastAsia="仿宋" w:cs="仿宋"/>
                <w:spacing w:val="9"/>
                <w:sz w:val="20"/>
                <w:szCs w:val="20"/>
              </w:rPr>
            </w:pPr>
            <w:r>
              <w:rPr>
                <w:rFonts w:hint="eastAsia" w:ascii="仿宋" w:hAnsi="仿宋" w:eastAsia="仿宋" w:cs="仿宋"/>
                <w:spacing w:val="9"/>
                <w:sz w:val="20"/>
                <w:szCs w:val="20"/>
              </w:rPr>
              <w:t>202</w:t>
            </w:r>
            <w:r>
              <w:rPr>
                <w:rFonts w:hint="eastAsia" w:ascii="仿宋" w:hAnsi="仿宋" w:eastAsia="仿宋" w:cs="仿宋"/>
                <w:spacing w:val="9"/>
                <w:sz w:val="20"/>
                <w:szCs w:val="20"/>
                <w:lang w:val="en-US" w:eastAsia="zh-CN"/>
              </w:rPr>
              <w:t>4</w:t>
            </w:r>
            <w:r>
              <w:rPr>
                <w:rFonts w:hint="eastAsia" w:ascii="仿宋" w:hAnsi="仿宋" w:eastAsia="仿宋" w:cs="仿宋"/>
                <w:spacing w:val="9"/>
                <w:sz w:val="20"/>
                <w:szCs w:val="20"/>
              </w:rPr>
              <w:t>年1月1日以来完成的物流配送服务业绩：每提供一个合同金额≥</w:t>
            </w:r>
            <w:r>
              <w:rPr>
                <w:rFonts w:hint="eastAsia" w:ascii="仿宋" w:hAnsi="仿宋" w:eastAsia="仿宋" w:cs="仿宋"/>
                <w:spacing w:val="9"/>
                <w:sz w:val="20"/>
                <w:szCs w:val="20"/>
                <w:lang w:val="en-US" w:eastAsia="zh-CN"/>
              </w:rPr>
              <w:t>3</w:t>
            </w:r>
            <w:r>
              <w:rPr>
                <w:rFonts w:hint="eastAsia" w:ascii="仿宋" w:hAnsi="仿宋" w:eastAsia="仿宋" w:cs="仿宋"/>
                <w:spacing w:val="9"/>
                <w:sz w:val="20"/>
                <w:szCs w:val="20"/>
              </w:rPr>
              <w:t>0万元的业绩得</w:t>
            </w:r>
            <w:r>
              <w:rPr>
                <w:rFonts w:hint="eastAsia" w:ascii="仿宋" w:hAnsi="仿宋" w:eastAsia="仿宋" w:cs="仿宋"/>
                <w:spacing w:val="9"/>
                <w:sz w:val="20"/>
                <w:szCs w:val="20"/>
                <w:lang w:val="en-US" w:eastAsia="zh-CN"/>
              </w:rPr>
              <w:t>3</w:t>
            </w:r>
            <w:r>
              <w:rPr>
                <w:rFonts w:hint="eastAsia" w:ascii="仿宋" w:hAnsi="仿宋" w:eastAsia="仿宋" w:cs="仿宋"/>
                <w:spacing w:val="9"/>
                <w:sz w:val="20"/>
                <w:szCs w:val="20"/>
              </w:rPr>
              <w:t>分，10万元≤金额＜</w:t>
            </w:r>
            <w:r>
              <w:rPr>
                <w:rFonts w:hint="eastAsia" w:ascii="仿宋" w:hAnsi="仿宋" w:eastAsia="仿宋" w:cs="仿宋"/>
                <w:spacing w:val="9"/>
                <w:sz w:val="20"/>
                <w:szCs w:val="20"/>
                <w:lang w:val="en-US" w:eastAsia="zh-CN"/>
              </w:rPr>
              <w:t>3</w:t>
            </w:r>
            <w:r>
              <w:rPr>
                <w:rFonts w:hint="eastAsia" w:ascii="仿宋" w:hAnsi="仿宋" w:eastAsia="仿宋" w:cs="仿宋"/>
                <w:spacing w:val="9"/>
                <w:sz w:val="20"/>
                <w:szCs w:val="20"/>
              </w:rPr>
              <w:t>0万元的得2分，低于10万不得分</w:t>
            </w:r>
            <w:r>
              <w:rPr>
                <w:rFonts w:hint="eastAsia" w:ascii="仿宋" w:hAnsi="仿宋" w:eastAsia="仿宋" w:cs="仿宋"/>
                <w:spacing w:val="9"/>
                <w:sz w:val="20"/>
                <w:szCs w:val="20"/>
                <w:lang w:eastAsia="zh-CN"/>
              </w:rPr>
              <w:t>，</w:t>
            </w:r>
            <w:r>
              <w:rPr>
                <w:rFonts w:hint="eastAsia" w:ascii="仿宋" w:hAnsi="仿宋" w:eastAsia="仿宋" w:cs="仿宋"/>
                <w:spacing w:val="9"/>
                <w:sz w:val="20"/>
                <w:szCs w:val="20"/>
              </w:rPr>
              <w:t>本项最高得1</w:t>
            </w:r>
            <w:r>
              <w:rPr>
                <w:rFonts w:hint="eastAsia" w:ascii="仿宋" w:hAnsi="仿宋" w:eastAsia="仿宋" w:cs="仿宋"/>
                <w:spacing w:val="9"/>
                <w:sz w:val="20"/>
                <w:szCs w:val="20"/>
                <w:lang w:val="en-US" w:eastAsia="zh-CN"/>
              </w:rPr>
              <w:t>0</w:t>
            </w:r>
            <w:r>
              <w:rPr>
                <w:rFonts w:hint="eastAsia" w:ascii="仿宋" w:hAnsi="仿宋" w:eastAsia="仿宋" w:cs="仿宋"/>
                <w:spacing w:val="9"/>
                <w:sz w:val="20"/>
                <w:szCs w:val="20"/>
              </w:rPr>
              <w:t>分。</w:t>
            </w:r>
          </w:p>
        </w:tc>
        <w:tc>
          <w:tcPr>
            <w:tcW w:w="1726" w:type="dxa"/>
            <w:vAlign w:val="center"/>
          </w:tcPr>
          <w:p w14:paraId="1629B387">
            <w:pPr>
              <w:spacing w:before="57" w:line="195" w:lineRule="auto"/>
              <w:jc w:val="center"/>
              <w:rPr>
                <w:rFonts w:hint="default" w:ascii="Times New Roman" w:hAnsi="Times New Roman" w:eastAsia="宋体" w:cs="Times New Roman"/>
                <w:spacing w:val="-8"/>
                <w:sz w:val="20"/>
                <w:szCs w:val="20"/>
                <w:lang w:val="en-US" w:eastAsia="zh-CN"/>
              </w:rPr>
            </w:pPr>
            <w:r>
              <w:rPr>
                <w:rFonts w:hint="eastAsia" w:ascii="Times New Roman" w:hAnsi="Times New Roman" w:eastAsia="宋体" w:cs="Times New Roman"/>
                <w:spacing w:val="-8"/>
                <w:sz w:val="20"/>
                <w:szCs w:val="20"/>
                <w:lang w:val="en-US" w:eastAsia="zh-CN"/>
              </w:rPr>
              <w:t>1</w:t>
            </w:r>
            <w:r>
              <w:rPr>
                <w:rFonts w:hint="eastAsia" w:cs="Times New Roman"/>
                <w:spacing w:val="-8"/>
                <w:sz w:val="20"/>
                <w:szCs w:val="20"/>
                <w:lang w:val="en-US" w:eastAsia="zh-CN"/>
              </w:rPr>
              <w:t>0</w:t>
            </w:r>
          </w:p>
        </w:tc>
      </w:tr>
      <w:tr w14:paraId="3C3D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767" w:type="dxa"/>
            <w:vAlign w:val="center"/>
          </w:tcPr>
          <w:p w14:paraId="3B9DEE00">
            <w:pPr>
              <w:spacing w:before="65" w:line="378" w:lineRule="auto"/>
              <w:ind w:left="266" w:right="147" w:hanging="108"/>
              <w:jc w:val="center"/>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3</w:t>
            </w:r>
          </w:p>
        </w:tc>
        <w:tc>
          <w:tcPr>
            <w:tcW w:w="1223" w:type="dxa"/>
            <w:vAlign w:val="center"/>
          </w:tcPr>
          <w:p w14:paraId="5E38814C">
            <w:pPr>
              <w:spacing w:before="65" w:line="378" w:lineRule="auto"/>
              <w:ind w:left="266" w:right="147" w:hanging="108"/>
              <w:jc w:val="left"/>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财务状况</w:t>
            </w:r>
          </w:p>
        </w:tc>
        <w:tc>
          <w:tcPr>
            <w:tcW w:w="6282" w:type="dxa"/>
            <w:vAlign w:val="center"/>
          </w:tcPr>
          <w:p w14:paraId="3D038293">
            <w:pPr>
              <w:keepNext w:val="0"/>
              <w:keepLines w:val="0"/>
              <w:pageBreakBefore w:val="0"/>
              <w:widowControl w:val="0"/>
              <w:kinsoku/>
              <w:wordWrap/>
              <w:overflowPunct/>
              <w:topLinePunct w:val="0"/>
              <w:autoSpaceDE/>
              <w:autoSpaceDN/>
              <w:bidi w:val="0"/>
              <w:adjustRightInd/>
              <w:snapToGrid/>
              <w:spacing w:before="1" w:line="240" w:lineRule="auto"/>
              <w:ind w:left="120" w:right="105" w:hanging="11"/>
              <w:jc w:val="left"/>
              <w:textAlignment w:val="auto"/>
              <w:rPr>
                <w:rFonts w:hint="eastAsia" w:ascii="仿宋" w:hAnsi="仿宋" w:eastAsia="仿宋" w:cs="仿宋"/>
                <w:spacing w:val="9"/>
                <w:sz w:val="20"/>
                <w:szCs w:val="20"/>
              </w:rPr>
            </w:pPr>
            <w:r>
              <w:rPr>
                <w:rFonts w:hint="eastAsia" w:ascii="仿宋" w:hAnsi="仿宋" w:eastAsia="仿宋" w:cs="仿宋"/>
                <w:spacing w:val="9"/>
                <w:sz w:val="20"/>
                <w:szCs w:val="20"/>
              </w:rPr>
              <w:t>提供202</w:t>
            </w:r>
            <w:r>
              <w:rPr>
                <w:rFonts w:hint="eastAsia" w:ascii="仿宋" w:hAnsi="仿宋" w:eastAsia="仿宋" w:cs="仿宋"/>
                <w:spacing w:val="9"/>
                <w:sz w:val="20"/>
                <w:szCs w:val="20"/>
                <w:lang w:val="en-US" w:eastAsia="zh-CN"/>
              </w:rPr>
              <w:t>4</w:t>
            </w:r>
            <w:r>
              <w:rPr>
                <w:rFonts w:hint="eastAsia" w:ascii="仿宋" w:hAnsi="仿宋" w:eastAsia="仿宋" w:cs="仿宋"/>
                <w:spacing w:val="9"/>
                <w:sz w:val="20"/>
                <w:szCs w:val="20"/>
              </w:rPr>
              <w:t>年度财务报表，盈利且资产负债率＜70%得</w:t>
            </w:r>
            <w:r>
              <w:rPr>
                <w:rFonts w:hint="eastAsia" w:ascii="仿宋" w:hAnsi="仿宋" w:eastAsia="仿宋" w:cs="仿宋"/>
                <w:spacing w:val="9"/>
                <w:sz w:val="20"/>
                <w:szCs w:val="20"/>
                <w:lang w:val="en-US" w:eastAsia="zh-CN"/>
              </w:rPr>
              <w:t>2</w:t>
            </w:r>
            <w:r>
              <w:rPr>
                <w:rFonts w:hint="eastAsia" w:ascii="仿宋" w:hAnsi="仿宋" w:eastAsia="仿宋" w:cs="仿宋"/>
                <w:spacing w:val="9"/>
                <w:sz w:val="20"/>
                <w:szCs w:val="20"/>
              </w:rPr>
              <w:t>分；盈利但资产负债率≥70%得</w:t>
            </w:r>
            <w:r>
              <w:rPr>
                <w:rFonts w:hint="eastAsia" w:ascii="仿宋" w:hAnsi="仿宋" w:eastAsia="仿宋" w:cs="仿宋"/>
                <w:spacing w:val="9"/>
                <w:sz w:val="20"/>
                <w:szCs w:val="20"/>
                <w:lang w:val="en-US" w:eastAsia="zh-CN"/>
              </w:rPr>
              <w:t>1</w:t>
            </w:r>
            <w:r>
              <w:rPr>
                <w:rFonts w:hint="eastAsia" w:ascii="仿宋" w:hAnsi="仿宋" w:eastAsia="仿宋" w:cs="仿宋"/>
                <w:spacing w:val="9"/>
                <w:sz w:val="20"/>
                <w:szCs w:val="20"/>
              </w:rPr>
              <w:t>分；亏损不得分。</w:t>
            </w:r>
          </w:p>
        </w:tc>
        <w:tc>
          <w:tcPr>
            <w:tcW w:w="1726" w:type="dxa"/>
            <w:vAlign w:val="center"/>
          </w:tcPr>
          <w:p w14:paraId="47438997">
            <w:pPr>
              <w:spacing w:before="57" w:line="195" w:lineRule="auto"/>
              <w:jc w:val="center"/>
              <w:rPr>
                <w:rFonts w:hint="default" w:ascii="Times New Roman" w:hAnsi="Times New Roman" w:eastAsia="宋体" w:cs="Times New Roman"/>
                <w:spacing w:val="-8"/>
                <w:sz w:val="20"/>
                <w:szCs w:val="20"/>
                <w:lang w:val="en-US" w:eastAsia="zh-CN"/>
              </w:rPr>
            </w:pPr>
            <w:r>
              <w:rPr>
                <w:rFonts w:hint="eastAsia" w:cs="Times New Roman"/>
                <w:spacing w:val="-8"/>
                <w:sz w:val="20"/>
                <w:szCs w:val="20"/>
                <w:lang w:val="en-US" w:eastAsia="zh-CN"/>
              </w:rPr>
              <w:t>2</w:t>
            </w:r>
          </w:p>
        </w:tc>
      </w:tr>
    </w:tbl>
    <w:p w14:paraId="7B4DE74A">
      <w:pPr>
        <w:ind w:firstLine="420" w:firstLineChars="200"/>
        <w:rPr>
          <w:rFonts w:hint="default" w:eastAsia="宋体"/>
          <w:lang w:val="en-US" w:eastAsia="zh-CN"/>
        </w:rPr>
      </w:pPr>
    </w:p>
    <w:p w14:paraId="7A17385C">
      <w:pPr>
        <w:ind w:firstLine="420" w:firstLineChars="200"/>
        <w:rPr>
          <w:rFonts w:hint="default" w:eastAsia="宋体"/>
          <w:lang w:val="en-US" w:eastAsia="zh-CN"/>
        </w:rPr>
      </w:pPr>
      <w:r>
        <w:rPr>
          <w:rFonts w:hint="eastAsia"/>
          <w:lang w:val="en-US" w:eastAsia="zh-CN"/>
        </w:rPr>
        <w:t>2.技术部分</w:t>
      </w:r>
    </w:p>
    <w:tbl>
      <w:tblPr>
        <w:tblStyle w:val="57"/>
        <w:tblW w:w="9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223"/>
        <w:gridCol w:w="6282"/>
        <w:gridCol w:w="1726"/>
      </w:tblGrid>
      <w:tr w14:paraId="6A9AA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998" w:type="dxa"/>
            <w:gridSpan w:val="4"/>
            <w:shd w:val="clear" w:color="auto" w:fill="E7E6E6"/>
            <w:vAlign w:val="center"/>
          </w:tcPr>
          <w:p w14:paraId="62F4D048">
            <w:pPr>
              <w:spacing w:before="123" w:line="232" w:lineRule="auto"/>
              <w:ind w:left="203"/>
              <w:rPr>
                <w:rFonts w:hint="default" w:ascii="仿宋" w:hAnsi="仿宋" w:eastAsia="仿宋" w:cs="仿宋"/>
                <w:b/>
                <w:bCs/>
                <w:spacing w:val="-1"/>
                <w:sz w:val="20"/>
                <w:szCs w:val="20"/>
                <w:lang w:val="en-US" w:eastAsia="zh-CN"/>
              </w:rPr>
            </w:pPr>
            <w:r>
              <w:rPr>
                <w:rFonts w:hint="eastAsia" w:ascii="仿宋" w:hAnsi="仿宋" w:eastAsia="仿宋" w:cs="仿宋"/>
                <w:b/>
                <w:bCs/>
                <w:spacing w:val="-1"/>
                <w:sz w:val="20"/>
                <w:szCs w:val="20"/>
                <w:lang w:val="en-US" w:eastAsia="zh-CN"/>
              </w:rPr>
              <w:t>技术部分评分（45分）</w:t>
            </w:r>
          </w:p>
        </w:tc>
      </w:tr>
      <w:tr w14:paraId="4DE35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7" w:type="dxa"/>
            <w:vAlign w:val="center"/>
          </w:tcPr>
          <w:p w14:paraId="1FB696E5">
            <w:pPr>
              <w:spacing w:before="65" w:line="378" w:lineRule="auto"/>
              <w:ind w:left="266" w:right="147" w:hanging="108"/>
              <w:jc w:val="center"/>
              <w:rPr>
                <w:rFonts w:hint="eastAsia" w:asciiTheme="majorEastAsia" w:hAnsiTheme="majorEastAsia" w:eastAsiaTheme="majorEastAsia" w:cstheme="majorEastAsia"/>
                <w:b/>
                <w:bCs/>
                <w:spacing w:val="5"/>
                <w:sz w:val="20"/>
                <w:szCs w:val="20"/>
                <w:lang w:val="en-US" w:eastAsia="zh-CN"/>
              </w:rPr>
            </w:pPr>
            <w:r>
              <w:rPr>
                <w:rFonts w:hint="eastAsia" w:asciiTheme="majorEastAsia" w:hAnsiTheme="majorEastAsia" w:eastAsiaTheme="majorEastAsia" w:cstheme="majorEastAsia"/>
                <w:b/>
                <w:bCs/>
                <w:spacing w:val="5"/>
                <w:sz w:val="20"/>
                <w:szCs w:val="20"/>
                <w:lang w:val="en-US" w:eastAsia="zh-CN"/>
              </w:rPr>
              <w:t>序号</w:t>
            </w:r>
          </w:p>
        </w:tc>
        <w:tc>
          <w:tcPr>
            <w:tcW w:w="1223" w:type="dxa"/>
            <w:vAlign w:val="center"/>
          </w:tcPr>
          <w:p w14:paraId="1D483593">
            <w:pPr>
              <w:spacing w:before="65" w:line="378" w:lineRule="auto"/>
              <w:ind w:left="266" w:right="147" w:hanging="108"/>
              <w:jc w:val="center"/>
              <w:rPr>
                <w:rFonts w:hint="eastAsia" w:asciiTheme="majorEastAsia" w:hAnsiTheme="majorEastAsia" w:eastAsiaTheme="majorEastAsia" w:cstheme="majorEastAsia"/>
                <w:b/>
                <w:bCs/>
                <w:spacing w:val="5"/>
                <w:sz w:val="20"/>
                <w:szCs w:val="20"/>
                <w:lang w:val="en-US" w:eastAsia="zh-CN"/>
              </w:rPr>
            </w:pPr>
            <w:r>
              <w:rPr>
                <w:rFonts w:hint="eastAsia" w:asciiTheme="majorEastAsia" w:hAnsiTheme="majorEastAsia" w:eastAsiaTheme="majorEastAsia" w:cstheme="majorEastAsia"/>
                <w:b/>
                <w:bCs/>
                <w:spacing w:val="5"/>
                <w:sz w:val="20"/>
                <w:szCs w:val="20"/>
                <w:lang w:val="en-US" w:eastAsia="zh-CN"/>
              </w:rPr>
              <w:t>评审内容</w:t>
            </w:r>
          </w:p>
        </w:tc>
        <w:tc>
          <w:tcPr>
            <w:tcW w:w="6282" w:type="dxa"/>
            <w:vAlign w:val="center"/>
          </w:tcPr>
          <w:p w14:paraId="15381F59">
            <w:pPr>
              <w:keepNext w:val="0"/>
              <w:keepLines w:val="0"/>
              <w:pageBreakBefore w:val="0"/>
              <w:widowControl w:val="0"/>
              <w:kinsoku/>
              <w:wordWrap/>
              <w:overflowPunct/>
              <w:topLinePunct w:val="0"/>
              <w:autoSpaceDE/>
              <w:autoSpaceDN/>
              <w:bidi w:val="0"/>
              <w:adjustRightInd/>
              <w:snapToGrid/>
              <w:spacing w:before="1" w:line="240" w:lineRule="auto"/>
              <w:ind w:left="120" w:right="105" w:hanging="11"/>
              <w:jc w:val="center"/>
              <w:textAlignment w:val="auto"/>
              <w:rPr>
                <w:rFonts w:hint="eastAsia" w:asciiTheme="majorEastAsia" w:hAnsiTheme="majorEastAsia" w:eastAsiaTheme="majorEastAsia" w:cstheme="majorEastAsia"/>
                <w:b/>
                <w:bCs/>
                <w:spacing w:val="9"/>
                <w:sz w:val="20"/>
                <w:szCs w:val="20"/>
                <w:lang w:val="en-US" w:eastAsia="zh-CN"/>
              </w:rPr>
            </w:pPr>
            <w:r>
              <w:rPr>
                <w:rFonts w:hint="eastAsia" w:asciiTheme="majorEastAsia" w:hAnsiTheme="majorEastAsia" w:eastAsiaTheme="majorEastAsia" w:cstheme="majorEastAsia"/>
                <w:b/>
                <w:bCs/>
                <w:spacing w:val="9"/>
                <w:sz w:val="20"/>
                <w:szCs w:val="20"/>
                <w:lang w:val="en-US" w:eastAsia="zh-CN"/>
              </w:rPr>
              <w:t>评审细则</w:t>
            </w:r>
          </w:p>
        </w:tc>
        <w:tc>
          <w:tcPr>
            <w:tcW w:w="1726" w:type="dxa"/>
            <w:vAlign w:val="center"/>
          </w:tcPr>
          <w:p w14:paraId="7A5AC895">
            <w:pPr>
              <w:spacing w:before="57" w:line="195" w:lineRule="auto"/>
              <w:jc w:val="center"/>
              <w:rPr>
                <w:rFonts w:hint="eastAsia" w:asciiTheme="majorEastAsia" w:hAnsiTheme="majorEastAsia" w:eastAsiaTheme="majorEastAsia" w:cstheme="majorEastAsia"/>
                <w:b/>
                <w:bCs/>
                <w:spacing w:val="-8"/>
                <w:sz w:val="20"/>
                <w:szCs w:val="20"/>
                <w:lang w:val="en-US" w:eastAsia="zh-CN"/>
              </w:rPr>
            </w:pPr>
            <w:r>
              <w:rPr>
                <w:rFonts w:hint="eastAsia" w:asciiTheme="majorEastAsia" w:hAnsiTheme="majorEastAsia" w:eastAsiaTheme="majorEastAsia" w:cstheme="majorEastAsia"/>
                <w:b/>
                <w:bCs/>
                <w:spacing w:val="-8"/>
                <w:sz w:val="20"/>
                <w:szCs w:val="20"/>
                <w:lang w:val="en-US" w:eastAsia="zh-CN"/>
              </w:rPr>
              <w:t>满分</w:t>
            </w:r>
          </w:p>
        </w:tc>
      </w:tr>
      <w:tr w14:paraId="1C423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767" w:type="dxa"/>
            <w:vAlign w:val="center"/>
          </w:tcPr>
          <w:p w14:paraId="20D15FC5">
            <w:pPr>
              <w:spacing w:before="65" w:line="378" w:lineRule="auto"/>
              <w:ind w:left="266" w:right="147" w:hanging="108"/>
              <w:jc w:val="center"/>
              <w:rPr>
                <w:rFonts w:hint="eastAsia"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1</w:t>
            </w:r>
          </w:p>
        </w:tc>
        <w:tc>
          <w:tcPr>
            <w:tcW w:w="1223" w:type="dxa"/>
            <w:vAlign w:val="center"/>
          </w:tcPr>
          <w:p w14:paraId="2BDF28E5">
            <w:pPr>
              <w:spacing w:before="65" w:line="378" w:lineRule="auto"/>
              <w:ind w:left="266" w:right="147" w:hanging="108"/>
              <w:jc w:val="left"/>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配送服务方案</w:t>
            </w:r>
          </w:p>
        </w:tc>
        <w:tc>
          <w:tcPr>
            <w:tcW w:w="6282" w:type="dxa"/>
            <w:vAlign w:val="center"/>
          </w:tcPr>
          <w:p w14:paraId="7D126C2B">
            <w:pPr>
              <w:keepNext w:val="0"/>
              <w:keepLines w:val="0"/>
              <w:pageBreakBefore w:val="0"/>
              <w:widowControl w:val="0"/>
              <w:kinsoku/>
              <w:wordWrap/>
              <w:overflowPunct/>
              <w:topLinePunct w:val="0"/>
              <w:autoSpaceDE/>
              <w:autoSpaceDN/>
              <w:bidi w:val="0"/>
              <w:adjustRightInd/>
              <w:snapToGrid/>
              <w:spacing w:before="1" w:line="240" w:lineRule="auto"/>
              <w:ind w:left="120" w:right="105" w:hanging="11"/>
              <w:jc w:val="left"/>
              <w:textAlignment w:val="auto"/>
              <w:rPr>
                <w:rFonts w:ascii="仿宋" w:hAnsi="仿宋" w:eastAsia="仿宋" w:cs="仿宋"/>
                <w:spacing w:val="9"/>
                <w:sz w:val="20"/>
                <w:szCs w:val="20"/>
              </w:rPr>
            </w:pPr>
            <w:r>
              <w:rPr>
                <w:rFonts w:hint="eastAsia" w:ascii="仿宋" w:hAnsi="仿宋" w:eastAsia="仿宋" w:cs="仿宋"/>
                <w:spacing w:val="9"/>
                <w:sz w:val="20"/>
                <w:szCs w:val="20"/>
              </w:rPr>
              <w:t>方案完整、针对性强、流程清晰、配送能力强</w:t>
            </w:r>
            <w:r>
              <w:rPr>
                <w:rFonts w:hint="eastAsia" w:ascii="仿宋" w:hAnsi="仿宋" w:eastAsia="仿宋" w:cs="仿宋"/>
                <w:spacing w:val="9"/>
                <w:sz w:val="20"/>
                <w:szCs w:val="20"/>
                <w:lang w:eastAsia="zh-CN"/>
              </w:rPr>
              <w:t>、</w:t>
            </w:r>
            <w:r>
              <w:rPr>
                <w:rFonts w:hint="eastAsia" w:ascii="仿宋" w:hAnsi="仿宋" w:eastAsia="仿宋" w:cs="仿宋"/>
                <w:spacing w:val="9"/>
                <w:sz w:val="20"/>
                <w:szCs w:val="20"/>
              </w:rPr>
              <w:t>有详细的配送流程、时效保障机制、应急预案、节假日值班安排、投诉处理机制得</w:t>
            </w:r>
            <w:r>
              <w:rPr>
                <w:rFonts w:hint="eastAsia" w:ascii="仿宋" w:hAnsi="仿宋" w:eastAsia="仿宋" w:cs="仿宋"/>
                <w:spacing w:val="9"/>
                <w:sz w:val="20"/>
                <w:szCs w:val="20"/>
                <w:lang w:val="en-US" w:eastAsia="zh-CN"/>
              </w:rPr>
              <w:t>16</w:t>
            </w:r>
            <w:r>
              <w:rPr>
                <w:rFonts w:hint="eastAsia" w:ascii="仿宋" w:hAnsi="仿宋" w:eastAsia="仿宋" w:cs="仿宋"/>
                <w:spacing w:val="9"/>
                <w:sz w:val="20"/>
                <w:szCs w:val="20"/>
              </w:rPr>
              <w:t>-</w:t>
            </w:r>
            <w:r>
              <w:rPr>
                <w:rFonts w:hint="eastAsia" w:ascii="仿宋" w:hAnsi="仿宋" w:eastAsia="仿宋" w:cs="仿宋"/>
                <w:spacing w:val="9"/>
                <w:sz w:val="20"/>
                <w:szCs w:val="20"/>
                <w:lang w:val="en-US" w:eastAsia="zh-CN"/>
              </w:rPr>
              <w:t>20</w:t>
            </w:r>
            <w:r>
              <w:rPr>
                <w:rFonts w:hint="eastAsia" w:ascii="仿宋" w:hAnsi="仿宋" w:eastAsia="仿宋" w:cs="仿宋"/>
                <w:spacing w:val="9"/>
                <w:sz w:val="20"/>
                <w:szCs w:val="20"/>
              </w:rPr>
              <w:t>分；方案较完整、有一定针对性得</w:t>
            </w:r>
            <w:r>
              <w:rPr>
                <w:rFonts w:hint="eastAsia" w:ascii="仿宋" w:hAnsi="仿宋" w:eastAsia="仿宋" w:cs="仿宋"/>
                <w:spacing w:val="9"/>
                <w:sz w:val="20"/>
                <w:szCs w:val="20"/>
                <w:lang w:val="en-US" w:eastAsia="zh-CN"/>
              </w:rPr>
              <w:t>10</w:t>
            </w:r>
            <w:r>
              <w:rPr>
                <w:rFonts w:hint="eastAsia" w:ascii="仿宋" w:hAnsi="仿宋" w:eastAsia="仿宋" w:cs="仿宋"/>
                <w:spacing w:val="9"/>
                <w:sz w:val="20"/>
                <w:szCs w:val="20"/>
              </w:rPr>
              <w:t>-</w:t>
            </w:r>
            <w:r>
              <w:rPr>
                <w:rFonts w:hint="eastAsia" w:ascii="仿宋" w:hAnsi="仿宋" w:eastAsia="仿宋" w:cs="仿宋"/>
                <w:spacing w:val="9"/>
                <w:sz w:val="20"/>
                <w:szCs w:val="20"/>
                <w:lang w:val="en-US" w:eastAsia="zh-CN"/>
              </w:rPr>
              <w:t>15</w:t>
            </w:r>
            <w:r>
              <w:rPr>
                <w:rFonts w:hint="eastAsia" w:ascii="仿宋" w:hAnsi="仿宋" w:eastAsia="仿宋" w:cs="仿宋"/>
                <w:spacing w:val="9"/>
                <w:sz w:val="20"/>
                <w:szCs w:val="20"/>
              </w:rPr>
              <w:t>分；方案简单、针对性一般得</w:t>
            </w:r>
            <w:r>
              <w:rPr>
                <w:rFonts w:hint="eastAsia" w:ascii="仿宋" w:hAnsi="仿宋" w:eastAsia="仿宋" w:cs="仿宋"/>
                <w:spacing w:val="9"/>
                <w:sz w:val="20"/>
                <w:szCs w:val="20"/>
                <w:lang w:val="en-US" w:eastAsia="zh-CN"/>
              </w:rPr>
              <w:t>4</w:t>
            </w:r>
            <w:r>
              <w:rPr>
                <w:rFonts w:hint="eastAsia" w:ascii="仿宋" w:hAnsi="仿宋" w:eastAsia="仿宋" w:cs="仿宋"/>
                <w:spacing w:val="9"/>
                <w:sz w:val="20"/>
                <w:szCs w:val="20"/>
              </w:rPr>
              <w:t>-</w:t>
            </w:r>
            <w:r>
              <w:rPr>
                <w:rFonts w:hint="eastAsia" w:ascii="仿宋" w:hAnsi="仿宋" w:eastAsia="仿宋" w:cs="仿宋"/>
                <w:spacing w:val="9"/>
                <w:sz w:val="20"/>
                <w:szCs w:val="20"/>
                <w:lang w:val="en-US" w:eastAsia="zh-CN"/>
              </w:rPr>
              <w:t>9</w:t>
            </w:r>
            <w:r>
              <w:rPr>
                <w:rFonts w:hint="eastAsia" w:ascii="仿宋" w:hAnsi="仿宋" w:eastAsia="仿宋" w:cs="仿宋"/>
                <w:spacing w:val="9"/>
                <w:sz w:val="20"/>
                <w:szCs w:val="20"/>
              </w:rPr>
              <w:t>分；方案差或无方案得0-</w:t>
            </w:r>
            <w:r>
              <w:rPr>
                <w:rFonts w:hint="eastAsia" w:ascii="仿宋" w:hAnsi="仿宋" w:eastAsia="仿宋" w:cs="仿宋"/>
                <w:spacing w:val="9"/>
                <w:sz w:val="20"/>
                <w:szCs w:val="20"/>
                <w:lang w:val="en-US" w:eastAsia="zh-CN"/>
              </w:rPr>
              <w:t>3</w:t>
            </w:r>
            <w:r>
              <w:rPr>
                <w:rFonts w:hint="eastAsia" w:ascii="仿宋" w:hAnsi="仿宋" w:eastAsia="仿宋" w:cs="仿宋"/>
                <w:spacing w:val="9"/>
                <w:sz w:val="20"/>
                <w:szCs w:val="20"/>
              </w:rPr>
              <w:t>分。</w:t>
            </w:r>
          </w:p>
        </w:tc>
        <w:tc>
          <w:tcPr>
            <w:tcW w:w="1726" w:type="dxa"/>
            <w:vAlign w:val="center"/>
          </w:tcPr>
          <w:p w14:paraId="41CFF138">
            <w:pPr>
              <w:spacing w:before="57" w:line="195" w:lineRule="auto"/>
              <w:jc w:val="center"/>
              <w:rPr>
                <w:rFonts w:hint="default" w:ascii="Times New Roman" w:hAnsi="Times New Roman" w:eastAsia="宋体" w:cs="Times New Roman"/>
                <w:spacing w:val="-8"/>
                <w:sz w:val="20"/>
                <w:szCs w:val="20"/>
                <w:lang w:val="en-US" w:eastAsia="zh-CN"/>
              </w:rPr>
            </w:pPr>
            <w:r>
              <w:rPr>
                <w:rFonts w:hint="eastAsia" w:cs="Times New Roman"/>
                <w:spacing w:val="-8"/>
                <w:sz w:val="20"/>
                <w:szCs w:val="20"/>
                <w:lang w:val="en-US" w:eastAsia="zh-CN"/>
              </w:rPr>
              <w:t>20</w:t>
            </w:r>
          </w:p>
        </w:tc>
      </w:tr>
      <w:tr w14:paraId="70037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767" w:type="dxa"/>
            <w:vAlign w:val="center"/>
          </w:tcPr>
          <w:p w14:paraId="343D4BFE">
            <w:pPr>
              <w:spacing w:before="65" w:line="378" w:lineRule="auto"/>
              <w:ind w:left="266" w:right="147" w:hanging="108"/>
              <w:jc w:val="center"/>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2</w:t>
            </w:r>
          </w:p>
        </w:tc>
        <w:tc>
          <w:tcPr>
            <w:tcW w:w="1223" w:type="dxa"/>
            <w:vAlign w:val="center"/>
          </w:tcPr>
          <w:p w14:paraId="1FAE840E">
            <w:pPr>
              <w:spacing w:before="65" w:line="378" w:lineRule="auto"/>
              <w:ind w:left="266" w:right="147" w:hanging="108"/>
              <w:jc w:val="left"/>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车辆配置</w:t>
            </w:r>
          </w:p>
        </w:tc>
        <w:tc>
          <w:tcPr>
            <w:tcW w:w="6282" w:type="dxa"/>
            <w:vAlign w:val="center"/>
          </w:tcPr>
          <w:p w14:paraId="295F643D">
            <w:pPr>
              <w:keepNext w:val="0"/>
              <w:keepLines w:val="0"/>
              <w:pageBreakBefore w:val="0"/>
              <w:widowControl w:val="0"/>
              <w:kinsoku/>
              <w:wordWrap/>
              <w:overflowPunct/>
              <w:topLinePunct w:val="0"/>
              <w:autoSpaceDE/>
              <w:autoSpaceDN/>
              <w:bidi w:val="0"/>
              <w:adjustRightInd/>
              <w:snapToGrid/>
              <w:spacing w:before="1" w:line="240" w:lineRule="auto"/>
              <w:ind w:left="120" w:right="105" w:hanging="11"/>
              <w:jc w:val="left"/>
              <w:textAlignment w:val="auto"/>
              <w:rPr>
                <w:rFonts w:hint="default" w:ascii="仿宋" w:hAnsi="仿宋" w:eastAsia="仿宋" w:cs="仿宋"/>
                <w:spacing w:val="9"/>
                <w:sz w:val="20"/>
                <w:szCs w:val="20"/>
                <w:lang w:val="en-US" w:eastAsia="zh-CN"/>
              </w:rPr>
            </w:pPr>
            <w:r>
              <w:rPr>
                <w:rFonts w:hint="eastAsia" w:ascii="仿宋" w:hAnsi="仿宋" w:eastAsia="仿宋" w:cs="仿宋"/>
                <w:spacing w:val="9"/>
                <w:sz w:val="20"/>
                <w:szCs w:val="20"/>
              </w:rPr>
              <w:t>自有或租赁厢式货车，每提供1辆得</w:t>
            </w:r>
            <w:r>
              <w:rPr>
                <w:rFonts w:hint="eastAsia" w:ascii="仿宋" w:hAnsi="仿宋" w:eastAsia="仿宋" w:cs="仿宋"/>
                <w:spacing w:val="9"/>
                <w:sz w:val="20"/>
                <w:szCs w:val="20"/>
                <w:lang w:val="en-US" w:eastAsia="zh-CN"/>
              </w:rPr>
              <w:t>0.5</w:t>
            </w:r>
            <w:r>
              <w:rPr>
                <w:rFonts w:hint="eastAsia" w:ascii="仿宋" w:hAnsi="仿宋" w:eastAsia="仿宋" w:cs="仿宋"/>
                <w:spacing w:val="9"/>
                <w:sz w:val="20"/>
                <w:szCs w:val="20"/>
              </w:rPr>
              <w:t>分，最高</w:t>
            </w:r>
            <w:r>
              <w:rPr>
                <w:rFonts w:hint="eastAsia" w:ascii="仿宋" w:hAnsi="仿宋" w:eastAsia="仿宋" w:cs="仿宋"/>
                <w:spacing w:val="9"/>
                <w:sz w:val="20"/>
                <w:szCs w:val="20"/>
                <w:lang w:val="en-US" w:eastAsia="zh-CN"/>
              </w:rPr>
              <w:t>8</w:t>
            </w:r>
            <w:r>
              <w:rPr>
                <w:rFonts w:hint="eastAsia" w:ascii="仿宋" w:hAnsi="仿宋" w:eastAsia="仿宋" w:cs="仿宋"/>
                <w:spacing w:val="9"/>
                <w:sz w:val="20"/>
                <w:szCs w:val="20"/>
              </w:rPr>
              <w:t>分（须提供行驶证或租赁合同）。若承诺配备备用车辆用于应急调度，每增加1辆加0.5分，最多加2分。</w:t>
            </w:r>
            <w:r>
              <w:rPr>
                <w:rFonts w:hint="eastAsia" w:ascii="仿宋" w:hAnsi="仿宋" w:eastAsia="仿宋" w:cs="仿宋"/>
                <w:spacing w:val="9"/>
                <w:sz w:val="20"/>
                <w:szCs w:val="20"/>
                <w:lang w:val="en-US" w:eastAsia="zh-CN"/>
              </w:rPr>
              <w:t>本项最高10分。</w:t>
            </w:r>
          </w:p>
        </w:tc>
        <w:tc>
          <w:tcPr>
            <w:tcW w:w="1726" w:type="dxa"/>
            <w:vAlign w:val="center"/>
          </w:tcPr>
          <w:p w14:paraId="1F60C57A">
            <w:pPr>
              <w:spacing w:before="57" w:line="195" w:lineRule="auto"/>
              <w:jc w:val="center"/>
              <w:rPr>
                <w:rFonts w:hint="default" w:ascii="Times New Roman" w:hAnsi="Times New Roman" w:eastAsia="宋体" w:cs="Times New Roman"/>
                <w:spacing w:val="-8"/>
                <w:sz w:val="20"/>
                <w:szCs w:val="20"/>
                <w:lang w:val="en-US" w:eastAsia="zh-CN"/>
              </w:rPr>
            </w:pPr>
            <w:r>
              <w:rPr>
                <w:rFonts w:hint="eastAsia" w:cs="Times New Roman"/>
                <w:spacing w:val="-8"/>
                <w:sz w:val="20"/>
                <w:szCs w:val="20"/>
                <w:lang w:val="en-US" w:eastAsia="zh-CN"/>
              </w:rPr>
              <w:t>10</w:t>
            </w:r>
          </w:p>
        </w:tc>
      </w:tr>
      <w:tr w14:paraId="42B5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767" w:type="dxa"/>
            <w:vAlign w:val="center"/>
          </w:tcPr>
          <w:p w14:paraId="6B8E2A70">
            <w:pPr>
              <w:spacing w:before="65" w:line="378" w:lineRule="auto"/>
              <w:ind w:left="266" w:right="147" w:hanging="108"/>
              <w:jc w:val="center"/>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3</w:t>
            </w:r>
          </w:p>
        </w:tc>
        <w:tc>
          <w:tcPr>
            <w:tcW w:w="1223" w:type="dxa"/>
            <w:vAlign w:val="center"/>
          </w:tcPr>
          <w:p w14:paraId="2A4B5145">
            <w:pPr>
              <w:spacing w:before="65" w:line="378" w:lineRule="auto"/>
              <w:ind w:left="266" w:right="147" w:hanging="108"/>
              <w:jc w:val="left"/>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人员配置</w:t>
            </w:r>
          </w:p>
        </w:tc>
        <w:tc>
          <w:tcPr>
            <w:tcW w:w="6282" w:type="dxa"/>
            <w:vAlign w:val="center"/>
          </w:tcPr>
          <w:p w14:paraId="0C0D220A">
            <w:pPr>
              <w:keepNext w:val="0"/>
              <w:keepLines w:val="0"/>
              <w:pageBreakBefore w:val="0"/>
              <w:widowControl w:val="0"/>
              <w:kinsoku/>
              <w:wordWrap/>
              <w:overflowPunct/>
              <w:topLinePunct w:val="0"/>
              <w:autoSpaceDE/>
              <w:autoSpaceDN/>
              <w:bidi w:val="0"/>
              <w:adjustRightInd/>
              <w:snapToGrid/>
              <w:spacing w:before="1" w:line="240" w:lineRule="auto"/>
              <w:ind w:left="120" w:right="105" w:hanging="11"/>
              <w:jc w:val="left"/>
              <w:textAlignment w:val="auto"/>
              <w:rPr>
                <w:rFonts w:hint="default" w:ascii="仿宋" w:hAnsi="仿宋" w:eastAsia="仿宋" w:cs="仿宋"/>
                <w:spacing w:val="9"/>
                <w:sz w:val="20"/>
                <w:szCs w:val="20"/>
                <w:lang w:val="en-US" w:eastAsia="zh-CN"/>
              </w:rPr>
            </w:pPr>
            <w:r>
              <w:rPr>
                <w:rFonts w:hint="eastAsia" w:ascii="仿宋" w:hAnsi="仿宋" w:eastAsia="仿宋" w:cs="仿宋"/>
                <w:spacing w:val="9"/>
                <w:sz w:val="20"/>
                <w:szCs w:val="20"/>
              </w:rPr>
              <w:t>项目负责人具有3年以上物流管理经验得3分；配送人员</w:t>
            </w:r>
            <w:r>
              <w:rPr>
                <w:rFonts w:hint="eastAsia" w:ascii="仿宋" w:hAnsi="仿宋" w:eastAsia="仿宋" w:cs="仿宋"/>
                <w:spacing w:val="9"/>
                <w:sz w:val="20"/>
                <w:szCs w:val="20"/>
                <w:lang w:val="en-US" w:eastAsia="zh-CN"/>
              </w:rPr>
              <w:t>不少于6人</w:t>
            </w:r>
            <w:r>
              <w:rPr>
                <w:rFonts w:hint="eastAsia" w:ascii="仿宋" w:hAnsi="仿宋" w:eastAsia="仿宋" w:cs="仿宋"/>
                <w:spacing w:val="9"/>
                <w:sz w:val="20"/>
                <w:szCs w:val="20"/>
              </w:rPr>
              <w:t>，有培训记录得3分</w:t>
            </w:r>
            <w:r>
              <w:rPr>
                <w:rFonts w:hint="eastAsia" w:ascii="仿宋" w:hAnsi="仿宋" w:eastAsia="仿宋" w:cs="仿宋"/>
                <w:spacing w:val="9"/>
                <w:sz w:val="20"/>
                <w:szCs w:val="20"/>
                <w:lang w:eastAsia="zh-CN"/>
              </w:rPr>
              <w:t>；</w:t>
            </w:r>
            <w:r>
              <w:rPr>
                <w:rFonts w:hint="eastAsia" w:ascii="仿宋" w:hAnsi="仿宋" w:eastAsia="仿宋" w:cs="仿宋"/>
                <w:spacing w:val="9"/>
                <w:sz w:val="20"/>
                <w:szCs w:val="20"/>
                <w:lang w:val="en-US" w:eastAsia="zh-CN"/>
              </w:rPr>
              <w:t>配送人员有统一着装，得2分（须提供着装图片）</w:t>
            </w:r>
            <w:r>
              <w:rPr>
                <w:rFonts w:hint="eastAsia" w:ascii="仿宋" w:hAnsi="仿宋" w:eastAsia="仿宋" w:cs="仿宋"/>
                <w:spacing w:val="9"/>
                <w:sz w:val="20"/>
                <w:szCs w:val="20"/>
              </w:rPr>
              <w:t>。若承诺设立“订单跟踪专员”负责当日达监控与反馈，加2分。</w:t>
            </w:r>
            <w:r>
              <w:rPr>
                <w:rFonts w:hint="eastAsia" w:ascii="仿宋" w:hAnsi="仿宋" w:eastAsia="仿宋" w:cs="仿宋"/>
                <w:spacing w:val="9"/>
                <w:sz w:val="20"/>
                <w:szCs w:val="20"/>
                <w:lang w:val="en-US" w:eastAsia="zh-CN"/>
              </w:rPr>
              <w:t>本项最高10分。</w:t>
            </w:r>
          </w:p>
        </w:tc>
        <w:tc>
          <w:tcPr>
            <w:tcW w:w="1726" w:type="dxa"/>
            <w:vAlign w:val="center"/>
          </w:tcPr>
          <w:p w14:paraId="38B8EDA9">
            <w:pPr>
              <w:spacing w:before="57" w:line="195" w:lineRule="auto"/>
              <w:jc w:val="center"/>
              <w:rPr>
                <w:rFonts w:hint="default" w:ascii="Times New Roman" w:hAnsi="Times New Roman" w:eastAsia="宋体" w:cs="Times New Roman"/>
                <w:spacing w:val="-8"/>
                <w:sz w:val="20"/>
                <w:szCs w:val="20"/>
                <w:lang w:val="en-US" w:eastAsia="zh-CN"/>
              </w:rPr>
            </w:pPr>
            <w:r>
              <w:rPr>
                <w:rFonts w:hint="eastAsia" w:cs="Times New Roman"/>
                <w:spacing w:val="-8"/>
                <w:sz w:val="20"/>
                <w:szCs w:val="20"/>
                <w:lang w:val="en-US" w:eastAsia="zh-CN"/>
              </w:rPr>
              <w:t>10</w:t>
            </w:r>
          </w:p>
        </w:tc>
      </w:tr>
      <w:tr w14:paraId="3E7BB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767" w:type="dxa"/>
            <w:vAlign w:val="center"/>
          </w:tcPr>
          <w:p w14:paraId="66EB3A8B">
            <w:pPr>
              <w:spacing w:before="65" w:line="378" w:lineRule="auto"/>
              <w:ind w:left="266" w:right="147" w:hanging="108"/>
              <w:jc w:val="center"/>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4</w:t>
            </w:r>
          </w:p>
        </w:tc>
        <w:tc>
          <w:tcPr>
            <w:tcW w:w="1223" w:type="dxa"/>
            <w:vAlign w:val="center"/>
          </w:tcPr>
          <w:p w14:paraId="3B49FD67">
            <w:pPr>
              <w:spacing w:before="65" w:line="378" w:lineRule="auto"/>
              <w:ind w:left="266" w:right="147" w:hanging="108"/>
              <w:jc w:val="left"/>
              <w:rPr>
                <w:rFonts w:hint="default" w:ascii="仿宋" w:hAnsi="仿宋" w:eastAsia="仿宋" w:cs="仿宋"/>
                <w:b/>
                <w:bCs/>
                <w:spacing w:val="5"/>
                <w:sz w:val="20"/>
                <w:szCs w:val="20"/>
                <w:lang w:val="en-US" w:eastAsia="zh-CN"/>
              </w:rPr>
            </w:pPr>
            <w:r>
              <w:rPr>
                <w:rFonts w:hint="eastAsia" w:ascii="仿宋" w:hAnsi="仿宋" w:eastAsia="仿宋" w:cs="仿宋"/>
                <w:b/>
                <w:bCs/>
                <w:spacing w:val="5"/>
                <w:sz w:val="20"/>
                <w:szCs w:val="20"/>
                <w:lang w:val="en-US" w:eastAsia="zh-CN"/>
              </w:rPr>
              <w:t>仓库配置</w:t>
            </w:r>
          </w:p>
        </w:tc>
        <w:tc>
          <w:tcPr>
            <w:tcW w:w="6282" w:type="dxa"/>
            <w:vAlign w:val="center"/>
          </w:tcPr>
          <w:p w14:paraId="28499585">
            <w:pPr>
              <w:keepNext w:val="0"/>
              <w:keepLines w:val="0"/>
              <w:pageBreakBefore w:val="0"/>
              <w:widowControl w:val="0"/>
              <w:kinsoku/>
              <w:wordWrap/>
              <w:overflowPunct/>
              <w:topLinePunct w:val="0"/>
              <w:autoSpaceDE/>
              <w:autoSpaceDN/>
              <w:bidi w:val="0"/>
              <w:adjustRightInd/>
              <w:snapToGrid/>
              <w:spacing w:before="1" w:line="240" w:lineRule="auto"/>
              <w:ind w:right="105"/>
              <w:jc w:val="left"/>
              <w:textAlignment w:val="auto"/>
              <w:rPr>
                <w:rFonts w:hint="default" w:ascii="仿宋" w:hAnsi="仿宋" w:eastAsia="仿宋" w:cs="仿宋"/>
                <w:spacing w:val="9"/>
                <w:sz w:val="20"/>
                <w:szCs w:val="20"/>
                <w:lang w:val="en-US" w:eastAsia="zh-CN"/>
              </w:rPr>
            </w:pPr>
            <w:r>
              <w:rPr>
                <w:rFonts w:hint="eastAsia" w:ascii="仿宋" w:hAnsi="仿宋" w:eastAsia="仿宋" w:cs="仿宋"/>
                <w:spacing w:val="9"/>
                <w:sz w:val="20"/>
                <w:szCs w:val="20"/>
                <w:lang w:val="en-US" w:eastAsia="zh-CN"/>
              </w:rPr>
              <w:t>自有或租赁仓库500㎡及以上，得3分；每免费提供300㎡仓储面积存放本合同项下的配送物品得1分，最高2分；本项最高5分。</w:t>
            </w:r>
          </w:p>
        </w:tc>
        <w:tc>
          <w:tcPr>
            <w:tcW w:w="1726" w:type="dxa"/>
            <w:vAlign w:val="center"/>
          </w:tcPr>
          <w:p w14:paraId="10A87AAA">
            <w:pPr>
              <w:spacing w:before="57" w:line="195" w:lineRule="auto"/>
              <w:jc w:val="center"/>
              <w:rPr>
                <w:rFonts w:hint="default" w:cs="Times New Roman"/>
                <w:spacing w:val="-8"/>
                <w:sz w:val="20"/>
                <w:szCs w:val="20"/>
                <w:lang w:val="en-US" w:eastAsia="zh-CN"/>
              </w:rPr>
            </w:pPr>
            <w:r>
              <w:rPr>
                <w:rFonts w:hint="eastAsia" w:cs="Times New Roman"/>
                <w:spacing w:val="-8"/>
                <w:sz w:val="20"/>
                <w:szCs w:val="20"/>
                <w:lang w:val="en-US" w:eastAsia="zh-CN"/>
              </w:rPr>
              <w:t>5</w:t>
            </w:r>
          </w:p>
        </w:tc>
      </w:tr>
    </w:tbl>
    <w:p w14:paraId="2856B508">
      <w:pPr>
        <w:ind w:firstLine="420" w:firstLineChars="200"/>
        <w:rPr>
          <w:rFonts w:hint="eastAsia"/>
          <w:lang w:val="en-US" w:eastAsia="zh-CN"/>
        </w:rPr>
      </w:pPr>
    </w:p>
    <w:p w14:paraId="4D92210D">
      <w:pPr>
        <w:ind w:firstLine="420" w:firstLineChars="200"/>
        <w:rPr>
          <w:rFonts w:hint="default" w:eastAsia="宋体"/>
          <w:lang w:val="en-US" w:eastAsia="zh-CN"/>
        </w:rPr>
      </w:pPr>
      <w:r>
        <w:rPr>
          <w:rFonts w:hint="eastAsia"/>
          <w:lang w:val="en-US" w:eastAsia="zh-CN"/>
        </w:rPr>
        <w:t>3.价格部分评分（40分）</w:t>
      </w:r>
    </w:p>
    <w:p w14:paraId="5B208783">
      <w:pPr>
        <w:ind w:firstLine="420" w:firstLineChars="200"/>
        <w:rPr>
          <w:rFonts w:hint="eastAsia"/>
          <w:lang w:val="zh-CN"/>
        </w:rPr>
      </w:pPr>
      <w:r>
        <w:rPr>
          <w:rFonts w:hint="eastAsia"/>
          <w:lang w:val="zh-CN"/>
        </w:rPr>
        <w:t>价格分采用加权平均报价进行评审。供应商根据各梯度报价及预估业务占比计算加权平均不含税单价。计算公式：</w:t>
      </w:r>
    </w:p>
    <w:p w14:paraId="611CDE46">
      <w:pPr>
        <w:ind w:firstLine="420" w:firstLineChars="200"/>
        <w:rPr>
          <w:rFonts w:hint="eastAsia"/>
          <w:lang w:val="zh-CN"/>
        </w:rPr>
      </w:pPr>
      <w:r>
        <w:rPr>
          <w:rFonts w:hint="eastAsia"/>
          <w:lang w:val="zh-CN"/>
        </w:rPr>
        <w:t>加权平均单价=∑(各梯度报价×对应业务占比)</w:t>
      </w:r>
    </w:p>
    <w:p w14:paraId="03A2D2DE">
      <w:pPr>
        <w:ind w:firstLine="420" w:firstLineChars="200"/>
        <w:rPr>
          <w:rFonts w:hint="eastAsia"/>
          <w:lang w:val="zh-CN"/>
        </w:rPr>
      </w:pPr>
      <w:r>
        <w:rPr>
          <w:rFonts w:hint="eastAsia"/>
          <w:lang w:val="zh-CN"/>
        </w:rPr>
        <w:t>价格分计算：</w:t>
      </w:r>
    </w:p>
    <w:p w14:paraId="35A13024">
      <w:pPr>
        <w:ind w:firstLine="420" w:firstLineChars="200"/>
        <w:rPr>
          <w:rFonts w:hint="default" w:eastAsia="宋体"/>
          <w:lang w:val="en-US" w:eastAsia="zh-CN"/>
        </w:rPr>
      </w:pPr>
      <w:r>
        <w:rPr>
          <w:rFonts w:hint="eastAsia"/>
          <w:lang w:val="zh-CN"/>
        </w:rPr>
        <w:t>价格分=（基准价</w:t>
      </w:r>
      <w:r>
        <w:rPr>
          <w:rFonts w:hint="eastAsia"/>
          <w:lang w:val="en-US" w:eastAsia="zh-CN"/>
        </w:rPr>
        <w:t>/</w:t>
      </w:r>
      <w:r>
        <w:rPr>
          <w:rFonts w:hint="eastAsia"/>
          <w:lang w:val="zh-CN"/>
        </w:rPr>
        <w:t>供应商加权平均单价）×</w:t>
      </w:r>
      <w:r>
        <w:rPr>
          <w:rFonts w:hint="eastAsia"/>
          <w:lang w:val="en-US" w:eastAsia="zh-CN"/>
        </w:rPr>
        <w:t>40</w:t>
      </w:r>
    </w:p>
    <w:p w14:paraId="3331356D">
      <w:pPr>
        <w:ind w:firstLine="420" w:firstLineChars="200"/>
        <w:rPr>
          <w:rFonts w:hint="eastAsia"/>
          <w:lang w:val="zh-CN"/>
        </w:rPr>
      </w:pPr>
      <w:r>
        <w:rPr>
          <w:rFonts w:hint="eastAsia"/>
          <w:lang w:val="zh-CN"/>
        </w:rPr>
        <w:t>基准价为所有有效供应商加权平均单价的最低值，价格分保留小数点后两位。</w:t>
      </w:r>
    </w:p>
    <w:p w14:paraId="2DAD4C1C">
      <w:pPr>
        <w:ind w:firstLine="420" w:firstLineChars="200"/>
        <w:rPr>
          <w:rFonts w:hint="eastAsia"/>
          <w:lang w:val="zh-CN"/>
        </w:rPr>
      </w:pPr>
    </w:p>
    <w:p w14:paraId="465BA253">
      <w:pPr>
        <w:ind w:firstLine="422" w:firstLineChars="200"/>
        <w:rPr>
          <w:rFonts w:hint="eastAsia"/>
          <w:b/>
          <w:bCs/>
          <w:lang w:val="zh-CN"/>
        </w:rPr>
      </w:pPr>
      <w:r>
        <w:rPr>
          <w:rFonts w:hint="eastAsia"/>
          <w:b/>
          <w:bCs/>
          <w:lang w:val="en-US" w:eastAsia="zh-CN"/>
        </w:rPr>
        <w:t>六、</w:t>
      </w:r>
      <w:r>
        <w:rPr>
          <w:rFonts w:hint="eastAsia"/>
          <w:b/>
          <w:bCs/>
          <w:lang w:val="zh-CN"/>
        </w:rPr>
        <w:t>评审说明：</w:t>
      </w:r>
    </w:p>
    <w:p w14:paraId="26B40EBC">
      <w:pPr>
        <w:ind w:firstLine="420" w:firstLineChars="200"/>
        <w:rPr>
          <w:rFonts w:hint="eastAsia"/>
          <w:lang w:val="zh-CN"/>
        </w:rPr>
      </w:pPr>
      <w:r>
        <w:rPr>
          <w:rFonts w:hint="eastAsia"/>
          <w:lang w:val="zh-CN"/>
        </w:rPr>
        <w:t>1.评审小组首先对供应商进行资格性审查，审查通过的供应商方可进入详细评审。</w:t>
      </w:r>
    </w:p>
    <w:p w14:paraId="1E767F15">
      <w:pPr>
        <w:ind w:firstLine="420" w:firstLineChars="200"/>
        <w:rPr>
          <w:rFonts w:hint="eastAsia"/>
          <w:lang w:val="zh-CN"/>
        </w:rPr>
      </w:pPr>
      <w:r>
        <w:rPr>
          <w:rFonts w:hint="eastAsia"/>
          <w:lang w:val="zh-CN"/>
        </w:rPr>
        <w:t>2.技术部分和商务部分的得分由所有评委评分的算术平均值确定，分数出现小数点，保留小数点后2 位，从小数点后第3位四舍五入。</w:t>
      </w:r>
    </w:p>
    <w:p w14:paraId="2EED739B">
      <w:pPr>
        <w:ind w:firstLine="420" w:firstLineChars="200"/>
        <w:rPr>
          <w:rFonts w:hint="eastAsia"/>
          <w:lang w:val="zh-CN"/>
        </w:rPr>
      </w:pPr>
      <w:r>
        <w:rPr>
          <w:rFonts w:hint="eastAsia"/>
          <w:lang w:val="zh-CN"/>
        </w:rPr>
        <w:t>3.供应商的总得分为商务、技术、价格三部分得分之和。</w:t>
      </w:r>
    </w:p>
    <w:p w14:paraId="35DAEC75">
      <w:pPr>
        <w:ind w:firstLine="420" w:firstLineChars="200"/>
        <w:rPr>
          <w:rFonts w:hint="eastAsia"/>
          <w:lang w:val="zh-CN"/>
        </w:rPr>
      </w:pPr>
      <w:r>
        <w:rPr>
          <w:rFonts w:hint="eastAsia"/>
          <w:lang w:val="zh-CN"/>
        </w:rPr>
        <w:t>4.评审小组将按照总得分由高到低的顺序推荐成交候选供应商。总得分相同的，按</w:t>
      </w:r>
      <w:r>
        <w:rPr>
          <w:rFonts w:hint="eastAsia"/>
          <w:lang w:val="en-US" w:eastAsia="zh-CN"/>
        </w:rPr>
        <w:t>价格</w:t>
      </w:r>
      <w:r>
        <w:rPr>
          <w:rFonts w:hint="eastAsia"/>
          <w:lang w:val="zh-CN"/>
        </w:rPr>
        <w:t>部分得分高低排序；</w:t>
      </w:r>
      <w:r>
        <w:rPr>
          <w:rFonts w:hint="eastAsia"/>
          <w:lang w:val="en-US" w:eastAsia="zh-CN"/>
        </w:rPr>
        <w:t>价格</w:t>
      </w:r>
      <w:r>
        <w:rPr>
          <w:rFonts w:hint="eastAsia"/>
          <w:lang w:val="zh-CN"/>
        </w:rPr>
        <w:t>部分得分也相同的，按</w:t>
      </w:r>
      <w:r>
        <w:rPr>
          <w:rFonts w:hint="eastAsia"/>
          <w:lang w:val="en-US" w:eastAsia="zh-CN"/>
        </w:rPr>
        <w:t>技术</w:t>
      </w:r>
      <w:r>
        <w:rPr>
          <w:rFonts w:hint="eastAsia"/>
          <w:lang w:val="zh-CN"/>
        </w:rPr>
        <w:t>部分得分高低排序。</w:t>
      </w:r>
    </w:p>
    <w:p w14:paraId="19C1897C">
      <w:pPr>
        <w:ind w:firstLine="420" w:firstLineChars="200"/>
        <w:rPr>
          <w:rFonts w:hint="eastAsia"/>
          <w:lang w:val="zh-CN"/>
        </w:rPr>
      </w:pPr>
      <w:r>
        <w:rPr>
          <w:rFonts w:hint="eastAsia"/>
          <w:lang w:val="zh-CN"/>
        </w:rPr>
        <w:t>5.所有供应商均须承诺，其为参与本项目评分所提交的全部证明材料、案例、方案等内容均真实、有效、合法。如有任何失信或弄虚作假行为，由供应商自行承担全部法律责任，并自愿接受采购人据此作出的相应处理（包括但不限于取消其成交资格）。</w:t>
      </w:r>
    </w:p>
    <w:p w14:paraId="17225E5F">
      <w:pPr>
        <w:ind w:firstLine="420" w:firstLineChars="200"/>
        <w:rPr>
          <w:rFonts w:hint="eastAsia"/>
          <w:lang w:val="zh-CN"/>
        </w:rPr>
      </w:pPr>
    </w:p>
    <w:p w14:paraId="06D4BC54">
      <w:pPr>
        <w:ind w:firstLine="422" w:firstLineChars="200"/>
        <w:rPr>
          <w:rFonts w:hint="eastAsia"/>
          <w:b/>
          <w:bCs/>
          <w:lang w:val="zh-CN"/>
        </w:rPr>
      </w:pPr>
      <w:r>
        <w:rPr>
          <w:rFonts w:hint="eastAsia"/>
          <w:b/>
          <w:bCs/>
          <w:lang w:val="en-US" w:eastAsia="zh-CN"/>
        </w:rPr>
        <w:t>七</w:t>
      </w:r>
      <w:r>
        <w:rPr>
          <w:rFonts w:hint="eastAsia"/>
          <w:b/>
          <w:bCs/>
          <w:lang w:val="zh-CN"/>
        </w:rPr>
        <w:t>、其他</w:t>
      </w:r>
    </w:p>
    <w:p w14:paraId="5E3C3292">
      <w:pPr>
        <w:ind w:firstLine="422" w:firstLineChars="200"/>
        <w:rPr>
          <w:rFonts w:hint="eastAsia"/>
          <w:b/>
          <w:bCs/>
          <w:lang w:val="zh-CN"/>
        </w:rPr>
      </w:pPr>
      <w:r>
        <w:rPr>
          <w:rFonts w:hint="eastAsia"/>
          <w:b/>
          <w:bCs/>
          <w:lang w:val="en-US" w:eastAsia="zh-CN"/>
        </w:rPr>
        <w:t>我司</w:t>
      </w:r>
      <w:r>
        <w:rPr>
          <w:rFonts w:hint="eastAsia"/>
          <w:b/>
          <w:bCs/>
          <w:lang w:val="zh-CN"/>
        </w:rPr>
        <w:t>将建立物流服务商月度综合评价机制，成交供应商的合作角色（核心/备用）将根据月度评价结果动态调整，评价指标包括配送准时率、货物完好率、客户投诉率、服务响应速度等，评价结果为不合格的，采购人有权终止合作。</w:t>
      </w:r>
    </w:p>
    <w:p w14:paraId="2C1ECDB6">
      <w:pPr>
        <w:pStyle w:val="17"/>
        <w:pageBreakBefore/>
        <w:ind w:firstLine="3120" w:firstLineChars="1036"/>
        <w:jc w:val="both"/>
        <w:rPr>
          <w:rFonts w:hint="eastAsia"/>
          <w:b/>
          <w:bCs/>
          <w:color w:val="auto"/>
          <w:sz w:val="30"/>
          <w:szCs w:val="30"/>
          <w:highlight w:val="none"/>
          <w:shd w:val="clear" w:color="auto" w:fill="FFFFFF"/>
        </w:rPr>
      </w:pPr>
      <w:bookmarkStart w:id="35" w:name="_Toc22322"/>
      <w:bookmarkStart w:id="36" w:name="_Toc3028"/>
      <w:r>
        <w:rPr>
          <w:rFonts w:hint="eastAsia" w:ascii="宋体" w:hAnsi="宋体"/>
          <w:color w:val="auto"/>
          <w:sz w:val="30"/>
          <w:szCs w:val="30"/>
          <w:highlight w:val="none"/>
          <w:lang w:val="zh-CN"/>
        </w:rPr>
        <w:t xml:space="preserve">第五篇 </w:t>
      </w:r>
      <w:r>
        <w:rPr>
          <w:rFonts w:hint="eastAsia" w:ascii="宋体" w:hAnsi="宋体"/>
          <w:color w:val="auto"/>
          <w:sz w:val="30"/>
          <w:szCs w:val="30"/>
          <w:highlight w:val="none"/>
          <w:lang w:val="en-US" w:eastAsia="zh-CN"/>
        </w:rPr>
        <w:t>响应</w:t>
      </w:r>
      <w:r>
        <w:rPr>
          <w:rFonts w:hint="eastAsia" w:ascii="宋体" w:hAnsi="宋体"/>
          <w:color w:val="auto"/>
          <w:sz w:val="30"/>
          <w:szCs w:val="30"/>
          <w:highlight w:val="none"/>
          <w:lang w:val="zh-CN"/>
        </w:rPr>
        <w:t>文件（格式</w:t>
      </w:r>
      <w:bookmarkEnd w:id="34"/>
      <w:bookmarkStart w:id="37" w:name="_Toc51333928"/>
      <w:bookmarkStart w:id="38" w:name="_Toc50572123"/>
      <w:r>
        <w:rPr>
          <w:rFonts w:hint="eastAsia" w:ascii="宋体" w:hAnsi="宋体"/>
          <w:color w:val="auto"/>
          <w:sz w:val="30"/>
          <w:szCs w:val="30"/>
          <w:highlight w:val="none"/>
          <w:lang w:val="zh-CN"/>
        </w:rPr>
        <w:t>）</w:t>
      </w:r>
      <w:bookmarkEnd w:id="35"/>
      <w:bookmarkEnd w:id="36"/>
    </w:p>
    <w:bookmarkEnd w:id="37"/>
    <w:bookmarkEnd w:id="38"/>
    <w:p w14:paraId="4F903406">
      <w:pPr>
        <w:rPr>
          <w:rFonts w:ascii="Times New Roman" w:hAnsi="Times New Roman" w:eastAsia="宋体"/>
          <w:b/>
          <w:color w:val="000000"/>
          <w:sz w:val="28"/>
          <w:szCs w:val="28"/>
          <w:highlight w:val="none"/>
        </w:rPr>
      </w:pPr>
      <w:bookmarkStart w:id="39" w:name="_Toc34746360"/>
      <w:bookmarkStart w:id="40" w:name="_Toc34745985"/>
      <w:bookmarkStart w:id="41" w:name="_Toc24461"/>
      <w:bookmarkStart w:id="42" w:name="_Toc34752515"/>
      <w:bookmarkStart w:id="43" w:name="_Toc34746052"/>
      <w:r>
        <w:rPr>
          <w:rFonts w:hint="default" w:ascii="Times New Roman" w:hAnsi="Times New Roman" w:eastAsia="宋体"/>
          <w:b/>
          <w:color w:val="000000"/>
          <w:sz w:val="28"/>
          <w:szCs w:val="28"/>
          <w:highlight w:val="none"/>
        </w:rPr>
        <w:t>1</w:t>
      </w:r>
      <w:r>
        <w:rPr>
          <w:rFonts w:hint="eastAsia" w:eastAsia="宋体"/>
          <w:b/>
          <w:color w:val="000000"/>
          <w:sz w:val="28"/>
          <w:szCs w:val="28"/>
          <w:highlight w:val="none"/>
          <w:lang w:eastAsia="zh-CN"/>
        </w:rPr>
        <w:t>.</w:t>
      </w:r>
      <w:r>
        <w:rPr>
          <w:rFonts w:hint="default" w:ascii="Times New Roman" w:hAnsi="Times New Roman" w:eastAsia="宋体"/>
          <w:b/>
          <w:color w:val="000000"/>
          <w:sz w:val="28"/>
          <w:szCs w:val="28"/>
          <w:highlight w:val="none"/>
        </w:rPr>
        <w:t>报价表</w:t>
      </w:r>
      <w:bookmarkEnd w:id="39"/>
      <w:bookmarkEnd w:id="40"/>
      <w:bookmarkEnd w:id="41"/>
      <w:bookmarkEnd w:id="42"/>
      <w:bookmarkEnd w:id="43"/>
    </w:p>
    <w:p w14:paraId="6D027370">
      <w:pPr>
        <w:spacing w:line="360" w:lineRule="auto"/>
        <w:ind w:firstLine="5040" w:firstLineChars="2400"/>
        <w:jc w:val="right"/>
        <w:rPr>
          <w:rFonts w:ascii="宋体" w:hAnsi="宋体"/>
          <w:color w:val="auto"/>
          <w:szCs w:val="21"/>
          <w:highlight w:val="none"/>
          <w:lang w:val="zh-CN"/>
        </w:rPr>
      </w:pPr>
    </w:p>
    <w:tbl>
      <w:tblPr>
        <w:tblStyle w:val="19"/>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576"/>
        <w:gridCol w:w="3857"/>
        <w:gridCol w:w="1756"/>
      </w:tblGrid>
      <w:tr w14:paraId="712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550" w:type="dxa"/>
            <w:vAlign w:val="center"/>
          </w:tcPr>
          <w:p w14:paraId="1133AF0F">
            <w:pPr>
              <w:jc w:val="center"/>
              <w:rPr>
                <w:rFonts w:ascii="宋体" w:hAnsi="宋体"/>
                <w:color w:val="auto"/>
                <w:szCs w:val="21"/>
                <w:highlight w:val="none"/>
              </w:rPr>
            </w:pPr>
            <w:r>
              <w:rPr>
                <w:rFonts w:hint="eastAsia" w:ascii="宋体" w:hAnsi="宋体"/>
                <w:color w:val="auto"/>
                <w:szCs w:val="21"/>
                <w:highlight w:val="none"/>
              </w:rPr>
              <w:t>项目名称</w:t>
            </w:r>
          </w:p>
        </w:tc>
        <w:tc>
          <w:tcPr>
            <w:tcW w:w="8189" w:type="dxa"/>
            <w:gridSpan w:val="3"/>
            <w:vAlign w:val="center"/>
          </w:tcPr>
          <w:p w14:paraId="3F766D94">
            <w:pPr>
              <w:jc w:val="center"/>
              <w:rPr>
                <w:rFonts w:hint="eastAsia" w:cs="Calibri" w:asciiTheme="minorEastAsia" w:hAnsiTheme="minorEastAsia"/>
                <w:color w:val="auto"/>
                <w:kern w:val="0"/>
                <w:highlight w:val="none"/>
              </w:rPr>
            </w:pPr>
            <w:r>
              <w:rPr>
                <w:rFonts w:hint="eastAsia" w:cs="Calibri" w:asciiTheme="minorEastAsia" w:hAnsiTheme="minorEastAsia"/>
                <w:color w:val="auto"/>
                <w:kern w:val="0"/>
                <w:highlight w:val="none"/>
              </w:rPr>
              <w:t>东莞市福地饮用水有限公司202</w:t>
            </w:r>
            <w:r>
              <w:rPr>
                <w:rFonts w:hint="eastAsia" w:cs="Calibri" w:asciiTheme="minorEastAsia" w:hAnsiTheme="minorEastAsia"/>
                <w:color w:val="auto"/>
                <w:kern w:val="0"/>
                <w:highlight w:val="none"/>
                <w:lang w:val="en-US" w:eastAsia="zh-CN"/>
              </w:rPr>
              <w:t>6</w:t>
            </w:r>
            <w:r>
              <w:rPr>
                <w:rFonts w:hint="eastAsia" w:cs="Calibri" w:asciiTheme="minorEastAsia" w:hAnsiTheme="minorEastAsia"/>
                <w:color w:val="auto"/>
                <w:kern w:val="0"/>
                <w:highlight w:val="none"/>
              </w:rPr>
              <w:t>年包装水物流配送服务采购项目</w:t>
            </w:r>
          </w:p>
        </w:tc>
      </w:tr>
      <w:tr w14:paraId="259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50" w:type="dxa"/>
            <w:vMerge w:val="restart"/>
            <w:vAlign w:val="center"/>
          </w:tcPr>
          <w:p w14:paraId="73DC3215">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2038B3B2">
            <w:pPr>
              <w:jc w:val="center"/>
              <w:rPr>
                <w:rFonts w:hint="default" w:ascii="宋体" w:hAnsi="宋体" w:eastAsia="宋体"/>
                <w:color w:val="auto"/>
                <w:szCs w:val="21"/>
                <w:highlight w:val="none"/>
                <w:lang w:val="en-US" w:eastAsia="zh-CN"/>
              </w:rPr>
            </w:pPr>
            <w:r>
              <w:rPr>
                <w:rFonts w:hint="default" w:ascii="Times New Roman" w:hAnsi="Times New Roman" w:cs="Times New Roman"/>
                <w:color w:val="000000"/>
                <w:sz w:val="24"/>
                <w:szCs w:val="28"/>
                <w:highlight w:val="none"/>
              </w:rPr>
              <w:t>（单位：元）</w:t>
            </w:r>
          </w:p>
        </w:tc>
        <w:tc>
          <w:tcPr>
            <w:tcW w:w="2576" w:type="dxa"/>
            <w:vAlign w:val="center"/>
          </w:tcPr>
          <w:p w14:paraId="2AFA026A">
            <w:pPr>
              <w:pStyle w:val="9"/>
              <w:spacing w:line="240" w:lineRule="exact"/>
              <w:jc w:val="center"/>
              <w:rPr>
                <w:rFonts w:hint="eastAsia" w:hAnsi="Courier New" w:eastAsia="宋体"/>
                <w:color w:val="auto"/>
                <w:szCs w:val="21"/>
                <w:highlight w:val="none"/>
                <w:lang w:val="en-US" w:eastAsia="zh-CN" w:bidi="ar"/>
              </w:rPr>
            </w:pPr>
            <w:r>
              <w:rPr>
                <w:rFonts w:hint="eastAsia" w:ascii="宋体" w:hAnsi="Courier New" w:eastAsia="宋体" w:cs="Times New Roman"/>
                <w:i w:val="0"/>
                <w:iCs w:val="0"/>
                <w:color w:val="auto"/>
                <w:kern w:val="2"/>
                <w:sz w:val="21"/>
                <w:szCs w:val="21"/>
                <w:highlight w:val="none"/>
                <w:u w:val="none"/>
                <w:shd w:val="clear" w:color="auto" w:fill="auto"/>
                <w:lang w:val="en-US" w:eastAsia="zh-CN" w:bidi="ar"/>
              </w:rPr>
              <w:t>​</w:t>
            </w:r>
            <w:r>
              <w:rPr>
                <w:rStyle w:val="21"/>
                <w:rFonts w:hint="eastAsia" w:ascii="宋体" w:hAnsi="Courier New" w:eastAsia="宋体" w:cs="Times New Roman"/>
                <w:color w:val="auto"/>
                <w:sz w:val="21"/>
                <w:szCs w:val="21"/>
                <w:highlight w:val="none"/>
                <w:shd w:val="clear" w:color="auto" w:fill="auto"/>
                <w:lang w:val="en-US" w:eastAsia="zh-CN" w:bidi="ar"/>
              </w:rPr>
              <w:t>配送件数梯度</w:t>
            </w:r>
          </w:p>
        </w:tc>
        <w:tc>
          <w:tcPr>
            <w:tcW w:w="3857" w:type="dxa"/>
            <w:vAlign w:val="center"/>
          </w:tcPr>
          <w:p w14:paraId="02FB828C">
            <w:pPr>
              <w:pStyle w:val="9"/>
              <w:spacing w:line="240" w:lineRule="exact"/>
              <w:jc w:val="center"/>
              <w:rPr>
                <w:rFonts w:hint="eastAsia" w:ascii="宋体" w:hAnsi="Courier New"/>
                <w:color w:val="auto"/>
                <w:szCs w:val="21"/>
                <w:highlight w:val="none"/>
                <w:u w:val="none"/>
                <w:lang w:bidi="ar"/>
              </w:rPr>
            </w:pPr>
            <w:r>
              <w:rPr>
                <w:rFonts w:hint="eastAsia" w:ascii="宋体" w:hAnsi="Courier New" w:eastAsia="宋体" w:cs="Times New Roman"/>
                <w:i w:val="0"/>
                <w:iCs w:val="0"/>
                <w:color w:val="auto"/>
                <w:kern w:val="2"/>
                <w:sz w:val="21"/>
                <w:szCs w:val="21"/>
                <w:highlight w:val="none"/>
                <w:u w:val="none"/>
                <w:shd w:val="clear" w:color="auto" w:fill="auto"/>
                <w:lang w:val="en-US" w:eastAsia="zh-CN" w:bidi="ar"/>
              </w:rPr>
              <w:t>不含税配送</w:t>
            </w:r>
            <w:r>
              <w:rPr>
                <w:rStyle w:val="21"/>
                <w:rFonts w:hint="eastAsia" w:ascii="宋体" w:hAnsi="Courier New" w:eastAsia="宋体" w:cs="Times New Roman"/>
                <w:color w:val="auto"/>
                <w:sz w:val="21"/>
                <w:szCs w:val="21"/>
                <w:highlight w:val="none"/>
                <w:shd w:val="clear" w:color="auto" w:fill="auto"/>
                <w:lang w:val="en-US" w:eastAsia="zh-CN" w:bidi="ar"/>
              </w:rPr>
              <w:t>单价（元/件）</w:t>
            </w:r>
          </w:p>
        </w:tc>
        <w:tc>
          <w:tcPr>
            <w:tcW w:w="1756" w:type="dxa"/>
            <w:vAlign w:val="center"/>
          </w:tcPr>
          <w:p w14:paraId="2E9AB909">
            <w:pPr>
              <w:pStyle w:val="9"/>
              <w:spacing w:line="240" w:lineRule="exact"/>
              <w:jc w:val="center"/>
              <w:rPr>
                <w:rFonts w:hint="eastAsia" w:ascii="宋体" w:hAnsi="Courier New"/>
                <w:color w:val="auto"/>
                <w:szCs w:val="21"/>
                <w:highlight w:val="none"/>
                <w:u w:val="none"/>
                <w:lang w:bidi="ar"/>
              </w:rPr>
            </w:pPr>
            <w:r>
              <w:rPr>
                <w:rFonts w:hint="eastAsia" w:ascii="宋体" w:hAnsi="Courier New" w:eastAsia="宋体" w:cs="Times New Roman"/>
                <w:color w:val="auto"/>
                <w:sz w:val="21"/>
                <w:szCs w:val="21"/>
                <w:highlight w:val="none"/>
                <w:shd w:val="clear" w:color="auto" w:fill="auto"/>
                <w:lang w:val="en-US" w:eastAsia="zh-CN" w:bidi="ar"/>
              </w:rPr>
              <w:t>预估业务占比</w:t>
            </w:r>
          </w:p>
        </w:tc>
      </w:tr>
      <w:tr w14:paraId="7322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7AD60C6A">
            <w:pPr>
              <w:jc w:val="center"/>
              <w:rPr>
                <w:rFonts w:hint="eastAsia"/>
                <w:color w:val="auto"/>
                <w:szCs w:val="21"/>
                <w:highlight w:val="none"/>
                <w:lang w:val="en-US" w:eastAsia="zh-CN"/>
              </w:rPr>
            </w:pPr>
          </w:p>
        </w:tc>
        <w:tc>
          <w:tcPr>
            <w:tcW w:w="2576" w:type="dxa"/>
            <w:vAlign w:val="center"/>
          </w:tcPr>
          <w:p w14:paraId="6D4CC300">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1 - 19件</w:t>
            </w:r>
          </w:p>
        </w:tc>
        <w:tc>
          <w:tcPr>
            <w:tcW w:w="3857" w:type="dxa"/>
            <w:vAlign w:val="center"/>
          </w:tcPr>
          <w:p w14:paraId="611EC0DF">
            <w:pPr>
              <w:pStyle w:val="9"/>
              <w:spacing w:line="240" w:lineRule="exact"/>
              <w:jc w:val="center"/>
              <w:rPr>
                <w:rFonts w:hint="eastAsia" w:ascii="仿宋_GB2312" w:hAnsi="仿宋_GB2312" w:eastAsia="仿宋_GB2312" w:cs="仿宋_GB2312"/>
                <w:color w:val="auto"/>
                <w:kern w:val="2"/>
                <w:sz w:val="21"/>
                <w:szCs w:val="21"/>
                <w:highlight w:val="none"/>
                <w:u w:val="single"/>
                <w:lang w:val="en-US" w:eastAsia="zh-CN" w:bidi="ar-SA"/>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22BDD2AF">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4%</w:t>
            </w:r>
          </w:p>
        </w:tc>
      </w:tr>
      <w:tr w14:paraId="7EE2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78E9CE24">
            <w:pPr>
              <w:jc w:val="center"/>
              <w:rPr>
                <w:rFonts w:hint="eastAsia"/>
                <w:color w:val="auto"/>
                <w:szCs w:val="21"/>
                <w:highlight w:val="none"/>
                <w:lang w:val="en-US" w:eastAsia="zh-CN"/>
              </w:rPr>
            </w:pPr>
          </w:p>
        </w:tc>
        <w:tc>
          <w:tcPr>
            <w:tcW w:w="2576" w:type="dxa"/>
            <w:vAlign w:val="center"/>
          </w:tcPr>
          <w:p w14:paraId="43EF88CC">
            <w:pPr>
              <w:pStyle w:val="9"/>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3857" w:type="dxa"/>
            <w:vAlign w:val="center"/>
          </w:tcPr>
          <w:p w14:paraId="2B6AAEC1">
            <w:pPr>
              <w:pStyle w:val="9"/>
              <w:spacing w:line="240" w:lineRule="exact"/>
              <w:jc w:val="center"/>
              <w:rPr>
                <w:rFonts w:ascii="Times New Roman" w:hAnsi="Times New Roman"/>
                <w:color w:val="auto"/>
                <w:szCs w:val="21"/>
                <w:highlight w:val="none"/>
                <w:u w:val="single"/>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54565AE2">
            <w:pPr>
              <w:keepNext w:val="0"/>
              <w:keepLines w:val="0"/>
              <w:widowControl/>
              <w:suppressLineNumbers w:val="0"/>
              <w:spacing w:line="240" w:lineRule="auto"/>
              <w:ind w:firstLine="0" w:firstLineChars="0"/>
              <w:jc w:val="center"/>
              <w:textAlignment w:val="auto"/>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18%</w:t>
            </w:r>
          </w:p>
        </w:tc>
      </w:tr>
      <w:tr w14:paraId="22FB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2FF27D66">
            <w:pPr>
              <w:jc w:val="center"/>
              <w:rPr>
                <w:rFonts w:hint="eastAsia"/>
                <w:color w:val="auto"/>
                <w:szCs w:val="21"/>
                <w:highlight w:val="none"/>
                <w:lang w:val="en-US" w:eastAsia="zh-CN"/>
              </w:rPr>
            </w:pPr>
          </w:p>
        </w:tc>
        <w:tc>
          <w:tcPr>
            <w:tcW w:w="2576" w:type="dxa"/>
            <w:vAlign w:val="center"/>
          </w:tcPr>
          <w:p w14:paraId="4F182149">
            <w:pPr>
              <w:pStyle w:val="9"/>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3857" w:type="dxa"/>
            <w:vAlign w:val="center"/>
          </w:tcPr>
          <w:p w14:paraId="79756D22">
            <w:pPr>
              <w:pStyle w:val="9"/>
              <w:spacing w:line="240" w:lineRule="exact"/>
              <w:jc w:val="center"/>
              <w:rPr>
                <w:rFonts w:ascii="Times New Roman" w:hAnsi="Times New Roman"/>
                <w:color w:val="auto"/>
                <w:szCs w:val="21"/>
                <w:highlight w:val="none"/>
                <w:u w:val="single"/>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7543005A">
            <w:pPr>
              <w:keepNext w:val="0"/>
              <w:keepLines w:val="0"/>
              <w:widowControl/>
              <w:suppressLineNumbers w:val="0"/>
              <w:spacing w:line="240" w:lineRule="auto"/>
              <w:ind w:firstLine="0" w:firstLineChars="0"/>
              <w:jc w:val="center"/>
              <w:textAlignment w:val="auto"/>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73%</w:t>
            </w:r>
          </w:p>
        </w:tc>
      </w:tr>
      <w:tr w14:paraId="0963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3408F99F">
            <w:pPr>
              <w:jc w:val="center"/>
              <w:rPr>
                <w:rFonts w:hint="eastAsia"/>
                <w:color w:val="auto"/>
                <w:szCs w:val="21"/>
                <w:highlight w:val="none"/>
                <w:lang w:val="en-US" w:eastAsia="zh-CN"/>
              </w:rPr>
            </w:pPr>
          </w:p>
        </w:tc>
        <w:tc>
          <w:tcPr>
            <w:tcW w:w="2576" w:type="dxa"/>
            <w:vAlign w:val="center"/>
          </w:tcPr>
          <w:p w14:paraId="0AA9C68F">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200 - 499件</w:t>
            </w:r>
          </w:p>
        </w:tc>
        <w:tc>
          <w:tcPr>
            <w:tcW w:w="3857" w:type="dxa"/>
            <w:vAlign w:val="center"/>
          </w:tcPr>
          <w:p w14:paraId="54F82ADE">
            <w:pPr>
              <w:pStyle w:val="9"/>
              <w:spacing w:line="240" w:lineRule="exact"/>
              <w:jc w:val="center"/>
              <w:rPr>
                <w:rFonts w:hint="eastAsia" w:ascii="Times New Roman" w:hAnsi="Times New Roman"/>
                <w:color w:val="auto"/>
                <w:szCs w:val="21"/>
                <w:highlight w:val="none"/>
                <w:u w:val="single"/>
                <w:lang w:val="en-US" w:eastAsia="zh-CN"/>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7E0990F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6128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2752C49A">
            <w:pPr>
              <w:jc w:val="center"/>
              <w:rPr>
                <w:rFonts w:hint="eastAsia"/>
                <w:color w:val="auto"/>
                <w:szCs w:val="21"/>
                <w:highlight w:val="none"/>
                <w:lang w:val="en-US" w:eastAsia="zh-CN"/>
              </w:rPr>
            </w:pPr>
          </w:p>
        </w:tc>
        <w:tc>
          <w:tcPr>
            <w:tcW w:w="2576" w:type="dxa"/>
            <w:vAlign w:val="center"/>
          </w:tcPr>
          <w:p w14:paraId="2DEE5E06">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500 - 999件</w:t>
            </w:r>
          </w:p>
        </w:tc>
        <w:tc>
          <w:tcPr>
            <w:tcW w:w="3857" w:type="dxa"/>
            <w:vAlign w:val="center"/>
          </w:tcPr>
          <w:p w14:paraId="509210D7">
            <w:pPr>
              <w:pStyle w:val="9"/>
              <w:spacing w:line="240" w:lineRule="exact"/>
              <w:jc w:val="center"/>
              <w:rPr>
                <w:rFonts w:hint="eastAsia" w:ascii="Times New Roman" w:hAnsi="Times New Roman"/>
                <w:color w:val="auto"/>
                <w:szCs w:val="21"/>
                <w:highlight w:val="none"/>
                <w:u w:val="single"/>
                <w:lang w:val="en-US" w:eastAsia="zh-CN"/>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2A177EB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6E3B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43A406EA">
            <w:pPr>
              <w:jc w:val="center"/>
              <w:rPr>
                <w:rFonts w:hint="eastAsia"/>
                <w:color w:val="auto"/>
                <w:szCs w:val="21"/>
                <w:highlight w:val="none"/>
                <w:lang w:val="en-US" w:eastAsia="zh-CN"/>
              </w:rPr>
            </w:pPr>
          </w:p>
        </w:tc>
        <w:tc>
          <w:tcPr>
            <w:tcW w:w="2576" w:type="dxa"/>
            <w:vAlign w:val="center"/>
          </w:tcPr>
          <w:p w14:paraId="4F4CCB60">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color w:val="auto"/>
                <w:szCs w:val="21"/>
                <w:highlight w:val="none"/>
                <w:u w:val="none"/>
                <w:shd w:val="clear" w:color="auto" w:fill="FFFFFF"/>
                <w:lang w:bidi="ar"/>
              </w:rPr>
              <w:t>1000件及以上</w:t>
            </w:r>
          </w:p>
        </w:tc>
        <w:tc>
          <w:tcPr>
            <w:tcW w:w="3857" w:type="dxa"/>
            <w:vAlign w:val="center"/>
          </w:tcPr>
          <w:p w14:paraId="0C5C9E75">
            <w:pPr>
              <w:pStyle w:val="9"/>
              <w:spacing w:line="240" w:lineRule="exact"/>
              <w:jc w:val="center"/>
              <w:rPr>
                <w:rFonts w:hint="eastAsia" w:ascii="Times New Roman" w:hAnsi="Times New Roman"/>
                <w:color w:val="auto"/>
                <w:szCs w:val="21"/>
                <w:highlight w:val="none"/>
                <w:u w:val="single"/>
                <w:lang w:val="en-US" w:eastAsia="zh-CN"/>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44D41E7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663C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50" w:type="dxa"/>
            <w:vAlign w:val="center"/>
          </w:tcPr>
          <w:p w14:paraId="5FDB111B">
            <w:pPr>
              <w:jc w:val="center"/>
              <w:rPr>
                <w:rFonts w:hint="default"/>
                <w:color w:val="auto"/>
                <w:szCs w:val="21"/>
                <w:highlight w:val="none"/>
                <w:lang w:val="en-US" w:eastAsia="zh-CN"/>
              </w:rPr>
            </w:pPr>
            <w:r>
              <w:rPr>
                <w:rFonts w:hint="eastAsia"/>
                <w:color w:val="auto"/>
                <w:szCs w:val="21"/>
                <w:highlight w:val="none"/>
                <w:lang w:val="en-US" w:eastAsia="zh-CN"/>
              </w:rPr>
              <w:t>报价人纳税类型</w:t>
            </w:r>
          </w:p>
        </w:tc>
        <w:tc>
          <w:tcPr>
            <w:tcW w:w="8189" w:type="dxa"/>
            <w:gridSpan w:val="3"/>
            <w:vAlign w:val="center"/>
          </w:tcPr>
          <w:p w14:paraId="1ACA00BD">
            <w:pPr>
              <w:pStyle w:val="9"/>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0E3B785A">
            <w:pPr>
              <w:pStyle w:val="9"/>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4E1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550" w:type="dxa"/>
            <w:vAlign w:val="center"/>
          </w:tcPr>
          <w:p w14:paraId="2CA61D64">
            <w:pPr>
              <w:jc w:val="center"/>
              <w:rPr>
                <w:rFonts w:ascii="宋体" w:hAnsi="宋体"/>
                <w:color w:val="auto"/>
                <w:szCs w:val="21"/>
                <w:highlight w:val="none"/>
              </w:rPr>
            </w:pPr>
            <w:r>
              <w:rPr>
                <w:rFonts w:hint="eastAsia" w:ascii="宋体" w:hAnsi="宋体"/>
                <w:color w:val="auto"/>
                <w:szCs w:val="21"/>
                <w:highlight w:val="none"/>
              </w:rPr>
              <w:t>备注</w:t>
            </w:r>
          </w:p>
        </w:tc>
        <w:tc>
          <w:tcPr>
            <w:tcW w:w="8189" w:type="dxa"/>
            <w:gridSpan w:val="3"/>
            <w:vAlign w:val="center"/>
          </w:tcPr>
          <w:p w14:paraId="73532B11">
            <w:pPr>
              <w:pStyle w:val="7"/>
              <w:spacing w:line="240" w:lineRule="auto"/>
              <w:rPr>
                <w:rFonts w:hint="eastAsia" w:ascii="宋体" w:hAnsi="宋体" w:eastAsia="宋体" w:cs="宋体"/>
              </w:rPr>
            </w:pPr>
            <w:r>
              <w:rPr>
                <w:rFonts w:hint="eastAsia" w:ascii="宋体" w:hAnsi="宋体" w:eastAsia="宋体" w:cs="宋体"/>
                <w:color w:val="auto"/>
                <w:highlight w:val="none"/>
                <w:lang w:val="en-US" w:eastAsia="zh-CN"/>
              </w:rPr>
              <w:t>1.本项目的报价为</w:t>
            </w:r>
            <w:r>
              <w:rPr>
                <w:rFonts w:hint="eastAsia" w:ascii="宋体" w:hAnsi="宋体" w:cs="宋体"/>
                <w:color w:val="auto"/>
                <w:highlight w:val="none"/>
              </w:rPr>
              <w:t>不含税配送单价</w:t>
            </w:r>
            <w:r>
              <w:rPr>
                <w:rFonts w:hint="eastAsia" w:ascii="宋体" w:hAnsi="宋体" w:eastAsia="宋体" w:cs="宋体"/>
                <w:color w:val="auto"/>
                <w:highlight w:val="none"/>
                <w:lang w:val="en-US" w:eastAsia="zh-CN"/>
              </w:rPr>
              <w:t>，</w:t>
            </w:r>
            <w:r>
              <w:rPr>
                <w:rFonts w:hint="eastAsia" w:ascii="宋体" w:hAnsi="宋体" w:eastAsia="宋体" w:cs="宋体"/>
                <w:b/>
                <w:bCs/>
                <w:color w:val="auto"/>
                <w:highlight w:val="none"/>
                <w:lang w:val="en-US" w:eastAsia="zh-CN"/>
              </w:rPr>
              <w:t>各梯度报价均不得超过</w:t>
            </w:r>
            <w:r>
              <w:rPr>
                <w:rFonts w:hint="eastAsia" w:ascii="宋体" w:hAnsi="宋体" w:cs="宋体"/>
                <w:b/>
                <w:bCs/>
                <w:color w:val="auto"/>
                <w:highlight w:val="none"/>
                <w:lang w:val="en-US" w:eastAsia="zh-CN"/>
              </w:rPr>
              <w:t>不含税</w:t>
            </w:r>
            <w:r>
              <w:rPr>
                <w:rFonts w:hint="eastAsia" w:ascii="宋体" w:hAnsi="宋体" w:eastAsia="宋体" w:cs="宋体"/>
                <w:b/>
                <w:bCs/>
                <w:color w:val="auto"/>
                <w:highlight w:val="none"/>
                <w:lang w:val="en-US" w:eastAsia="zh-CN"/>
              </w:rPr>
              <w:t>4.54元/件</w:t>
            </w:r>
            <w:r>
              <w:rPr>
                <w:rFonts w:hint="eastAsia" w:ascii="宋体" w:hAnsi="宋体" w:eastAsia="宋体" w:cs="宋体"/>
                <w:color w:val="auto"/>
                <w:highlight w:val="none"/>
                <w:lang w:val="en-US" w:eastAsia="zh-CN"/>
              </w:rPr>
              <w:t>，否则无效。</w:t>
            </w:r>
            <w:r>
              <w:rPr>
                <w:rFonts w:hint="eastAsia" w:ascii="宋体" w:hAnsi="宋体" w:eastAsia="宋体" w:cs="宋体"/>
                <w:lang w:val="en-US" w:eastAsia="zh-CN"/>
              </w:rPr>
              <w:t>配送费用</w:t>
            </w:r>
            <w:r>
              <w:rPr>
                <w:rFonts w:hint="eastAsia" w:ascii="宋体" w:hAnsi="宋体" w:eastAsia="宋体" w:cs="宋体"/>
              </w:rPr>
              <w:t>以实际</w:t>
            </w:r>
            <w:r>
              <w:rPr>
                <w:rFonts w:hint="eastAsia" w:ascii="宋体" w:hAnsi="宋体" w:eastAsia="宋体" w:cs="宋体"/>
                <w:lang w:val="en-US" w:eastAsia="zh-CN"/>
              </w:rPr>
              <w:t>送货</w:t>
            </w:r>
            <w:r>
              <w:rPr>
                <w:rFonts w:hint="eastAsia" w:ascii="宋体" w:hAnsi="宋体" w:eastAsia="宋体" w:cs="宋体"/>
              </w:rPr>
              <w:t>数量进行结算。</w:t>
            </w:r>
          </w:p>
          <w:p w14:paraId="19DAC507">
            <w:pPr>
              <w:pStyle w:val="7"/>
              <w:spacing w:line="240" w:lineRule="auto"/>
              <w:rPr>
                <w:rFonts w:hint="eastAsia" w:ascii="宋体" w:hAnsi="宋体" w:eastAsia="宋体" w:cs="宋体"/>
                <w:lang w:val="en-US" w:eastAsia="zh-CN"/>
              </w:rPr>
            </w:pPr>
            <w:r>
              <w:rPr>
                <w:rFonts w:hint="eastAsia" w:ascii="宋体" w:hAnsi="宋体" w:eastAsia="宋体" w:cs="宋体"/>
                <w:lang w:val="en-US" w:eastAsia="zh-CN"/>
              </w:rPr>
              <w:t>2.报价</w:t>
            </w:r>
            <w:r>
              <w:rPr>
                <w:rFonts w:hint="eastAsia" w:ascii="宋体" w:hAnsi="宋体" w:eastAsia="宋体" w:cs="宋体"/>
                <w:lang w:val="zh-CN"/>
              </w:rPr>
              <w:t>包括采购人购买本</w:t>
            </w:r>
            <w:r>
              <w:rPr>
                <w:rFonts w:hint="eastAsia" w:ascii="宋体" w:hAnsi="宋体" w:cs="宋体"/>
                <w:lang w:val="en-US" w:eastAsia="zh-CN"/>
              </w:rPr>
              <w:t>项目</w:t>
            </w:r>
            <w:r>
              <w:rPr>
                <w:rFonts w:hint="eastAsia" w:ascii="宋体" w:hAnsi="宋体" w:eastAsia="宋体" w:cs="宋体"/>
                <w:lang w:val="zh-CN"/>
              </w:rPr>
              <w:t>服务所支付的全部价款，包括但不限于（1）</w:t>
            </w:r>
            <w:r>
              <w:rPr>
                <w:rFonts w:hint="eastAsia" w:ascii="宋体" w:hAnsi="宋体" w:eastAsia="宋体" w:cs="宋体"/>
                <w:lang w:val="en-US" w:eastAsia="zh-CN"/>
              </w:rPr>
              <w:t>物流配送服务</w:t>
            </w:r>
            <w:r>
              <w:rPr>
                <w:rFonts w:hint="eastAsia" w:ascii="宋体" w:hAnsi="宋体" w:eastAsia="宋体" w:cs="宋体"/>
                <w:lang w:val="zh-CN"/>
              </w:rPr>
              <w:t>范围内所</w:t>
            </w:r>
            <w:r>
              <w:rPr>
                <w:rFonts w:hint="eastAsia" w:ascii="宋体" w:hAnsi="宋体" w:eastAsia="宋体" w:cs="宋体"/>
                <w:lang w:val="en-US" w:eastAsia="zh-CN"/>
              </w:rPr>
              <w:t>需的人工费（含加班）、车辆使用及燃油费（充电费）、包装水装车卸车的人工或器械作业费、物流配送过路桥费（含高速路）、提供物流配送服务人员的工资、食宿、保险费（包括物流配送车辆交强险、第三者责任险等商业保险，成交人及其雇员社会保障资金、保险、第三者责任险等）</w:t>
            </w:r>
            <w:r>
              <w:rPr>
                <w:rFonts w:hint="eastAsia" w:ascii="宋体" w:hAnsi="宋体" w:eastAsia="宋体" w:cs="宋体"/>
                <w:lang w:val="zh-CN"/>
              </w:rPr>
              <w:t>、装卸费、搬运费、</w:t>
            </w:r>
            <w:r>
              <w:rPr>
                <w:rFonts w:hint="eastAsia" w:ascii="宋体" w:hAnsi="宋体" w:eastAsia="宋体" w:cs="宋体"/>
                <w:lang w:val="en-US" w:eastAsia="zh-CN"/>
              </w:rPr>
              <w:t>上楼</w:t>
            </w:r>
            <w:r>
              <w:rPr>
                <w:rFonts w:hint="eastAsia" w:ascii="宋体" w:hAnsi="宋体" w:eastAsia="宋体" w:cs="宋体"/>
                <w:lang w:val="zh-CN"/>
              </w:rPr>
              <w:t>等相关服务的费用；（</w:t>
            </w:r>
            <w:r>
              <w:rPr>
                <w:rFonts w:hint="eastAsia" w:ascii="宋体" w:hAnsi="宋体" w:eastAsia="宋体" w:cs="宋体"/>
                <w:lang w:val="en-US" w:eastAsia="zh-CN"/>
              </w:rPr>
              <w:t>2</w:t>
            </w:r>
            <w:r>
              <w:rPr>
                <w:rFonts w:hint="eastAsia" w:ascii="宋体" w:hAnsi="宋体" w:eastAsia="宋体" w:cs="宋体"/>
                <w:lang w:val="zh-CN"/>
              </w:rPr>
              <w:t>）合理利润、</w:t>
            </w:r>
            <w:r>
              <w:rPr>
                <w:rFonts w:hint="eastAsia" w:ascii="宋体" w:hAnsi="宋体" w:eastAsia="宋体" w:cs="宋体"/>
                <w:lang w:val="en-US" w:eastAsia="zh-CN"/>
              </w:rPr>
              <w:t>报价人销项税额以外的税费等</w:t>
            </w:r>
            <w:r>
              <w:rPr>
                <w:rFonts w:hint="eastAsia" w:ascii="宋体" w:hAnsi="宋体" w:eastAsia="宋体" w:cs="宋体"/>
                <w:lang w:val="zh-CN"/>
              </w:rPr>
              <w:t>；（</w:t>
            </w:r>
            <w:r>
              <w:rPr>
                <w:rFonts w:hint="eastAsia" w:ascii="宋体" w:hAnsi="宋体" w:eastAsia="宋体" w:cs="宋体"/>
                <w:lang w:val="en-US" w:eastAsia="zh-CN"/>
              </w:rPr>
              <w:t>3</w:t>
            </w:r>
            <w:r>
              <w:rPr>
                <w:rFonts w:hint="eastAsia" w:ascii="宋体" w:hAnsi="宋体" w:eastAsia="宋体" w:cs="宋体"/>
                <w:lang w:val="zh-CN"/>
              </w:rPr>
              <w:t>）法律法规、商业公认、询</w:t>
            </w:r>
            <w:r>
              <w:rPr>
                <w:rFonts w:hint="eastAsia" w:ascii="宋体" w:hAnsi="宋体" w:cs="宋体"/>
                <w:lang w:val="en-US" w:eastAsia="zh-CN"/>
              </w:rPr>
              <w:t>比</w:t>
            </w:r>
            <w:r>
              <w:rPr>
                <w:rFonts w:hint="eastAsia" w:ascii="宋体" w:hAnsi="宋体" w:eastAsia="宋体" w:cs="宋体"/>
                <w:lang w:val="zh-CN"/>
              </w:rPr>
              <w:t>文件规定由</w:t>
            </w:r>
            <w:r>
              <w:rPr>
                <w:rFonts w:hint="eastAsia" w:ascii="宋体" w:hAnsi="宋体" w:eastAsia="宋体" w:cs="宋体"/>
                <w:lang w:val="en-US" w:eastAsia="zh-CN"/>
              </w:rPr>
              <w:t>成交</w:t>
            </w:r>
            <w:r>
              <w:rPr>
                <w:rFonts w:hint="eastAsia" w:ascii="宋体" w:hAnsi="宋体" w:eastAsia="宋体" w:cs="宋体"/>
                <w:lang w:val="zh-CN"/>
              </w:rPr>
              <w:t>人承担的其他费用。未经采购人书面同意，成交人（包括但不限于成交人指定的第三方）不得要求采购人另行支付其他任何费用。</w:t>
            </w:r>
          </w:p>
        </w:tc>
      </w:tr>
    </w:tbl>
    <w:p w14:paraId="469CA975">
      <w:pPr>
        <w:pStyle w:val="7"/>
        <w:rPr>
          <w:color w:val="auto"/>
          <w:highlight w:val="none"/>
        </w:rPr>
      </w:pPr>
    </w:p>
    <w:p w14:paraId="189C6FE0">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1FFE94FB">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7B7C8724">
      <w:pPr>
        <w:pStyle w:val="9"/>
        <w:spacing w:line="360" w:lineRule="auto"/>
        <w:rPr>
          <w:rFonts w:hint="default" w:ascii="Times New Roman" w:hAnsi="Times New Roman" w:cs="Times New Roman"/>
          <w:color w:val="000000"/>
          <w:sz w:val="24"/>
          <w:szCs w:val="28"/>
          <w:highlight w:val="none"/>
        </w:rPr>
      </w:pPr>
    </w:p>
    <w:p w14:paraId="141A4DF1">
      <w:pPr>
        <w:ind w:left="0" w:leftChars="0" w:firstLine="4410" w:firstLineChars="2100"/>
        <w:rPr>
          <w:rFonts w:hint="default" w:ascii="Times New Roman" w:hAnsi="Times New Roman" w:cs="Times New Roman"/>
          <w:szCs w:val="21"/>
          <w:highlight w:val="none"/>
        </w:rPr>
      </w:pPr>
      <w:r>
        <w:rPr>
          <w:rFonts w:hint="eastAsia" w:cs="Times New Roman"/>
          <w:szCs w:val="21"/>
          <w:highlight w:val="none"/>
          <w:lang w:val="en-US" w:eastAsia="zh-CN"/>
        </w:rPr>
        <w:t>报价人</w:t>
      </w:r>
      <w:r>
        <w:rPr>
          <w:rFonts w:hint="default" w:ascii="Times New Roman" w:hAnsi="Times New Roman" w:cs="Times New Roman"/>
          <w:szCs w:val="21"/>
          <w:highlight w:val="none"/>
        </w:rPr>
        <w:t>（加盖公章）：</w:t>
      </w:r>
    </w:p>
    <w:p w14:paraId="3B72E66A">
      <w:pPr>
        <w:ind w:firstLine="4410" w:firstLineChars="2100"/>
        <w:jc w:val="left"/>
        <w:rPr>
          <w:rFonts w:hint="default" w:ascii="Times New Roman" w:hAnsi="Times New Roman" w:cs="Times New Roman"/>
          <w:color w:val="000000"/>
          <w:kern w:val="2"/>
          <w:szCs w:val="28"/>
          <w:highlight w:val="none"/>
          <w:lang w:val="zh-CN"/>
        </w:rPr>
      </w:pPr>
      <w:r>
        <w:rPr>
          <w:rFonts w:hint="default" w:ascii="Times New Roman" w:hAnsi="Times New Roman" w:cs="Times New Roman"/>
          <w:szCs w:val="21"/>
          <w:highlight w:val="none"/>
        </w:rPr>
        <w:t>日期：    年  月  日</w:t>
      </w:r>
      <w:bookmarkStart w:id="44" w:name="_Toc34745986"/>
      <w:bookmarkStart w:id="45" w:name="_Toc34746053"/>
      <w:bookmarkStart w:id="46" w:name="_Toc34746361"/>
    </w:p>
    <w:p w14:paraId="3AB4A725">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br w:type="page"/>
      </w:r>
    </w:p>
    <w:p w14:paraId="069B3918">
      <w:pPr>
        <w:rPr>
          <w:rFonts w:hint="eastAsia"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rPr>
        <w:t>2.项目响应</w:t>
      </w:r>
      <w:r>
        <w:rPr>
          <w:rFonts w:hint="eastAsia" w:cs="Times New Roman"/>
          <w:b/>
          <w:color w:val="000000"/>
          <w:sz w:val="28"/>
          <w:szCs w:val="28"/>
          <w:highlight w:val="none"/>
          <w:lang w:val="en-US" w:eastAsia="zh-CN"/>
        </w:rPr>
        <w:t>确认表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136"/>
        <w:gridCol w:w="5221"/>
        <w:gridCol w:w="1787"/>
      </w:tblGrid>
      <w:tr w14:paraId="7890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D9F1117">
            <w:pPr>
              <w:pStyle w:val="7"/>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序号</w:t>
            </w:r>
          </w:p>
        </w:tc>
        <w:tc>
          <w:tcPr>
            <w:tcW w:w="2136" w:type="dxa"/>
          </w:tcPr>
          <w:p w14:paraId="521D5082">
            <w:pPr>
              <w:pStyle w:val="7"/>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响应要求</w:t>
            </w:r>
          </w:p>
        </w:tc>
        <w:tc>
          <w:tcPr>
            <w:tcW w:w="5221" w:type="dxa"/>
          </w:tcPr>
          <w:p w14:paraId="5B31AA76">
            <w:pPr>
              <w:pStyle w:val="7"/>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实质性响应说明</w:t>
            </w:r>
          </w:p>
        </w:tc>
        <w:tc>
          <w:tcPr>
            <w:tcW w:w="1787" w:type="dxa"/>
          </w:tcPr>
          <w:p w14:paraId="13FBB030">
            <w:pPr>
              <w:pStyle w:val="7"/>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报价人响应情况</w:t>
            </w:r>
          </w:p>
        </w:tc>
      </w:tr>
      <w:tr w14:paraId="1206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EEBCABB">
            <w:pPr>
              <w:pStyle w:val="7"/>
              <w:rPr>
                <w:rFonts w:hint="default"/>
                <w:szCs w:val="21"/>
                <w:vertAlign w:val="baseline"/>
                <w:lang w:val="en-US" w:eastAsia="zh-CN"/>
              </w:rPr>
            </w:pPr>
            <w:r>
              <w:rPr>
                <w:rFonts w:hint="eastAsia"/>
                <w:szCs w:val="21"/>
                <w:vertAlign w:val="baseline"/>
                <w:lang w:val="en-US" w:eastAsia="zh-CN"/>
              </w:rPr>
              <w:t>1</w:t>
            </w:r>
          </w:p>
        </w:tc>
        <w:tc>
          <w:tcPr>
            <w:tcW w:w="2136" w:type="dxa"/>
          </w:tcPr>
          <w:p w14:paraId="077067DE">
            <w:pPr>
              <w:pStyle w:val="7"/>
              <w:rPr>
                <w:rFonts w:hint="default"/>
                <w:szCs w:val="21"/>
                <w:vertAlign w:val="baseline"/>
                <w:lang w:val="en-US" w:eastAsia="zh-CN"/>
              </w:rPr>
            </w:pPr>
            <w:r>
              <w:rPr>
                <w:rFonts w:hint="eastAsia"/>
                <w:szCs w:val="21"/>
                <w:vertAlign w:val="baseline"/>
                <w:lang w:val="en-US" w:eastAsia="zh-CN"/>
              </w:rPr>
              <w:t>项目概况与配送产品</w:t>
            </w:r>
          </w:p>
        </w:tc>
        <w:tc>
          <w:tcPr>
            <w:tcW w:w="5221" w:type="dxa"/>
          </w:tcPr>
          <w:p w14:paraId="1121F2BF">
            <w:pPr>
              <w:pStyle w:val="7"/>
              <w:rPr>
                <w:rFonts w:hint="default"/>
                <w:szCs w:val="21"/>
                <w:vertAlign w:val="baseline"/>
                <w:lang w:val="en-US" w:eastAsia="zh-CN"/>
              </w:rPr>
            </w:pPr>
            <w:r>
              <w:rPr>
                <w:rFonts w:hint="eastAsia" w:ascii="宋体" w:hAnsi="宋体" w:cs="宋体"/>
                <w:szCs w:val="21"/>
              </w:rPr>
              <w:t>明确承诺按要求配送所有规格包装水及配套非饮用水商品（非饮用水商品按整包合计重量2KG及以下、尺寸不超50cm</w:t>
            </w:r>
            <w:r>
              <w:rPr>
                <w:rFonts w:hint="eastAsia" w:ascii="宋体" w:hAnsi="宋体" w:cs="宋体"/>
                <w:szCs w:val="21"/>
                <w:lang w:val="en-US" w:eastAsia="zh-CN"/>
              </w:rPr>
              <w:t>*</w:t>
            </w:r>
            <w:r>
              <w:rPr>
                <w:rFonts w:hint="eastAsia" w:ascii="宋体" w:hAnsi="宋体" w:cs="宋体"/>
                <w:szCs w:val="21"/>
              </w:rPr>
              <w:t>50cm</w:t>
            </w:r>
            <w:r>
              <w:rPr>
                <w:rFonts w:hint="eastAsia" w:ascii="宋体" w:hAnsi="宋体" w:cs="宋体"/>
                <w:szCs w:val="21"/>
                <w:lang w:val="en-US" w:eastAsia="zh-CN"/>
              </w:rPr>
              <w:t>*</w:t>
            </w:r>
            <w:r>
              <w:rPr>
                <w:rFonts w:hint="eastAsia" w:ascii="宋体" w:hAnsi="宋体" w:cs="宋体"/>
                <w:szCs w:val="21"/>
              </w:rPr>
              <w:t>50cm为一件，可随同饮用水批次订单免费配送，保障配送安全与时效，不额外收费）</w:t>
            </w:r>
          </w:p>
        </w:tc>
        <w:tc>
          <w:tcPr>
            <w:tcW w:w="1787" w:type="dxa"/>
          </w:tcPr>
          <w:p w14:paraId="1597662D">
            <w:pPr>
              <w:pStyle w:val="7"/>
              <w:rPr>
                <w:rFonts w:hint="default"/>
                <w:szCs w:val="21"/>
                <w:vertAlign w:val="baseline"/>
                <w:lang w:val="en-US" w:eastAsia="zh-CN"/>
              </w:rPr>
            </w:pPr>
            <w:r>
              <w:rPr>
                <w:rFonts w:hint="eastAsia" w:ascii="宋体" w:hAnsi="宋体" w:cs="宋体"/>
                <w:szCs w:val="21"/>
                <w:lang w:eastAsia="zh-CN"/>
              </w:rPr>
              <w:t>□</w:t>
            </w:r>
            <w:r>
              <w:rPr>
                <w:rFonts w:hint="eastAsia" w:ascii="宋体" w:hAnsi="宋体" w:cs="宋体"/>
                <w:szCs w:val="21"/>
              </w:rPr>
              <w:t xml:space="preserve">完全响应 </w:t>
            </w:r>
            <w:r>
              <w:rPr>
                <w:rFonts w:hint="eastAsia" w:ascii="宋体" w:hAnsi="宋体" w:cs="宋体"/>
                <w:szCs w:val="21"/>
                <w:lang w:val="en-US" w:eastAsia="zh-CN"/>
              </w:rPr>
              <w:t xml:space="preserve">    </w:t>
            </w:r>
            <w:r>
              <w:rPr>
                <w:rFonts w:hint="eastAsia" w:ascii="宋体" w:hAnsi="宋体" w:cs="宋体"/>
                <w:szCs w:val="21"/>
              </w:rPr>
              <w:t xml:space="preserve"> □不响应</w:t>
            </w:r>
          </w:p>
        </w:tc>
      </w:tr>
      <w:tr w14:paraId="53D8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BAC4E79">
            <w:pPr>
              <w:pStyle w:val="7"/>
              <w:rPr>
                <w:rFonts w:hint="default"/>
                <w:szCs w:val="21"/>
                <w:vertAlign w:val="baseline"/>
                <w:lang w:val="en-US" w:eastAsia="zh-CN"/>
              </w:rPr>
            </w:pPr>
            <w:r>
              <w:rPr>
                <w:rFonts w:hint="eastAsia"/>
                <w:szCs w:val="21"/>
                <w:vertAlign w:val="baseline"/>
                <w:lang w:val="en-US" w:eastAsia="zh-CN"/>
              </w:rPr>
              <w:t>2</w:t>
            </w:r>
          </w:p>
        </w:tc>
        <w:tc>
          <w:tcPr>
            <w:tcW w:w="2136" w:type="dxa"/>
          </w:tcPr>
          <w:p w14:paraId="7CDF4D2D">
            <w:pPr>
              <w:pStyle w:val="7"/>
              <w:rPr>
                <w:rFonts w:hint="default"/>
                <w:szCs w:val="21"/>
                <w:vertAlign w:val="baseline"/>
                <w:lang w:val="en-US" w:eastAsia="zh-CN"/>
              </w:rPr>
            </w:pPr>
            <w:r>
              <w:rPr>
                <w:rFonts w:hint="eastAsia"/>
                <w:szCs w:val="21"/>
                <w:vertAlign w:val="baseline"/>
                <w:lang w:val="en-US" w:eastAsia="zh-CN"/>
              </w:rPr>
              <w:t>配送范围与车辆要求</w:t>
            </w:r>
          </w:p>
        </w:tc>
        <w:tc>
          <w:tcPr>
            <w:tcW w:w="5221" w:type="dxa"/>
          </w:tcPr>
          <w:p w14:paraId="4B934D87">
            <w:pPr>
              <w:pStyle w:val="7"/>
              <w:rPr>
                <w:rFonts w:hint="default"/>
                <w:szCs w:val="21"/>
                <w:vertAlign w:val="baseline"/>
                <w:lang w:val="en-US" w:eastAsia="zh-CN"/>
              </w:rPr>
            </w:pPr>
            <w:r>
              <w:rPr>
                <w:rFonts w:ascii="宋体" w:hAnsi="宋体" w:eastAsia="宋体" w:cs="宋体"/>
                <w:sz w:val="21"/>
                <w:szCs w:val="21"/>
              </w:rPr>
              <w:t>承诺配送范围覆盖东莞市全域，使用总质量4500KG及以下全关闭厢式货车（如需使用更大车辆，将提供完整道路运输经营许可证及车辆营运证）</w:t>
            </w:r>
          </w:p>
        </w:tc>
        <w:tc>
          <w:tcPr>
            <w:tcW w:w="1787" w:type="dxa"/>
          </w:tcPr>
          <w:p w14:paraId="038F9BD7">
            <w:pPr>
              <w:pStyle w:val="7"/>
              <w:rPr>
                <w:rFonts w:hint="default"/>
                <w:szCs w:val="21"/>
                <w:vertAlign w:val="baseline"/>
                <w:lang w:val="en-US" w:eastAsia="zh-CN"/>
              </w:rPr>
            </w:pPr>
            <w:r>
              <w:rPr>
                <w:rFonts w:hint="eastAsia" w:ascii="宋体" w:hAnsi="宋体" w:cs="宋体"/>
                <w:szCs w:val="21"/>
                <w:lang w:eastAsia="zh-CN"/>
              </w:rPr>
              <w:t>□</w:t>
            </w:r>
            <w:r>
              <w:rPr>
                <w:rFonts w:hint="eastAsia" w:ascii="宋体" w:hAnsi="宋体" w:cs="宋体"/>
                <w:szCs w:val="21"/>
              </w:rPr>
              <w:t xml:space="preserve">完全响应 </w:t>
            </w:r>
            <w:r>
              <w:rPr>
                <w:rFonts w:hint="eastAsia" w:ascii="宋体" w:hAnsi="宋体" w:cs="宋体"/>
                <w:szCs w:val="21"/>
                <w:lang w:val="en-US" w:eastAsia="zh-CN"/>
              </w:rPr>
              <w:t xml:space="preserve">    </w:t>
            </w:r>
            <w:r>
              <w:rPr>
                <w:rFonts w:hint="eastAsia" w:ascii="宋体" w:hAnsi="宋体" w:cs="宋体"/>
                <w:szCs w:val="21"/>
              </w:rPr>
              <w:t xml:space="preserve"> □不响应</w:t>
            </w:r>
          </w:p>
        </w:tc>
      </w:tr>
      <w:tr w14:paraId="1201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A4DCC1C">
            <w:pPr>
              <w:pStyle w:val="7"/>
              <w:rPr>
                <w:rFonts w:hint="default"/>
                <w:szCs w:val="21"/>
                <w:vertAlign w:val="baseline"/>
                <w:lang w:val="en-US" w:eastAsia="zh-CN"/>
              </w:rPr>
            </w:pPr>
            <w:r>
              <w:rPr>
                <w:rFonts w:hint="eastAsia"/>
                <w:szCs w:val="21"/>
                <w:vertAlign w:val="baseline"/>
                <w:lang w:val="en-US" w:eastAsia="zh-CN"/>
              </w:rPr>
              <w:t>3</w:t>
            </w:r>
          </w:p>
        </w:tc>
        <w:tc>
          <w:tcPr>
            <w:tcW w:w="2136" w:type="dxa"/>
          </w:tcPr>
          <w:p w14:paraId="66DC134B">
            <w:pPr>
              <w:pStyle w:val="7"/>
              <w:rPr>
                <w:rFonts w:hint="default"/>
                <w:szCs w:val="21"/>
                <w:vertAlign w:val="baseline"/>
                <w:lang w:val="en-US" w:eastAsia="zh-CN"/>
              </w:rPr>
            </w:pPr>
            <w:r>
              <w:rPr>
                <w:rFonts w:hint="eastAsia"/>
                <w:szCs w:val="21"/>
                <w:vertAlign w:val="baseline"/>
                <w:lang w:val="en-US" w:eastAsia="zh-CN"/>
              </w:rPr>
              <w:t>日配送能力要求</w:t>
            </w:r>
          </w:p>
        </w:tc>
        <w:tc>
          <w:tcPr>
            <w:tcW w:w="5221" w:type="dxa"/>
          </w:tcPr>
          <w:p w14:paraId="7CAD2481">
            <w:pPr>
              <w:pStyle w:val="7"/>
              <w:rPr>
                <w:rFonts w:hint="default"/>
                <w:szCs w:val="21"/>
                <w:vertAlign w:val="baseline"/>
                <w:lang w:val="en-US" w:eastAsia="zh-CN"/>
              </w:rPr>
            </w:pPr>
            <w:r>
              <w:rPr>
                <w:rFonts w:hint="eastAsia" w:ascii="宋体" w:hAnsi="宋体" w:cs="宋体"/>
                <w:szCs w:val="21"/>
              </w:rPr>
              <w:t>保证支装水日配送能力不低于</w:t>
            </w:r>
            <w:r>
              <w:rPr>
                <w:rFonts w:hint="eastAsia" w:ascii="宋体" w:hAnsi="宋体" w:cs="宋体"/>
                <w:szCs w:val="21"/>
                <w:lang w:val="en-US" w:eastAsia="zh-CN"/>
              </w:rPr>
              <w:t>5</w:t>
            </w:r>
            <w:r>
              <w:rPr>
                <w:rFonts w:hint="eastAsia" w:ascii="宋体" w:hAnsi="宋体" w:cs="宋体"/>
                <w:szCs w:val="21"/>
              </w:rPr>
              <w:t>00件，桶装水日配送能力不低于</w:t>
            </w:r>
            <w:r>
              <w:rPr>
                <w:rFonts w:hint="eastAsia" w:ascii="宋体" w:hAnsi="宋体" w:cs="宋体"/>
                <w:szCs w:val="21"/>
                <w:lang w:val="en-US" w:eastAsia="zh-CN"/>
              </w:rPr>
              <w:t>5</w:t>
            </w:r>
            <w:r>
              <w:rPr>
                <w:rFonts w:hint="eastAsia" w:ascii="宋体" w:hAnsi="宋体" w:cs="宋体"/>
                <w:szCs w:val="21"/>
              </w:rPr>
              <w:t>00桶，按实际需求配置足量车辆</w:t>
            </w:r>
          </w:p>
        </w:tc>
        <w:tc>
          <w:tcPr>
            <w:tcW w:w="1787" w:type="dxa"/>
          </w:tcPr>
          <w:p w14:paraId="21512A6B">
            <w:pPr>
              <w:pStyle w:val="7"/>
              <w:rPr>
                <w:rFonts w:hint="default"/>
                <w:szCs w:val="21"/>
                <w:vertAlign w:val="baseline"/>
                <w:lang w:val="en-US" w:eastAsia="zh-CN"/>
              </w:rPr>
            </w:pPr>
            <w:r>
              <w:rPr>
                <w:rFonts w:hint="eastAsia" w:ascii="宋体" w:hAnsi="宋体" w:cs="宋体"/>
                <w:szCs w:val="21"/>
                <w:lang w:eastAsia="zh-CN"/>
              </w:rPr>
              <w:t>□</w:t>
            </w:r>
            <w:r>
              <w:rPr>
                <w:rFonts w:hint="eastAsia" w:ascii="宋体" w:hAnsi="宋体" w:cs="宋体"/>
                <w:szCs w:val="21"/>
              </w:rPr>
              <w:t xml:space="preserve">完全响应 </w:t>
            </w:r>
            <w:r>
              <w:rPr>
                <w:rFonts w:hint="eastAsia" w:ascii="宋体" w:hAnsi="宋体" w:cs="宋体"/>
                <w:szCs w:val="21"/>
                <w:lang w:val="en-US" w:eastAsia="zh-CN"/>
              </w:rPr>
              <w:t xml:space="preserve">    </w:t>
            </w:r>
            <w:r>
              <w:rPr>
                <w:rFonts w:hint="eastAsia" w:ascii="宋体" w:hAnsi="宋体" w:cs="宋体"/>
                <w:szCs w:val="21"/>
              </w:rPr>
              <w:t xml:space="preserve"> □不响应</w:t>
            </w:r>
          </w:p>
        </w:tc>
      </w:tr>
      <w:tr w14:paraId="619F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B29BA8C">
            <w:pPr>
              <w:pStyle w:val="7"/>
              <w:rPr>
                <w:rFonts w:hint="default"/>
                <w:szCs w:val="21"/>
                <w:vertAlign w:val="baseline"/>
                <w:lang w:val="en-US" w:eastAsia="zh-CN"/>
              </w:rPr>
            </w:pPr>
            <w:r>
              <w:rPr>
                <w:rFonts w:hint="eastAsia"/>
                <w:szCs w:val="21"/>
                <w:vertAlign w:val="baseline"/>
                <w:lang w:val="en-US" w:eastAsia="zh-CN"/>
              </w:rPr>
              <w:t>4</w:t>
            </w:r>
          </w:p>
        </w:tc>
        <w:tc>
          <w:tcPr>
            <w:tcW w:w="2136" w:type="dxa"/>
          </w:tcPr>
          <w:p w14:paraId="7FF90358">
            <w:pPr>
              <w:pStyle w:val="7"/>
              <w:rPr>
                <w:rFonts w:hint="default"/>
                <w:szCs w:val="21"/>
                <w:vertAlign w:val="baseline"/>
                <w:lang w:val="en-US" w:eastAsia="zh-CN"/>
              </w:rPr>
            </w:pPr>
            <w:r>
              <w:rPr>
                <w:rFonts w:hint="eastAsia"/>
                <w:szCs w:val="21"/>
                <w:vertAlign w:val="baseline"/>
                <w:lang w:val="en-US" w:eastAsia="zh-CN"/>
              </w:rPr>
              <w:t>装卸与送货要求</w:t>
            </w:r>
          </w:p>
        </w:tc>
        <w:tc>
          <w:tcPr>
            <w:tcW w:w="5221" w:type="dxa"/>
          </w:tcPr>
          <w:p w14:paraId="22580C3A">
            <w:pPr>
              <w:pStyle w:val="7"/>
              <w:rPr>
                <w:rFonts w:hint="default"/>
                <w:szCs w:val="21"/>
                <w:vertAlign w:val="baseline"/>
                <w:lang w:val="en-US" w:eastAsia="zh-CN"/>
              </w:rPr>
            </w:pPr>
            <w:r>
              <w:rPr>
                <w:rFonts w:ascii="宋体" w:hAnsi="宋体" w:eastAsia="宋体" w:cs="宋体"/>
                <w:sz w:val="21"/>
                <w:szCs w:val="21"/>
              </w:rPr>
              <w:t>承诺负责装卸货，支持多存放点配送及上楼服务，严格执行轻拿轻放要求，货物损坏按销售价赔偿</w:t>
            </w:r>
          </w:p>
        </w:tc>
        <w:tc>
          <w:tcPr>
            <w:tcW w:w="1787" w:type="dxa"/>
          </w:tcPr>
          <w:p w14:paraId="6D65FEDB">
            <w:pPr>
              <w:pStyle w:val="7"/>
              <w:rPr>
                <w:rFonts w:hint="default"/>
                <w:szCs w:val="21"/>
                <w:vertAlign w:val="baseline"/>
                <w:lang w:val="en-US" w:eastAsia="zh-CN"/>
              </w:rPr>
            </w:pPr>
            <w:r>
              <w:rPr>
                <w:rFonts w:hint="eastAsia" w:ascii="宋体" w:hAnsi="宋体" w:cs="宋体"/>
                <w:szCs w:val="21"/>
                <w:lang w:eastAsia="zh-CN"/>
              </w:rPr>
              <w:t>□</w:t>
            </w:r>
            <w:r>
              <w:rPr>
                <w:rFonts w:hint="eastAsia" w:ascii="宋体" w:hAnsi="宋体" w:cs="宋体"/>
                <w:szCs w:val="21"/>
              </w:rPr>
              <w:t xml:space="preserve">完全响应 </w:t>
            </w:r>
            <w:r>
              <w:rPr>
                <w:rFonts w:hint="eastAsia" w:ascii="宋体" w:hAnsi="宋体" w:cs="宋体"/>
                <w:szCs w:val="21"/>
                <w:lang w:val="en-US" w:eastAsia="zh-CN"/>
              </w:rPr>
              <w:t xml:space="preserve">    </w:t>
            </w:r>
            <w:r>
              <w:rPr>
                <w:rFonts w:hint="eastAsia" w:ascii="宋体" w:hAnsi="宋体" w:cs="宋体"/>
                <w:szCs w:val="21"/>
              </w:rPr>
              <w:t xml:space="preserve"> □不响应</w:t>
            </w:r>
          </w:p>
        </w:tc>
      </w:tr>
      <w:tr w14:paraId="31A8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3F823CC">
            <w:pPr>
              <w:pStyle w:val="7"/>
              <w:rPr>
                <w:rFonts w:hint="default"/>
                <w:szCs w:val="21"/>
                <w:vertAlign w:val="baseline"/>
                <w:lang w:val="en-US" w:eastAsia="zh-CN"/>
              </w:rPr>
            </w:pPr>
            <w:r>
              <w:rPr>
                <w:rFonts w:hint="eastAsia"/>
                <w:szCs w:val="21"/>
                <w:vertAlign w:val="baseline"/>
                <w:lang w:val="en-US" w:eastAsia="zh-CN"/>
              </w:rPr>
              <w:t>5</w:t>
            </w:r>
          </w:p>
        </w:tc>
        <w:tc>
          <w:tcPr>
            <w:tcW w:w="2136" w:type="dxa"/>
          </w:tcPr>
          <w:p w14:paraId="1208D523">
            <w:pPr>
              <w:pStyle w:val="7"/>
              <w:rPr>
                <w:rFonts w:hint="default"/>
                <w:szCs w:val="21"/>
                <w:vertAlign w:val="baseline"/>
                <w:lang w:val="en-US" w:eastAsia="zh-CN"/>
              </w:rPr>
            </w:pPr>
            <w:r>
              <w:rPr>
                <w:rFonts w:hint="eastAsia"/>
                <w:szCs w:val="21"/>
                <w:vertAlign w:val="baseline"/>
                <w:lang w:val="en-US" w:eastAsia="zh-CN"/>
              </w:rPr>
              <w:t>服务期限</w:t>
            </w:r>
          </w:p>
        </w:tc>
        <w:tc>
          <w:tcPr>
            <w:tcW w:w="5221" w:type="dxa"/>
          </w:tcPr>
          <w:p w14:paraId="12C07C07">
            <w:pPr>
              <w:pStyle w:val="7"/>
              <w:rPr>
                <w:rFonts w:hint="default"/>
                <w:szCs w:val="21"/>
                <w:vertAlign w:val="baseline"/>
                <w:lang w:val="en-US" w:eastAsia="zh-CN"/>
              </w:rPr>
            </w:pPr>
            <w:r>
              <w:rPr>
                <w:rFonts w:ascii="宋体" w:hAnsi="宋体" w:eastAsia="宋体" w:cs="宋体"/>
                <w:sz w:val="21"/>
                <w:szCs w:val="21"/>
              </w:rPr>
              <w:t>服务期限为合同签订后</w:t>
            </w:r>
            <w:r>
              <w:rPr>
                <w:rFonts w:hint="eastAsia" w:ascii="宋体" w:hAnsi="宋体" w:cs="宋体"/>
                <w:sz w:val="21"/>
                <w:szCs w:val="21"/>
                <w:lang w:val="en-US" w:eastAsia="zh-CN"/>
              </w:rPr>
              <w:t>12</w:t>
            </w:r>
            <w:r>
              <w:rPr>
                <w:rFonts w:ascii="宋体" w:hAnsi="宋体" w:eastAsia="宋体" w:cs="宋体"/>
                <w:sz w:val="21"/>
                <w:szCs w:val="21"/>
              </w:rPr>
              <w:t>个月，或累计服务费达</w:t>
            </w:r>
            <w:r>
              <w:rPr>
                <w:rFonts w:hint="eastAsia" w:ascii="宋体" w:hAnsi="宋体" w:cs="宋体"/>
                <w:sz w:val="21"/>
                <w:szCs w:val="21"/>
                <w:lang w:val="en-US" w:eastAsia="zh-CN"/>
              </w:rPr>
              <w:t>90</w:t>
            </w:r>
            <w:r>
              <w:rPr>
                <w:rFonts w:ascii="宋体" w:hAnsi="宋体" w:eastAsia="宋体" w:cs="宋体"/>
                <w:sz w:val="21"/>
                <w:szCs w:val="21"/>
              </w:rPr>
              <w:t>0,000元（含税）时终止，以先到者为准</w:t>
            </w:r>
          </w:p>
        </w:tc>
        <w:tc>
          <w:tcPr>
            <w:tcW w:w="1787" w:type="dxa"/>
          </w:tcPr>
          <w:p w14:paraId="3627BC10">
            <w:pPr>
              <w:pStyle w:val="7"/>
              <w:rPr>
                <w:rFonts w:hint="default"/>
                <w:szCs w:val="21"/>
                <w:vertAlign w:val="baseline"/>
                <w:lang w:val="en-US" w:eastAsia="zh-CN"/>
              </w:rPr>
            </w:pPr>
            <w:r>
              <w:rPr>
                <w:rFonts w:hint="eastAsia" w:ascii="宋体" w:hAnsi="宋体" w:cs="宋体"/>
                <w:szCs w:val="21"/>
                <w:lang w:eastAsia="zh-CN"/>
              </w:rPr>
              <w:t>□</w:t>
            </w:r>
            <w:r>
              <w:rPr>
                <w:rFonts w:hint="eastAsia" w:ascii="宋体" w:hAnsi="宋体" w:cs="宋体"/>
                <w:szCs w:val="21"/>
              </w:rPr>
              <w:t xml:space="preserve">完全响应 </w:t>
            </w:r>
            <w:r>
              <w:rPr>
                <w:rFonts w:hint="eastAsia" w:ascii="宋体" w:hAnsi="宋体" w:cs="宋体"/>
                <w:szCs w:val="21"/>
                <w:lang w:val="en-US" w:eastAsia="zh-CN"/>
              </w:rPr>
              <w:t xml:space="preserve">    </w:t>
            </w:r>
            <w:r>
              <w:rPr>
                <w:rFonts w:hint="eastAsia" w:ascii="宋体" w:hAnsi="宋体" w:cs="宋体"/>
                <w:szCs w:val="21"/>
              </w:rPr>
              <w:t xml:space="preserve"> □不响应</w:t>
            </w:r>
          </w:p>
        </w:tc>
      </w:tr>
      <w:tr w14:paraId="5263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27A676A">
            <w:pPr>
              <w:pStyle w:val="7"/>
              <w:rPr>
                <w:rFonts w:hint="default"/>
                <w:b/>
                <w:bCs/>
                <w:color w:val="auto"/>
                <w:szCs w:val="21"/>
                <w:vertAlign w:val="baseline"/>
                <w:lang w:val="en-US" w:eastAsia="zh-CN"/>
              </w:rPr>
            </w:pPr>
            <w:r>
              <w:rPr>
                <w:rFonts w:hint="eastAsia"/>
                <w:b/>
                <w:bCs/>
                <w:color w:val="auto"/>
                <w:szCs w:val="21"/>
                <w:vertAlign w:val="baseline"/>
                <w:lang w:val="en-US" w:eastAsia="zh-CN"/>
              </w:rPr>
              <w:t>6</w:t>
            </w:r>
          </w:p>
        </w:tc>
        <w:tc>
          <w:tcPr>
            <w:tcW w:w="2136" w:type="dxa"/>
          </w:tcPr>
          <w:p w14:paraId="7D916484">
            <w:pPr>
              <w:pStyle w:val="7"/>
              <w:rPr>
                <w:rFonts w:hint="default"/>
                <w:b/>
                <w:bCs/>
                <w:color w:val="auto"/>
                <w:szCs w:val="21"/>
                <w:vertAlign w:val="baseline"/>
                <w:lang w:val="en-US" w:eastAsia="zh-CN"/>
              </w:rPr>
            </w:pPr>
            <w:r>
              <w:rPr>
                <w:rFonts w:hint="eastAsia"/>
                <w:b/>
                <w:bCs/>
                <w:color w:val="auto"/>
                <w:szCs w:val="21"/>
                <w:vertAlign w:val="baseline"/>
                <w:lang w:val="en-US" w:eastAsia="zh-CN"/>
              </w:rPr>
              <w:t>配送时限要求</w:t>
            </w:r>
          </w:p>
        </w:tc>
        <w:tc>
          <w:tcPr>
            <w:tcW w:w="5221" w:type="dxa"/>
          </w:tcPr>
          <w:p w14:paraId="2030E186">
            <w:pPr>
              <w:pStyle w:val="7"/>
              <w:rPr>
                <w:rFonts w:hint="default"/>
                <w:b/>
                <w:bCs/>
                <w:color w:val="auto"/>
                <w:szCs w:val="21"/>
                <w:vertAlign w:val="baseline"/>
                <w:lang w:val="en-US" w:eastAsia="zh-CN"/>
              </w:rPr>
            </w:pPr>
            <w:r>
              <w:rPr>
                <w:rFonts w:hint="eastAsia" w:ascii="宋体" w:hAnsi="宋体" w:cs="宋体"/>
                <w:b/>
                <w:bCs/>
                <w:color w:val="auto"/>
                <w:szCs w:val="21"/>
              </w:rPr>
              <w:t>保证当天1</w:t>
            </w:r>
            <w:r>
              <w:rPr>
                <w:rFonts w:hint="eastAsia" w:ascii="宋体" w:hAnsi="宋体" w:cs="宋体"/>
                <w:b/>
                <w:bCs/>
                <w:color w:val="auto"/>
                <w:szCs w:val="21"/>
                <w:lang w:val="en-US" w:eastAsia="zh-CN"/>
              </w:rPr>
              <w:t>1</w:t>
            </w:r>
            <w:r>
              <w:rPr>
                <w:rFonts w:hint="eastAsia" w:ascii="宋体" w:hAnsi="宋体" w:cs="宋体"/>
                <w:b/>
                <w:bCs/>
                <w:color w:val="auto"/>
                <w:szCs w:val="21"/>
              </w:rPr>
              <w:t>:00前接到的物流配送任务当天全部完成配送</w:t>
            </w:r>
            <w:r>
              <w:rPr>
                <w:rFonts w:hint="eastAsia" w:ascii="宋体" w:hAnsi="宋体" w:cs="宋体"/>
                <w:b/>
                <w:bCs/>
                <w:color w:val="auto"/>
                <w:szCs w:val="21"/>
                <w:lang w:eastAsia="zh-CN"/>
              </w:rPr>
              <w:t>，</w:t>
            </w:r>
            <w:r>
              <w:rPr>
                <w:rFonts w:hint="eastAsia" w:ascii="宋体" w:hAnsi="宋体" w:cs="宋体"/>
                <w:b/>
                <w:bCs/>
                <w:color w:val="auto"/>
                <w:szCs w:val="21"/>
              </w:rPr>
              <w:t>1</w:t>
            </w:r>
            <w:r>
              <w:rPr>
                <w:rFonts w:hint="eastAsia" w:ascii="宋体" w:hAnsi="宋体" w:cs="宋体"/>
                <w:b/>
                <w:bCs/>
                <w:color w:val="auto"/>
                <w:szCs w:val="21"/>
                <w:lang w:val="en-US" w:eastAsia="zh-CN"/>
              </w:rPr>
              <w:t>1</w:t>
            </w:r>
            <w:r>
              <w:rPr>
                <w:rFonts w:hint="eastAsia" w:ascii="宋体" w:hAnsi="宋体" w:cs="宋体"/>
                <w:b/>
                <w:bCs/>
                <w:color w:val="auto"/>
                <w:szCs w:val="21"/>
              </w:rPr>
              <w:t>:00后接到的任务次日全部完成配送</w:t>
            </w:r>
          </w:p>
        </w:tc>
        <w:tc>
          <w:tcPr>
            <w:tcW w:w="1787" w:type="dxa"/>
          </w:tcPr>
          <w:p w14:paraId="7B50E461">
            <w:pPr>
              <w:pStyle w:val="7"/>
              <w:rPr>
                <w:rFonts w:hint="default"/>
                <w:b/>
                <w:bCs/>
                <w:color w:val="auto"/>
                <w:szCs w:val="21"/>
                <w:vertAlign w:val="baseline"/>
                <w:lang w:val="en-US" w:eastAsia="zh-CN"/>
              </w:rPr>
            </w:pPr>
            <w:r>
              <w:rPr>
                <w:rFonts w:hint="eastAsia" w:ascii="宋体" w:hAnsi="宋体" w:cs="宋体"/>
                <w:b/>
                <w:bCs/>
                <w:color w:val="auto"/>
                <w:szCs w:val="21"/>
                <w:lang w:eastAsia="zh-CN"/>
              </w:rPr>
              <w:t>□</w:t>
            </w:r>
            <w:r>
              <w:rPr>
                <w:rFonts w:hint="eastAsia" w:ascii="宋体" w:hAnsi="宋体" w:cs="宋体"/>
                <w:b/>
                <w:bCs/>
                <w:color w:val="auto"/>
                <w:szCs w:val="21"/>
              </w:rPr>
              <w:t xml:space="preserve">完全响应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□不响应</w:t>
            </w:r>
          </w:p>
        </w:tc>
      </w:tr>
      <w:tr w14:paraId="6A34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72574E3">
            <w:pPr>
              <w:pStyle w:val="7"/>
              <w:rPr>
                <w:rFonts w:hint="default"/>
                <w:color w:val="auto"/>
                <w:szCs w:val="21"/>
                <w:vertAlign w:val="baseline"/>
                <w:lang w:val="en-US" w:eastAsia="zh-CN"/>
              </w:rPr>
            </w:pPr>
            <w:r>
              <w:rPr>
                <w:rFonts w:hint="eastAsia"/>
                <w:color w:val="auto"/>
                <w:szCs w:val="21"/>
                <w:vertAlign w:val="baseline"/>
                <w:lang w:val="en-US" w:eastAsia="zh-CN"/>
              </w:rPr>
              <w:t>7</w:t>
            </w:r>
          </w:p>
        </w:tc>
        <w:tc>
          <w:tcPr>
            <w:tcW w:w="2136" w:type="dxa"/>
          </w:tcPr>
          <w:p w14:paraId="2A78C6EF">
            <w:pPr>
              <w:pStyle w:val="7"/>
              <w:rPr>
                <w:rFonts w:hint="default"/>
                <w:color w:val="auto"/>
                <w:szCs w:val="21"/>
                <w:vertAlign w:val="baseline"/>
                <w:lang w:val="en-US" w:eastAsia="zh-CN"/>
              </w:rPr>
            </w:pPr>
            <w:r>
              <w:rPr>
                <w:rFonts w:hint="eastAsia"/>
                <w:color w:val="auto"/>
                <w:szCs w:val="21"/>
                <w:vertAlign w:val="baseline"/>
                <w:lang w:val="en-US" w:eastAsia="zh-CN"/>
              </w:rPr>
              <w:t>人员与服务规范</w:t>
            </w:r>
          </w:p>
        </w:tc>
        <w:tc>
          <w:tcPr>
            <w:tcW w:w="5221" w:type="dxa"/>
          </w:tcPr>
          <w:p w14:paraId="7989442C">
            <w:pPr>
              <w:pStyle w:val="7"/>
              <w:rPr>
                <w:rFonts w:hint="default"/>
                <w:color w:val="auto"/>
                <w:szCs w:val="21"/>
                <w:vertAlign w:val="baseline"/>
                <w:lang w:val="en-US" w:eastAsia="zh-CN"/>
              </w:rPr>
            </w:pPr>
            <w:r>
              <w:rPr>
                <w:rFonts w:ascii="宋体" w:hAnsi="宋体" w:eastAsia="宋体" w:cs="宋体"/>
                <w:color w:val="auto"/>
                <w:sz w:val="21"/>
                <w:szCs w:val="21"/>
              </w:rPr>
              <w:t>承诺配送人员衣着整齐、文明服务，不与收货人争执、不索取物资、不泄露商业信息</w:t>
            </w:r>
          </w:p>
        </w:tc>
        <w:tc>
          <w:tcPr>
            <w:tcW w:w="1787" w:type="dxa"/>
          </w:tcPr>
          <w:p w14:paraId="7C0C54FF">
            <w:pPr>
              <w:pStyle w:val="7"/>
              <w:rPr>
                <w:rFonts w:hint="default"/>
                <w:color w:val="auto"/>
                <w:szCs w:val="21"/>
                <w:vertAlign w:val="baseline"/>
                <w:lang w:val="en-US" w:eastAsia="zh-CN"/>
              </w:rPr>
            </w:pPr>
            <w:r>
              <w:rPr>
                <w:rFonts w:hint="eastAsia" w:ascii="宋体" w:hAnsi="宋体" w:cs="宋体"/>
                <w:color w:val="auto"/>
                <w:szCs w:val="21"/>
                <w:lang w:eastAsia="zh-CN"/>
              </w:rPr>
              <w:t>□</w:t>
            </w:r>
            <w:r>
              <w:rPr>
                <w:rFonts w:hint="eastAsia" w:ascii="宋体" w:hAnsi="宋体" w:cs="宋体"/>
                <w:color w:val="auto"/>
                <w:szCs w:val="21"/>
              </w:rPr>
              <w:t xml:space="preserve">完全响应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□不响应</w:t>
            </w:r>
          </w:p>
        </w:tc>
      </w:tr>
      <w:tr w14:paraId="30E4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2C7BBCE">
            <w:pPr>
              <w:pStyle w:val="7"/>
              <w:rPr>
                <w:rFonts w:hint="default"/>
                <w:b/>
                <w:bCs/>
                <w:color w:val="auto"/>
                <w:szCs w:val="21"/>
                <w:vertAlign w:val="baseline"/>
                <w:lang w:val="en-US" w:eastAsia="zh-CN"/>
              </w:rPr>
            </w:pPr>
            <w:r>
              <w:rPr>
                <w:rFonts w:hint="eastAsia"/>
                <w:b/>
                <w:bCs/>
                <w:color w:val="auto"/>
                <w:szCs w:val="21"/>
                <w:vertAlign w:val="baseline"/>
                <w:lang w:val="en-US" w:eastAsia="zh-CN"/>
              </w:rPr>
              <w:t>8</w:t>
            </w:r>
          </w:p>
        </w:tc>
        <w:tc>
          <w:tcPr>
            <w:tcW w:w="2136" w:type="dxa"/>
          </w:tcPr>
          <w:p w14:paraId="376B0942">
            <w:pPr>
              <w:pStyle w:val="7"/>
              <w:rPr>
                <w:rFonts w:hint="default"/>
                <w:b/>
                <w:bCs/>
                <w:color w:val="auto"/>
                <w:szCs w:val="21"/>
                <w:vertAlign w:val="baseline"/>
                <w:lang w:val="en-US" w:eastAsia="zh-CN"/>
              </w:rPr>
            </w:pPr>
            <w:r>
              <w:rPr>
                <w:rFonts w:hint="eastAsia"/>
                <w:b/>
                <w:bCs/>
                <w:color w:val="auto"/>
                <w:szCs w:val="21"/>
                <w:vertAlign w:val="baseline"/>
                <w:lang w:val="en-US" w:eastAsia="zh-CN"/>
              </w:rPr>
              <w:t>节假日配送要求</w:t>
            </w:r>
          </w:p>
        </w:tc>
        <w:tc>
          <w:tcPr>
            <w:tcW w:w="5221" w:type="dxa"/>
          </w:tcPr>
          <w:p w14:paraId="106A134F">
            <w:pPr>
              <w:pStyle w:val="7"/>
              <w:rPr>
                <w:rFonts w:hint="default"/>
                <w:b/>
                <w:bCs/>
                <w:color w:val="auto"/>
                <w:szCs w:val="21"/>
                <w:vertAlign w:val="baseline"/>
                <w:lang w:val="en-US" w:eastAsia="zh-CN"/>
              </w:rPr>
            </w:pPr>
            <w:r>
              <w:rPr>
                <w:rFonts w:ascii="宋体" w:hAnsi="宋体" w:eastAsia="宋体" w:cs="宋体"/>
                <w:b/>
                <w:bCs/>
                <w:color w:val="auto"/>
                <w:sz w:val="21"/>
                <w:szCs w:val="21"/>
              </w:rPr>
              <w:t>保证节假日期间正常配送，维持与平日一致的时效及覆盖范围，</w:t>
            </w:r>
            <w:r>
              <w:rPr>
                <w:rFonts w:hint="eastAsia" w:ascii="宋体" w:hAnsi="宋体" w:cs="宋体"/>
                <w:b/>
                <w:bCs/>
                <w:color w:val="auto"/>
                <w:szCs w:val="21"/>
              </w:rPr>
              <w:t>不拒绝或延迟配送</w:t>
            </w:r>
          </w:p>
        </w:tc>
        <w:tc>
          <w:tcPr>
            <w:tcW w:w="1787" w:type="dxa"/>
          </w:tcPr>
          <w:p w14:paraId="7F56BF4B">
            <w:pPr>
              <w:pStyle w:val="7"/>
              <w:rPr>
                <w:rFonts w:hint="default"/>
                <w:b/>
                <w:bCs/>
                <w:color w:val="auto"/>
                <w:szCs w:val="21"/>
                <w:vertAlign w:val="baseline"/>
                <w:lang w:val="en-US" w:eastAsia="zh-CN"/>
              </w:rPr>
            </w:pPr>
            <w:r>
              <w:rPr>
                <w:rFonts w:hint="eastAsia" w:ascii="宋体" w:hAnsi="宋体" w:cs="宋体"/>
                <w:b/>
                <w:bCs/>
                <w:color w:val="auto"/>
                <w:szCs w:val="21"/>
                <w:lang w:eastAsia="zh-CN"/>
              </w:rPr>
              <w:t>□</w:t>
            </w:r>
            <w:r>
              <w:rPr>
                <w:rFonts w:hint="eastAsia" w:ascii="宋体" w:hAnsi="宋体" w:cs="宋体"/>
                <w:b/>
                <w:bCs/>
                <w:color w:val="auto"/>
                <w:szCs w:val="21"/>
              </w:rPr>
              <w:t xml:space="preserve">完全响应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□不响应</w:t>
            </w:r>
          </w:p>
        </w:tc>
      </w:tr>
      <w:tr w14:paraId="0624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BA3B4D6">
            <w:pPr>
              <w:pStyle w:val="7"/>
              <w:rPr>
                <w:rFonts w:hint="default"/>
                <w:color w:val="auto"/>
                <w:szCs w:val="21"/>
                <w:vertAlign w:val="baseline"/>
                <w:lang w:val="en-US" w:eastAsia="zh-CN"/>
              </w:rPr>
            </w:pPr>
            <w:r>
              <w:rPr>
                <w:rFonts w:hint="eastAsia"/>
                <w:color w:val="auto"/>
                <w:szCs w:val="21"/>
                <w:vertAlign w:val="baseline"/>
                <w:lang w:val="en-US" w:eastAsia="zh-CN"/>
              </w:rPr>
              <w:t>9</w:t>
            </w:r>
          </w:p>
        </w:tc>
        <w:tc>
          <w:tcPr>
            <w:tcW w:w="2136" w:type="dxa"/>
          </w:tcPr>
          <w:p w14:paraId="4A1076AF">
            <w:pPr>
              <w:pStyle w:val="7"/>
              <w:rPr>
                <w:rFonts w:hint="default"/>
                <w:color w:val="auto"/>
                <w:szCs w:val="21"/>
                <w:vertAlign w:val="baseline"/>
                <w:lang w:val="en-US" w:eastAsia="zh-CN"/>
              </w:rPr>
            </w:pPr>
            <w:r>
              <w:rPr>
                <w:rFonts w:hint="eastAsia"/>
                <w:color w:val="auto"/>
                <w:szCs w:val="21"/>
                <w:vertAlign w:val="baseline"/>
                <w:lang w:val="en-US" w:eastAsia="zh-CN"/>
              </w:rPr>
              <w:t>货物安全与风险承担</w:t>
            </w:r>
          </w:p>
        </w:tc>
        <w:tc>
          <w:tcPr>
            <w:tcW w:w="5221" w:type="dxa"/>
          </w:tcPr>
          <w:p w14:paraId="45E4225D">
            <w:pPr>
              <w:pStyle w:val="7"/>
              <w:rPr>
                <w:rFonts w:hint="default"/>
                <w:color w:val="auto"/>
                <w:szCs w:val="21"/>
                <w:vertAlign w:val="baseline"/>
                <w:lang w:val="en-US" w:eastAsia="zh-CN"/>
              </w:rPr>
            </w:pPr>
            <w:r>
              <w:rPr>
                <w:rFonts w:ascii="宋体" w:hAnsi="宋体" w:eastAsia="宋体" w:cs="宋体"/>
                <w:color w:val="auto"/>
                <w:sz w:val="21"/>
                <w:szCs w:val="21"/>
              </w:rPr>
              <w:t>承诺承担货物出库后至送达前的毁损、灭失风险，车辆证照及保险手续齐全</w:t>
            </w:r>
          </w:p>
        </w:tc>
        <w:tc>
          <w:tcPr>
            <w:tcW w:w="1787" w:type="dxa"/>
          </w:tcPr>
          <w:p w14:paraId="77756B65">
            <w:pPr>
              <w:pStyle w:val="7"/>
              <w:rPr>
                <w:rFonts w:hint="default"/>
                <w:color w:val="auto"/>
                <w:szCs w:val="21"/>
                <w:vertAlign w:val="baseline"/>
                <w:lang w:val="en-US" w:eastAsia="zh-CN"/>
              </w:rPr>
            </w:pPr>
            <w:r>
              <w:rPr>
                <w:rFonts w:hint="eastAsia" w:ascii="宋体" w:hAnsi="宋体" w:cs="宋体"/>
                <w:color w:val="auto"/>
                <w:szCs w:val="21"/>
                <w:lang w:eastAsia="zh-CN"/>
              </w:rPr>
              <w:t>□</w:t>
            </w:r>
            <w:r>
              <w:rPr>
                <w:rFonts w:hint="eastAsia" w:ascii="宋体" w:hAnsi="宋体" w:cs="宋体"/>
                <w:color w:val="auto"/>
                <w:szCs w:val="21"/>
              </w:rPr>
              <w:t xml:space="preserve">完全响应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□不响应</w:t>
            </w:r>
          </w:p>
        </w:tc>
      </w:tr>
      <w:tr w14:paraId="7FD8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94AB603">
            <w:pPr>
              <w:pStyle w:val="7"/>
              <w:rPr>
                <w:rFonts w:hint="default"/>
                <w:color w:val="auto"/>
                <w:szCs w:val="21"/>
                <w:vertAlign w:val="baseline"/>
                <w:lang w:val="en-US" w:eastAsia="zh-CN"/>
              </w:rPr>
            </w:pPr>
            <w:r>
              <w:rPr>
                <w:rFonts w:hint="eastAsia"/>
                <w:color w:val="auto"/>
                <w:szCs w:val="21"/>
                <w:vertAlign w:val="baseline"/>
                <w:lang w:val="en-US" w:eastAsia="zh-CN"/>
              </w:rPr>
              <w:t>10</w:t>
            </w:r>
          </w:p>
        </w:tc>
        <w:tc>
          <w:tcPr>
            <w:tcW w:w="2136" w:type="dxa"/>
          </w:tcPr>
          <w:p w14:paraId="50105525">
            <w:pPr>
              <w:pStyle w:val="7"/>
              <w:rPr>
                <w:rFonts w:hint="default"/>
                <w:color w:val="auto"/>
                <w:szCs w:val="21"/>
                <w:vertAlign w:val="baseline"/>
                <w:lang w:val="en-US" w:eastAsia="zh-CN"/>
              </w:rPr>
            </w:pPr>
            <w:r>
              <w:rPr>
                <w:rFonts w:hint="eastAsia"/>
                <w:color w:val="auto"/>
                <w:szCs w:val="21"/>
                <w:vertAlign w:val="baseline"/>
                <w:lang w:val="en-US" w:eastAsia="zh-CN"/>
              </w:rPr>
              <w:t>付款方式与结算</w:t>
            </w:r>
          </w:p>
        </w:tc>
        <w:tc>
          <w:tcPr>
            <w:tcW w:w="5221" w:type="dxa"/>
          </w:tcPr>
          <w:p w14:paraId="5A1B74E8">
            <w:pPr>
              <w:pStyle w:val="7"/>
              <w:rPr>
                <w:rFonts w:hint="default"/>
                <w:color w:val="auto"/>
                <w:szCs w:val="21"/>
                <w:vertAlign w:val="baseline"/>
                <w:lang w:val="en-US" w:eastAsia="zh-CN"/>
              </w:rPr>
            </w:pPr>
            <w:r>
              <w:rPr>
                <w:rFonts w:ascii="宋体" w:hAnsi="宋体" w:eastAsia="宋体" w:cs="宋体"/>
                <w:color w:val="auto"/>
                <w:sz w:val="21"/>
                <w:szCs w:val="21"/>
              </w:rPr>
              <w:t>认可按月结算，次月提交请款报告及增值税专用发票，接受甲方15个工作日内付款的约定</w:t>
            </w:r>
          </w:p>
        </w:tc>
        <w:tc>
          <w:tcPr>
            <w:tcW w:w="1787" w:type="dxa"/>
          </w:tcPr>
          <w:p w14:paraId="06FF46B1">
            <w:pPr>
              <w:pStyle w:val="7"/>
              <w:rPr>
                <w:rFonts w:hint="default"/>
                <w:color w:val="auto"/>
                <w:szCs w:val="21"/>
                <w:vertAlign w:val="baseline"/>
                <w:lang w:val="en-US" w:eastAsia="zh-CN"/>
              </w:rPr>
            </w:pPr>
            <w:r>
              <w:rPr>
                <w:rFonts w:hint="eastAsia" w:ascii="宋体" w:hAnsi="宋体" w:cs="宋体"/>
                <w:color w:val="auto"/>
                <w:szCs w:val="21"/>
                <w:lang w:eastAsia="zh-CN"/>
              </w:rPr>
              <w:t>□</w:t>
            </w:r>
            <w:r>
              <w:rPr>
                <w:rFonts w:hint="eastAsia" w:ascii="宋体" w:hAnsi="宋体" w:cs="宋体"/>
                <w:color w:val="auto"/>
                <w:szCs w:val="21"/>
              </w:rPr>
              <w:t xml:space="preserve">完全响应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□不响应</w:t>
            </w:r>
          </w:p>
        </w:tc>
      </w:tr>
      <w:tr w14:paraId="4CDA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D008663">
            <w:pPr>
              <w:pStyle w:val="7"/>
              <w:rPr>
                <w:rFonts w:hint="default"/>
                <w:color w:val="auto"/>
                <w:szCs w:val="21"/>
                <w:vertAlign w:val="baseline"/>
                <w:lang w:val="en-US" w:eastAsia="zh-CN"/>
              </w:rPr>
            </w:pPr>
            <w:r>
              <w:rPr>
                <w:rFonts w:hint="eastAsia"/>
                <w:color w:val="auto"/>
                <w:szCs w:val="21"/>
                <w:vertAlign w:val="baseline"/>
                <w:lang w:val="en-US" w:eastAsia="zh-CN"/>
              </w:rPr>
              <w:t>11</w:t>
            </w:r>
          </w:p>
        </w:tc>
        <w:tc>
          <w:tcPr>
            <w:tcW w:w="2136" w:type="dxa"/>
          </w:tcPr>
          <w:p w14:paraId="6407A481">
            <w:pPr>
              <w:pStyle w:val="7"/>
              <w:rPr>
                <w:rFonts w:hint="default"/>
                <w:color w:val="auto"/>
                <w:szCs w:val="21"/>
                <w:vertAlign w:val="baseline"/>
                <w:lang w:val="en-US" w:eastAsia="zh-CN"/>
              </w:rPr>
            </w:pPr>
            <w:r>
              <w:rPr>
                <w:rFonts w:hint="eastAsia"/>
                <w:color w:val="auto"/>
                <w:szCs w:val="21"/>
                <w:vertAlign w:val="baseline"/>
                <w:lang w:val="en-US" w:eastAsia="zh-CN"/>
              </w:rPr>
              <w:t>资质备案要求</w:t>
            </w:r>
          </w:p>
        </w:tc>
        <w:tc>
          <w:tcPr>
            <w:tcW w:w="5221" w:type="dxa"/>
          </w:tcPr>
          <w:p w14:paraId="65080B59">
            <w:pPr>
              <w:pStyle w:val="7"/>
              <w:rPr>
                <w:rFonts w:hint="default"/>
                <w:color w:val="auto"/>
                <w:szCs w:val="21"/>
                <w:vertAlign w:val="baseline"/>
                <w:lang w:val="en-US" w:eastAsia="zh-CN"/>
              </w:rPr>
            </w:pPr>
            <w:r>
              <w:rPr>
                <w:rFonts w:ascii="宋体" w:hAnsi="宋体" w:eastAsia="宋体" w:cs="宋体"/>
                <w:color w:val="auto"/>
                <w:sz w:val="21"/>
                <w:szCs w:val="21"/>
              </w:rPr>
              <w:t>承诺提供公司资质、车辆证照、人员证件等备案材料，信息变更时及时更新</w:t>
            </w:r>
          </w:p>
        </w:tc>
        <w:tc>
          <w:tcPr>
            <w:tcW w:w="1787" w:type="dxa"/>
          </w:tcPr>
          <w:p w14:paraId="655CEAA2">
            <w:pPr>
              <w:pStyle w:val="7"/>
              <w:rPr>
                <w:rFonts w:hint="default"/>
                <w:color w:val="auto"/>
                <w:szCs w:val="21"/>
                <w:vertAlign w:val="baseline"/>
                <w:lang w:val="en-US" w:eastAsia="zh-CN"/>
              </w:rPr>
            </w:pPr>
            <w:r>
              <w:rPr>
                <w:rFonts w:hint="eastAsia" w:ascii="宋体" w:hAnsi="宋体" w:cs="宋体"/>
                <w:color w:val="auto"/>
                <w:szCs w:val="21"/>
                <w:lang w:eastAsia="zh-CN"/>
              </w:rPr>
              <w:t>□</w:t>
            </w:r>
            <w:r>
              <w:rPr>
                <w:rFonts w:hint="eastAsia" w:ascii="宋体" w:hAnsi="宋体" w:cs="宋体"/>
                <w:color w:val="auto"/>
                <w:szCs w:val="21"/>
              </w:rPr>
              <w:t xml:space="preserve">完全响应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□不响应</w:t>
            </w:r>
          </w:p>
        </w:tc>
      </w:tr>
      <w:tr w14:paraId="0DD5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30EF093">
            <w:pPr>
              <w:pStyle w:val="7"/>
              <w:rPr>
                <w:rFonts w:hint="default"/>
                <w:b/>
                <w:bCs/>
                <w:color w:val="auto"/>
                <w:szCs w:val="21"/>
                <w:vertAlign w:val="baseline"/>
                <w:lang w:val="en-US" w:eastAsia="zh-CN"/>
              </w:rPr>
            </w:pPr>
            <w:r>
              <w:rPr>
                <w:rFonts w:hint="eastAsia"/>
                <w:b/>
                <w:bCs/>
                <w:color w:val="auto"/>
                <w:szCs w:val="21"/>
                <w:vertAlign w:val="baseline"/>
                <w:lang w:val="en-US" w:eastAsia="zh-CN"/>
              </w:rPr>
              <w:t>12</w:t>
            </w:r>
          </w:p>
        </w:tc>
        <w:tc>
          <w:tcPr>
            <w:tcW w:w="2136" w:type="dxa"/>
          </w:tcPr>
          <w:p w14:paraId="144369FE">
            <w:pPr>
              <w:pStyle w:val="7"/>
              <w:rPr>
                <w:rFonts w:hint="eastAsia"/>
                <w:b/>
                <w:bCs/>
                <w:color w:val="auto"/>
                <w:szCs w:val="21"/>
                <w:vertAlign w:val="baseline"/>
                <w:lang w:val="en-US" w:eastAsia="zh-CN"/>
              </w:rPr>
            </w:pPr>
            <w:r>
              <w:rPr>
                <w:rFonts w:hint="eastAsia"/>
                <w:b/>
                <w:bCs/>
                <w:color w:val="auto"/>
                <w:szCs w:val="21"/>
              </w:rPr>
              <w:t>违约责任-未按时提货派送</w:t>
            </w:r>
          </w:p>
        </w:tc>
        <w:tc>
          <w:tcPr>
            <w:tcW w:w="5221" w:type="dxa"/>
          </w:tcPr>
          <w:p w14:paraId="560FA92F">
            <w:pPr>
              <w:pStyle w:val="7"/>
              <w:rPr>
                <w:rFonts w:ascii="宋体" w:hAnsi="宋体" w:eastAsia="宋体" w:cs="宋体"/>
                <w:b/>
                <w:bCs/>
                <w:color w:val="auto"/>
                <w:sz w:val="21"/>
                <w:szCs w:val="21"/>
              </w:rPr>
            </w:pPr>
            <w:r>
              <w:rPr>
                <w:rFonts w:hint="eastAsia" w:ascii="宋体" w:hAnsi="宋体" w:cs="宋体"/>
                <w:b/>
                <w:bCs/>
                <w:color w:val="auto"/>
                <w:szCs w:val="21"/>
              </w:rPr>
              <w:t>未按甲方要求提货、派送，超</w:t>
            </w:r>
            <w:r>
              <w:rPr>
                <w:rFonts w:hint="eastAsia" w:ascii="宋体" w:hAnsi="宋体" w:cs="宋体"/>
                <w:b/>
                <w:bCs/>
                <w:color w:val="auto"/>
                <w:szCs w:val="21"/>
                <w:lang w:val="en-US" w:eastAsia="zh-CN"/>
              </w:rPr>
              <w:t>1个自然日</w:t>
            </w:r>
            <w:r>
              <w:rPr>
                <w:rFonts w:hint="eastAsia" w:ascii="宋体" w:hAnsi="宋体" w:cs="宋体"/>
                <w:b/>
                <w:bCs/>
                <w:color w:val="auto"/>
                <w:szCs w:val="21"/>
              </w:rPr>
              <w:t>按对应配送费用（含税）的50%支付违约金；超</w:t>
            </w:r>
            <w:r>
              <w:rPr>
                <w:rFonts w:hint="eastAsia" w:ascii="宋体" w:hAnsi="宋体" w:cs="宋体"/>
                <w:b/>
                <w:bCs/>
                <w:color w:val="auto"/>
                <w:szCs w:val="21"/>
                <w:lang w:val="en-US" w:eastAsia="zh-CN"/>
              </w:rPr>
              <w:t>2个自然日</w:t>
            </w:r>
            <w:r>
              <w:rPr>
                <w:rFonts w:hint="eastAsia" w:ascii="宋体" w:hAnsi="宋体" w:cs="宋体"/>
                <w:b/>
                <w:bCs/>
                <w:color w:val="auto"/>
                <w:szCs w:val="21"/>
              </w:rPr>
              <w:t>甲方有权解除合同，按对应配送费用（含税）的100%支付违约金，同时承担客户投诉及甲方损失赔偿责任</w:t>
            </w:r>
          </w:p>
        </w:tc>
        <w:tc>
          <w:tcPr>
            <w:tcW w:w="1787" w:type="dxa"/>
          </w:tcPr>
          <w:p w14:paraId="2322C1FD">
            <w:pPr>
              <w:pStyle w:val="7"/>
              <w:rPr>
                <w:rFonts w:hint="eastAsia" w:ascii="宋体" w:hAnsi="宋体" w:cs="宋体"/>
                <w:b/>
                <w:bCs/>
                <w:color w:val="auto"/>
                <w:szCs w:val="21"/>
                <w:lang w:eastAsia="zh-CN"/>
              </w:rPr>
            </w:pPr>
            <w:r>
              <w:rPr>
                <w:rFonts w:hint="eastAsia" w:ascii="宋体" w:hAnsi="宋体" w:cs="宋体"/>
                <w:b/>
                <w:bCs/>
                <w:color w:val="auto"/>
                <w:szCs w:val="21"/>
                <w:lang w:eastAsia="zh-CN"/>
              </w:rPr>
              <w:t>□</w:t>
            </w:r>
            <w:r>
              <w:rPr>
                <w:rFonts w:hint="eastAsia" w:ascii="宋体" w:hAnsi="宋体" w:cs="宋体"/>
                <w:b/>
                <w:bCs/>
                <w:color w:val="auto"/>
                <w:szCs w:val="21"/>
              </w:rPr>
              <w:t xml:space="preserve">完全响应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□不响应</w:t>
            </w:r>
          </w:p>
        </w:tc>
      </w:tr>
      <w:tr w14:paraId="6BF9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A1917DB">
            <w:pPr>
              <w:pStyle w:val="7"/>
              <w:rPr>
                <w:rFonts w:hint="default"/>
                <w:b/>
                <w:bCs/>
                <w:color w:val="auto"/>
                <w:szCs w:val="21"/>
                <w:vertAlign w:val="baseline"/>
                <w:lang w:val="en-US" w:eastAsia="zh-CN"/>
              </w:rPr>
            </w:pPr>
            <w:r>
              <w:rPr>
                <w:rFonts w:hint="eastAsia"/>
                <w:b/>
                <w:bCs/>
                <w:color w:val="auto"/>
                <w:szCs w:val="21"/>
                <w:vertAlign w:val="baseline"/>
                <w:lang w:val="en-US" w:eastAsia="zh-CN"/>
              </w:rPr>
              <w:t>13</w:t>
            </w:r>
          </w:p>
        </w:tc>
        <w:tc>
          <w:tcPr>
            <w:tcW w:w="2136" w:type="dxa"/>
          </w:tcPr>
          <w:p w14:paraId="4DFFA4CC">
            <w:pPr>
              <w:pStyle w:val="7"/>
              <w:rPr>
                <w:rFonts w:hint="eastAsia"/>
                <w:b/>
                <w:bCs/>
                <w:color w:val="auto"/>
                <w:szCs w:val="21"/>
                <w:vertAlign w:val="baseline"/>
                <w:lang w:val="en-US" w:eastAsia="zh-CN"/>
              </w:rPr>
            </w:pPr>
            <w:r>
              <w:rPr>
                <w:rFonts w:hint="eastAsia"/>
                <w:b/>
                <w:bCs/>
                <w:color w:val="auto"/>
                <w:szCs w:val="21"/>
              </w:rPr>
              <w:t>违约责任-服务态度投诉</w:t>
            </w:r>
          </w:p>
        </w:tc>
        <w:tc>
          <w:tcPr>
            <w:tcW w:w="5221" w:type="dxa"/>
          </w:tcPr>
          <w:p w14:paraId="36F33B35">
            <w:pPr>
              <w:pStyle w:val="7"/>
              <w:rPr>
                <w:rFonts w:ascii="宋体" w:hAnsi="宋体" w:eastAsia="宋体" w:cs="宋体"/>
                <w:b/>
                <w:bCs/>
                <w:color w:val="auto"/>
                <w:sz w:val="21"/>
                <w:szCs w:val="21"/>
              </w:rPr>
            </w:pPr>
            <w:r>
              <w:rPr>
                <w:rFonts w:hint="eastAsia" w:ascii="宋体" w:hAnsi="宋体" w:cs="宋体"/>
                <w:b/>
                <w:bCs/>
                <w:color w:val="auto"/>
                <w:szCs w:val="21"/>
              </w:rPr>
              <w:t>收到客户关于配送人员服务态度恶劣的有效投诉，按100元/次支付违约金，立即对涉事人员批评教育或更换</w:t>
            </w:r>
          </w:p>
        </w:tc>
        <w:tc>
          <w:tcPr>
            <w:tcW w:w="1787" w:type="dxa"/>
          </w:tcPr>
          <w:p w14:paraId="38BBB50B">
            <w:pPr>
              <w:pStyle w:val="7"/>
              <w:rPr>
                <w:rFonts w:hint="eastAsia" w:ascii="宋体" w:hAnsi="宋体" w:cs="宋体"/>
                <w:b/>
                <w:bCs/>
                <w:color w:val="auto"/>
                <w:szCs w:val="21"/>
                <w:lang w:eastAsia="zh-CN"/>
              </w:rPr>
            </w:pPr>
            <w:r>
              <w:rPr>
                <w:rFonts w:hint="eastAsia" w:ascii="宋体" w:hAnsi="宋体" w:cs="宋体"/>
                <w:b/>
                <w:bCs/>
                <w:color w:val="auto"/>
                <w:szCs w:val="21"/>
                <w:lang w:eastAsia="zh-CN"/>
              </w:rPr>
              <w:t>□</w:t>
            </w:r>
            <w:r>
              <w:rPr>
                <w:rFonts w:hint="eastAsia" w:ascii="宋体" w:hAnsi="宋体" w:cs="宋体"/>
                <w:b/>
                <w:bCs/>
                <w:color w:val="auto"/>
                <w:szCs w:val="21"/>
              </w:rPr>
              <w:t xml:space="preserve">完全响应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□不响应</w:t>
            </w:r>
          </w:p>
        </w:tc>
      </w:tr>
      <w:tr w14:paraId="7728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C51FDC8">
            <w:pPr>
              <w:pStyle w:val="7"/>
              <w:rPr>
                <w:rFonts w:hint="default"/>
                <w:b/>
                <w:bCs/>
                <w:color w:val="auto"/>
                <w:szCs w:val="21"/>
                <w:vertAlign w:val="baseline"/>
                <w:lang w:val="en-US" w:eastAsia="zh-CN"/>
              </w:rPr>
            </w:pPr>
            <w:r>
              <w:rPr>
                <w:rFonts w:hint="eastAsia"/>
                <w:b/>
                <w:bCs/>
                <w:color w:val="auto"/>
                <w:szCs w:val="21"/>
                <w:vertAlign w:val="baseline"/>
                <w:lang w:val="en-US" w:eastAsia="zh-CN"/>
              </w:rPr>
              <w:t>14</w:t>
            </w:r>
          </w:p>
        </w:tc>
        <w:tc>
          <w:tcPr>
            <w:tcW w:w="2136" w:type="dxa"/>
          </w:tcPr>
          <w:p w14:paraId="35750DB8">
            <w:pPr>
              <w:pStyle w:val="7"/>
              <w:rPr>
                <w:rFonts w:hint="eastAsia"/>
                <w:b/>
                <w:bCs/>
                <w:color w:val="auto"/>
                <w:szCs w:val="21"/>
                <w:vertAlign w:val="baseline"/>
                <w:lang w:val="en-US" w:eastAsia="zh-CN"/>
              </w:rPr>
            </w:pPr>
            <w:r>
              <w:rPr>
                <w:rFonts w:hint="eastAsia"/>
                <w:b/>
                <w:bCs/>
                <w:color w:val="auto"/>
                <w:szCs w:val="21"/>
              </w:rPr>
              <w:t>违约责任-信息反馈问题</w:t>
            </w:r>
          </w:p>
        </w:tc>
        <w:tc>
          <w:tcPr>
            <w:tcW w:w="5221" w:type="dxa"/>
          </w:tcPr>
          <w:p w14:paraId="5DECB7D7">
            <w:pPr>
              <w:pStyle w:val="7"/>
              <w:rPr>
                <w:rFonts w:ascii="宋体" w:hAnsi="宋体" w:eastAsia="宋体" w:cs="宋体"/>
                <w:b/>
                <w:bCs/>
                <w:color w:val="auto"/>
                <w:sz w:val="21"/>
                <w:szCs w:val="21"/>
              </w:rPr>
            </w:pPr>
            <w:r>
              <w:rPr>
                <w:rFonts w:hint="eastAsia" w:ascii="宋体" w:hAnsi="宋体" w:cs="宋体"/>
                <w:b/>
                <w:bCs/>
                <w:color w:val="auto"/>
                <w:szCs w:val="21"/>
              </w:rPr>
              <w:t>未按时反馈或反馈配送进度、货物交付情况等信息不准确，按100元/次支付违约金；导致甲方决策失误或客户服务不到位，承担全部损失</w:t>
            </w:r>
          </w:p>
        </w:tc>
        <w:tc>
          <w:tcPr>
            <w:tcW w:w="1787" w:type="dxa"/>
          </w:tcPr>
          <w:p w14:paraId="38446253">
            <w:pPr>
              <w:pStyle w:val="7"/>
              <w:rPr>
                <w:rFonts w:hint="eastAsia" w:ascii="宋体" w:hAnsi="宋体" w:cs="宋体"/>
                <w:b/>
                <w:bCs/>
                <w:color w:val="auto"/>
                <w:szCs w:val="21"/>
                <w:lang w:eastAsia="zh-CN"/>
              </w:rPr>
            </w:pPr>
            <w:r>
              <w:rPr>
                <w:rFonts w:hint="eastAsia" w:ascii="宋体" w:hAnsi="宋体" w:cs="宋体"/>
                <w:b/>
                <w:bCs/>
                <w:color w:val="auto"/>
                <w:szCs w:val="21"/>
                <w:lang w:eastAsia="zh-CN"/>
              </w:rPr>
              <w:t>□</w:t>
            </w:r>
            <w:r>
              <w:rPr>
                <w:rFonts w:hint="eastAsia" w:ascii="宋体" w:hAnsi="宋体" w:cs="宋体"/>
                <w:b/>
                <w:bCs/>
                <w:color w:val="auto"/>
                <w:szCs w:val="21"/>
              </w:rPr>
              <w:t xml:space="preserve">完全响应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□不响应</w:t>
            </w:r>
          </w:p>
        </w:tc>
      </w:tr>
    </w:tbl>
    <w:p w14:paraId="71E3EA22">
      <w:pPr>
        <w:pStyle w:val="7"/>
        <w:rPr>
          <w:rFonts w:hint="default"/>
          <w:lang w:val="en-US" w:eastAsia="zh-CN"/>
        </w:rPr>
      </w:pPr>
    </w:p>
    <w:p w14:paraId="5DBA83A5">
      <w:pPr>
        <w:ind w:left="0" w:leftChars="0" w:firstLine="4410" w:firstLineChars="2100"/>
        <w:rPr>
          <w:rFonts w:hint="default" w:ascii="Times New Roman" w:hAnsi="Times New Roman" w:cs="Times New Roman"/>
          <w:szCs w:val="21"/>
          <w:highlight w:val="none"/>
        </w:rPr>
      </w:pPr>
      <w:r>
        <w:rPr>
          <w:rFonts w:hint="eastAsia" w:cs="Times New Roman"/>
          <w:szCs w:val="21"/>
          <w:highlight w:val="none"/>
          <w:lang w:val="en-US" w:eastAsia="zh-CN"/>
        </w:rPr>
        <w:t>报价人</w:t>
      </w:r>
      <w:r>
        <w:rPr>
          <w:rFonts w:hint="default" w:ascii="Times New Roman" w:hAnsi="Times New Roman" w:cs="Times New Roman"/>
          <w:szCs w:val="21"/>
          <w:highlight w:val="none"/>
        </w:rPr>
        <w:t>（加盖公章）：</w:t>
      </w:r>
    </w:p>
    <w:p w14:paraId="74CAC44D">
      <w:pPr>
        <w:ind w:firstLine="4410" w:firstLineChars="2100"/>
        <w:jc w:val="left"/>
        <w:rPr>
          <w:rFonts w:hint="default" w:ascii="Times New Roman" w:hAnsi="Times New Roman" w:cs="Times New Roman"/>
          <w:color w:val="000000"/>
          <w:kern w:val="2"/>
          <w:szCs w:val="28"/>
          <w:highlight w:val="none"/>
          <w:lang w:val="zh-CN"/>
        </w:rPr>
      </w:pPr>
      <w:r>
        <w:rPr>
          <w:rFonts w:hint="default" w:ascii="Times New Roman" w:hAnsi="Times New Roman" w:cs="Times New Roman"/>
          <w:szCs w:val="21"/>
          <w:highlight w:val="none"/>
        </w:rPr>
        <w:t>日期：    年  月  日</w:t>
      </w:r>
    </w:p>
    <w:p w14:paraId="50DB1B5E">
      <w:pPr>
        <w:rPr>
          <w:rFonts w:hint="eastAsia" w:cs="Times New Roman"/>
          <w:b/>
          <w:color w:val="000000"/>
          <w:sz w:val="28"/>
          <w:szCs w:val="28"/>
          <w:highlight w:val="none"/>
          <w:lang w:val="en-US" w:eastAsia="zh-CN"/>
        </w:rPr>
      </w:pPr>
    </w:p>
    <w:p w14:paraId="236321C1">
      <w:pPr>
        <w:rPr>
          <w:rFonts w:hint="eastAsia" w:cs="Times New Roman"/>
          <w:b/>
          <w:color w:val="000000"/>
          <w:sz w:val="28"/>
          <w:szCs w:val="28"/>
          <w:highlight w:val="none"/>
          <w:lang w:val="en-US" w:eastAsia="zh-CN"/>
        </w:rPr>
      </w:pPr>
    </w:p>
    <w:p w14:paraId="706266D6">
      <w:pPr>
        <w:rPr>
          <w:rFonts w:hint="default" w:ascii="Times New Roman" w:hAnsi="Times New Roman" w:cs="Times New Roman"/>
          <w:b/>
          <w:color w:val="000000"/>
          <w:sz w:val="28"/>
          <w:szCs w:val="28"/>
          <w:highlight w:val="none"/>
        </w:rPr>
      </w:pPr>
      <w:r>
        <w:rPr>
          <w:rFonts w:hint="eastAsia" w:cs="Times New Roman"/>
          <w:b/>
          <w:color w:val="000000"/>
          <w:sz w:val="28"/>
          <w:szCs w:val="28"/>
          <w:highlight w:val="none"/>
          <w:lang w:val="en-US" w:eastAsia="zh-CN"/>
        </w:rPr>
        <w:t>3</w:t>
      </w:r>
      <w:r>
        <w:rPr>
          <w:rFonts w:hint="default" w:ascii="Times New Roman" w:hAnsi="Times New Roman" w:cs="Times New Roman"/>
          <w:b/>
          <w:color w:val="000000"/>
          <w:sz w:val="28"/>
          <w:szCs w:val="28"/>
          <w:highlight w:val="none"/>
        </w:rPr>
        <w:t>.</w:t>
      </w:r>
      <w:bookmarkStart w:id="47" w:name="_Hlk40432212"/>
      <w:r>
        <w:rPr>
          <w:rFonts w:hint="default" w:ascii="Times New Roman" w:hAnsi="Times New Roman" w:cs="Times New Roman"/>
          <w:b/>
          <w:color w:val="000000"/>
          <w:sz w:val="28"/>
          <w:szCs w:val="28"/>
          <w:highlight w:val="none"/>
        </w:rPr>
        <w:t>项目响应声明</w:t>
      </w:r>
      <w:bookmarkEnd w:id="47"/>
    </w:p>
    <w:p w14:paraId="2A10A284">
      <w:pPr>
        <w:spacing w:line="360" w:lineRule="auto"/>
        <w:ind w:firstLine="420" w:firstLineChars="200"/>
        <w:rPr>
          <w:rFonts w:hint="default" w:ascii="Times New Roman" w:hAnsi="Times New Roman" w:cs="Times New Roman"/>
          <w:color w:val="000000"/>
          <w:sz w:val="21"/>
          <w:szCs w:val="21"/>
          <w:highlight w:val="none"/>
        </w:rPr>
      </w:pPr>
    </w:p>
    <w:p w14:paraId="0BA8E9EF">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7FB805AB">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5D4455B3">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w:t>
      </w:r>
      <w:r>
        <w:rPr>
          <w:rFonts w:hint="eastAsia" w:cs="Times New Roman"/>
          <w:highlight w:val="none"/>
          <w:lang w:val="en-US" w:eastAsia="zh-CN"/>
        </w:rPr>
        <w:t>比</w:t>
      </w:r>
      <w:r>
        <w:rPr>
          <w:rFonts w:hint="default" w:ascii="Times New Roman" w:hAnsi="Times New Roman" w:cs="Times New Roman"/>
          <w:highlight w:val="none"/>
        </w:rPr>
        <w:t>文件中的“第</w:t>
      </w:r>
      <w:r>
        <w:rPr>
          <w:rFonts w:hint="eastAsia" w:cs="Times New Roman"/>
          <w:highlight w:val="none"/>
          <w:lang w:val="en-US" w:eastAsia="zh-CN"/>
        </w:rPr>
        <w:t>二</w:t>
      </w:r>
      <w:r>
        <w:rPr>
          <w:rFonts w:hint="default" w:ascii="Times New Roman" w:hAnsi="Times New Roman" w:cs="Times New Roman"/>
          <w:highlight w:val="none"/>
        </w:rPr>
        <w:t>篇</w:t>
      </w:r>
      <w:r>
        <w:rPr>
          <w:rFonts w:hint="eastAsia" w:cs="Times New Roman"/>
          <w:highlight w:val="none"/>
          <w:lang w:val="en-US" w:eastAsia="zh-CN"/>
        </w:rPr>
        <w:t xml:space="preserve"> </w:t>
      </w:r>
      <w:r>
        <w:rPr>
          <w:rFonts w:hint="default" w:ascii="Times New Roman" w:hAnsi="Times New Roman" w:cs="Times New Roman"/>
          <w:highlight w:val="none"/>
        </w:rPr>
        <w:t>用户需求”和“第</w:t>
      </w:r>
      <w:r>
        <w:rPr>
          <w:rFonts w:hint="eastAsia" w:cs="Times New Roman"/>
          <w:highlight w:val="none"/>
          <w:lang w:val="en-US" w:eastAsia="zh-CN"/>
        </w:rPr>
        <w:t>三</w:t>
      </w:r>
      <w:r>
        <w:rPr>
          <w:rFonts w:hint="default" w:ascii="Times New Roman" w:hAnsi="Times New Roman" w:cs="Times New Roman"/>
          <w:highlight w:val="none"/>
        </w:rPr>
        <w:t>篇 合同条款”完全响应。一旦我方成交，将保证按质、按量、按期地完成项目中的全部责任和义务。如我方存在成交后放弃或提供虚假证明文件、虚假报价文件或存在实际服务质量低于询比文件要求或报价文件承诺的标准等情况的，我公司将同意并接受贵公司按照法律相关规定追究责任。</w:t>
      </w:r>
    </w:p>
    <w:p w14:paraId="68FF1658">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6230106A">
      <w:pPr>
        <w:spacing w:line="360" w:lineRule="auto"/>
        <w:ind w:firstLine="420" w:firstLineChars="200"/>
        <w:rPr>
          <w:rFonts w:hint="default" w:ascii="Times New Roman" w:hAnsi="Times New Roman" w:cs="Times New Roman"/>
          <w:color w:val="000000"/>
          <w:highlight w:val="none"/>
        </w:rPr>
      </w:pPr>
    </w:p>
    <w:p w14:paraId="277E79F4">
      <w:pPr>
        <w:spacing w:line="360" w:lineRule="auto"/>
        <w:ind w:firstLine="4464" w:firstLineChars="2126"/>
        <w:rPr>
          <w:rFonts w:hint="default" w:ascii="Times New Roman" w:hAnsi="Times New Roman" w:cs="Times New Roman"/>
          <w:highlight w:val="none"/>
        </w:rPr>
      </w:pPr>
      <w:r>
        <w:rPr>
          <w:rFonts w:hint="eastAsia" w:cs="Times New Roman"/>
          <w:highlight w:val="none"/>
          <w:lang w:val="en-US" w:eastAsia="zh-CN"/>
        </w:rPr>
        <w:t>报价人</w:t>
      </w:r>
      <w:r>
        <w:rPr>
          <w:rFonts w:hint="default" w:ascii="Times New Roman" w:hAnsi="Times New Roman" w:cs="Times New Roman"/>
          <w:highlight w:val="none"/>
        </w:rPr>
        <w:t>（加盖公章）：</w:t>
      </w:r>
    </w:p>
    <w:p w14:paraId="66FA6F3D">
      <w:pPr>
        <w:spacing w:line="360" w:lineRule="auto"/>
        <w:ind w:firstLine="4464"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47BB2ECA">
      <w:pPr>
        <w:spacing w:line="360" w:lineRule="auto"/>
        <w:rPr>
          <w:rFonts w:hint="default" w:ascii="Times New Roman" w:hAnsi="Times New Roman" w:cs="Times New Roman"/>
          <w:color w:val="FF0000"/>
          <w:szCs w:val="22"/>
          <w:highlight w:val="none"/>
        </w:rPr>
      </w:pPr>
    </w:p>
    <w:p w14:paraId="44D7CD1F">
      <w:pPr>
        <w:spacing w:line="360" w:lineRule="auto"/>
        <w:rPr>
          <w:rFonts w:hint="default" w:ascii="Times New Roman" w:hAnsi="Times New Roman" w:cs="Times New Roman"/>
          <w:color w:val="FF0000"/>
          <w:szCs w:val="22"/>
          <w:highlight w:val="none"/>
        </w:rPr>
      </w:pPr>
    </w:p>
    <w:p w14:paraId="044934CC">
      <w:pPr>
        <w:spacing w:line="360" w:lineRule="auto"/>
        <w:rPr>
          <w:rFonts w:hint="default" w:ascii="Times New Roman" w:hAnsi="Times New Roman" w:cs="Times New Roman"/>
          <w:color w:val="FF0000"/>
          <w:szCs w:val="22"/>
          <w:highlight w:val="none"/>
        </w:rPr>
      </w:pPr>
    </w:p>
    <w:p w14:paraId="3ACC6725">
      <w:pPr>
        <w:spacing w:line="360" w:lineRule="auto"/>
        <w:jc w:val="center"/>
        <w:rPr>
          <w:rFonts w:hint="default" w:ascii="Times New Roman" w:hAnsi="Times New Roman" w:cs="Times New Roman"/>
          <w:color w:val="FF0000"/>
          <w:szCs w:val="22"/>
          <w:highlight w:val="none"/>
        </w:rPr>
      </w:pPr>
    </w:p>
    <w:p w14:paraId="66CC6A08">
      <w:pPr>
        <w:spacing w:line="360" w:lineRule="auto"/>
        <w:jc w:val="center"/>
        <w:rPr>
          <w:rFonts w:hint="default" w:ascii="Times New Roman" w:hAnsi="Times New Roman" w:cs="Times New Roman"/>
          <w:color w:val="FF0000"/>
          <w:szCs w:val="22"/>
          <w:highlight w:val="none"/>
        </w:rPr>
      </w:pPr>
    </w:p>
    <w:p w14:paraId="012ED9C5">
      <w:pPr>
        <w:spacing w:line="360" w:lineRule="auto"/>
        <w:rPr>
          <w:rFonts w:hint="default" w:ascii="Times New Roman" w:hAnsi="Times New Roman" w:cs="Times New Roman"/>
          <w:sz w:val="32"/>
          <w:szCs w:val="28"/>
          <w:highlight w:val="none"/>
        </w:rPr>
      </w:pPr>
    </w:p>
    <w:p w14:paraId="33527F95">
      <w:pPr>
        <w:spacing w:line="360" w:lineRule="auto"/>
        <w:ind w:firstLine="640" w:firstLineChars="200"/>
        <w:rPr>
          <w:rFonts w:hint="default" w:ascii="Times New Roman" w:hAnsi="Times New Roman" w:cs="Times New Roman"/>
          <w:sz w:val="32"/>
          <w:szCs w:val="28"/>
          <w:highlight w:val="none"/>
        </w:rPr>
        <w:sectPr>
          <w:footerReference r:id="rId4" w:type="first"/>
          <w:footerReference r:id="rId3"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7BC253DE">
      <w:pPr>
        <w:rPr>
          <w:rFonts w:hint="default" w:ascii="Times New Roman" w:hAnsi="Times New Roman" w:cs="Times New Roman"/>
          <w:b/>
          <w:color w:val="000000"/>
          <w:sz w:val="28"/>
          <w:szCs w:val="28"/>
          <w:highlight w:val="none"/>
        </w:rPr>
      </w:pPr>
      <w:bookmarkStart w:id="48" w:name="_Toc27494730"/>
      <w:bookmarkStart w:id="49" w:name="_Hlk27495409"/>
      <w:bookmarkStart w:id="50" w:name="_Toc27494836"/>
      <w:bookmarkStart w:id="51" w:name="_Toc27491776"/>
      <w:bookmarkStart w:id="52" w:name="_Toc29476709"/>
      <w:r>
        <w:rPr>
          <w:rFonts w:hint="eastAsia"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w:t>
      </w:r>
      <w:bookmarkStart w:id="53" w:name="_Hlk39768853"/>
      <w:r>
        <w:rPr>
          <w:rFonts w:hint="default" w:ascii="Times New Roman" w:hAnsi="Times New Roman" w:cs="Times New Roman"/>
          <w:b/>
          <w:color w:val="000000"/>
          <w:sz w:val="28"/>
          <w:szCs w:val="28"/>
          <w:highlight w:val="none"/>
        </w:rPr>
        <w:t>营业执照</w:t>
      </w:r>
      <w:bookmarkEnd w:id="53"/>
    </w:p>
    <w:p w14:paraId="7F1E1A13">
      <w:pPr>
        <w:jc w:val="center"/>
        <w:rPr>
          <w:rFonts w:hint="default" w:ascii="Times New Roman" w:hAnsi="Times New Roman" w:cs="Times New Roman"/>
          <w:bCs/>
          <w:color w:val="FF0000"/>
          <w:highlight w:val="none"/>
        </w:rPr>
      </w:pPr>
    </w:p>
    <w:p w14:paraId="70CD8A3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w:t>
      </w:r>
      <w:r>
        <w:rPr>
          <w:rFonts w:hint="eastAsia" w:cs="Times New Roman"/>
          <w:color w:val="FF0000"/>
          <w:highlight w:val="none"/>
          <w:lang w:val="en-US" w:eastAsia="zh-CN"/>
        </w:rPr>
        <w:t>复印件</w:t>
      </w:r>
      <w:r>
        <w:rPr>
          <w:rFonts w:hint="default" w:ascii="Times New Roman" w:hAnsi="Times New Roman" w:cs="Times New Roman"/>
          <w:color w:val="FF0000"/>
          <w:highlight w:val="none"/>
        </w:rPr>
        <w:t>，需加盖公章</w:t>
      </w:r>
      <w:r>
        <w:rPr>
          <w:rFonts w:hint="default" w:ascii="Times New Roman" w:hAnsi="Times New Roman" w:cs="Times New Roman"/>
          <w:bCs/>
          <w:color w:val="FF0000"/>
          <w:highlight w:val="none"/>
        </w:rPr>
        <w:t>）</w:t>
      </w:r>
    </w:p>
    <w:p w14:paraId="53A9D812">
      <w:pPr>
        <w:jc w:val="center"/>
        <w:rPr>
          <w:rFonts w:hint="default" w:ascii="Times New Roman" w:hAnsi="Times New Roman" w:cs="Times New Roman"/>
          <w:bCs/>
          <w:color w:val="FF0000"/>
          <w:highlight w:val="none"/>
        </w:rPr>
      </w:pPr>
    </w:p>
    <w:p w14:paraId="6BB42C95">
      <w:pPr>
        <w:widowControl/>
        <w:autoSpaceDE/>
        <w:autoSpaceDN/>
        <w:adjustRightInd/>
        <w:rPr>
          <w:rFonts w:hint="default" w:ascii="Times New Roman" w:hAnsi="Times New Roman" w:cs="Times New Roman"/>
          <w:bCs/>
          <w:color w:val="FF000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2E2AEB">
      <w:pPr>
        <w:rPr>
          <w:rFonts w:hint="default" w:ascii="Times New Roman" w:hAnsi="Times New Roman" w:cs="Times New Roman"/>
          <w:b/>
          <w:color w:val="000000"/>
          <w:sz w:val="28"/>
          <w:szCs w:val="28"/>
          <w:highlight w:val="none"/>
        </w:rPr>
      </w:pPr>
      <w:r>
        <w:rPr>
          <w:rFonts w:hint="eastAsia"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759869B6">
      <w:pPr>
        <w:jc w:val="center"/>
        <w:rPr>
          <w:rFonts w:hint="default" w:ascii="Times New Roman" w:hAnsi="Times New Roman" w:cs="Times New Roman"/>
          <w:bCs/>
          <w:color w:val="FF0000"/>
          <w:highlight w:val="none"/>
        </w:rPr>
      </w:pPr>
    </w:p>
    <w:p w14:paraId="7E0E7478">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lang w:val="en-US" w:eastAsia="zh-CN"/>
        </w:rPr>
        <w:t>先生／女士：现任我单位</w:t>
      </w:r>
      <w:r>
        <w:rPr>
          <w:rFonts w:hint="eastAsia" w:ascii="Times New Roman" w:hAnsi="Times New Roman"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lang w:val="en-US" w:eastAsia="zh-CN"/>
        </w:rPr>
        <w:t>职务，为法定代表人，特此证明。</w:t>
      </w:r>
    </w:p>
    <w:p w14:paraId="4BB13E76">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0E57F219">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附：代表人性别：       年龄：         身份证号码：            </w:t>
      </w:r>
    </w:p>
    <w:p w14:paraId="03BC9790">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营业执照号码：         经济性质： </w:t>
      </w:r>
    </w:p>
    <w:p w14:paraId="3AB1BD5B">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主营（产）：</w:t>
      </w:r>
    </w:p>
    <w:p w14:paraId="565606BB">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兼营（产）：</w:t>
      </w:r>
    </w:p>
    <w:p w14:paraId="5C348935">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附 法定代表人身份证复印件</w:t>
      </w:r>
    </w:p>
    <w:p w14:paraId="4555A869">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62FA2F5C">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1DF69DDE">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 </w:t>
      </w:r>
    </w:p>
    <w:p w14:paraId="34192E5B">
      <w:pPr>
        <w:spacing w:line="360" w:lineRule="auto"/>
        <w:ind w:firstLine="4560" w:firstLineChars="1900"/>
        <w:jc w:val="both"/>
        <w:rPr>
          <w:rFonts w:hint="eastAsia" w:ascii="Times New Roman" w:hAnsi="Times New Roman" w:cs="Times New Roman"/>
          <w:b w:val="0"/>
          <w:bCs w:val="0"/>
          <w:color w:val="auto"/>
          <w:sz w:val="24"/>
          <w:szCs w:val="24"/>
          <w:highlight w:val="none"/>
          <w:lang w:val="zh-CN" w:eastAsia="zh-CN"/>
        </w:rPr>
      </w:pPr>
      <w:r>
        <w:rPr>
          <w:rFonts w:hint="eastAsia" w:cs="Times New Roman"/>
          <w:b w:val="0"/>
          <w:bCs w:val="0"/>
          <w:color w:val="auto"/>
          <w:sz w:val="24"/>
          <w:szCs w:val="24"/>
          <w:highlight w:val="none"/>
          <w:lang w:val="en-US" w:eastAsia="zh-CN"/>
        </w:rPr>
        <w:t>报价人</w:t>
      </w:r>
      <w:r>
        <w:rPr>
          <w:rFonts w:hint="eastAsia" w:ascii="Times New Roman" w:hAnsi="Times New Roman" w:cs="Times New Roman"/>
          <w:b w:val="0"/>
          <w:bCs w:val="0"/>
          <w:color w:val="auto"/>
          <w:sz w:val="24"/>
          <w:szCs w:val="24"/>
          <w:highlight w:val="none"/>
          <w:lang w:val="zh-CN" w:eastAsia="zh-CN"/>
        </w:rPr>
        <w:t>：（加盖公章</w:t>
      </w:r>
      <w:r>
        <w:rPr>
          <w:rFonts w:hint="eastAsia" w:cs="Times New Roman"/>
          <w:b w:val="0"/>
          <w:bCs w:val="0"/>
          <w:color w:val="auto"/>
          <w:sz w:val="24"/>
          <w:szCs w:val="24"/>
          <w:highlight w:val="none"/>
          <w:lang w:val="en-US" w:eastAsia="zh-CN"/>
        </w:rPr>
        <w:t>及法人章/签名</w:t>
      </w:r>
      <w:r>
        <w:rPr>
          <w:rFonts w:hint="eastAsia" w:ascii="Times New Roman" w:hAnsi="Times New Roman" w:cs="Times New Roman"/>
          <w:b w:val="0"/>
          <w:bCs w:val="0"/>
          <w:color w:val="auto"/>
          <w:sz w:val="24"/>
          <w:szCs w:val="24"/>
          <w:highlight w:val="none"/>
          <w:lang w:val="zh-CN" w:eastAsia="zh-CN"/>
        </w:rPr>
        <w:t>）</w:t>
      </w:r>
    </w:p>
    <w:p w14:paraId="0882DEB7">
      <w:pPr>
        <w:spacing w:line="360" w:lineRule="auto"/>
        <w:ind w:firstLine="4800" w:firstLineChars="20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日期：   年   月   日</w:t>
      </w:r>
    </w:p>
    <w:p w14:paraId="01884DCC">
      <w:pPr>
        <w:spacing w:line="360" w:lineRule="auto"/>
        <w:ind w:left="0" w:leftChars="0" w:firstLine="0" w:firstLineChars="0"/>
        <w:jc w:val="both"/>
        <w:rPr>
          <w:rFonts w:hint="eastAsia" w:ascii="Times New Roman" w:hAnsi="Times New Roman" w:cs="Times New Roman"/>
          <w:b w:val="0"/>
          <w:bCs w:val="0"/>
          <w:color w:val="auto"/>
          <w:sz w:val="24"/>
          <w:szCs w:val="24"/>
          <w:highlight w:val="none"/>
          <w:lang w:val="en-US" w:eastAsia="zh-CN"/>
        </w:rPr>
      </w:pPr>
    </w:p>
    <w:p w14:paraId="29514AF9">
      <w:pPr>
        <w:spacing w:line="360" w:lineRule="auto"/>
        <w:ind w:left="0" w:leftChars="0" w:firstLine="0" w:firstLineChars="0"/>
        <w:jc w:val="both"/>
        <w:rPr>
          <w:rFonts w:hint="eastAsia" w:ascii="Times New Roman" w:hAnsi="Times New Roman" w:cs="Times New Roman"/>
          <w:b w:val="0"/>
          <w:bCs w:val="0"/>
          <w:color w:val="auto"/>
          <w:sz w:val="24"/>
          <w:szCs w:val="24"/>
          <w:highlight w:val="none"/>
          <w:lang w:val="en-US" w:eastAsia="zh-CN"/>
        </w:rPr>
      </w:pPr>
    </w:p>
    <w:p w14:paraId="5A88608A">
      <w:pPr>
        <w:spacing w:line="360" w:lineRule="auto"/>
        <w:ind w:left="0" w:leftChars="0" w:firstLine="0" w:firstLineChars="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附 法定代表人身份证复印件</w:t>
      </w:r>
    </w:p>
    <w:p w14:paraId="0A34A5BE">
      <w:pPr>
        <w:spacing w:line="36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114300" distR="114300">
            <wp:extent cx="2512695" cy="184277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512695" cy="1842770"/>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rPr>
        <w:drawing>
          <wp:inline distT="0" distB="0" distL="114300" distR="114300">
            <wp:extent cx="2572385" cy="1854200"/>
            <wp:effectExtent l="0" t="0" r="1841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572385" cy="1854200"/>
                    </a:xfrm>
                    <a:prstGeom prst="rect">
                      <a:avLst/>
                    </a:prstGeom>
                    <a:noFill/>
                    <a:ln>
                      <a:noFill/>
                    </a:ln>
                  </pic:spPr>
                </pic:pic>
              </a:graphicData>
            </a:graphic>
          </wp:inline>
        </w:drawing>
      </w:r>
    </w:p>
    <w:p w14:paraId="77110C3A">
      <w:pPr>
        <w:jc w:val="center"/>
        <w:rPr>
          <w:rFonts w:hint="default" w:ascii="Times New Roman" w:hAnsi="Times New Roman" w:cs="Times New Roman"/>
          <w:bCs/>
          <w:color w:val="FF0000"/>
          <w:highlight w:val="none"/>
        </w:rPr>
      </w:pPr>
      <w:r>
        <w:rPr>
          <w:rFonts w:hint="eastAsia" w:ascii="Times New Roman" w:hAnsi="Times New Roman" w:cs="Times New Roman"/>
          <w:b/>
          <w:bCs/>
          <w:color w:val="FF0000"/>
          <w:sz w:val="24"/>
          <w:szCs w:val="24"/>
          <w:highlight w:val="none"/>
          <w:lang w:val="en-US" w:eastAsia="zh-CN"/>
        </w:rPr>
        <w:t>注：法定代表人身份证须在有效期限内。</w:t>
      </w:r>
    </w:p>
    <w:p w14:paraId="65ED4D44">
      <w:pPr>
        <w:rPr>
          <w:rFonts w:hint="default" w:ascii="Times New Roman" w:hAnsi="Times New Roman" w:cs="Times New Roman"/>
          <w:b/>
          <w:color w:val="000000"/>
          <w:sz w:val="28"/>
          <w:szCs w:val="28"/>
          <w:highlight w:val="none"/>
        </w:rPr>
      </w:pPr>
    </w:p>
    <w:p w14:paraId="06EABD74">
      <w:pPr>
        <w:rPr>
          <w:rFonts w:hint="default" w:ascii="Times New Roman" w:hAnsi="Times New Roman" w:cs="Times New Roman"/>
          <w:b/>
          <w:color w:val="000000"/>
          <w:sz w:val="28"/>
          <w:szCs w:val="28"/>
          <w:highlight w:val="none"/>
        </w:rPr>
      </w:pPr>
    </w:p>
    <w:p w14:paraId="0B1DB08B">
      <w:pPr>
        <w:rPr>
          <w:rFonts w:hint="default" w:ascii="Times New Roman" w:hAnsi="Times New Roman" w:cs="Times New Roman"/>
          <w:b/>
          <w:color w:val="000000"/>
          <w:sz w:val="28"/>
          <w:szCs w:val="28"/>
          <w:highlight w:val="none"/>
        </w:rPr>
      </w:pPr>
    </w:p>
    <w:p w14:paraId="54F4006D">
      <w:pPr>
        <w:numPr>
          <w:ilvl w:val="0"/>
          <w:numId w:val="0"/>
        </w:numPr>
        <w:rPr>
          <w:rFonts w:hint="eastAsia" w:cs="Times New Roman"/>
          <w:b/>
          <w:color w:val="000000"/>
          <w:sz w:val="28"/>
          <w:szCs w:val="28"/>
          <w:highlight w:val="none"/>
          <w:lang w:val="en-US" w:eastAsia="zh-CN"/>
        </w:rPr>
      </w:pPr>
      <w:r>
        <w:rPr>
          <w:rFonts w:hint="eastAsia" w:cs="Times New Roman"/>
          <w:b/>
          <w:color w:val="000000"/>
          <w:sz w:val="28"/>
          <w:szCs w:val="28"/>
          <w:highlight w:val="none"/>
          <w:lang w:val="en-US" w:eastAsia="zh-CN"/>
        </w:rPr>
        <w:t>6.企业综合实力</w:t>
      </w:r>
    </w:p>
    <w:p w14:paraId="7F9540B2">
      <w:pPr>
        <w:jc w:val="center"/>
        <w:rPr>
          <w:rFonts w:hint="eastAsia" w:ascii="Times New Roman" w:hAnsi="Times New Roman" w:cs="Times New Roman"/>
          <w:bCs/>
          <w:color w:val="FF0000"/>
          <w:highlight w:val="none"/>
          <w:lang w:val="en-US" w:eastAsia="zh-CN"/>
        </w:rPr>
      </w:pPr>
      <w:r>
        <w:rPr>
          <w:rFonts w:hint="eastAsia" w:ascii="Times New Roman" w:hAnsi="Times New Roman" w:cs="Times New Roman"/>
          <w:bCs/>
          <w:color w:val="FF0000"/>
          <w:highlight w:val="none"/>
          <w:lang w:val="en-US" w:eastAsia="zh-CN"/>
        </w:rPr>
        <w:t>质量管理体系、环境管理体系、职业健康安全管理体系认证</w:t>
      </w:r>
      <w:r>
        <w:rPr>
          <w:rFonts w:hint="eastAsia" w:cs="Times New Roman"/>
          <w:bCs/>
          <w:color w:val="FF0000"/>
          <w:highlight w:val="none"/>
          <w:lang w:val="en-US" w:eastAsia="zh-CN"/>
        </w:rPr>
        <w:t>（如有）</w:t>
      </w:r>
    </w:p>
    <w:p w14:paraId="2396C507">
      <w:pPr>
        <w:rPr>
          <w:rFonts w:hint="default" w:cs="Times New Roman"/>
          <w:b/>
          <w:color w:val="000000"/>
          <w:sz w:val="28"/>
          <w:szCs w:val="28"/>
          <w:highlight w:val="none"/>
          <w:lang w:val="en-US" w:eastAsia="zh-CN"/>
        </w:rPr>
      </w:pPr>
    </w:p>
    <w:p w14:paraId="1A8FCDE9">
      <w:pPr>
        <w:rPr>
          <w:rFonts w:hint="eastAsia" w:cs="Times New Roman"/>
          <w:b/>
          <w:color w:val="000000"/>
          <w:sz w:val="28"/>
          <w:szCs w:val="28"/>
          <w:highlight w:val="none"/>
          <w:lang w:val="en-US" w:eastAsia="zh-CN"/>
        </w:rPr>
      </w:pPr>
    </w:p>
    <w:p w14:paraId="70DB9935">
      <w:pPr>
        <w:rPr>
          <w:rFonts w:hint="eastAsia" w:cs="Times New Roman"/>
          <w:b/>
          <w:color w:val="000000"/>
          <w:sz w:val="28"/>
          <w:szCs w:val="28"/>
          <w:highlight w:val="none"/>
          <w:lang w:val="en-US" w:eastAsia="zh-CN"/>
        </w:rPr>
      </w:pPr>
    </w:p>
    <w:p w14:paraId="0EFD7926">
      <w:pPr>
        <w:rPr>
          <w:rFonts w:hint="eastAsia" w:cs="Times New Roman"/>
          <w:b/>
          <w:color w:val="000000"/>
          <w:sz w:val="28"/>
          <w:szCs w:val="28"/>
          <w:highlight w:val="none"/>
          <w:lang w:val="en-US" w:eastAsia="zh-CN"/>
        </w:rPr>
      </w:pPr>
    </w:p>
    <w:p w14:paraId="2336B65E">
      <w:pPr>
        <w:rPr>
          <w:rFonts w:hint="eastAsia" w:cs="Times New Roman"/>
          <w:b/>
          <w:color w:val="000000"/>
          <w:sz w:val="28"/>
          <w:szCs w:val="28"/>
          <w:highlight w:val="none"/>
          <w:lang w:val="en-US" w:eastAsia="zh-CN"/>
        </w:rPr>
      </w:pPr>
    </w:p>
    <w:p w14:paraId="2E8136D8">
      <w:pPr>
        <w:rPr>
          <w:rFonts w:hint="eastAsia" w:cs="Times New Roman"/>
          <w:b/>
          <w:color w:val="000000"/>
          <w:sz w:val="28"/>
          <w:szCs w:val="28"/>
          <w:highlight w:val="none"/>
          <w:lang w:val="en-US" w:eastAsia="zh-CN"/>
        </w:rPr>
      </w:pPr>
    </w:p>
    <w:p w14:paraId="3230F121">
      <w:pPr>
        <w:rPr>
          <w:rFonts w:hint="eastAsia" w:cs="Times New Roman"/>
          <w:b/>
          <w:color w:val="000000"/>
          <w:sz w:val="28"/>
          <w:szCs w:val="28"/>
          <w:highlight w:val="none"/>
          <w:lang w:val="en-US" w:eastAsia="zh-CN"/>
        </w:rPr>
      </w:pPr>
    </w:p>
    <w:p w14:paraId="4EF11F91">
      <w:pPr>
        <w:rPr>
          <w:rFonts w:hint="eastAsia" w:cs="Times New Roman"/>
          <w:b/>
          <w:color w:val="000000"/>
          <w:sz w:val="28"/>
          <w:szCs w:val="28"/>
          <w:highlight w:val="none"/>
          <w:lang w:val="en-US" w:eastAsia="zh-CN"/>
        </w:rPr>
      </w:pPr>
    </w:p>
    <w:p w14:paraId="11C6701B">
      <w:pPr>
        <w:rPr>
          <w:rFonts w:hint="eastAsia" w:cs="Times New Roman"/>
          <w:b/>
          <w:color w:val="000000"/>
          <w:sz w:val="28"/>
          <w:szCs w:val="28"/>
          <w:highlight w:val="none"/>
          <w:lang w:val="en-US" w:eastAsia="zh-CN"/>
        </w:rPr>
      </w:pPr>
    </w:p>
    <w:p w14:paraId="1DBEBC48">
      <w:pPr>
        <w:rPr>
          <w:rFonts w:hint="eastAsia" w:cs="Times New Roman"/>
          <w:b/>
          <w:color w:val="000000"/>
          <w:sz w:val="28"/>
          <w:szCs w:val="28"/>
          <w:highlight w:val="none"/>
          <w:lang w:val="en-US" w:eastAsia="zh-CN"/>
        </w:rPr>
      </w:pPr>
    </w:p>
    <w:p w14:paraId="1E762F76">
      <w:pPr>
        <w:rPr>
          <w:rFonts w:hint="eastAsia" w:cs="Times New Roman"/>
          <w:b/>
          <w:color w:val="000000"/>
          <w:sz w:val="28"/>
          <w:szCs w:val="28"/>
          <w:highlight w:val="none"/>
          <w:lang w:val="en-US" w:eastAsia="zh-CN"/>
        </w:rPr>
      </w:pPr>
    </w:p>
    <w:p w14:paraId="0371AF8E">
      <w:pPr>
        <w:rPr>
          <w:rFonts w:hint="eastAsia" w:cs="Times New Roman"/>
          <w:b/>
          <w:color w:val="000000"/>
          <w:sz w:val="28"/>
          <w:szCs w:val="28"/>
          <w:highlight w:val="none"/>
          <w:lang w:val="en-US" w:eastAsia="zh-CN"/>
        </w:rPr>
      </w:pPr>
    </w:p>
    <w:p w14:paraId="6B8D4A86">
      <w:pPr>
        <w:rPr>
          <w:rFonts w:hint="eastAsia" w:cs="Times New Roman"/>
          <w:b/>
          <w:color w:val="000000"/>
          <w:sz w:val="28"/>
          <w:szCs w:val="28"/>
          <w:highlight w:val="none"/>
          <w:lang w:val="en-US" w:eastAsia="zh-CN"/>
        </w:rPr>
      </w:pPr>
    </w:p>
    <w:p w14:paraId="1636231D">
      <w:pPr>
        <w:rPr>
          <w:rFonts w:hint="eastAsia" w:cs="Times New Roman"/>
          <w:b/>
          <w:color w:val="000000"/>
          <w:sz w:val="28"/>
          <w:szCs w:val="28"/>
          <w:highlight w:val="none"/>
          <w:lang w:val="en-US" w:eastAsia="zh-CN"/>
        </w:rPr>
      </w:pPr>
    </w:p>
    <w:p w14:paraId="5A55044D">
      <w:pPr>
        <w:rPr>
          <w:rFonts w:hint="eastAsia" w:cs="Times New Roman"/>
          <w:b/>
          <w:color w:val="000000"/>
          <w:sz w:val="28"/>
          <w:szCs w:val="28"/>
          <w:highlight w:val="none"/>
          <w:lang w:val="en-US" w:eastAsia="zh-CN"/>
        </w:rPr>
      </w:pPr>
    </w:p>
    <w:p w14:paraId="7AD982F4">
      <w:pPr>
        <w:rPr>
          <w:rFonts w:hint="eastAsia" w:cs="Times New Roman"/>
          <w:b/>
          <w:color w:val="000000"/>
          <w:sz w:val="28"/>
          <w:szCs w:val="28"/>
          <w:highlight w:val="none"/>
          <w:lang w:val="en-US" w:eastAsia="zh-CN"/>
        </w:rPr>
      </w:pPr>
    </w:p>
    <w:p w14:paraId="07EF9616">
      <w:pPr>
        <w:rPr>
          <w:rFonts w:hint="eastAsia" w:cs="Times New Roman"/>
          <w:b/>
          <w:color w:val="000000"/>
          <w:sz w:val="28"/>
          <w:szCs w:val="28"/>
          <w:highlight w:val="none"/>
          <w:lang w:val="en-US" w:eastAsia="zh-CN"/>
        </w:rPr>
      </w:pPr>
    </w:p>
    <w:p w14:paraId="09991366">
      <w:pPr>
        <w:rPr>
          <w:rFonts w:hint="eastAsia" w:cs="Times New Roman"/>
          <w:b/>
          <w:color w:val="000000"/>
          <w:sz w:val="28"/>
          <w:szCs w:val="28"/>
          <w:highlight w:val="none"/>
          <w:lang w:val="en-US" w:eastAsia="zh-CN"/>
        </w:rPr>
      </w:pPr>
    </w:p>
    <w:p w14:paraId="08371A43">
      <w:pPr>
        <w:rPr>
          <w:rFonts w:hint="eastAsia" w:cs="Times New Roman"/>
          <w:b/>
          <w:color w:val="000000"/>
          <w:sz w:val="28"/>
          <w:szCs w:val="28"/>
          <w:highlight w:val="none"/>
          <w:lang w:val="en-US" w:eastAsia="zh-CN"/>
        </w:rPr>
      </w:pPr>
    </w:p>
    <w:p w14:paraId="7D887140">
      <w:pPr>
        <w:rPr>
          <w:rFonts w:hint="eastAsia" w:cs="Times New Roman"/>
          <w:b/>
          <w:color w:val="000000"/>
          <w:sz w:val="28"/>
          <w:szCs w:val="28"/>
          <w:highlight w:val="none"/>
          <w:lang w:val="en-US" w:eastAsia="zh-CN"/>
        </w:rPr>
      </w:pPr>
    </w:p>
    <w:p w14:paraId="65C9DA9E">
      <w:pPr>
        <w:rPr>
          <w:rFonts w:hint="eastAsia" w:cs="Times New Roman"/>
          <w:b/>
          <w:color w:val="000000"/>
          <w:sz w:val="28"/>
          <w:szCs w:val="28"/>
          <w:highlight w:val="none"/>
          <w:lang w:val="en-US" w:eastAsia="zh-CN"/>
        </w:rPr>
      </w:pPr>
    </w:p>
    <w:p w14:paraId="6BB95C34">
      <w:pPr>
        <w:rPr>
          <w:rFonts w:hint="default" w:ascii="Times New Roman" w:hAnsi="Times New Roman" w:cs="Times New Roman"/>
          <w:b/>
          <w:color w:val="000000"/>
          <w:sz w:val="28"/>
          <w:szCs w:val="28"/>
          <w:highlight w:val="none"/>
          <w:lang w:val="en-US" w:eastAsia="zh-CN"/>
        </w:rPr>
      </w:pPr>
      <w:r>
        <w:rPr>
          <w:rFonts w:hint="eastAsia" w:cs="Times New Roman"/>
          <w:b/>
          <w:color w:val="000000"/>
          <w:sz w:val="28"/>
          <w:szCs w:val="28"/>
          <w:highlight w:val="none"/>
          <w:lang w:val="en-US" w:eastAsia="zh-CN"/>
        </w:rPr>
        <w:t>7.资格业绩（至少提供一项</w:t>
      </w:r>
      <w:r>
        <w:rPr>
          <w:rFonts w:hint="default" w:ascii="Times New Roman" w:hAnsi="Times New Roman" w:cs="Times New Roman"/>
          <w:b/>
          <w:color w:val="000000"/>
          <w:sz w:val="28"/>
          <w:szCs w:val="28"/>
          <w:highlight w:val="none"/>
          <w:lang w:val="en-US" w:eastAsia="zh-CN"/>
        </w:rPr>
        <w:t>202</w:t>
      </w:r>
      <w:r>
        <w:rPr>
          <w:rFonts w:hint="eastAsia"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lang w:val="en-US" w:eastAsia="zh-CN"/>
        </w:rPr>
        <w:t>年1月1日以来承接的物流配送服务业绩</w:t>
      </w:r>
      <w:r>
        <w:rPr>
          <w:rFonts w:hint="eastAsia" w:cs="Times New Roman"/>
          <w:b/>
          <w:color w:val="000000"/>
          <w:sz w:val="28"/>
          <w:szCs w:val="28"/>
          <w:highlight w:val="none"/>
          <w:lang w:val="en-US"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414"/>
        <w:gridCol w:w="1776"/>
        <w:gridCol w:w="1265"/>
        <w:gridCol w:w="1694"/>
        <w:gridCol w:w="1420"/>
      </w:tblGrid>
      <w:tr w14:paraId="023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0" w:type="dxa"/>
          </w:tcPr>
          <w:p w14:paraId="0998DE68">
            <w:pP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序号</w:t>
            </w:r>
          </w:p>
        </w:tc>
        <w:tc>
          <w:tcPr>
            <w:tcW w:w="1414" w:type="dxa"/>
          </w:tcPr>
          <w:p w14:paraId="369101CE">
            <w:pP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项目名称</w:t>
            </w:r>
          </w:p>
        </w:tc>
        <w:tc>
          <w:tcPr>
            <w:tcW w:w="1776" w:type="dxa"/>
          </w:tcPr>
          <w:p w14:paraId="2873AB45">
            <w:pP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合同主要内容</w:t>
            </w:r>
          </w:p>
        </w:tc>
        <w:tc>
          <w:tcPr>
            <w:tcW w:w="1265" w:type="dxa"/>
          </w:tcPr>
          <w:p w14:paraId="65AFE826">
            <w:pP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合同金额（万元）</w:t>
            </w:r>
          </w:p>
        </w:tc>
        <w:tc>
          <w:tcPr>
            <w:tcW w:w="1694" w:type="dxa"/>
          </w:tcPr>
          <w:p w14:paraId="27788059">
            <w:pP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 xml:space="preserve">合同签订日期 </w:t>
            </w:r>
          </w:p>
        </w:tc>
        <w:tc>
          <w:tcPr>
            <w:tcW w:w="1420" w:type="dxa"/>
          </w:tcPr>
          <w:p w14:paraId="36C41E05">
            <w:pP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业主联系人及电话</w:t>
            </w:r>
          </w:p>
        </w:tc>
      </w:tr>
      <w:tr w14:paraId="59EC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1D3B5F7A">
            <w:pP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1</w:t>
            </w:r>
          </w:p>
        </w:tc>
        <w:tc>
          <w:tcPr>
            <w:tcW w:w="1414" w:type="dxa"/>
          </w:tcPr>
          <w:p w14:paraId="31B99B2E">
            <w:pPr>
              <w:rPr>
                <w:rFonts w:hint="eastAsia" w:cs="Times New Roman"/>
                <w:b w:val="0"/>
                <w:bCs/>
                <w:color w:val="000000"/>
                <w:sz w:val="24"/>
                <w:szCs w:val="24"/>
                <w:highlight w:val="none"/>
                <w:vertAlign w:val="baseline"/>
                <w:lang w:val="en-US" w:eastAsia="zh-CN"/>
              </w:rPr>
            </w:pPr>
          </w:p>
        </w:tc>
        <w:tc>
          <w:tcPr>
            <w:tcW w:w="1776" w:type="dxa"/>
          </w:tcPr>
          <w:p w14:paraId="7C715F40">
            <w:pPr>
              <w:rPr>
                <w:rFonts w:hint="eastAsia" w:cs="Times New Roman"/>
                <w:b w:val="0"/>
                <w:bCs/>
                <w:color w:val="000000"/>
                <w:sz w:val="24"/>
                <w:szCs w:val="24"/>
                <w:highlight w:val="none"/>
                <w:vertAlign w:val="baseline"/>
                <w:lang w:val="en-US" w:eastAsia="zh-CN"/>
              </w:rPr>
            </w:pPr>
          </w:p>
        </w:tc>
        <w:tc>
          <w:tcPr>
            <w:tcW w:w="1265" w:type="dxa"/>
          </w:tcPr>
          <w:p w14:paraId="5A3EA88F">
            <w:pPr>
              <w:rPr>
                <w:rFonts w:hint="eastAsia" w:cs="Times New Roman"/>
                <w:b w:val="0"/>
                <w:bCs/>
                <w:color w:val="000000"/>
                <w:sz w:val="24"/>
                <w:szCs w:val="24"/>
                <w:highlight w:val="none"/>
                <w:vertAlign w:val="baseline"/>
                <w:lang w:val="en-US" w:eastAsia="zh-CN"/>
              </w:rPr>
            </w:pPr>
          </w:p>
        </w:tc>
        <w:tc>
          <w:tcPr>
            <w:tcW w:w="1694" w:type="dxa"/>
          </w:tcPr>
          <w:p w14:paraId="04DFBED1">
            <w:pPr>
              <w:rPr>
                <w:rFonts w:hint="eastAsia" w:cs="Times New Roman"/>
                <w:b w:val="0"/>
                <w:bCs/>
                <w:color w:val="000000"/>
                <w:sz w:val="24"/>
                <w:szCs w:val="24"/>
                <w:highlight w:val="none"/>
                <w:vertAlign w:val="baseline"/>
                <w:lang w:val="en-US" w:eastAsia="zh-CN"/>
              </w:rPr>
            </w:pPr>
          </w:p>
        </w:tc>
        <w:tc>
          <w:tcPr>
            <w:tcW w:w="1420" w:type="dxa"/>
          </w:tcPr>
          <w:p w14:paraId="0782E2AA">
            <w:pPr>
              <w:rPr>
                <w:rFonts w:hint="eastAsia" w:cs="Times New Roman"/>
                <w:b w:val="0"/>
                <w:bCs/>
                <w:color w:val="000000"/>
                <w:sz w:val="24"/>
                <w:szCs w:val="24"/>
                <w:highlight w:val="none"/>
                <w:vertAlign w:val="baseline"/>
                <w:lang w:val="en-US" w:eastAsia="zh-CN"/>
              </w:rPr>
            </w:pPr>
          </w:p>
        </w:tc>
      </w:tr>
      <w:tr w14:paraId="6FE8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55ED9BDC">
            <w:pP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2</w:t>
            </w:r>
          </w:p>
        </w:tc>
        <w:tc>
          <w:tcPr>
            <w:tcW w:w="1414" w:type="dxa"/>
          </w:tcPr>
          <w:p w14:paraId="402A0331">
            <w:pPr>
              <w:rPr>
                <w:rFonts w:hint="eastAsia" w:cs="Times New Roman"/>
                <w:b w:val="0"/>
                <w:bCs/>
                <w:color w:val="000000"/>
                <w:sz w:val="24"/>
                <w:szCs w:val="24"/>
                <w:highlight w:val="none"/>
                <w:vertAlign w:val="baseline"/>
                <w:lang w:val="en-US" w:eastAsia="zh-CN"/>
              </w:rPr>
            </w:pPr>
          </w:p>
        </w:tc>
        <w:tc>
          <w:tcPr>
            <w:tcW w:w="1776" w:type="dxa"/>
          </w:tcPr>
          <w:p w14:paraId="6D9184D9">
            <w:pPr>
              <w:rPr>
                <w:rFonts w:hint="eastAsia" w:cs="Times New Roman"/>
                <w:b w:val="0"/>
                <w:bCs/>
                <w:color w:val="000000"/>
                <w:sz w:val="24"/>
                <w:szCs w:val="24"/>
                <w:highlight w:val="none"/>
                <w:vertAlign w:val="baseline"/>
                <w:lang w:val="en-US" w:eastAsia="zh-CN"/>
              </w:rPr>
            </w:pPr>
          </w:p>
        </w:tc>
        <w:tc>
          <w:tcPr>
            <w:tcW w:w="1265" w:type="dxa"/>
          </w:tcPr>
          <w:p w14:paraId="3FEDC920">
            <w:pPr>
              <w:rPr>
                <w:rFonts w:hint="eastAsia" w:cs="Times New Roman"/>
                <w:b w:val="0"/>
                <w:bCs/>
                <w:color w:val="000000"/>
                <w:sz w:val="24"/>
                <w:szCs w:val="24"/>
                <w:highlight w:val="none"/>
                <w:vertAlign w:val="baseline"/>
                <w:lang w:val="en-US" w:eastAsia="zh-CN"/>
              </w:rPr>
            </w:pPr>
          </w:p>
        </w:tc>
        <w:tc>
          <w:tcPr>
            <w:tcW w:w="1694" w:type="dxa"/>
          </w:tcPr>
          <w:p w14:paraId="5132B224">
            <w:pPr>
              <w:rPr>
                <w:rFonts w:hint="eastAsia" w:cs="Times New Roman"/>
                <w:b w:val="0"/>
                <w:bCs/>
                <w:color w:val="000000"/>
                <w:sz w:val="24"/>
                <w:szCs w:val="24"/>
                <w:highlight w:val="none"/>
                <w:vertAlign w:val="baseline"/>
                <w:lang w:val="en-US" w:eastAsia="zh-CN"/>
              </w:rPr>
            </w:pPr>
          </w:p>
        </w:tc>
        <w:tc>
          <w:tcPr>
            <w:tcW w:w="1420" w:type="dxa"/>
          </w:tcPr>
          <w:p w14:paraId="46CA5F65">
            <w:pPr>
              <w:rPr>
                <w:rFonts w:hint="eastAsia" w:cs="Times New Roman"/>
                <w:b w:val="0"/>
                <w:bCs/>
                <w:color w:val="000000"/>
                <w:sz w:val="24"/>
                <w:szCs w:val="24"/>
                <w:highlight w:val="none"/>
                <w:vertAlign w:val="baseline"/>
                <w:lang w:val="en-US" w:eastAsia="zh-CN"/>
              </w:rPr>
            </w:pPr>
          </w:p>
        </w:tc>
      </w:tr>
    </w:tbl>
    <w:p w14:paraId="4A28C940">
      <w:pPr>
        <w:rPr>
          <w:rFonts w:hint="eastAsia" w:ascii="Times New Roman" w:hAnsi="Times New Roman" w:cs="Times New Roman"/>
          <w:bCs/>
          <w:color w:val="FF0000"/>
          <w:highlight w:val="none"/>
          <w:lang w:val="en-US" w:eastAsia="zh-CN"/>
        </w:rPr>
      </w:pPr>
      <w:r>
        <w:rPr>
          <w:rFonts w:hint="eastAsia" w:ascii="Times New Roman" w:hAnsi="Times New Roman" w:cs="Times New Roman"/>
          <w:bCs/>
          <w:color w:val="FF0000"/>
          <w:highlight w:val="none"/>
          <w:lang w:val="en-US" w:eastAsia="zh-CN"/>
        </w:rPr>
        <w:t>备注：须附合同关键页复印件，合同金额须清晰可见；如为框架协议无明确金额，需同时提供发票统计表及发票复印件。</w:t>
      </w:r>
    </w:p>
    <w:p w14:paraId="1924E05F">
      <w:pPr>
        <w:rPr>
          <w:rFonts w:hint="eastAsia" w:cs="Times New Roman"/>
          <w:b/>
          <w:color w:val="000000"/>
          <w:sz w:val="28"/>
          <w:szCs w:val="28"/>
          <w:highlight w:val="none"/>
          <w:lang w:val="en-US" w:eastAsia="zh-CN"/>
        </w:rPr>
      </w:pPr>
    </w:p>
    <w:p w14:paraId="49CD90CE">
      <w:pPr>
        <w:rPr>
          <w:rFonts w:hint="eastAsia" w:cs="Times New Roman"/>
          <w:b/>
          <w:color w:val="000000"/>
          <w:sz w:val="28"/>
          <w:szCs w:val="28"/>
          <w:highlight w:val="none"/>
          <w:lang w:val="en-US" w:eastAsia="zh-CN"/>
        </w:rPr>
      </w:pPr>
    </w:p>
    <w:p w14:paraId="5750DBE7">
      <w:pPr>
        <w:rPr>
          <w:rFonts w:hint="eastAsia" w:cs="Times New Roman"/>
          <w:b/>
          <w:color w:val="000000"/>
          <w:sz w:val="28"/>
          <w:szCs w:val="28"/>
          <w:highlight w:val="none"/>
          <w:lang w:val="en-US" w:eastAsia="zh-CN"/>
        </w:rPr>
      </w:pPr>
    </w:p>
    <w:p w14:paraId="70717DB9">
      <w:pPr>
        <w:rPr>
          <w:rFonts w:hint="eastAsia" w:cs="Times New Roman"/>
          <w:b/>
          <w:color w:val="000000"/>
          <w:sz w:val="28"/>
          <w:szCs w:val="28"/>
          <w:highlight w:val="none"/>
          <w:lang w:val="en-US" w:eastAsia="zh-CN"/>
        </w:rPr>
      </w:pPr>
    </w:p>
    <w:p w14:paraId="1503AB3B">
      <w:pPr>
        <w:rPr>
          <w:rFonts w:hint="eastAsia" w:cs="Times New Roman"/>
          <w:b/>
          <w:color w:val="000000"/>
          <w:sz w:val="28"/>
          <w:szCs w:val="28"/>
          <w:highlight w:val="none"/>
          <w:lang w:val="en-US" w:eastAsia="zh-CN"/>
        </w:rPr>
      </w:pPr>
    </w:p>
    <w:p w14:paraId="2CF15BEB">
      <w:pPr>
        <w:rPr>
          <w:rFonts w:hint="eastAsia" w:cs="Times New Roman"/>
          <w:b/>
          <w:color w:val="000000"/>
          <w:sz w:val="28"/>
          <w:szCs w:val="28"/>
          <w:highlight w:val="none"/>
          <w:lang w:val="en-US" w:eastAsia="zh-CN"/>
        </w:rPr>
      </w:pPr>
    </w:p>
    <w:p w14:paraId="51B76DEB">
      <w:pPr>
        <w:rPr>
          <w:rFonts w:hint="eastAsia" w:cs="Times New Roman"/>
          <w:b/>
          <w:color w:val="000000"/>
          <w:sz w:val="28"/>
          <w:szCs w:val="28"/>
          <w:highlight w:val="none"/>
          <w:lang w:val="en-US" w:eastAsia="zh-CN"/>
        </w:rPr>
      </w:pPr>
    </w:p>
    <w:p w14:paraId="73418F14">
      <w:pPr>
        <w:rPr>
          <w:rFonts w:hint="eastAsia" w:cs="Times New Roman"/>
          <w:b/>
          <w:color w:val="000000"/>
          <w:sz w:val="28"/>
          <w:szCs w:val="28"/>
          <w:highlight w:val="none"/>
          <w:lang w:val="en-US" w:eastAsia="zh-CN"/>
        </w:rPr>
      </w:pPr>
    </w:p>
    <w:p w14:paraId="2D873A7B">
      <w:pPr>
        <w:rPr>
          <w:rFonts w:hint="eastAsia" w:cs="Times New Roman"/>
          <w:b/>
          <w:color w:val="000000"/>
          <w:sz w:val="28"/>
          <w:szCs w:val="28"/>
          <w:highlight w:val="none"/>
          <w:lang w:val="en-US" w:eastAsia="zh-CN"/>
        </w:rPr>
      </w:pPr>
    </w:p>
    <w:p w14:paraId="0DD4284C">
      <w:pPr>
        <w:rPr>
          <w:rFonts w:hint="eastAsia" w:cs="Times New Roman"/>
          <w:b/>
          <w:color w:val="000000"/>
          <w:sz w:val="28"/>
          <w:szCs w:val="28"/>
          <w:highlight w:val="none"/>
          <w:lang w:val="en-US" w:eastAsia="zh-CN"/>
        </w:rPr>
      </w:pPr>
    </w:p>
    <w:p w14:paraId="6D3C4DC9">
      <w:pPr>
        <w:rPr>
          <w:rFonts w:hint="eastAsia" w:cs="Times New Roman"/>
          <w:b/>
          <w:color w:val="000000"/>
          <w:sz w:val="28"/>
          <w:szCs w:val="28"/>
          <w:highlight w:val="none"/>
          <w:lang w:val="en-US" w:eastAsia="zh-CN"/>
        </w:rPr>
      </w:pPr>
    </w:p>
    <w:p w14:paraId="1C6363CF">
      <w:pPr>
        <w:rPr>
          <w:rFonts w:hint="eastAsia" w:cs="Times New Roman"/>
          <w:b/>
          <w:color w:val="000000"/>
          <w:sz w:val="28"/>
          <w:szCs w:val="28"/>
          <w:highlight w:val="none"/>
          <w:lang w:val="en-US" w:eastAsia="zh-CN"/>
        </w:rPr>
      </w:pPr>
    </w:p>
    <w:p w14:paraId="58B37FDE">
      <w:pPr>
        <w:rPr>
          <w:rFonts w:hint="eastAsia" w:cs="Times New Roman"/>
          <w:b/>
          <w:color w:val="000000"/>
          <w:sz w:val="28"/>
          <w:szCs w:val="28"/>
          <w:highlight w:val="none"/>
          <w:lang w:val="en-US" w:eastAsia="zh-CN"/>
        </w:rPr>
      </w:pPr>
    </w:p>
    <w:p w14:paraId="07573447">
      <w:pPr>
        <w:rPr>
          <w:rFonts w:hint="eastAsia" w:cs="Times New Roman"/>
          <w:b/>
          <w:color w:val="000000"/>
          <w:sz w:val="28"/>
          <w:szCs w:val="28"/>
          <w:highlight w:val="none"/>
          <w:lang w:val="en-US" w:eastAsia="zh-CN"/>
        </w:rPr>
      </w:pPr>
    </w:p>
    <w:p w14:paraId="0B0E12C6">
      <w:pPr>
        <w:rPr>
          <w:rFonts w:hint="eastAsia" w:cs="Times New Roman"/>
          <w:b/>
          <w:color w:val="000000"/>
          <w:sz w:val="28"/>
          <w:szCs w:val="28"/>
          <w:highlight w:val="none"/>
          <w:lang w:val="en-US" w:eastAsia="zh-CN"/>
        </w:rPr>
      </w:pPr>
    </w:p>
    <w:p w14:paraId="0240DF1F">
      <w:pPr>
        <w:rPr>
          <w:rFonts w:hint="eastAsia" w:cs="Times New Roman"/>
          <w:b/>
          <w:color w:val="000000"/>
          <w:sz w:val="28"/>
          <w:szCs w:val="28"/>
          <w:highlight w:val="none"/>
          <w:lang w:val="en-US" w:eastAsia="zh-CN"/>
        </w:rPr>
      </w:pPr>
    </w:p>
    <w:p w14:paraId="41DD4AF6">
      <w:pPr>
        <w:rPr>
          <w:rFonts w:hint="eastAsia" w:cs="Times New Roman"/>
          <w:b/>
          <w:color w:val="000000"/>
          <w:sz w:val="28"/>
          <w:szCs w:val="28"/>
          <w:highlight w:val="none"/>
          <w:lang w:val="en-US" w:eastAsia="zh-CN"/>
        </w:rPr>
      </w:pPr>
    </w:p>
    <w:p w14:paraId="53B27811">
      <w:pPr>
        <w:rPr>
          <w:rFonts w:hint="default" w:ascii="Times New Roman" w:hAnsi="Times New Roman" w:cs="Times New Roman"/>
          <w:b/>
          <w:color w:val="000000"/>
          <w:sz w:val="28"/>
          <w:szCs w:val="28"/>
          <w:highlight w:val="none"/>
          <w:lang w:val="en-US" w:eastAsia="zh-CN"/>
        </w:rPr>
      </w:pPr>
      <w:r>
        <w:rPr>
          <w:rFonts w:hint="eastAsia" w:cs="Times New Roman"/>
          <w:b/>
          <w:color w:val="000000"/>
          <w:sz w:val="28"/>
          <w:szCs w:val="28"/>
          <w:highlight w:val="none"/>
          <w:lang w:val="en-US" w:eastAsia="zh-CN"/>
        </w:rPr>
        <w:t>8.</w:t>
      </w:r>
      <w:r>
        <w:rPr>
          <w:rFonts w:hint="eastAsia" w:ascii="Times New Roman" w:hAnsi="Times New Roman" w:cs="Times New Roman"/>
          <w:b/>
          <w:color w:val="000000"/>
          <w:sz w:val="28"/>
          <w:szCs w:val="28"/>
          <w:highlight w:val="none"/>
          <w:lang w:val="en-US" w:eastAsia="zh-CN"/>
        </w:rPr>
        <w:t>诚信方面相关证明文件</w:t>
      </w:r>
    </w:p>
    <w:p w14:paraId="5CBC6F11">
      <w:pPr>
        <w:rPr>
          <w:rFonts w:hint="default" w:ascii="Times New Roman" w:hAnsi="Times New Roman" w:cs="Times New Roman"/>
          <w:b/>
          <w:color w:val="000000"/>
          <w:sz w:val="28"/>
          <w:szCs w:val="28"/>
          <w:highlight w:val="none"/>
        </w:rPr>
      </w:pPr>
      <w:r>
        <w:rPr>
          <w:rFonts w:hint="eastAsia" w:ascii="Times New Roman" w:hAnsi="Times New Roman" w:cs="Times New Roman"/>
          <w:bCs/>
          <w:color w:val="FF0000"/>
          <w:highlight w:val="none"/>
          <w:lang w:val="en-US" w:eastAsia="zh-CN"/>
        </w:rPr>
        <w:t>提供：在“信用中国”</w:t>
      </w:r>
      <w:r>
        <w:rPr>
          <w:rFonts w:hint="eastAsia" w:ascii="Times New Roman" w:cs="Times New Roman"/>
          <w:bCs/>
          <w:color w:val="FF0000"/>
          <w:highlight w:val="none"/>
          <w:lang w:val="en-US" w:eastAsia="zh-CN"/>
        </w:rPr>
        <w:t>和</w:t>
      </w:r>
      <w:r>
        <w:rPr>
          <w:rFonts w:hint="eastAsia" w:ascii="Times New Roman" w:hAnsi="Times New Roman" w:cs="Times New Roman"/>
          <w:bCs/>
          <w:color w:val="FF0000"/>
          <w:highlight w:val="none"/>
          <w:lang w:val="en-US" w:eastAsia="zh-CN"/>
        </w:rPr>
        <w:t>“国家企业信用信息公示系统”等网站的“信用信息”查询结果截图并加盖公章</w:t>
      </w:r>
      <w:r>
        <w:rPr>
          <w:rFonts w:hint="default" w:ascii="Times New Roman" w:hAnsi="Times New Roman" w:cs="Times New Roman"/>
          <w:bCs/>
          <w:color w:val="FF0000"/>
          <w:highlight w:val="none"/>
          <w:lang w:val="en-US" w:eastAsia="zh-CN"/>
        </w:rPr>
        <w:t>。</w:t>
      </w:r>
    </w:p>
    <w:p w14:paraId="4F2F7C42">
      <w:pPr>
        <w:rPr>
          <w:rFonts w:hint="default" w:ascii="Times New Roman" w:hAnsi="Times New Roman" w:cs="Times New Roman"/>
          <w:b/>
          <w:color w:val="000000"/>
          <w:sz w:val="28"/>
          <w:szCs w:val="28"/>
          <w:highlight w:val="none"/>
        </w:rPr>
      </w:pPr>
    </w:p>
    <w:p w14:paraId="495B2993">
      <w:pPr>
        <w:rPr>
          <w:rFonts w:hint="default" w:ascii="Times New Roman" w:hAnsi="Times New Roman" w:cs="Times New Roman"/>
          <w:b/>
          <w:color w:val="000000"/>
          <w:sz w:val="28"/>
          <w:szCs w:val="28"/>
          <w:highlight w:val="none"/>
        </w:rPr>
      </w:pPr>
    </w:p>
    <w:p w14:paraId="302D5367">
      <w:pPr>
        <w:rPr>
          <w:rFonts w:hint="default" w:ascii="Times New Roman" w:hAnsi="Times New Roman" w:cs="Times New Roman"/>
          <w:b/>
          <w:color w:val="000000"/>
          <w:sz w:val="28"/>
          <w:szCs w:val="28"/>
          <w:highlight w:val="none"/>
        </w:rPr>
      </w:pPr>
    </w:p>
    <w:p w14:paraId="1A625D8D">
      <w:pPr>
        <w:rPr>
          <w:rFonts w:hint="default" w:ascii="Times New Roman" w:hAnsi="Times New Roman" w:cs="Times New Roman"/>
          <w:b/>
          <w:color w:val="000000"/>
          <w:sz w:val="28"/>
          <w:szCs w:val="28"/>
          <w:highlight w:val="none"/>
        </w:rPr>
      </w:pPr>
    </w:p>
    <w:p w14:paraId="54C78F8E">
      <w:pPr>
        <w:rPr>
          <w:rFonts w:hint="default" w:ascii="Times New Roman" w:hAnsi="Times New Roman" w:cs="Times New Roman"/>
          <w:b/>
          <w:color w:val="000000"/>
          <w:sz w:val="28"/>
          <w:szCs w:val="28"/>
          <w:highlight w:val="none"/>
        </w:rPr>
      </w:pPr>
    </w:p>
    <w:p w14:paraId="6E906159">
      <w:pPr>
        <w:rPr>
          <w:rFonts w:hint="default" w:ascii="Times New Roman" w:hAnsi="Times New Roman" w:cs="Times New Roman"/>
          <w:b/>
          <w:color w:val="000000"/>
          <w:sz w:val="28"/>
          <w:szCs w:val="28"/>
          <w:highlight w:val="none"/>
        </w:rPr>
      </w:pPr>
    </w:p>
    <w:p w14:paraId="1B12CE12">
      <w:pPr>
        <w:rPr>
          <w:rFonts w:hint="default" w:ascii="Times New Roman" w:hAnsi="Times New Roman" w:cs="Times New Roman"/>
          <w:b/>
          <w:color w:val="000000"/>
          <w:sz w:val="28"/>
          <w:szCs w:val="28"/>
          <w:highlight w:val="none"/>
        </w:rPr>
      </w:pPr>
    </w:p>
    <w:p w14:paraId="57A594C4">
      <w:pPr>
        <w:rPr>
          <w:rFonts w:hint="default" w:ascii="Times New Roman" w:hAnsi="Times New Roman" w:cs="Times New Roman"/>
          <w:b/>
          <w:color w:val="000000"/>
          <w:sz w:val="28"/>
          <w:szCs w:val="28"/>
          <w:highlight w:val="none"/>
        </w:rPr>
      </w:pPr>
    </w:p>
    <w:p w14:paraId="413685B2">
      <w:pPr>
        <w:rPr>
          <w:rFonts w:hint="default" w:ascii="Times New Roman" w:hAnsi="Times New Roman" w:cs="Times New Roman"/>
          <w:b/>
          <w:color w:val="000000"/>
          <w:sz w:val="28"/>
          <w:szCs w:val="28"/>
          <w:highlight w:val="none"/>
        </w:rPr>
      </w:pPr>
    </w:p>
    <w:p w14:paraId="14CFECB0">
      <w:pPr>
        <w:rPr>
          <w:rFonts w:hint="default" w:ascii="Times New Roman" w:hAnsi="Times New Roman" w:cs="Times New Roman"/>
          <w:b/>
          <w:color w:val="000000"/>
          <w:sz w:val="28"/>
          <w:szCs w:val="28"/>
          <w:highlight w:val="none"/>
        </w:rPr>
      </w:pPr>
    </w:p>
    <w:p w14:paraId="49D8607A">
      <w:pPr>
        <w:rPr>
          <w:rFonts w:hint="default" w:ascii="Times New Roman" w:hAnsi="Times New Roman" w:cs="Times New Roman"/>
          <w:b/>
          <w:color w:val="000000"/>
          <w:sz w:val="28"/>
          <w:szCs w:val="28"/>
          <w:highlight w:val="none"/>
        </w:rPr>
      </w:pPr>
    </w:p>
    <w:p w14:paraId="7134E7DB">
      <w:pPr>
        <w:rPr>
          <w:rFonts w:hint="default" w:ascii="Times New Roman" w:hAnsi="Times New Roman" w:cs="Times New Roman"/>
          <w:b/>
          <w:color w:val="000000"/>
          <w:sz w:val="28"/>
          <w:szCs w:val="28"/>
          <w:highlight w:val="none"/>
        </w:rPr>
      </w:pPr>
    </w:p>
    <w:p w14:paraId="0225197D">
      <w:pPr>
        <w:rPr>
          <w:rFonts w:hint="default" w:ascii="Times New Roman" w:hAnsi="Times New Roman" w:cs="Times New Roman"/>
          <w:b/>
          <w:color w:val="000000"/>
          <w:sz w:val="28"/>
          <w:szCs w:val="28"/>
          <w:highlight w:val="none"/>
        </w:rPr>
      </w:pPr>
    </w:p>
    <w:p w14:paraId="4D5CE1B0">
      <w:pPr>
        <w:rPr>
          <w:rFonts w:hint="default" w:ascii="Times New Roman" w:hAnsi="Times New Roman" w:cs="Times New Roman"/>
          <w:b/>
          <w:color w:val="000000"/>
          <w:sz w:val="28"/>
          <w:szCs w:val="28"/>
          <w:highlight w:val="none"/>
        </w:rPr>
      </w:pPr>
    </w:p>
    <w:p w14:paraId="598CAA2E">
      <w:pPr>
        <w:rPr>
          <w:rFonts w:hint="default" w:ascii="Times New Roman" w:hAnsi="Times New Roman" w:cs="Times New Roman"/>
          <w:b/>
          <w:color w:val="000000"/>
          <w:sz w:val="28"/>
          <w:szCs w:val="28"/>
          <w:highlight w:val="none"/>
        </w:rPr>
      </w:pPr>
    </w:p>
    <w:p w14:paraId="5D43FD09">
      <w:pPr>
        <w:rPr>
          <w:rFonts w:hint="default" w:ascii="Times New Roman" w:hAnsi="Times New Roman" w:cs="Times New Roman"/>
          <w:b/>
          <w:color w:val="000000"/>
          <w:sz w:val="28"/>
          <w:szCs w:val="28"/>
          <w:highlight w:val="none"/>
        </w:rPr>
      </w:pPr>
    </w:p>
    <w:p w14:paraId="17959B1C">
      <w:pPr>
        <w:rPr>
          <w:rFonts w:hint="default" w:ascii="Times New Roman" w:hAnsi="Times New Roman" w:cs="Times New Roman"/>
          <w:b/>
          <w:color w:val="000000"/>
          <w:sz w:val="28"/>
          <w:szCs w:val="28"/>
          <w:highlight w:val="none"/>
        </w:rPr>
      </w:pPr>
    </w:p>
    <w:p w14:paraId="7282D72D">
      <w:pPr>
        <w:rPr>
          <w:rFonts w:hint="default" w:ascii="Times New Roman" w:hAnsi="Times New Roman" w:cs="Times New Roman"/>
          <w:b/>
          <w:color w:val="000000"/>
          <w:sz w:val="28"/>
          <w:szCs w:val="28"/>
          <w:highlight w:val="none"/>
        </w:rPr>
      </w:pPr>
    </w:p>
    <w:p w14:paraId="18C5A475">
      <w:pPr>
        <w:rPr>
          <w:rFonts w:hint="default" w:ascii="Times New Roman" w:hAnsi="Times New Roman" w:cs="Times New Roman"/>
          <w:b/>
          <w:color w:val="000000"/>
          <w:sz w:val="28"/>
          <w:szCs w:val="28"/>
          <w:highlight w:val="none"/>
        </w:rPr>
      </w:pPr>
    </w:p>
    <w:p w14:paraId="791E9F02">
      <w:pPr>
        <w:rPr>
          <w:rFonts w:hint="default" w:ascii="Times New Roman" w:hAnsi="Times New Roman" w:cs="Times New Roman"/>
          <w:b/>
          <w:color w:val="000000"/>
          <w:sz w:val="28"/>
          <w:szCs w:val="28"/>
          <w:highlight w:val="none"/>
        </w:rPr>
      </w:pPr>
    </w:p>
    <w:p w14:paraId="2D143C96">
      <w:pPr>
        <w:numPr>
          <w:ilvl w:val="0"/>
          <w:numId w:val="0"/>
        </w:numPr>
        <w:rPr>
          <w:rFonts w:hint="default" w:cs="Times New Roman"/>
          <w:b/>
          <w:color w:val="000000"/>
          <w:sz w:val="28"/>
          <w:szCs w:val="28"/>
          <w:highlight w:val="none"/>
          <w:lang w:val="en-US" w:eastAsia="zh-CN"/>
        </w:rPr>
      </w:pPr>
      <w:r>
        <w:rPr>
          <w:rFonts w:hint="eastAsia" w:cs="Times New Roman"/>
          <w:b/>
          <w:color w:val="000000"/>
          <w:sz w:val="28"/>
          <w:szCs w:val="28"/>
          <w:highlight w:val="none"/>
          <w:lang w:val="en-US" w:eastAsia="zh-CN"/>
        </w:rPr>
        <w:t>9.2024年度财务报表</w:t>
      </w:r>
    </w:p>
    <w:p w14:paraId="62349B09">
      <w:pPr>
        <w:pStyle w:val="7"/>
        <w:widowControl w:val="0"/>
        <w:numPr>
          <w:ilvl w:val="0"/>
          <w:numId w:val="0"/>
        </w:numPr>
        <w:spacing w:after="120"/>
        <w:jc w:val="both"/>
        <w:rPr>
          <w:rFonts w:hint="default"/>
          <w:lang w:val="en-US" w:eastAsia="zh-CN"/>
        </w:rPr>
      </w:pPr>
    </w:p>
    <w:p w14:paraId="740F0517">
      <w:pPr>
        <w:pStyle w:val="8"/>
        <w:rPr>
          <w:rFonts w:hint="default"/>
          <w:lang w:val="en-US" w:eastAsia="zh-CN"/>
        </w:rPr>
      </w:pPr>
    </w:p>
    <w:p w14:paraId="3B3C48A9">
      <w:pPr>
        <w:pStyle w:val="8"/>
        <w:rPr>
          <w:rFonts w:hint="default"/>
          <w:lang w:val="en-US" w:eastAsia="zh-CN"/>
        </w:rPr>
      </w:pPr>
    </w:p>
    <w:p w14:paraId="0B5D9905">
      <w:pPr>
        <w:pStyle w:val="8"/>
        <w:rPr>
          <w:rFonts w:hint="default"/>
          <w:lang w:val="en-US" w:eastAsia="zh-CN"/>
        </w:rPr>
      </w:pPr>
    </w:p>
    <w:p w14:paraId="5620DA8C">
      <w:pPr>
        <w:pStyle w:val="8"/>
        <w:rPr>
          <w:rFonts w:hint="default"/>
          <w:lang w:val="en-US" w:eastAsia="zh-CN"/>
        </w:rPr>
      </w:pPr>
    </w:p>
    <w:p w14:paraId="76ED495C">
      <w:pPr>
        <w:pStyle w:val="8"/>
        <w:rPr>
          <w:rFonts w:hint="default"/>
          <w:lang w:val="en-US" w:eastAsia="zh-CN"/>
        </w:rPr>
      </w:pPr>
    </w:p>
    <w:p w14:paraId="0C47FDBC">
      <w:pPr>
        <w:pStyle w:val="8"/>
        <w:rPr>
          <w:rFonts w:hint="default"/>
          <w:lang w:val="en-US" w:eastAsia="zh-CN"/>
        </w:rPr>
      </w:pPr>
    </w:p>
    <w:p w14:paraId="5CE9E374">
      <w:pPr>
        <w:pStyle w:val="8"/>
        <w:rPr>
          <w:rFonts w:hint="default"/>
          <w:lang w:val="en-US" w:eastAsia="zh-CN"/>
        </w:rPr>
      </w:pPr>
    </w:p>
    <w:p w14:paraId="1F623A81">
      <w:pPr>
        <w:pStyle w:val="8"/>
        <w:rPr>
          <w:rFonts w:hint="default"/>
          <w:lang w:val="en-US" w:eastAsia="zh-CN"/>
        </w:rPr>
      </w:pPr>
    </w:p>
    <w:p w14:paraId="3E44508E">
      <w:pPr>
        <w:pStyle w:val="8"/>
        <w:rPr>
          <w:rFonts w:hint="default"/>
          <w:lang w:val="en-US" w:eastAsia="zh-CN"/>
        </w:rPr>
      </w:pPr>
    </w:p>
    <w:p w14:paraId="17FC824F">
      <w:pPr>
        <w:pStyle w:val="8"/>
        <w:rPr>
          <w:rFonts w:hint="default"/>
          <w:lang w:val="en-US" w:eastAsia="zh-CN"/>
        </w:rPr>
      </w:pPr>
    </w:p>
    <w:p w14:paraId="68C99207">
      <w:pPr>
        <w:pStyle w:val="8"/>
        <w:rPr>
          <w:rFonts w:hint="default"/>
          <w:lang w:val="en-US" w:eastAsia="zh-CN"/>
        </w:rPr>
      </w:pPr>
    </w:p>
    <w:p w14:paraId="34DE56D5">
      <w:pPr>
        <w:pStyle w:val="8"/>
        <w:rPr>
          <w:rFonts w:hint="default"/>
          <w:lang w:val="en-US" w:eastAsia="zh-CN"/>
        </w:rPr>
      </w:pPr>
    </w:p>
    <w:p w14:paraId="7247723D">
      <w:pPr>
        <w:pStyle w:val="8"/>
        <w:rPr>
          <w:rFonts w:hint="default"/>
          <w:lang w:val="en-US" w:eastAsia="zh-CN"/>
        </w:rPr>
      </w:pPr>
    </w:p>
    <w:p w14:paraId="15116F1E">
      <w:pPr>
        <w:pStyle w:val="8"/>
        <w:rPr>
          <w:rFonts w:hint="default"/>
          <w:lang w:val="en-US" w:eastAsia="zh-CN"/>
        </w:rPr>
      </w:pPr>
    </w:p>
    <w:p w14:paraId="20349863">
      <w:pPr>
        <w:pStyle w:val="8"/>
        <w:rPr>
          <w:rFonts w:hint="default"/>
          <w:lang w:val="en-US" w:eastAsia="zh-CN"/>
        </w:rPr>
      </w:pPr>
    </w:p>
    <w:p w14:paraId="2B78E366">
      <w:pPr>
        <w:pStyle w:val="8"/>
        <w:rPr>
          <w:rFonts w:hint="default"/>
          <w:lang w:val="en-US" w:eastAsia="zh-CN"/>
        </w:rPr>
      </w:pPr>
    </w:p>
    <w:p w14:paraId="2ADC6338">
      <w:pPr>
        <w:pStyle w:val="8"/>
        <w:rPr>
          <w:rFonts w:hint="default"/>
          <w:lang w:val="en-US" w:eastAsia="zh-CN"/>
        </w:rPr>
      </w:pPr>
    </w:p>
    <w:p w14:paraId="23852F6B">
      <w:pPr>
        <w:pStyle w:val="8"/>
        <w:rPr>
          <w:rFonts w:hint="default"/>
          <w:lang w:val="en-US" w:eastAsia="zh-CN"/>
        </w:rPr>
      </w:pPr>
    </w:p>
    <w:p w14:paraId="6C2C70B6">
      <w:pPr>
        <w:pStyle w:val="8"/>
        <w:rPr>
          <w:rFonts w:hint="default"/>
          <w:lang w:val="en-US" w:eastAsia="zh-CN"/>
        </w:rPr>
      </w:pPr>
    </w:p>
    <w:p w14:paraId="16B0841F">
      <w:pPr>
        <w:pStyle w:val="8"/>
        <w:rPr>
          <w:rFonts w:hint="default"/>
          <w:lang w:val="en-US" w:eastAsia="zh-CN"/>
        </w:rPr>
      </w:pPr>
    </w:p>
    <w:p w14:paraId="4AF5D320">
      <w:pPr>
        <w:pStyle w:val="8"/>
        <w:rPr>
          <w:rFonts w:hint="default"/>
          <w:lang w:val="en-US" w:eastAsia="zh-CN"/>
        </w:rPr>
      </w:pPr>
    </w:p>
    <w:p w14:paraId="247FE4FD">
      <w:pPr>
        <w:pStyle w:val="8"/>
        <w:rPr>
          <w:rFonts w:hint="default"/>
          <w:lang w:val="en-US" w:eastAsia="zh-CN"/>
        </w:rPr>
      </w:pPr>
    </w:p>
    <w:p w14:paraId="3411FBB0">
      <w:pPr>
        <w:pStyle w:val="8"/>
        <w:rPr>
          <w:rFonts w:hint="default"/>
          <w:lang w:val="en-US" w:eastAsia="zh-CN"/>
        </w:rPr>
      </w:pPr>
    </w:p>
    <w:p w14:paraId="57E52745">
      <w:pPr>
        <w:pStyle w:val="8"/>
        <w:rPr>
          <w:rFonts w:hint="default"/>
          <w:lang w:val="en-US" w:eastAsia="zh-CN"/>
        </w:rPr>
      </w:pPr>
    </w:p>
    <w:p w14:paraId="44E5A8CC">
      <w:pPr>
        <w:pStyle w:val="8"/>
        <w:rPr>
          <w:rFonts w:hint="default"/>
          <w:lang w:val="en-US" w:eastAsia="zh-CN"/>
        </w:rPr>
      </w:pPr>
    </w:p>
    <w:p w14:paraId="0B332962">
      <w:pPr>
        <w:pStyle w:val="8"/>
        <w:rPr>
          <w:rFonts w:hint="default"/>
          <w:lang w:val="en-US" w:eastAsia="zh-CN"/>
        </w:rPr>
      </w:pPr>
    </w:p>
    <w:p w14:paraId="5EF304A6">
      <w:pPr>
        <w:pStyle w:val="8"/>
        <w:rPr>
          <w:rFonts w:hint="default"/>
          <w:lang w:val="en-US" w:eastAsia="zh-CN"/>
        </w:rPr>
      </w:pPr>
    </w:p>
    <w:p w14:paraId="1D7A0BA7">
      <w:pPr>
        <w:pStyle w:val="8"/>
        <w:rPr>
          <w:rFonts w:hint="default"/>
          <w:lang w:val="en-US" w:eastAsia="zh-CN"/>
        </w:rPr>
      </w:pPr>
    </w:p>
    <w:p w14:paraId="1CE90DC7">
      <w:pPr>
        <w:pStyle w:val="8"/>
        <w:rPr>
          <w:rFonts w:hint="default"/>
          <w:lang w:val="en-US" w:eastAsia="zh-CN"/>
        </w:rPr>
      </w:pPr>
    </w:p>
    <w:p w14:paraId="210E5BA1">
      <w:pPr>
        <w:numPr>
          <w:ilvl w:val="0"/>
          <w:numId w:val="0"/>
        </w:numPr>
        <w:rPr>
          <w:rFonts w:hint="eastAsia" w:cs="Times New Roman"/>
          <w:b/>
          <w:color w:val="000000"/>
          <w:sz w:val="28"/>
          <w:szCs w:val="28"/>
          <w:highlight w:val="none"/>
          <w:lang w:val="en-US" w:eastAsia="zh-CN"/>
        </w:rPr>
      </w:pPr>
      <w:r>
        <w:rPr>
          <w:rFonts w:hint="eastAsia" w:cs="Times New Roman"/>
          <w:b/>
          <w:color w:val="000000"/>
          <w:sz w:val="28"/>
          <w:szCs w:val="28"/>
          <w:highlight w:val="none"/>
          <w:lang w:val="en-US" w:eastAsia="zh-CN"/>
        </w:rPr>
        <w:t>10.配送服务方案资料</w:t>
      </w:r>
    </w:p>
    <w:p w14:paraId="563E024C">
      <w:pPr>
        <w:numPr>
          <w:ilvl w:val="0"/>
          <w:numId w:val="0"/>
        </w:numPr>
        <w:rPr>
          <w:rFonts w:hint="default" w:cs="Times New Roman"/>
          <w:b/>
          <w:color w:val="000000"/>
          <w:sz w:val="28"/>
          <w:szCs w:val="28"/>
          <w:highlight w:val="none"/>
          <w:lang w:val="en-US" w:eastAsia="zh-CN"/>
        </w:rPr>
      </w:pPr>
      <w:r>
        <w:rPr>
          <w:rFonts w:hint="eastAsia" w:ascii="Times New Roman" w:hAnsi="Times New Roman" w:cs="Times New Roman"/>
          <w:bCs/>
          <w:color w:val="FF0000"/>
          <w:highlight w:val="none"/>
          <w:lang w:val="en-US" w:eastAsia="zh-CN"/>
        </w:rPr>
        <w:t>（报价人须根据评审要求，自行编制并提供详尽的书面服务方案阐述</w:t>
      </w:r>
      <w:r>
        <w:rPr>
          <w:rFonts w:hint="eastAsia" w:cs="Times New Roman"/>
          <w:bCs/>
          <w:color w:val="FF0000"/>
          <w:highlight w:val="none"/>
          <w:lang w:val="en-US" w:eastAsia="zh-CN"/>
        </w:rPr>
        <w:t>，内容至少包括：配送流程、配送能力保障、质量控制措施、节假日及应急保障、投诉处理机制等。</w:t>
      </w:r>
      <w:r>
        <w:rPr>
          <w:rFonts w:hint="eastAsia" w:ascii="Times New Roman" w:hAnsi="Times New Roman" w:cs="Times New Roman"/>
          <w:bCs/>
          <w:color w:val="FF0000"/>
          <w:highlight w:val="none"/>
          <w:lang w:val="en-US" w:eastAsia="zh-CN"/>
        </w:rPr>
        <w:t>）</w:t>
      </w:r>
    </w:p>
    <w:p w14:paraId="26ECD0AF">
      <w:pPr>
        <w:pStyle w:val="8"/>
        <w:rPr>
          <w:rFonts w:hint="default"/>
          <w:lang w:val="en-US" w:eastAsia="zh-CN"/>
        </w:rPr>
      </w:pPr>
    </w:p>
    <w:p w14:paraId="0AE75C19">
      <w:pPr>
        <w:rPr>
          <w:rFonts w:hint="eastAsia" w:cs="Times New Roman"/>
          <w:b/>
          <w:color w:val="000000"/>
          <w:sz w:val="28"/>
          <w:szCs w:val="28"/>
          <w:highlight w:val="none"/>
          <w:lang w:val="en-US" w:eastAsia="zh-CN"/>
        </w:rPr>
      </w:pPr>
    </w:p>
    <w:p w14:paraId="36C92D55">
      <w:pPr>
        <w:rPr>
          <w:rFonts w:hint="eastAsia" w:cs="Times New Roman"/>
          <w:b/>
          <w:color w:val="000000"/>
          <w:sz w:val="28"/>
          <w:szCs w:val="28"/>
          <w:highlight w:val="none"/>
          <w:lang w:val="en-US" w:eastAsia="zh-CN"/>
        </w:rPr>
      </w:pPr>
    </w:p>
    <w:p w14:paraId="5D0C090D">
      <w:pPr>
        <w:rPr>
          <w:rFonts w:hint="eastAsia" w:cs="Times New Roman"/>
          <w:b/>
          <w:color w:val="000000"/>
          <w:sz w:val="28"/>
          <w:szCs w:val="28"/>
          <w:highlight w:val="none"/>
          <w:lang w:val="en-US" w:eastAsia="zh-CN"/>
        </w:rPr>
      </w:pPr>
    </w:p>
    <w:p w14:paraId="3DA5B660">
      <w:pPr>
        <w:rPr>
          <w:rFonts w:hint="eastAsia" w:cs="Times New Roman"/>
          <w:b/>
          <w:color w:val="000000"/>
          <w:sz w:val="28"/>
          <w:szCs w:val="28"/>
          <w:highlight w:val="none"/>
          <w:lang w:val="en-US" w:eastAsia="zh-CN"/>
        </w:rPr>
      </w:pPr>
    </w:p>
    <w:p w14:paraId="434395EA">
      <w:pPr>
        <w:rPr>
          <w:rFonts w:hint="eastAsia" w:cs="Times New Roman"/>
          <w:b/>
          <w:color w:val="000000"/>
          <w:sz w:val="28"/>
          <w:szCs w:val="28"/>
          <w:highlight w:val="none"/>
          <w:lang w:val="en-US" w:eastAsia="zh-CN"/>
        </w:rPr>
      </w:pPr>
    </w:p>
    <w:p w14:paraId="5B6FA7AA">
      <w:pPr>
        <w:rPr>
          <w:rFonts w:hint="eastAsia" w:cs="Times New Roman"/>
          <w:b/>
          <w:color w:val="000000"/>
          <w:sz w:val="28"/>
          <w:szCs w:val="28"/>
          <w:highlight w:val="none"/>
          <w:lang w:val="en-US" w:eastAsia="zh-CN"/>
        </w:rPr>
      </w:pPr>
    </w:p>
    <w:p w14:paraId="3F715669">
      <w:pPr>
        <w:rPr>
          <w:rFonts w:hint="eastAsia" w:cs="Times New Roman"/>
          <w:b/>
          <w:color w:val="000000"/>
          <w:sz w:val="28"/>
          <w:szCs w:val="28"/>
          <w:highlight w:val="none"/>
          <w:lang w:val="en-US" w:eastAsia="zh-CN"/>
        </w:rPr>
      </w:pPr>
    </w:p>
    <w:p w14:paraId="5E5F5FF5">
      <w:pPr>
        <w:rPr>
          <w:rFonts w:hint="eastAsia" w:cs="Times New Roman"/>
          <w:b/>
          <w:color w:val="000000"/>
          <w:sz w:val="28"/>
          <w:szCs w:val="28"/>
          <w:highlight w:val="none"/>
          <w:lang w:val="en-US" w:eastAsia="zh-CN"/>
        </w:rPr>
      </w:pPr>
    </w:p>
    <w:p w14:paraId="714A86A5">
      <w:pPr>
        <w:rPr>
          <w:rFonts w:hint="eastAsia" w:cs="Times New Roman"/>
          <w:b/>
          <w:color w:val="000000"/>
          <w:sz w:val="28"/>
          <w:szCs w:val="28"/>
          <w:highlight w:val="none"/>
          <w:lang w:val="en-US" w:eastAsia="zh-CN"/>
        </w:rPr>
      </w:pPr>
    </w:p>
    <w:p w14:paraId="50CFFB16">
      <w:pPr>
        <w:rPr>
          <w:rFonts w:hint="eastAsia" w:cs="Times New Roman"/>
          <w:b/>
          <w:color w:val="000000"/>
          <w:sz w:val="28"/>
          <w:szCs w:val="28"/>
          <w:highlight w:val="none"/>
          <w:lang w:val="en-US" w:eastAsia="zh-CN"/>
        </w:rPr>
      </w:pPr>
    </w:p>
    <w:p w14:paraId="01E7C5EB">
      <w:pPr>
        <w:rPr>
          <w:rFonts w:hint="eastAsia" w:cs="Times New Roman"/>
          <w:b/>
          <w:color w:val="000000"/>
          <w:sz w:val="28"/>
          <w:szCs w:val="28"/>
          <w:highlight w:val="none"/>
          <w:lang w:val="en-US" w:eastAsia="zh-CN"/>
        </w:rPr>
      </w:pPr>
    </w:p>
    <w:p w14:paraId="36BD94AE">
      <w:pPr>
        <w:rPr>
          <w:rFonts w:hint="eastAsia" w:cs="Times New Roman"/>
          <w:b/>
          <w:color w:val="000000"/>
          <w:sz w:val="28"/>
          <w:szCs w:val="28"/>
          <w:highlight w:val="none"/>
          <w:lang w:val="en-US" w:eastAsia="zh-CN"/>
        </w:rPr>
      </w:pPr>
    </w:p>
    <w:p w14:paraId="19EC6FAE">
      <w:pPr>
        <w:rPr>
          <w:rFonts w:hint="eastAsia" w:cs="Times New Roman"/>
          <w:b/>
          <w:color w:val="000000"/>
          <w:sz w:val="28"/>
          <w:szCs w:val="28"/>
          <w:highlight w:val="none"/>
          <w:lang w:val="en-US" w:eastAsia="zh-CN"/>
        </w:rPr>
      </w:pPr>
    </w:p>
    <w:p w14:paraId="179CB1B6">
      <w:pPr>
        <w:rPr>
          <w:rFonts w:hint="eastAsia" w:cs="Times New Roman"/>
          <w:b/>
          <w:color w:val="000000"/>
          <w:sz w:val="28"/>
          <w:szCs w:val="28"/>
          <w:highlight w:val="none"/>
          <w:lang w:val="en-US" w:eastAsia="zh-CN"/>
        </w:rPr>
      </w:pPr>
    </w:p>
    <w:p w14:paraId="519D8099">
      <w:pPr>
        <w:rPr>
          <w:rFonts w:hint="eastAsia" w:cs="Times New Roman"/>
          <w:b/>
          <w:color w:val="000000"/>
          <w:sz w:val="28"/>
          <w:szCs w:val="28"/>
          <w:highlight w:val="none"/>
          <w:lang w:val="en-US" w:eastAsia="zh-CN"/>
        </w:rPr>
      </w:pPr>
    </w:p>
    <w:p w14:paraId="0B6EA26C">
      <w:pPr>
        <w:rPr>
          <w:rFonts w:hint="eastAsia" w:cs="Times New Roman"/>
          <w:b/>
          <w:color w:val="000000"/>
          <w:sz w:val="28"/>
          <w:szCs w:val="28"/>
          <w:highlight w:val="none"/>
          <w:lang w:val="en-US" w:eastAsia="zh-CN"/>
        </w:rPr>
      </w:pPr>
    </w:p>
    <w:p w14:paraId="53FA94D7">
      <w:pPr>
        <w:rPr>
          <w:rFonts w:hint="eastAsia" w:cs="Times New Roman"/>
          <w:b/>
          <w:color w:val="000000"/>
          <w:sz w:val="28"/>
          <w:szCs w:val="28"/>
          <w:highlight w:val="none"/>
          <w:lang w:val="en-US" w:eastAsia="zh-CN"/>
        </w:rPr>
      </w:pPr>
    </w:p>
    <w:p w14:paraId="4E6B06B4">
      <w:pPr>
        <w:rPr>
          <w:rFonts w:hint="eastAsia" w:cs="Times New Roman"/>
          <w:b/>
          <w:color w:val="000000"/>
          <w:sz w:val="28"/>
          <w:szCs w:val="28"/>
          <w:highlight w:val="none"/>
          <w:lang w:val="en-US" w:eastAsia="zh-CN"/>
        </w:rPr>
      </w:pPr>
    </w:p>
    <w:p w14:paraId="43029A6A">
      <w:pPr>
        <w:rPr>
          <w:rFonts w:hint="eastAsia" w:cs="Times New Roman"/>
          <w:b/>
          <w:color w:val="000000"/>
          <w:sz w:val="28"/>
          <w:szCs w:val="28"/>
          <w:highlight w:val="none"/>
          <w:lang w:val="en-US" w:eastAsia="zh-CN"/>
        </w:rPr>
      </w:pPr>
    </w:p>
    <w:p w14:paraId="174DE0D6">
      <w:pPr>
        <w:numPr>
          <w:ilvl w:val="0"/>
          <w:numId w:val="0"/>
        </w:numPr>
        <w:rPr>
          <w:rFonts w:hint="eastAsia" w:cs="Times New Roman"/>
          <w:b/>
          <w:color w:val="000000"/>
          <w:sz w:val="28"/>
          <w:szCs w:val="28"/>
          <w:highlight w:val="none"/>
          <w:lang w:val="en-US" w:eastAsia="zh-CN"/>
        </w:rPr>
      </w:pPr>
      <w:r>
        <w:rPr>
          <w:rFonts w:hint="eastAsia" w:cs="Times New Roman"/>
          <w:b/>
          <w:color w:val="000000"/>
          <w:sz w:val="28"/>
          <w:szCs w:val="28"/>
          <w:highlight w:val="none"/>
          <w:lang w:val="en-US" w:eastAsia="zh-CN"/>
        </w:rPr>
        <w:t>11.车辆配置情况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41"/>
        <w:gridCol w:w="1314"/>
        <w:gridCol w:w="2099"/>
        <w:gridCol w:w="3147"/>
      </w:tblGrid>
      <w:tr w14:paraId="6E58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5EEADC93">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序号</w:t>
            </w:r>
          </w:p>
        </w:tc>
        <w:tc>
          <w:tcPr>
            <w:tcW w:w="1141" w:type="dxa"/>
          </w:tcPr>
          <w:p w14:paraId="5A1D1AAA">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车牌号</w:t>
            </w:r>
          </w:p>
        </w:tc>
        <w:tc>
          <w:tcPr>
            <w:tcW w:w="1314" w:type="dxa"/>
          </w:tcPr>
          <w:p w14:paraId="429A6F00">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车型</w:t>
            </w:r>
          </w:p>
        </w:tc>
        <w:tc>
          <w:tcPr>
            <w:tcW w:w="2099" w:type="dxa"/>
          </w:tcPr>
          <w:p w14:paraId="502C2977">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核定载质量</w:t>
            </w:r>
          </w:p>
        </w:tc>
        <w:tc>
          <w:tcPr>
            <w:tcW w:w="3147" w:type="dxa"/>
          </w:tcPr>
          <w:p w14:paraId="1416F9CE">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使用性质（自用/租赁）</w:t>
            </w:r>
          </w:p>
        </w:tc>
      </w:tr>
      <w:tr w14:paraId="5E8C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2907A7EB">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1</w:t>
            </w:r>
          </w:p>
        </w:tc>
        <w:tc>
          <w:tcPr>
            <w:tcW w:w="1141" w:type="dxa"/>
          </w:tcPr>
          <w:p w14:paraId="0E4E34EB">
            <w:pPr>
              <w:numPr>
                <w:ilvl w:val="0"/>
                <w:numId w:val="0"/>
              </w:numPr>
              <w:rPr>
                <w:rFonts w:hint="default" w:cs="Times New Roman"/>
                <w:b/>
                <w:color w:val="000000"/>
                <w:sz w:val="28"/>
                <w:szCs w:val="28"/>
                <w:highlight w:val="none"/>
                <w:vertAlign w:val="baseline"/>
                <w:lang w:val="en-US" w:eastAsia="zh-CN"/>
              </w:rPr>
            </w:pPr>
          </w:p>
        </w:tc>
        <w:tc>
          <w:tcPr>
            <w:tcW w:w="1314" w:type="dxa"/>
          </w:tcPr>
          <w:p w14:paraId="07F353D2">
            <w:pPr>
              <w:numPr>
                <w:ilvl w:val="0"/>
                <w:numId w:val="0"/>
              </w:numPr>
              <w:rPr>
                <w:rFonts w:hint="default" w:cs="Times New Roman"/>
                <w:b/>
                <w:color w:val="000000"/>
                <w:sz w:val="28"/>
                <w:szCs w:val="28"/>
                <w:highlight w:val="none"/>
                <w:vertAlign w:val="baseline"/>
                <w:lang w:val="en-US" w:eastAsia="zh-CN"/>
              </w:rPr>
            </w:pPr>
          </w:p>
        </w:tc>
        <w:tc>
          <w:tcPr>
            <w:tcW w:w="2099" w:type="dxa"/>
          </w:tcPr>
          <w:p w14:paraId="40924299">
            <w:pPr>
              <w:numPr>
                <w:ilvl w:val="0"/>
                <w:numId w:val="0"/>
              </w:numPr>
              <w:rPr>
                <w:rFonts w:hint="default" w:cs="Times New Roman"/>
                <w:b/>
                <w:color w:val="000000"/>
                <w:sz w:val="28"/>
                <w:szCs w:val="28"/>
                <w:highlight w:val="none"/>
                <w:vertAlign w:val="baseline"/>
                <w:lang w:val="en-US" w:eastAsia="zh-CN"/>
              </w:rPr>
            </w:pPr>
          </w:p>
        </w:tc>
        <w:tc>
          <w:tcPr>
            <w:tcW w:w="3147" w:type="dxa"/>
          </w:tcPr>
          <w:p w14:paraId="7299DD4F">
            <w:pPr>
              <w:numPr>
                <w:ilvl w:val="0"/>
                <w:numId w:val="0"/>
              </w:numPr>
              <w:rPr>
                <w:rFonts w:hint="default" w:cs="Times New Roman"/>
                <w:b/>
                <w:color w:val="000000"/>
                <w:sz w:val="28"/>
                <w:szCs w:val="28"/>
                <w:highlight w:val="none"/>
                <w:vertAlign w:val="baseline"/>
                <w:lang w:val="en-US" w:eastAsia="zh-CN"/>
              </w:rPr>
            </w:pPr>
          </w:p>
        </w:tc>
      </w:tr>
      <w:tr w14:paraId="1AB8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5428DC2C">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2</w:t>
            </w:r>
          </w:p>
        </w:tc>
        <w:tc>
          <w:tcPr>
            <w:tcW w:w="1141" w:type="dxa"/>
          </w:tcPr>
          <w:p w14:paraId="2B527B3F">
            <w:pPr>
              <w:numPr>
                <w:ilvl w:val="0"/>
                <w:numId w:val="0"/>
              </w:numPr>
              <w:rPr>
                <w:rFonts w:hint="default" w:cs="Times New Roman"/>
                <w:b/>
                <w:color w:val="000000"/>
                <w:sz w:val="28"/>
                <w:szCs w:val="28"/>
                <w:highlight w:val="none"/>
                <w:vertAlign w:val="baseline"/>
                <w:lang w:val="en-US" w:eastAsia="zh-CN"/>
              </w:rPr>
            </w:pPr>
          </w:p>
        </w:tc>
        <w:tc>
          <w:tcPr>
            <w:tcW w:w="1314" w:type="dxa"/>
          </w:tcPr>
          <w:p w14:paraId="5D9F5F0D">
            <w:pPr>
              <w:numPr>
                <w:ilvl w:val="0"/>
                <w:numId w:val="0"/>
              </w:numPr>
              <w:rPr>
                <w:rFonts w:hint="default" w:cs="Times New Roman"/>
                <w:b/>
                <w:color w:val="000000"/>
                <w:sz w:val="28"/>
                <w:szCs w:val="28"/>
                <w:highlight w:val="none"/>
                <w:vertAlign w:val="baseline"/>
                <w:lang w:val="en-US" w:eastAsia="zh-CN"/>
              </w:rPr>
            </w:pPr>
          </w:p>
        </w:tc>
        <w:tc>
          <w:tcPr>
            <w:tcW w:w="2099" w:type="dxa"/>
          </w:tcPr>
          <w:p w14:paraId="6D84785E">
            <w:pPr>
              <w:numPr>
                <w:ilvl w:val="0"/>
                <w:numId w:val="0"/>
              </w:numPr>
              <w:rPr>
                <w:rFonts w:hint="default" w:cs="Times New Roman"/>
                <w:b/>
                <w:color w:val="000000"/>
                <w:sz w:val="28"/>
                <w:szCs w:val="28"/>
                <w:highlight w:val="none"/>
                <w:vertAlign w:val="baseline"/>
                <w:lang w:val="en-US" w:eastAsia="zh-CN"/>
              </w:rPr>
            </w:pPr>
          </w:p>
        </w:tc>
        <w:tc>
          <w:tcPr>
            <w:tcW w:w="3147" w:type="dxa"/>
          </w:tcPr>
          <w:p w14:paraId="3419FD32">
            <w:pPr>
              <w:numPr>
                <w:ilvl w:val="0"/>
                <w:numId w:val="0"/>
              </w:numPr>
              <w:rPr>
                <w:rFonts w:hint="default" w:cs="Times New Roman"/>
                <w:b/>
                <w:color w:val="000000"/>
                <w:sz w:val="28"/>
                <w:szCs w:val="28"/>
                <w:highlight w:val="none"/>
                <w:vertAlign w:val="baseline"/>
                <w:lang w:val="en-US" w:eastAsia="zh-CN"/>
              </w:rPr>
            </w:pPr>
          </w:p>
        </w:tc>
      </w:tr>
    </w:tbl>
    <w:p w14:paraId="2498D531">
      <w:pPr>
        <w:rPr>
          <w:rFonts w:hint="eastAsia" w:ascii="Times New Roman" w:hAnsi="Times New Roman" w:cs="Times New Roman"/>
          <w:bCs/>
          <w:color w:val="FF0000"/>
          <w:highlight w:val="none"/>
          <w:lang w:val="en-US" w:eastAsia="zh-CN"/>
        </w:rPr>
      </w:pPr>
      <w:r>
        <w:rPr>
          <w:rFonts w:hint="eastAsia" w:ascii="Times New Roman" w:hAnsi="Times New Roman" w:cs="Times New Roman"/>
          <w:bCs/>
          <w:color w:val="FF0000"/>
          <w:highlight w:val="none"/>
          <w:lang w:val="en-US" w:eastAsia="zh-CN"/>
        </w:rPr>
        <w:t>备注：须提供年检有效期内的行驶证复印件，租赁车辆还需提供租赁合同（租期覆盖至2026年12月31日）。</w:t>
      </w:r>
    </w:p>
    <w:p w14:paraId="0D9617C6">
      <w:pPr>
        <w:numPr>
          <w:ilvl w:val="0"/>
          <w:numId w:val="0"/>
        </w:numPr>
        <w:rPr>
          <w:rFonts w:hint="default" w:cs="Times New Roman"/>
          <w:b/>
          <w:color w:val="000000"/>
          <w:sz w:val="28"/>
          <w:szCs w:val="28"/>
          <w:highlight w:val="none"/>
          <w:lang w:val="en-US" w:eastAsia="zh-CN"/>
        </w:rPr>
      </w:pPr>
    </w:p>
    <w:p w14:paraId="53AEFD34">
      <w:pPr>
        <w:rPr>
          <w:rFonts w:hint="eastAsia" w:cs="Times New Roman"/>
          <w:b/>
          <w:color w:val="000000"/>
          <w:sz w:val="28"/>
          <w:szCs w:val="28"/>
          <w:highlight w:val="none"/>
          <w:lang w:val="en-US" w:eastAsia="zh-CN"/>
        </w:rPr>
      </w:pPr>
    </w:p>
    <w:p w14:paraId="1B98429E">
      <w:pPr>
        <w:rPr>
          <w:rFonts w:hint="eastAsia" w:cs="Times New Roman"/>
          <w:b/>
          <w:color w:val="000000"/>
          <w:sz w:val="28"/>
          <w:szCs w:val="28"/>
          <w:highlight w:val="none"/>
          <w:lang w:val="en-US" w:eastAsia="zh-CN"/>
        </w:rPr>
      </w:pPr>
    </w:p>
    <w:p w14:paraId="0E00DA96">
      <w:pPr>
        <w:rPr>
          <w:rFonts w:hint="eastAsia" w:cs="Times New Roman"/>
          <w:b/>
          <w:color w:val="000000"/>
          <w:sz w:val="28"/>
          <w:szCs w:val="28"/>
          <w:highlight w:val="none"/>
          <w:lang w:val="en-US" w:eastAsia="zh-CN"/>
        </w:rPr>
      </w:pPr>
    </w:p>
    <w:p w14:paraId="6A4B1205">
      <w:pPr>
        <w:rPr>
          <w:rFonts w:hint="eastAsia" w:cs="Times New Roman"/>
          <w:b/>
          <w:color w:val="000000"/>
          <w:sz w:val="28"/>
          <w:szCs w:val="28"/>
          <w:highlight w:val="none"/>
          <w:lang w:val="en-US" w:eastAsia="zh-CN"/>
        </w:rPr>
      </w:pPr>
    </w:p>
    <w:p w14:paraId="3889EE96">
      <w:pPr>
        <w:rPr>
          <w:rFonts w:hint="eastAsia" w:cs="Times New Roman"/>
          <w:b/>
          <w:color w:val="000000"/>
          <w:sz w:val="28"/>
          <w:szCs w:val="28"/>
          <w:highlight w:val="none"/>
          <w:lang w:val="en-US" w:eastAsia="zh-CN"/>
        </w:rPr>
      </w:pPr>
    </w:p>
    <w:p w14:paraId="1EDFC2B8">
      <w:pPr>
        <w:rPr>
          <w:rFonts w:hint="eastAsia" w:cs="Times New Roman"/>
          <w:b/>
          <w:color w:val="000000"/>
          <w:sz w:val="28"/>
          <w:szCs w:val="28"/>
          <w:highlight w:val="none"/>
          <w:lang w:val="en-US" w:eastAsia="zh-CN"/>
        </w:rPr>
      </w:pPr>
    </w:p>
    <w:p w14:paraId="214C78C2">
      <w:pPr>
        <w:rPr>
          <w:rFonts w:hint="eastAsia" w:cs="Times New Roman"/>
          <w:b/>
          <w:color w:val="000000"/>
          <w:sz w:val="28"/>
          <w:szCs w:val="28"/>
          <w:highlight w:val="none"/>
          <w:lang w:val="en-US" w:eastAsia="zh-CN"/>
        </w:rPr>
      </w:pPr>
    </w:p>
    <w:p w14:paraId="31479A5F">
      <w:pPr>
        <w:rPr>
          <w:rFonts w:hint="eastAsia" w:cs="Times New Roman"/>
          <w:b/>
          <w:color w:val="000000"/>
          <w:sz w:val="28"/>
          <w:szCs w:val="28"/>
          <w:highlight w:val="none"/>
          <w:lang w:val="en-US" w:eastAsia="zh-CN"/>
        </w:rPr>
      </w:pPr>
    </w:p>
    <w:p w14:paraId="4B7E54A8">
      <w:pPr>
        <w:rPr>
          <w:rFonts w:hint="eastAsia" w:cs="Times New Roman"/>
          <w:b/>
          <w:color w:val="000000"/>
          <w:sz w:val="28"/>
          <w:szCs w:val="28"/>
          <w:highlight w:val="none"/>
          <w:lang w:val="en-US" w:eastAsia="zh-CN"/>
        </w:rPr>
      </w:pPr>
    </w:p>
    <w:p w14:paraId="6F1CDEC3">
      <w:pPr>
        <w:rPr>
          <w:rFonts w:hint="eastAsia" w:cs="Times New Roman"/>
          <w:b/>
          <w:color w:val="000000"/>
          <w:sz w:val="28"/>
          <w:szCs w:val="28"/>
          <w:highlight w:val="none"/>
          <w:lang w:val="en-US" w:eastAsia="zh-CN"/>
        </w:rPr>
      </w:pPr>
    </w:p>
    <w:p w14:paraId="71587DE0">
      <w:pPr>
        <w:rPr>
          <w:rFonts w:hint="eastAsia" w:cs="Times New Roman"/>
          <w:b/>
          <w:color w:val="000000"/>
          <w:sz w:val="28"/>
          <w:szCs w:val="28"/>
          <w:highlight w:val="none"/>
          <w:lang w:val="en-US" w:eastAsia="zh-CN"/>
        </w:rPr>
      </w:pPr>
    </w:p>
    <w:p w14:paraId="5B7D382D">
      <w:pPr>
        <w:rPr>
          <w:rFonts w:hint="eastAsia" w:cs="Times New Roman"/>
          <w:b/>
          <w:color w:val="000000"/>
          <w:sz w:val="28"/>
          <w:szCs w:val="28"/>
          <w:highlight w:val="none"/>
          <w:lang w:val="en-US" w:eastAsia="zh-CN"/>
        </w:rPr>
      </w:pPr>
    </w:p>
    <w:p w14:paraId="7E57A8F8">
      <w:pPr>
        <w:rPr>
          <w:rFonts w:hint="eastAsia" w:cs="Times New Roman"/>
          <w:b/>
          <w:color w:val="000000"/>
          <w:sz w:val="28"/>
          <w:szCs w:val="28"/>
          <w:highlight w:val="none"/>
          <w:lang w:val="en-US" w:eastAsia="zh-CN"/>
        </w:rPr>
      </w:pPr>
    </w:p>
    <w:p w14:paraId="292A31D6">
      <w:pPr>
        <w:rPr>
          <w:rFonts w:hint="eastAsia" w:cs="Times New Roman"/>
          <w:b/>
          <w:color w:val="000000"/>
          <w:sz w:val="28"/>
          <w:szCs w:val="28"/>
          <w:highlight w:val="none"/>
          <w:lang w:val="en-US" w:eastAsia="zh-CN"/>
        </w:rPr>
      </w:pPr>
    </w:p>
    <w:p w14:paraId="6A8096F8">
      <w:pPr>
        <w:rPr>
          <w:rFonts w:hint="eastAsia" w:cs="Times New Roman"/>
          <w:b/>
          <w:color w:val="000000"/>
          <w:sz w:val="28"/>
          <w:szCs w:val="28"/>
          <w:highlight w:val="none"/>
          <w:lang w:val="en-US" w:eastAsia="zh-CN"/>
        </w:rPr>
      </w:pPr>
    </w:p>
    <w:p w14:paraId="7360C2F5">
      <w:pPr>
        <w:rPr>
          <w:rFonts w:hint="eastAsia" w:cs="Times New Roman"/>
          <w:b/>
          <w:color w:val="000000"/>
          <w:sz w:val="28"/>
          <w:szCs w:val="28"/>
          <w:highlight w:val="none"/>
          <w:lang w:val="en-US" w:eastAsia="zh-CN"/>
        </w:rPr>
      </w:pPr>
    </w:p>
    <w:p w14:paraId="069428F0">
      <w:pPr>
        <w:rPr>
          <w:rFonts w:hint="eastAsia" w:cs="Times New Roman"/>
          <w:b/>
          <w:color w:val="000000"/>
          <w:sz w:val="28"/>
          <w:szCs w:val="28"/>
          <w:highlight w:val="none"/>
          <w:lang w:val="en-US" w:eastAsia="zh-CN"/>
        </w:rPr>
      </w:pPr>
    </w:p>
    <w:p w14:paraId="4246333C">
      <w:pPr>
        <w:rPr>
          <w:rFonts w:hint="default" w:ascii="Times New Roman" w:hAnsi="Times New Roman" w:eastAsia="宋体" w:cs="Times New Roman"/>
          <w:b/>
          <w:color w:val="000000"/>
          <w:sz w:val="28"/>
          <w:szCs w:val="28"/>
          <w:highlight w:val="none"/>
          <w:lang w:val="en-US" w:eastAsia="zh-CN"/>
        </w:rPr>
      </w:pPr>
      <w:r>
        <w:rPr>
          <w:rFonts w:hint="eastAsia" w:cs="Times New Roman"/>
          <w:b/>
          <w:color w:val="000000"/>
          <w:sz w:val="28"/>
          <w:szCs w:val="28"/>
          <w:highlight w:val="none"/>
          <w:lang w:val="en-US" w:eastAsia="zh-CN"/>
        </w:rPr>
        <w:t>12.人员配置情况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41"/>
        <w:gridCol w:w="1636"/>
        <w:gridCol w:w="2017"/>
        <w:gridCol w:w="2907"/>
      </w:tblGrid>
      <w:tr w14:paraId="7223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2D1D3A60">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序号</w:t>
            </w:r>
          </w:p>
        </w:tc>
        <w:tc>
          <w:tcPr>
            <w:tcW w:w="1141" w:type="dxa"/>
          </w:tcPr>
          <w:p w14:paraId="4B56B44E">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姓名</w:t>
            </w:r>
          </w:p>
        </w:tc>
        <w:tc>
          <w:tcPr>
            <w:tcW w:w="1636" w:type="dxa"/>
          </w:tcPr>
          <w:p w14:paraId="7E9211AC">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岗位</w:t>
            </w:r>
          </w:p>
        </w:tc>
        <w:tc>
          <w:tcPr>
            <w:tcW w:w="2017" w:type="dxa"/>
          </w:tcPr>
          <w:p w14:paraId="580E0AEC">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学历</w:t>
            </w:r>
          </w:p>
        </w:tc>
        <w:tc>
          <w:tcPr>
            <w:tcW w:w="2907" w:type="dxa"/>
          </w:tcPr>
          <w:p w14:paraId="00319E93">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从事物流年限</w:t>
            </w:r>
          </w:p>
        </w:tc>
      </w:tr>
      <w:tr w14:paraId="3A23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08F863CB">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1</w:t>
            </w:r>
          </w:p>
        </w:tc>
        <w:tc>
          <w:tcPr>
            <w:tcW w:w="1141" w:type="dxa"/>
          </w:tcPr>
          <w:p w14:paraId="0C248A2E">
            <w:pPr>
              <w:numPr>
                <w:ilvl w:val="0"/>
                <w:numId w:val="0"/>
              </w:numPr>
              <w:rPr>
                <w:rFonts w:hint="default" w:cs="Times New Roman"/>
                <w:b/>
                <w:color w:val="000000"/>
                <w:sz w:val="28"/>
                <w:szCs w:val="28"/>
                <w:highlight w:val="none"/>
                <w:vertAlign w:val="baseline"/>
                <w:lang w:val="en-US" w:eastAsia="zh-CN"/>
              </w:rPr>
            </w:pPr>
          </w:p>
        </w:tc>
        <w:tc>
          <w:tcPr>
            <w:tcW w:w="1636" w:type="dxa"/>
          </w:tcPr>
          <w:p w14:paraId="34474281">
            <w:pPr>
              <w:numPr>
                <w:ilvl w:val="0"/>
                <w:numId w:val="0"/>
              </w:numPr>
              <w:rPr>
                <w:rFonts w:hint="default" w:cs="Times New Roman"/>
                <w:b/>
                <w:color w:val="000000"/>
                <w:sz w:val="28"/>
                <w:szCs w:val="28"/>
                <w:highlight w:val="none"/>
                <w:vertAlign w:val="baseline"/>
                <w:lang w:val="en-US" w:eastAsia="zh-CN"/>
              </w:rPr>
            </w:pPr>
          </w:p>
        </w:tc>
        <w:tc>
          <w:tcPr>
            <w:tcW w:w="2017" w:type="dxa"/>
          </w:tcPr>
          <w:p w14:paraId="4392F452">
            <w:pPr>
              <w:numPr>
                <w:ilvl w:val="0"/>
                <w:numId w:val="0"/>
              </w:numPr>
              <w:rPr>
                <w:rFonts w:hint="default" w:cs="Times New Roman"/>
                <w:b/>
                <w:color w:val="000000"/>
                <w:sz w:val="28"/>
                <w:szCs w:val="28"/>
                <w:highlight w:val="none"/>
                <w:vertAlign w:val="baseline"/>
                <w:lang w:val="en-US" w:eastAsia="zh-CN"/>
              </w:rPr>
            </w:pPr>
          </w:p>
        </w:tc>
        <w:tc>
          <w:tcPr>
            <w:tcW w:w="2907" w:type="dxa"/>
          </w:tcPr>
          <w:p w14:paraId="7F93F54F">
            <w:pPr>
              <w:numPr>
                <w:ilvl w:val="0"/>
                <w:numId w:val="0"/>
              </w:numPr>
              <w:rPr>
                <w:rFonts w:hint="default" w:cs="Times New Roman"/>
                <w:b/>
                <w:color w:val="000000"/>
                <w:sz w:val="28"/>
                <w:szCs w:val="28"/>
                <w:highlight w:val="none"/>
                <w:vertAlign w:val="baseline"/>
                <w:lang w:val="en-US" w:eastAsia="zh-CN"/>
              </w:rPr>
            </w:pPr>
          </w:p>
        </w:tc>
      </w:tr>
      <w:tr w14:paraId="4DE6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42A4B0DD">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2</w:t>
            </w:r>
          </w:p>
        </w:tc>
        <w:tc>
          <w:tcPr>
            <w:tcW w:w="1141" w:type="dxa"/>
          </w:tcPr>
          <w:p w14:paraId="45104859">
            <w:pPr>
              <w:numPr>
                <w:ilvl w:val="0"/>
                <w:numId w:val="0"/>
              </w:numPr>
              <w:rPr>
                <w:rFonts w:hint="default" w:cs="Times New Roman"/>
                <w:b/>
                <w:color w:val="000000"/>
                <w:sz w:val="28"/>
                <w:szCs w:val="28"/>
                <w:highlight w:val="none"/>
                <w:vertAlign w:val="baseline"/>
                <w:lang w:val="en-US" w:eastAsia="zh-CN"/>
              </w:rPr>
            </w:pPr>
          </w:p>
        </w:tc>
        <w:tc>
          <w:tcPr>
            <w:tcW w:w="1636" w:type="dxa"/>
          </w:tcPr>
          <w:p w14:paraId="1AB912A1">
            <w:pPr>
              <w:numPr>
                <w:ilvl w:val="0"/>
                <w:numId w:val="0"/>
              </w:numPr>
              <w:rPr>
                <w:rFonts w:hint="default" w:cs="Times New Roman"/>
                <w:b/>
                <w:color w:val="000000"/>
                <w:sz w:val="28"/>
                <w:szCs w:val="28"/>
                <w:highlight w:val="none"/>
                <w:vertAlign w:val="baseline"/>
                <w:lang w:val="en-US" w:eastAsia="zh-CN"/>
              </w:rPr>
            </w:pPr>
          </w:p>
        </w:tc>
        <w:tc>
          <w:tcPr>
            <w:tcW w:w="2017" w:type="dxa"/>
          </w:tcPr>
          <w:p w14:paraId="1F104789">
            <w:pPr>
              <w:numPr>
                <w:ilvl w:val="0"/>
                <w:numId w:val="0"/>
              </w:numPr>
              <w:rPr>
                <w:rFonts w:hint="default" w:cs="Times New Roman"/>
                <w:b/>
                <w:color w:val="000000"/>
                <w:sz w:val="28"/>
                <w:szCs w:val="28"/>
                <w:highlight w:val="none"/>
                <w:vertAlign w:val="baseline"/>
                <w:lang w:val="en-US" w:eastAsia="zh-CN"/>
              </w:rPr>
            </w:pPr>
          </w:p>
        </w:tc>
        <w:tc>
          <w:tcPr>
            <w:tcW w:w="2907" w:type="dxa"/>
          </w:tcPr>
          <w:p w14:paraId="03AC189C">
            <w:pPr>
              <w:numPr>
                <w:ilvl w:val="0"/>
                <w:numId w:val="0"/>
              </w:numPr>
              <w:rPr>
                <w:rFonts w:hint="default" w:cs="Times New Roman"/>
                <w:b/>
                <w:color w:val="000000"/>
                <w:sz w:val="28"/>
                <w:szCs w:val="28"/>
                <w:highlight w:val="none"/>
                <w:vertAlign w:val="baseline"/>
                <w:lang w:val="en-US" w:eastAsia="zh-CN"/>
              </w:rPr>
            </w:pPr>
          </w:p>
        </w:tc>
      </w:tr>
    </w:tbl>
    <w:p w14:paraId="7058163A">
      <w:pPr>
        <w:rPr>
          <w:rFonts w:hint="default" w:ascii="Times New Roman" w:hAnsi="Times New Roman" w:cs="Times New Roman"/>
          <w:bCs/>
          <w:color w:val="FF0000"/>
          <w:highlight w:val="none"/>
          <w:lang w:val="en-US" w:eastAsia="zh-CN"/>
        </w:rPr>
      </w:pPr>
      <w:r>
        <w:rPr>
          <w:rFonts w:hint="eastAsia" w:ascii="Times New Roman" w:hAnsi="Times New Roman" w:cs="Times New Roman"/>
          <w:bCs/>
          <w:color w:val="FF0000"/>
          <w:highlight w:val="none"/>
          <w:lang w:val="en-US" w:eastAsia="zh-CN"/>
        </w:rPr>
        <w:t>备注：</w:t>
      </w:r>
      <w:r>
        <w:rPr>
          <w:rFonts w:hint="eastAsia" w:cs="Times New Roman"/>
          <w:bCs/>
          <w:color w:val="FF0000"/>
          <w:highlight w:val="none"/>
          <w:lang w:val="en-US" w:eastAsia="zh-CN"/>
        </w:rPr>
        <w:t>所有人员需附社保证明。项目负责人需附简历。统一着装需附照片（如有）</w:t>
      </w:r>
    </w:p>
    <w:p w14:paraId="32DC5E47">
      <w:pPr>
        <w:rPr>
          <w:rFonts w:hint="default" w:ascii="Times New Roman" w:hAnsi="Times New Roman" w:cs="Times New Roman"/>
          <w:b/>
          <w:color w:val="000000"/>
          <w:sz w:val="28"/>
          <w:szCs w:val="28"/>
          <w:highlight w:val="none"/>
        </w:rPr>
      </w:pPr>
    </w:p>
    <w:p w14:paraId="33A3B7C5">
      <w:pPr>
        <w:rPr>
          <w:rFonts w:hint="default" w:ascii="Times New Roman" w:hAnsi="Times New Roman" w:cs="Times New Roman"/>
          <w:b/>
          <w:color w:val="000000"/>
          <w:sz w:val="28"/>
          <w:szCs w:val="28"/>
          <w:highlight w:val="none"/>
        </w:rPr>
      </w:pPr>
    </w:p>
    <w:p w14:paraId="6167F1E8">
      <w:pPr>
        <w:rPr>
          <w:rFonts w:hint="default" w:ascii="Times New Roman" w:hAnsi="Times New Roman" w:cs="Times New Roman"/>
          <w:b/>
          <w:color w:val="000000"/>
          <w:sz w:val="28"/>
          <w:szCs w:val="28"/>
          <w:highlight w:val="none"/>
        </w:rPr>
      </w:pPr>
    </w:p>
    <w:p w14:paraId="6EEA25E7">
      <w:pPr>
        <w:rPr>
          <w:rFonts w:hint="default" w:ascii="Times New Roman" w:hAnsi="Times New Roman" w:cs="Times New Roman"/>
          <w:b/>
          <w:color w:val="000000"/>
          <w:sz w:val="28"/>
          <w:szCs w:val="28"/>
          <w:highlight w:val="none"/>
        </w:rPr>
      </w:pPr>
    </w:p>
    <w:p w14:paraId="554BC817">
      <w:pPr>
        <w:rPr>
          <w:rFonts w:hint="default" w:ascii="Times New Roman" w:hAnsi="Times New Roman" w:cs="Times New Roman"/>
          <w:b/>
          <w:color w:val="000000"/>
          <w:sz w:val="28"/>
          <w:szCs w:val="28"/>
          <w:highlight w:val="none"/>
        </w:rPr>
      </w:pPr>
    </w:p>
    <w:p w14:paraId="5A04095D">
      <w:pPr>
        <w:rPr>
          <w:rFonts w:hint="default" w:ascii="Times New Roman" w:hAnsi="Times New Roman" w:cs="Times New Roman"/>
          <w:b/>
          <w:color w:val="000000"/>
          <w:sz w:val="28"/>
          <w:szCs w:val="28"/>
          <w:highlight w:val="none"/>
        </w:rPr>
      </w:pPr>
    </w:p>
    <w:p w14:paraId="545DBAED">
      <w:pPr>
        <w:rPr>
          <w:rFonts w:hint="default" w:ascii="Times New Roman" w:hAnsi="Times New Roman" w:cs="Times New Roman"/>
          <w:b/>
          <w:color w:val="000000"/>
          <w:sz w:val="28"/>
          <w:szCs w:val="28"/>
          <w:highlight w:val="none"/>
        </w:rPr>
      </w:pPr>
    </w:p>
    <w:p w14:paraId="53588E6D">
      <w:pPr>
        <w:rPr>
          <w:rFonts w:hint="default" w:ascii="Times New Roman" w:hAnsi="Times New Roman" w:cs="Times New Roman"/>
          <w:b/>
          <w:color w:val="000000"/>
          <w:sz w:val="28"/>
          <w:szCs w:val="28"/>
          <w:highlight w:val="none"/>
        </w:rPr>
      </w:pPr>
    </w:p>
    <w:p w14:paraId="66244118">
      <w:pPr>
        <w:rPr>
          <w:rFonts w:hint="default" w:ascii="Times New Roman" w:hAnsi="Times New Roman" w:cs="Times New Roman"/>
          <w:b/>
          <w:color w:val="000000"/>
          <w:sz w:val="28"/>
          <w:szCs w:val="28"/>
          <w:highlight w:val="none"/>
        </w:rPr>
      </w:pPr>
    </w:p>
    <w:p w14:paraId="5B2DFA8D">
      <w:pPr>
        <w:rPr>
          <w:rFonts w:hint="default" w:ascii="Times New Roman" w:hAnsi="Times New Roman" w:cs="Times New Roman"/>
          <w:b/>
          <w:color w:val="000000"/>
          <w:sz w:val="28"/>
          <w:szCs w:val="28"/>
          <w:highlight w:val="none"/>
        </w:rPr>
      </w:pPr>
    </w:p>
    <w:p w14:paraId="1E8B81AD">
      <w:pPr>
        <w:rPr>
          <w:rFonts w:hint="default" w:ascii="Times New Roman" w:hAnsi="Times New Roman" w:cs="Times New Roman"/>
          <w:b/>
          <w:color w:val="000000"/>
          <w:sz w:val="28"/>
          <w:szCs w:val="28"/>
          <w:highlight w:val="none"/>
        </w:rPr>
      </w:pPr>
    </w:p>
    <w:p w14:paraId="5F8D2F25">
      <w:pPr>
        <w:rPr>
          <w:rFonts w:hint="default" w:ascii="Times New Roman" w:hAnsi="Times New Roman" w:cs="Times New Roman"/>
          <w:b/>
          <w:color w:val="000000"/>
          <w:sz w:val="28"/>
          <w:szCs w:val="28"/>
          <w:highlight w:val="none"/>
        </w:rPr>
      </w:pPr>
    </w:p>
    <w:p w14:paraId="0E9C6F71">
      <w:pPr>
        <w:rPr>
          <w:rFonts w:hint="default" w:ascii="Times New Roman" w:hAnsi="Times New Roman" w:cs="Times New Roman"/>
          <w:b/>
          <w:color w:val="000000"/>
          <w:sz w:val="28"/>
          <w:szCs w:val="28"/>
          <w:highlight w:val="none"/>
        </w:rPr>
      </w:pPr>
    </w:p>
    <w:p w14:paraId="5CFE5AAD">
      <w:pPr>
        <w:rPr>
          <w:rFonts w:hint="default" w:ascii="Times New Roman" w:hAnsi="Times New Roman" w:cs="Times New Roman"/>
          <w:b/>
          <w:color w:val="000000"/>
          <w:sz w:val="28"/>
          <w:szCs w:val="28"/>
          <w:highlight w:val="none"/>
        </w:rPr>
      </w:pPr>
    </w:p>
    <w:p w14:paraId="0B1C7772">
      <w:pPr>
        <w:rPr>
          <w:rFonts w:hint="default" w:ascii="Times New Roman" w:hAnsi="Times New Roman" w:cs="Times New Roman"/>
          <w:b/>
          <w:color w:val="000000"/>
          <w:sz w:val="28"/>
          <w:szCs w:val="28"/>
          <w:highlight w:val="none"/>
        </w:rPr>
      </w:pPr>
    </w:p>
    <w:p w14:paraId="3BD6DEE8">
      <w:pPr>
        <w:rPr>
          <w:rFonts w:hint="default" w:ascii="Times New Roman" w:hAnsi="Times New Roman" w:cs="Times New Roman"/>
          <w:b/>
          <w:color w:val="000000"/>
          <w:sz w:val="28"/>
          <w:szCs w:val="28"/>
          <w:highlight w:val="none"/>
        </w:rPr>
      </w:pPr>
    </w:p>
    <w:p w14:paraId="77583AB1">
      <w:pPr>
        <w:rPr>
          <w:rFonts w:hint="default" w:ascii="Times New Roman" w:hAnsi="Times New Roman" w:cs="Times New Roman"/>
          <w:b/>
          <w:color w:val="000000"/>
          <w:sz w:val="28"/>
          <w:szCs w:val="28"/>
          <w:highlight w:val="none"/>
        </w:rPr>
      </w:pPr>
    </w:p>
    <w:p w14:paraId="56CCB99F">
      <w:pPr>
        <w:rPr>
          <w:rFonts w:hint="default" w:ascii="Times New Roman" w:hAnsi="Times New Roman" w:cs="Times New Roman"/>
          <w:b/>
          <w:color w:val="000000"/>
          <w:sz w:val="28"/>
          <w:szCs w:val="28"/>
          <w:highlight w:val="none"/>
        </w:rPr>
      </w:pPr>
    </w:p>
    <w:p w14:paraId="0BB80706">
      <w:pPr>
        <w:rPr>
          <w:rFonts w:hint="default" w:ascii="Times New Roman" w:hAnsi="Times New Roman" w:eastAsia="宋体" w:cs="Times New Roman"/>
          <w:b/>
          <w:color w:val="000000"/>
          <w:sz w:val="28"/>
          <w:szCs w:val="28"/>
          <w:highlight w:val="none"/>
          <w:lang w:val="en-US" w:eastAsia="zh-CN"/>
        </w:rPr>
      </w:pPr>
      <w:r>
        <w:rPr>
          <w:rFonts w:hint="eastAsia" w:cs="Times New Roman"/>
          <w:b/>
          <w:color w:val="000000"/>
          <w:sz w:val="28"/>
          <w:szCs w:val="28"/>
          <w:highlight w:val="none"/>
          <w:lang w:val="en-US" w:eastAsia="zh-CN"/>
        </w:rPr>
        <w:t>13.仓库配置情况表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39"/>
        <w:gridCol w:w="884"/>
        <w:gridCol w:w="926"/>
        <w:gridCol w:w="1322"/>
        <w:gridCol w:w="2951"/>
      </w:tblGrid>
      <w:tr w14:paraId="4E83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14:paraId="374DE37A">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序号</w:t>
            </w:r>
          </w:p>
        </w:tc>
        <w:tc>
          <w:tcPr>
            <w:tcW w:w="1339" w:type="dxa"/>
          </w:tcPr>
          <w:p w14:paraId="0ECB4D3A">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仓库地址</w:t>
            </w:r>
          </w:p>
        </w:tc>
        <w:tc>
          <w:tcPr>
            <w:tcW w:w="884" w:type="dxa"/>
          </w:tcPr>
          <w:p w14:paraId="23048ADA">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面积（㎡）</w:t>
            </w:r>
          </w:p>
        </w:tc>
        <w:tc>
          <w:tcPr>
            <w:tcW w:w="926" w:type="dxa"/>
          </w:tcPr>
          <w:p w14:paraId="789ED8C3">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自有/租赁</w:t>
            </w:r>
          </w:p>
        </w:tc>
        <w:tc>
          <w:tcPr>
            <w:tcW w:w="1322" w:type="dxa"/>
          </w:tcPr>
          <w:p w14:paraId="22B791AD">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租赁期限（如租赁）</w:t>
            </w:r>
          </w:p>
        </w:tc>
        <w:tc>
          <w:tcPr>
            <w:tcW w:w="2951" w:type="dxa"/>
          </w:tcPr>
          <w:p w14:paraId="1FDB2685">
            <w:pPr>
              <w:jc w:val="center"/>
              <w:rPr>
                <w:rFonts w:hint="eastAsia"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免费提供本项目的仓储面积（㎡）</w:t>
            </w:r>
          </w:p>
        </w:tc>
      </w:tr>
      <w:tr w14:paraId="1A18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430CCE69">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1</w:t>
            </w:r>
          </w:p>
        </w:tc>
        <w:tc>
          <w:tcPr>
            <w:tcW w:w="1339" w:type="dxa"/>
          </w:tcPr>
          <w:p w14:paraId="1B91B1E5">
            <w:pPr>
              <w:numPr>
                <w:ilvl w:val="0"/>
                <w:numId w:val="0"/>
              </w:numPr>
              <w:rPr>
                <w:rFonts w:hint="default" w:cs="Times New Roman"/>
                <w:b/>
                <w:color w:val="000000"/>
                <w:sz w:val="28"/>
                <w:szCs w:val="28"/>
                <w:highlight w:val="none"/>
                <w:vertAlign w:val="baseline"/>
                <w:lang w:val="en-US" w:eastAsia="zh-CN"/>
              </w:rPr>
            </w:pPr>
          </w:p>
        </w:tc>
        <w:tc>
          <w:tcPr>
            <w:tcW w:w="884" w:type="dxa"/>
          </w:tcPr>
          <w:p w14:paraId="22753D82">
            <w:pPr>
              <w:numPr>
                <w:ilvl w:val="0"/>
                <w:numId w:val="0"/>
              </w:numPr>
              <w:rPr>
                <w:rFonts w:hint="default" w:cs="Times New Roman"/>
                <w:b/>
                <w:color w:val="000000"/>
                <w:sz w:val="28"/>
                <w:szCs w:val="28"/>
                <w:highlight w:val="none"/>
                <w:vertAlign w:val="baseline"/>
                <w:lang w:val="en-US" w:eastAsia="zh-CN"/>
              </w:rPr>
            </w:pPr>
          </w:p>
        </w:tc>
        <w:tc>
          <w:tcPr>
            <w:tcW w:w="926" w:type="dxa"/>
          </w:tcPr>
          <w:p w14:paraId="20996941">
            <w:pPr>
              <w:numPr>
                <w:ilvl w:val="0"/>
                <w:numId w:val="0"/>
              </w:numPr>
              <w:rPr>
                <w:rFonts w:hint="default" w:cs="Times New Roman"/>
                <w:b/>
                <w:color w:val="000000"/>
                <w:sz w:val="28"/>
                <w:szCs w:val="28"/>
                <w:highlight w:val="none"/>
                <w:vertAlign w:val="baseline"/>
                <w:lang w:val="en-US" w:eastAsia="zh-CN"/>
              </w:rPr>
            </w:pPr>
          </w:p>
        </w:tc>
        <w:tc>
          <w:tcPr>
            <w:tcW w:w="1322" w:type="dxa"/>
          </w:tcPr>
          <w:p w14:paraId="45F623E3">
            <w:pPr>
              <w:numPr>
                <w:ilvl w:val="0"/>
                <w:numId w:val="0"/>
              </w:numPr>
              <w:rPr>
                <w:rFonts w:hint="default" w:cs="Times New Roman"/>
                <w:b/>
                <w:color w:val="000000"/>
                <w:sz w:val="28"/>
                <w:szCs w:val="28"/>
                <w:highlight w:val="none"/>
                <w:vertAlign w:val="baseline"/>
                <w:lang w:val="en-US" w:eastAsia="zh-CN"/>
              </w:rPr>
            </w:pPr>
          </w:p>
        </w:tc>
        <w:tc>
          <w:tcPr>
            <w:tcW w:w="2951" w:type="dxa"/>
          </w:tcPr>
          <w:p w14:paraId="1762CC54">
            <w:pPr>
              <w:numPr>
                <w:ilvl w:val="0"/>
                <w:numId w:val="0"/>
              </w:numPr>
              <w:rPr>
                <w:rFonts w:hint="default" w:cs="Times New Roman"/>
                <w:b/>
                <w:color w:val="000000"/>
                <w:sz w:val="28"/>
                <w:szCs w:val="28"/>
                <w:highlight w:val="none"/>
                <w:vertAlign w:val="baseline"/>
                <w:lang w:val="en-US" w:eastAsia="zh-CN"/>
              </w:rPr>
            </w:pPr>
          </w:p>
        </w:tc>
      </w:tr>
      <w:tr w14:paraId="1786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679EEF1B">
            <w:pPr>
              <w:jc w:val="center"/>
              <w:rPr>
                <w:rFonts w:hint="default" w:cs="Times New Roman"/>
                <w:b w:val="0"/>
                <w:bCs/>
                <w:color w:val="000000"/>
                <w:sz w:val="24"/>
                <w:szCs w:val="24"/>
                <w:highlight w:val="none"/>
                <w:vertAlign w:val="baseline"/>
                <w:lang w:val="en-US" w:eastAsia="zh-CN"/>
              </w:rPr>
            </w:pPr>
            <w:r>
              <w:rPr>
                <w:rFonts w:hint="eastAsia" w:cs="Times New Roman"/>
                <w:b w:val="0"/>
                <w:bCs/>
                <w:color w:val="000000"/>
                <w:sz w:val="24"/>
                <w:szCs w:val="24"/>
                <w:highlight w:val="none"/>
                <w:vertAlign w:val="baseline"/>
                <w:lang w:val="en-US" w:eastAsia="zh-CN"/>
              </w:rPr>
              <w:t>2</w:t>
            </w:r>
          </w:p>
        </w:tc>
        <w:tc>
          <w:tcPr>
            <w:tcW w:w="1339" w:type="dxa"/>
          </w:tcPr>
          <w:p w14:paraId="0118A331">
            <w:pPr>
              <w:numPr>
                <w:ilvl w:val="0"/>
                <w:numId w:val="0"/>
              </w:numPr>
              <w:rPr>
                <w:rFonts w:hint="default" w:cs="Times New Roman"/>
                <w:b/>
                <w:color w:val="000000"/>
                <w:sz w:val="28"/>
                <w:szCs w:val="28"/>
                <w:highlight w:val="none"/>
                <w:vertAlign w:val="baseline"/>
                <w:lang w:val="en-US" w:eastAsia="zh-CN"/>
              </w:rPr>
            </w:pPr>
          </w:p>
        </w:tc>
        <w:tc>
          <w:tcPr>
            <w:tcW w:w="884" w:type="dxa"/>
          </w:tcPr>
          <w:p w14:paraId="2B119594">
            <w:pPr>
              <w:numPr>
                <w:ilvl w:val="0"/>
                <w:numId w:val="0"/>
              </w:numPr>
              <w:rPr>
                <w:rFonts w:hint="default" w:cs="Times New Roman"/>
                <w:b/>
                <w:color w:val="000000"/>
                <w:sz w:val="28"/>
                <w:szCs w:val="28"/>
                <w:highlight w:val="none"/>
                <w:vertAlign w:val="baseline"/>
                <w:lang w:val="en-US" w:eastAsia="zh-CN"/>
              </w:rPr>
            </w:pPr>
          </w:p>
        </w:tc>
        <w:tc>
          <w:tcPr>
            <w:tcW w:w="926" w:type="dxa"/>
          </w:tcPr>
          <w:p w14:paraId="49401788">
            <w:pPr>
              <w:numPr>
                <w:ilvl w:val="0"/>
                <w:numId w:val="0"/>
              </w:numPr>
              <w:rPr>
                <w:rFonts w:hint="default" w:cs="Times New Roman"/>
                <w:b/>
                <w:color w:val="000000"/>
                <w:sz w:val="28"/>
                <w:szCs w:val="28"/>
                <w:highlight w:val="none"/>
                <w:vertAlign w:val="baseline"/>
                <w:lang w:val="en-US" w:eastAsia="zh-CN"/>
              </w:rPr>
            </w:pPr>
          </w:p>
        </w:tc>
        <w:tc>
          <w:tcPr>
            <w:tcW w:w="1322" w:type="dxa"/>
          </w:tcPr>
          <w:p w14:paraId="30E4E123">
            <w:pPr>
              <w:numPr>
                <w:ilvl w:val="0"/>
                <w:numId w:val="0"/>
              </w:numPr>
              <w:rPr>
                <w:rFonts w:hint="default" w:cs="Times New Roman"/>
                <w:b/>
                <w:color w:val="000000"/>
                <w:sz w:val="28"/>
                <w:szCs w:val="28"/>
                <w:highlight w:val="none"/>
                <w:vertAlign w:val="baseline"/>
                <w:lang w:val="en-US" w:eastAsia="zh-CN"/>
              </w:rPr>
            </w:pPr>
          </w:p>
        </w:tc>
        <w:tc>
          <w:tcPr>
            <w:tcW w:w="2951" w:type="dxa"/>
          </w:tcPr>
          <w:p w14:paraId="3E48E5E2">
            <w:pPr>
              <w:numPr>
                <w:ilvl w:val="0"/>
                <w:numId w:val="0"/>
              </w:numPr>
              <w:rPr>
                <w:rFonts w:hint="default" w:cs="Times New Roman"/>
                <w:b/>
                <w:color w:val="000000"/>
                <w:sz w:val="28"/>
                <w:szCs w:val="28"/>
                <w:highlight w:val="none"/>
                <w:vertAlign w:val="baseline"/>
                <w:lang w:val="en-US" w:eastAsia="zh-CN"/>
              </w:rPr>
            </w:pPr>
          </w:p>
        </w:tc>
      </w:tr>
    </w:tbl>
    <w:p w14:paraId="3A1353FC">
      <w:pPr>
        <w:rPr>
          <w:rFonts w:hint="default" w:ascii="Times New Roman" w:hAnsi="Times New Roman" w:cs="Times New Roman"/>
          <w:bCs/>
          <w:color w:val="FF0000"/>
          <w:highlight w:val="none"/>
          <w:lang w:val="en-US" w:eastAsia="zh-CN"/>
        </w:rPr>
      </w:pPr>
      <w:r>
        <w:rPr>
          <w:rFonts w:hint="eastAsia" w:ascii="Times New Roman" w:hAnsi="Times New Roman" w:cs="Times New Roman"/>
          <w:bCs/>
          <w:color w:val="FF0000"/>
          <w:highlight w:val="none"/>
          <w:lang w:val="en-US" w:eastAsia="zh-CN"/>
        </w:rPr>
        <w:t>备注：</w:t>
      </w:r>
      <w:r>
        <w:rPr>
          <w:rFonts w:hint="eastAsia" w:cs="Times New Roman"/>
          <w:bCs/>
          <w:color w:val="FF0000"/>
          <w:highlight w:val="none"/>
          <w:lang w:val="en-US" w:eastAsia="zh-CN"/>
        </w:rPr>
        <w:t>须提供产权证明或租赁合同复印件；免费提供给本项目的仓储面积需单独文字说明。</w:t>
      </w:r>
    </w:p>
    <w:p w14:paraId="76EBF971">
      <w:pPr>
        <w:rPr>
          <w:rFonts w:hint="default" w:ascii="Times New Roman" w:hAnsi="Times New Roman" w:cs="Times New Roman"/>
          <w:b/>
          <w:color w:val="000000"/>
          <w:sz w:val="28"/>
          <w:szCs w:val="28"/>
          <w:highlight w:val="none"/>
        </w:rPr>
      </w:pPr>
    </w:p>
    <w:p w14:paraId="1FEECBA2">
      <w:pPr>
        <w:rPr>
          <w:rFonts w:hint="default" w:ascii="Times New Roman" w:hAnsi="Times New Roman" w:cs="Times New Roman"/>
          <w:b/>
          <w:color w:val="000000"/>
          <w:sz w:val="28"/>
          <w:szCs w:val="28"/>
          <w:highlight w:val="none"/>
        </w:rPr>
      </w:pPr>
    </w:p>
    <w:p w14:paraId="320BBB52">
      <w:pPr>
        <w:rPr>
          <w:rFonts w:hint="default" w:ascii="Times New Roman" w:hAnsi="Times New Roman" w:cs="Times New Roman"/>
          <w:b/>
          <w:color w:val="000000"/>
          <w:sz w:val="28"/>
          <w:szCs w:val="28"/>
          <w:highlight w:val="none"/>
        </w:rPr>
      </w:pPr>
    </w:p>
    <w:p w14:paraId="76C74E38">
      <w:pPr>
        <w:rPr>
          <w:rFonts w:hint="default" w:ascii="Times New Roman" w:hAnsi="Times New Roman" w:cs="Times New Roman"/>
          <w:b/>
          <w:color w:val="000000"/>
          <w:sz w:val="28"/>
          <w:szCs w:val="28"/>
          <w:highlight w:val="none"/>
        </w:rPr>
      </w:pPr>
    </w:p>
    <w:p w14:paraId="3E9EDA0C">
      <w:pPr>
        <w:rPr>
          <w:rFonts w:hint="default" w:ascii="Times New Roman" w:hAnsi="Times New Roman" w:cs="Times New Roman"/>
          <w:b/>
          <w:color w:val="000000"/>
          <w:sz w:val="28"/>
          <w:szCs w:val="28"/>
          <w:highlight w:val="none"/>
        </w:rPr>
      </w:pPr>
    </w:p>
    <w:p w14:paraId="755F5F37">
      <w:pPr>
        <w:rPr>
          <w:rFonts w:hint="default" w:ascii="Times New Roman" w:hAnsi="Times New Roman" w:cs="Times New Roman"/>
          <w:b/>
          <w:color w:val="000000"/>
          <w:sz w:val="28"/>
          <w:szCs w:val="28"/>
          <w:highlight w:val="none"/>
        </w:rPr>
      </w:pPr>
    </w:p>
    <w:p w14:paraId="34EB87AB">
      <w:pPr>
        <w:rPr>
          <w:rFonts w:hint="default" w:ascii="Times New Roman" w:hAnsi="Times New Roman" w:cs="Times New Roman"/>
          <w:b/>
          <w:color w:val="000000"/>
          <w:sz w:val="28"/>
          <w:szCs w:val="28"/>
          <w:highlight w:val="none"/>
        </w:rPr>
      </w:pPr>
    </w:p>
    <w:p w14:paraId="7A7EDCC0">
      <w:pPr>
        <w:rPr>
          <w:rFonts w:hint="default" w:ascii="Times New Roman" w:hAnsi="Times New Roman" w:cs="Times New Roman"/>
          <w:b/>
          <w:color w:val="000000"/>
          <w:sz w:val="28"/>
          <w:szCs w:val="28"/>
          <w:highlight w:val="none"/>
        </w:rPr>
      </w:pPr>
    </w:p>
    <w:p w14:paraId="7558C8A6">
      <w:pPr>
        <w:rPr>
          <w:rFonts w:hint="default" w:ascii="Times New Roman" w:hAnsi="Times New Roman" w:cs="Times New Roman"/>
          <w:b/>
          <w:color w:val="000000"/>
          <w:sz w:val="28"/>
          <w:szCs w:val="28"/>
          <w:highlight w:val="none"/>
        </w:rPr>
      </w:pPr>
    </w:p>
    <w:p w14:paraId="0C150260">
      <w:pPr>
        <w:rPr>
          <w:rFonts w:hint="default" w:ascii="Times New Roman" w:hAnsi="Times New Roman" w:cs="Times New Roman"/>
          <w:b/>
          <w:color w:val="000000"/>
          <w:sz w:val="28"/>
          <w:szCs w:val="28"/>
          <w:highlight w:val="none"/>
        </w:rPr>
      </w:pPr>
    </w:p>
    <w:p w14:paraId="6821BA54">
      <w:pPr>
        <w:rPr>
          <w:rFonts w:hint="default" w:ascii="Times New Roman" w:hAnsi="Times New Roman" w:cs="Times New Roman"/>
          <w:b/>
          <w:color w:val="000000"/>
          <w:sz w:val="28"/>
          <w:szCs w:val="28"/>
          <w:highlight w:val="none"/>
        </w:rPr>
      </w:pPr>
    </w:p>
    <w:p w14:paraId="22C84BF0">
      <w:pPr>
        <w:rPr>
          <w:rFonts w:hint="default" w:ascii="Times New Roman" w:hAnsi="Times New Roman" w:cs="Times New Roman"/>
          <w:b/>
          <w:color w:val="000000"/>
          <w:sz w:val="28"/>
          <w:szCs w:val="28"/>
          <w:highlight w:val="none"/>
        </w:rPr>
      </w:pPr>
    </w:p>
    <w:p w14:paraId="68946974">
      <w:pPr>
        <w:rPr>
          <w:rFonts w:hint="default" w:ascii="Times New Roman" w:hAnsi="Times New Roman" w:cs="Times New Roman"/>
          <w:b/>
          <w:color w:val="000000"/>
          <w:sz w:val="28"/>
          <w:szCs w:val="28"/>
          <w:highlight w:val="none"/>
        </w:rPr>
      </w:pPr>
    </w:p>
    <w:p w14:paraId="2B94FAF5">
      <w:pPr>
        <w:rPr>
          <w:rFonts w:hint="default" w:ascii="Times New Roman" w:hAnsi="Times New Roman" w:cs="Times New Roman"/>
          <w:b/>
          <w:color w:val="000000"/>
          <w:sz w:val="28"/>
          <w:szCs w:val="28"/>
          <w:highlight w:val="none"/>
        </w:rPr>
      </w:pPr>
    </w:p>
    <w:p w14:paraId="56A9722F">
      <w:pPr>
        <w:rPr>
          <w:rFonts w:hint="default" w:ascii="Times New Roman" w:hAnsi="Times New Roman" w:cs="Times New Roman"/>
          <w:b/>
          <w:color w:val="000000"/>
          <w:sz w:val="28"/>
          <w:szCs w:val="28"/>
          <w:highlight w:val="none"/>
        </w:rPr>
      </w:pPr>
    </w:p>
    <w:p w14:paraId="3CD01627">
      <w:pPr>
        <w:rPr>
          <w:rFonts w:hint="default" w:ascii="Times New Roman" w:hAnsi="Times New Roman" w:cs="Times New Roman"/>
          <w:b/>
          <w:color w:val="000000"/>
          <w:sz w:val="28"/>
          <w:szCs w:val="28"/>
          <w:highlight w:val="none"/>
        </w:rPr>
      </w:pPr>
    </w:p>
    <w:p w14:paraId="57158DD8">
      <w:pPr>
        <w:rPr>
          <w:rFonts w:hint="default" w:ascii="Times New Roman" w:hAnsi="Times New Roman" w:cs="Times New Roman"/>
          <w:b/>
          <w:color w:val="000000"/>
          <w:sz w:val="28"/>
          <w:szCs w:val="28"/>
          <w:highlight w:val="none"/>
        </w:rPr>
      </w:pPr>
    </w:p>
    <w:p w14:paraId="64DC4F64">
      <w:pPr>
        <w:rPr>
          <w:rFonts w:hint="default" w:ascii="Times New Roman" w:hAnsi="Times New Roman" w:cs="Times New Roman"/>
          <w:b/>
          <w:color w:val="000000"/>
          <w:sz w:val="28"/>
          <w:szCs w:val="28"/>
          <w:highlight w:val="none"/>
        </w:rPr>
      </w:pPr>
    </w:p>
    <w:p w14:paraId="72170AE0">
      <w:pPr>
        <w:rPr>
          <w:rFonts w:hint="default" w:ascii="Times New Roman" w:hAnsi="Times New Roman" w:cs="Times New Roman"/>
          <w:b/>
          <w:color w:val="000000"/>
          <w:sz w:val="28"/>
          <w:szCs w:val="28"/>
          <w:highlight w:val="none"/>
        </w:rPr>
      </w:pPr>
      <w:r>
        <w:rPr>
          <w:rFonts w:hint="eastAsia" w:cs="Times New Roman"/>
          <w:b/>
          <w:color w:val="000000"/>
          <w:sz w:val="28"/>
          <w:szCs w:val="28"/>
          <w:highlight w:val="none"/>
          <w:lang w:val="en-US" w:eastAsia="zh-CN"/>
        </w:rPr>
        <w:t>14.</w:t>
      </w:r>
      <w:r>
        <w:rPr>
          <w:rFonts w:hint="default" w:ascii="Times New Roman" w:hAnsi="Times New Roman" w:cs="Times New Roman"/>
          <w:b/>
          <w:color w:val="000000"/>
          <w:sz w:val="28"/>
          <w:szCs w:val="28"/>
          <w:highlight w:val="none"/>
        </w:rPr>
        <w:t>开户信息及开户许可证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5038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3FD2051E">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50318AD6">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22948A0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515709E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0D3B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62D4F16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6C614CC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14746EC9">
            <w:pPr>
              <w:widowControl/>
              <w:autoSpaceDE/>
              <w:autoSpaceDN/>
              <w:adjustRightInd/>
              <w:jc w:val="center"/>
              <w:rPr>
                <w:rFonts w:hint="default" w:ascii="Times New Roman" w:hAnsi="Times New Roman" w:cs="Times New Roman"/>
                <w:bCs/>
                <w:highlight w:val="none"/>
              </w:rPr>
            </w:pPr>
          </w:p>
        </w:tc>
        <w:tc>
          <w:tcPr>
            <w:tcW w:w="2205" w:type="dxa"/>
            <w:vAlign w:val="center"/>
          </w:tcPr>
          <w:p w14:paraId="66C2286F">
            <w:pPr>
              <w:widowControl/>
              <w:autoSpaceDE/>
              <w:autoSpaceDN/>
              <w:adjustRightInd/>
              <w:jc w:val="center"/>
              <w:rPr>
                <w:rFonts w:hint="default" w:ascii="Times New Roman" w:hAnsi="Times New Roman" w:cs="Times New Roman"/>
                <w:bCs/>
                <w:highlight w:val="none"/>
              </w:rPr>
            </w:pPr>
          </w:p>
        </w:tc>
      </w:tr>
      <w:tr w14:paraId="5887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2624C42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46C61B6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3B27D99A">
            <w:pPr>
              <w:widowControl/>
              <w:autoSpaceDE/>
              <w:autoSpaceDN/>
              <w:adjustRightInd/>
              <w:jc w:val="center"/>
              <w:rPr>
                <w:rFonts w:hint="default" w:ascii="Times New Roman" w:hAnsi="Times New Roman" w:cs="Times New Roman"/>
                <w:bCs/>
                <w:highlight w:val="none"/>
              </w:rPr>
            </w:pPr>
          </w:p>
        </w:tc>
        <w:tc>
          <w:tcPr>
            <w:tcW w:w="2205" w:type="dxa"/>
            <w:vAlign w:val="center"/>
          </w:tcPr>
          <w:p w14:paraId="77B85B82">
            <w:pPr>
              <w:widowControl/>
              <w:autoSpaceDE/>
              <w:autoSpaceDN/>
              <w:adjustRightInd/>
              <w:jc w:val="center"/>
              <w:rPr>
                <w:rFonts w:hint="default" w:ascii="Times New Roman" w:hAnsi="Times New Roman" w:cs="Times New Roman"/>
                <w:bCs/>
                <w:highlight w:val="none"/>
              </w:rPr>
            </w:pPr>
          </w:p>
        </w:tc>
      </w:tr>
      <w:tr w14:paraId="5D3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49A6CB4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5B267F5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646B20CE">
            <w:pPr>
              <w:widowControl/>
              <w:autoSpaceDE/>
              <w:autoSpaceDN/>
              <w:adjustRightInd/>
              <w:jc w:val="center"/>
              <w:rPr>
                <w:rFonts w:hint="default" w:ascii="Times New Roman" w:hAnsi="Times New Roman" w:cs="Times New Roman"/>
                <w:bCs/>
                <w:highlight w:val="none"/>
              </w:rPr>
            </w:pPr>
          </w:p>
        </w:tc>
        <w:tc>
          <w:tcPr>
            <w:tcW w:w="2205" w:type="dxa"/>
            <w:vAlign w:val="center"/>
          </w:tcPr>
          <w:p w14:paraId="0A41D900">
            <w:pPr>
              <w:widowControl/>
              <w:autoSpaceDE/>
              <w:autoSpaceDN/>
              <w:adjustRightInd/>
              <w:jc w:val="center"/>
              <w:rPr>
                <w:rFonts w:hint="default" w:ascii="Times New Roman" w:hAnsi="Times New Roman" w:cs="Times New Roman"/>
                <w:bCs/>
                <w:highlight w:val="none"/>
              </w:rPr>
            </w:pPr>
          </w:p>
        </w:tc>
      </w:tr>
    </w:tbl>
    <w:p w14:paraId="30BA8166">
      <w:pPr>
        <w:widowControl/>
        <w:autoSpaceDE/>
        <w:autoSpaceDN/>
        <w:adjustRightInd/>
        <w:rPr>
          <w:rFonts w:hint="default" w:ascii="Times New Roman" w:hAnsi="Times New Roman" w:cs="Times New Roman"/>
          <w:bCs/>
          <w:color w:val="FF0000"/>
          <w:highlight w:val="none"/>
        </w:rPr>
      </w:pPr>
    </w:p>
    <w:p w14:paraId="02716CDD">
      <w:pPr>
        <w:widowControl/>
        <w:autoSpaceDE/>
        <w:autoSpaceDN/>
        <w:adjustRightInd/>
        <w:rPr>
          <w:rFonts w:hint="default" w:ascii="Times New Roman" w:hAnsi="Times New Roman" w:cs="Times New Roman"/>
          <w:bCs/>
          <w:color w:val="FF0000"/>
          <w:highlight w:val="none"/>
        </w:rPr>
      </w:pPr>
    </w:p>
    <w:p w14:paraId="60565C9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35A15D62">
      <w:pPr>
        <w:widowControl/>
        <w:autoSpaceDE/>
        <w:autoSpaceDN/>
        <w:adjustRightInd/>
        <w:rPr>
          <w:rFonts w:hint="default" w:ascii="Times New Roman" w:hAnsi="Times New Roman" w:cs="Times New Roman"/>
          <w:bCs/>
          <w:color w:val="FF0000"/>
          <w:highlight w:val="none"/>
        </w:rPr>
      </w:pPr>
    </w:p>
    <w:bookmarkEnd w:id="44"/>
    <w:bookmarkEnd w:id="45"/>
    <w:bookmarkEnd w:id="46"/>
    <w:bookmarkEnd w:id="48"/>
    <w:bookmarkEnd w:id="49"/>
    <w:bookmarkEnd w:id="50"/>
    <w:bookmarkEnd w:id="51"/>
    <w:bookmarkEnd w:id="52"/>
    <w:p w14:paraId="6F830636">
      <w:pPr>
        <w:rPr>
          <w:rFonts w:hint="default" w:ascii="Times New Roman" w:hAnsi="Times New Roman" w:cs="Times New Roman"/>
          <w:highlight w:val="none"/>
        </w:rPr>
      </w:pPr>
    </w:p>
    <w:sectPr>
      <w:headerReference r:id="rId5" w:type="default"/>
      <w:footerReference r:id="rId6" w:type="default"/>
      <w:footerReference r:id="rId7"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0D5AD86B">
        <w:pPr>
          <w:pStyle w:val="12"/>
          <w:jc w:val="center"/>
        </w:pPr>
        <w:r>
          <w:fldChar w:fldCharType="begin"/>
        </w:r>
        <w:r>
          <w:instrText xml:space="preserve">PAGE   \* MERGEFORMAT</w:instrText>
        </w:r>
        <w:r>
          <w:fldChar w:fldCharType="separate"/>
        </w:r>
        <w:r>
          <w:rPr>
            <w:lang w:val="zh-CN"/>
          </w:rPr>
          <w:t>11</w:t>
        </w:r>
        <w:r>
          <w:fldChar w:fldCharType="end"/>
        </w:r>
      </w:p>
    </w:sdtContent>
  </w:sdt>
  <w:p w14:paraId="25EBB64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AF2D">
    <w:pPr>
      <w:pStyle w:val="12"/>
      <w:jc w:val="center"/>
      <w:rPr>
        <w:rFonts w:hint="default" w:eastAsiaTheme="minorEastAsia"/>
        <w:lang w:val="en-US" w:eastAsia="zh-CN"/>
      </w:rPr>
    </w:pPr>
    <w:r>
      <w:rPr>
        <w:rFonts w:hint="eastAsia"/>
        <w:lang w:val="en-US" w:eastAsia="zh-CN"/>
      </w:rPr>
      <w:t>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1146">
    <w:pPr>
      <w:pStyle w:val="12"/>
      <w:jc w:val="center"/>
      <w:rPr>
        <w:rFonts w:hint="eastAsia" w:eastAsiaTheme="minorEastAsia"/>
        <w:lang w:val="en-US" w:eastAsia="zh-CN"/>
      </w:rPr>
    </w:pPr>
    <w:r>
      <w:fldChar w:fldCharType="begin"/>
    </w:r>
    <w:r>
      <w:instrText xml:space="preserve">PAGE   \* MERGEFORMAT</w:instrText>
    </w:r>
    <w:r>
      <w:fldChar w:fldCharType="separate"/>
    </w:r>
    <w:r>
      <w:rPr>
        <w:lang w:val="zh-CN"/>
      </w:rPr>
      <w:t>4</w:t>
    </w:r>
    <w:r>
      <w:rPr>
        <w:lang w:val="zh-CN"/>
      </w:rPr>
      <w:fldChar w:fldCharType="end"/>
    </w:r>
    <w:r>
      <w:rPr>
        <w:rFonts w:hint="eastAsia"/>
        <w:lang w:val="en-US" w:eastAsia="zh-CN"/>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41F">
    <w:pPr>
      <w:pStyle w:val="12"/>
      <w:framePr w:wrap="around" w:vAnchor="text" w:hAnchor="margin" w:xAlign="center" w:y="1"/>
      <w:jc w:val="center"/>
      <w:rPr>
        <w:rStyle w:val="22"/>
      </w:rPr>
    </w:pPr>
    <w:r>
      <w:fldChar w:fldCharType="begin"/>
    </w:r>
    <w:r>
      <w:rPr>
        <w:rStyle w:val="22"/>
      </w:rPr>
      <w:instrText xml:space="preserve">PAGE  </w:instrText>
    </w:r>
    <w:r>
      <w:fldChar w:fldCharType="end"/>
    </w:r>
  </w:p>
  <w:p w14:paraId="1D5A44DE">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01C7">
    <w:pPr>
      <w:pStyle w:val="13"/>
      <w:rPr>
        <w:rFonts w:hint="eastAsia" w:cs="Calibri" w:asciiTheme="minorEastAsia" w:hAnsiTheme="minorEastAsia"/>
        <w:color w:val="000000"/>
        <w:kern w:val="0"/>
        <w:lang w:eastAsia="zh-CN"/>
      </w:rPr>
    </w:pPr>
    <w:r>
      <w:rPr>
        <w:rFonts w:hint="eastAsia" w:cs="Calibri" w:asciiTheme="minorEastAsia" w:hAnsiTheme="minorEastAsia"/>
        <w:color w:val="000000"/>
        <w:kern w:val="0"/>
        <w:lang w:eastAsia="zh-CN"/>
      </w:rPr>
      <w:t>东莞市福地饮用水有限公司包装水物流配送服务采购项目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42E3D"/>
    <w:multiLevelType w:val="singleLevel"/>
    <w:tmpl w:val="64042E3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jk1Y2NjNDFjYjg4NTA2YWZjZmU3YmU0M2Q3ZTU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364B9"/>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763D1"/>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76846"/>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6BA"/>
    <w:rsid w:val="00FF5780"/>
    <w:rsid w:val="00FF5C4E"/>
    <w:rsid w:val="00FF5E6E"/>
    <w:rsid w:val="01473B13"/>
    <w:rsid w:val="017B5688"/>
    <w:rsid w:val="01974DE5"/>
    <w:rsid w:val="02A813BE"/>
    <w:rsid w:val="03215DBB"/>
    <w:rsid w:val="033578FA"/>
    <w:rsid w:val="035D5442"/>
    <w:rsid w:val="038D16A3"/>
    <w:rsid w:val="03CB5F98"/>
    <w:rsid w:val="04575F38"/>
    <w:rsid w:val="045B64CD"/>
    <w:rsid w:val="048900BC"/>
    <w:rsid w:val="04B213C1"/>
    <w:rsid w:val="04E83035"/>
    <w:rsid w:val="050E411D"/>
    <w:rsid w:val="05415488"/>
    <w:rsid w:val="054B1B12"/>
    <w:rsid w:val="058F40B3"/>
    <w:rsid w:val="05E51FE4"/>
    <w:rsid w:val="06530982"/>
    <w:rsid w:val="06A50C23"/>
    <w:rsid w:val="06B807E5"/>
    <w:rsid w:val="06BC4ED0"/>
    <w:rsid w:val="06C62F02"/>
    <w:rsid w:val="06DB29FA"/>
    <w:rsid w:val="06F1065B"/>
    <w:rsid w:val="071874D5"/>
    <w:rsid w:val="073D0CEA"/>
    <w:rsid w:val="073E0AC1"/>
    <w:rsid w:val="07911761"/>
    <w:rsid w:val="07EB15C4"/>
    <w:rsid w:val="07FA25E2"/>
    <w:rsid w:val="08143C2A"/>
    <w:rsid w:val="08283AEA"/>
    <w:rsid w:val="083D1A72"/>
    <w:rsid w:val="08512C9F"/>
    <w:rsid w:val="08713EBD"/>
    <w:rsid w:val="08B96833"/>
    <w:rsid w:val="08FA3336"/>
    <w:rsid w:val="0958005D"/>
    <w:rsid w:val="097951E0"/>
    <w:rsid w:val="0A3B7763"/>
    <w:rsid w:val="0A52450C"/>
    <w:rsid w:val="0A5B7DD0"/>
    <w:rsid w:val="0AAE4AD0"/>
    <w:rsid w:val="0B0220BB"/>
    <w:rsid w:val="0B1C137E"/>
    <w:rsid w:val="0B24469B"/>
    <w:rsid w:val="0B32384A"/>
    <w:rsid w:val="0B8D0492"/>
    <w:rsid w:val="0B976326"/>
    <w:rsid w:val="0BD31ADE"/>
    <w:rsid w:val="0BEE162F"/>
    <w:rsid w:val="0C117376"/>
    <w:rsid w:val="0C654DF9"/>
    <w:rsid w:val="0CCD2981"/>
    <w:rsid w:val="0CFD75CB"/>
    <w:rsid w:val="0D3678AD"/>
    <w:rsid w:val="0D43599F"/>
    <w:rsid w:val="0D605384"/>
    <w:rsid w:val="0DA85CA6"/>
    <w:rsid w:val="0DBE1C14"/>
    <w:rsid w:val="0DEA598B"/>
    <w:rsid w:val="0DFB537D"/>
    <w:rsid w:val="0E1331F5"/>
    <w:rsid w:val="0E4B1576"/>
    <w:rsid w:val="0E71409B"/>
    <w:rsid w:val="0E910B5D"/>
    <w:rsid w:val="0F1716BD"/>
    <w:rsid w:val="0F4D37BA"/>
    <w:rsid w:val="0F5B2655"/>
    <w:rsid w:val="0FE97C61"/>
    <w:rsid w:val="0FEB36FE"/>
    <w:rsid w:val="0FFC1B10"/>
    <w:rsid w:val="10402AC9"/>
    <w:rsid w:val="10655129"/>
    <w:rsid w:val="107F4CF8"/>
    <w:rsid w:val="10DD167F"/>
    <w:rsid w:val="10DD77C5"/>
    <w:rsid w:val="10F838E9"/>
    <w:rsid w:val="112179BF"/>
    <w:rsid w:val="116F3FC8"/>
    <w:rsid w:val="121865DB"/>
    <w:rsid w:val="12487DDB"/>
    <w:rsid w:val="13280AA0"/>
    <w:rsid w:val="13F111F5"/>
    <w:rsid w:val="141F00B4"/>
    <w:rsid w:val="14270D58"/>
    <w:rsid w:val="14930823"/>
    <w:rsid w:val="14DE1D5E"/>
    <w:rsid w:val="154C0F75"/>
    <w:rsid w:val="154F7C69"/>
    <w:rsid w:val="156A02BB"/>
    <w:rsid w:val="159A0C03"/>
    <w:rsid w:val="159E329B"/>
    <w:rsid w:val="15A308B2"/>
    <w:rsid w:val="15C50828"/>
    <w:rsid w:val="1643128F"/>
    <w:rsid w:val="16A07660"/>
    <w:rsid w:val="16A42B33"/>
    <w:rsid w:val="16AC543F"/>
    <w:rsid w:val="16C531D6"/>
    <w:rsid w:val="16DE18DD"/>
    <w:rsid w:val="16F5513D"/>
    <w:rsid w:val="170340EA"/>
    <w:rsid w:val="17091311"/>
    <w:rsid w:val="170E3180"/>
    <w:rsid w:val="178C7E53"/>
    <w:rsid w:val="178F5592"/>
    <w:rsid w:val="17B16D61"/>
    <w:rsid w:val="17F03127"/>
    <w:rsid w:val="180C6316"/>
    <w:rsid w:val="1810194F"/>
    <w:rsid w:val="1872050C"/>
    <w:rsid w:val="187736FD"/>
    <w:rsid w:val="187D188E"/>
    <w:rsid w:val="18836C66"/>
    <w:rsid w:val="189E5351"/>
    <w:rsid w:val="18A42854"/>
    <w:rsid w:val="19023500"/>
    <w:rsid w:val="194A2173"/>
    <w:rsid w:val="19746A29"/>
    <w:rsid w:val="1A136006"/>
    <w:rsid w:val="1A1A1BD8"/>
    <w:rsid w:val="1A7D7923"/>
    <w:rsid w:val="1AA17AB6"/>
    <w:rsid w:val="1AED4B38"/>
    <w:rsid w:val="1B1738D4"/>
    <w:rsid w:val="1B6A063C"/>
    <w:rsid w:val="1B940D77"/>
    <w:rsid w:val="1BC021BE"/>
    <w:rsid w:val="1BC85FA4"/>
    <w:rsid w:val="1BEC6B0F"/>
    <w:rsid w:val="1C105D34"/>
    <w:rsid w:val="1C16314D"/>
    <w:rsid w:val="1C382524"/>
    <w:rsid w:val="1C434466"/>
    <w:rsid w:val="1CE92A10"/>
    <w:rsid w:val="1D4E6511"/>
    <w:rsid w:val="1D534C64"/>
    <w:rsid w:val="1D9F1315"/>
    <w:rsid w:val="1E0738E5"/>
    <w:rsid w:val="1E201B9E"/>
    <w:rsid w:val="1E462C80"/>
    <w:rsid w:val="1E6029D2"/>
    <w:rsid w:val="1ED41ADC"/>
    <w:rsid w:val="1EF53F2C"/>
    <w:rsid w:val="1F0B19A2"/>
    <w:rsid w:val="1F1C595D"/>
    <w:rsid w:val="1F2C3955"/>
    <w:rsid w:val="1F4E749F"/>
    <w:rsid w:val="1F501C38"/>
    <w:rsid w:val="1F673F85"/>
    <w:rsid w:val="1F7946A8"/>
    <w:rsid w:val="1FE43FA1"/>
    <w:rsid w:val="200563F1"/>
    <w:rsid w:val="201D0697"/>
    <w:rsid w:val="202820DF"/>
    <w:rsid w:val="202F7912"/>
    <w:rsid w:val="20457135"/>
    <w:rsid w:val="2052555B"/>
    <w:rsid w:val="21B52099"/>
    <w:rsid w:val="22553D29"/>
    <w:rsid w:val="22943A5C"/>
    <w:rsid w:val="22A334B0"/>
    <w:rsid w:val="22AC6603"/>
    <w:rsid w:val="22D24CAD"/>
    <w:rsid w:val="22E07461"/>
    <w:rsid w:val="22E9024C"/>
    <w:rsid w:val="23103A2A"/>
    <w:rsid w:val="231B1EC8"/>
    <w:rsid w:val="233E2D80"/>
    <w:rsid w:val="2370208A"/>
    <w:rsid w:val="23AE3635"/>
    <w:rsid w:val="23D64F4F"/>
    <w:rsid w:val="248B0E8F"/>
    <w:rsid w:val="248E27E6"/>
    <w:rsid w:val="249B2C10"/>
    <w:rsid w:val="24B86128"/>
    <w:rsid w:val="24B866C3"/>
    <w:rsid w:val="24DA53F4"/>
    <w:rsid w:val="253D0E1C"/>
    <w:rsid w:val="25772E03"/>
    <w:rsid w:val="25781D85"/>
    <w:rsid w:val="259F4BF2"/>
    <w:rsid w:val="26076608"/>
    <w:rsid w:val="26355721"/>
    <w:rsid w:val="263E643D"/>
    <w:rsid w:val="26502390"/>
    <w:rsid w:val="26517B98"/>
    <w:rsid w:val="26A050C5"/>
    <w:rsid w:val="26A84219"/>
    <w:rsid w:val="26F50752"/>
    <w:rsid w:val="27147861"/>
    <w:rsid w:val="27337AED"/>
    <w:rsid w:val="274A5031"/>
    <w:rsid w:val="276E0D20"/>
    <w:rsid w:val="278407FB"/>
    <w:rsid w:val="280F0E6B"/>
    <w:rsid w:val="283A32F8"/>
    <w:rsid w:val="28732536"/>
    <w:rsid w:val="28CA1820"/>
    <w:rsid w:val="28E82D54"/>
    <w:rsid w:val="28EC566D"/>
    <w:rsid w:val="29341AF5"/>
    <w:rsid w:val="295757E3"/>
    <w:rsid w:val="2999547A"/>
    <w:rsid w:val="299B7100"/>
    <w:rsid w:val="29CF0173"/>
    <w:rsid w:val="2A2C7F02"/>
    <w:rsid w:val="2AD678EF"/>
    <w:rsid w:val="2B5D17D7"/>
    <w:rsid w:val="2B8A1EA0"/>
    <w:rsid w:val="2BAE2033"/>
    <w:rsid w:val="2BE041B6"/>
    <w:rsid w:val="2C0D32A5"/>
    <w:rsid w:val="2C1319B2"/>
    <w:rsid w:val="2C567FD4"/>
    <w:rsid w:val="2CAF3836"/>
    <w:rsid w:val="2CD4797C"/>
    <w:rsid w:val="2D360531"/>
    <w:rsid w:val="2D5C5ABE"/>
    <w:rsid w:val="2D914A72"/>
    <w:rsid w:val="2E19303F"/>
    <w:rsid w:val="2F55416A"/>
    <w:rsid w:val="2FBA494F"/>
    <w:rsid w:val="30077F63"/>
    <w:rsid w:val="3038011D"/>
    <w:rsid w:val="30693D73"/>
    <w:rsid w:val="30BF3162"/>
    <w:rsid w:val="31957F8C"/>
    <w:rsid w:val="31D65D9E"/>
    <w:rsid w:val="32110C25"/>
    <w:rsid w:val="3216623C"/>
    <w:rsid w:val="321E3342"/>
    <w:rsid w:val="32960DFA"/>
    <w:rsid w:val="32973B96"/>
    <w:rsid w:val="32F065B0"/>
    <w:rsid w:val="330D3AE3"/>
    <w:rsid w:val="332E3636"/>
    <w:rsid w:val="33596AB8"/>
    <w:rsid w:val="340053F5"/>
    <w:rsid w:val="34060532"/>
    <w:rsid w:val="34090758"/>
    <w:rsid w:val="344D6838"/>
    <w:rsid w:val="34980AE0"/>
    <w:rsid w:val="34D8363B"/>
    <w:rsid w:val="34E15227"/>
    <w:rsid w:val="35390EE7"/>
    <w:rsid w:val="355619D4"/>
    <w:rsid w:val="357177FF"/>
    <w:rsid w:val="35747B1F"/>
    <w:rsid w:val="35897434"/>
    <w:rsid w:val="35DA66E8"/>
    <w:rsid w:val="365437D6"/>
    <w:rsid w:val="366E2AEA"/>
    <w:rsid w:val="368F2BB5"/>
    <w:rsid w:val="369A461D"/>
    <w:rsid w:val="36F44ACE"/>
    <w:rsid w:val="371C6C99"/>
    <w:rsid w:val="3724064A"/>
    <w:rsid w:val="378459EF"/>
    <w:rsid w:val="379C4E4D"/>
    <w:rsid w:val="37D73D5E"/>
    <w:rsid w:val="37DA6B90"/>
    <w:rsid w:val="37DE37E1"/>
    <w:rsid w:val="37E852EE"/>
    <w:rsid w:val="37F90D08"/>
    <w:rsid w:val="382B585D"/>
    <w:rsid w:val="38380AAD"/>
    <w:rsid w:val="38663F9A"/>
    <w:rsid w:val="38E57969"/>
    <w:rsid w:val="392C2A90"/>
    <w:rsid w:val="398A2824"/>
    <w:rsid w:val="3993325E"/>
    <w:rsid w:val="39CE564E"/>
    <w:rsid w:val="3A195611"/>
    <w:rsid w:val="3A783974"/>
    <w:rsid w:val="3AEF3DAF"/>
    <w:rsid w:val="3AF722B0"/>
    <w:rsid w:val="3B1D063B"/>
    <w:rsid w:val="3B292E53"/>
    <w:rsid w:val="3B677B08"/>
    <w:rsid w:val="3B837C6D"/>
    <w:rsid w:val="3B985F13"/>
    <w:rsid w:val="3BA50630"/>
    <w:rsid w:val="3BEE558A"/>
    <w:rsid w:val="3C00262B"/>
    <w:rsid w:val="3C3629DD"/>
    <w:rsid w:val="3C414629"/>
    <w:rsid w:val="3C592D3F"/>
    <w:rsid w:val="3C642299"/>
    <w:rsid w:val="3C6A3D54"/>
    <w:rsid w:val="3C8D359F"/>
    <w:rsid w:val="3CDE2504"/>
    <w:rsid w:val="3CE46170"/>
    <w:rsid w:val="3D175F78"/>
    <w:rsid w:val="3D192343"/>
    <w:rsid w:val="3D606765"/>
    <w:rsid w:val="3D6967B2"/>
    <w:rsid w:val="3D804CB1"/>
    <w:rsid w:val="3DA140AA"/>
    <w:rsid w:val="3DBD46F4"/>
    <w:rsid w:val="3DCB0822"/>
    <w:rsid w:val="3DFD29A6"/>
    <w:rsid w:val="3DFD6502"/>
    <w:rsid w:val="3E5527E2"/>
    <w:rsid w:val="3E82530D"/>
    <w:rsid w:val="3E8677D9"/>
    <w:rsid w:val="3EA350F2"/>
    <w:rsid w:val="3EA80CBF"/>
    <w:rsid w:val="3ED252AB"/>
    <w:rsid w:val="3F165ACD"/>
    <w:rsid w:val="3F3660CC"/>
    <w:rsid w:val="3F760C61"/>
    <w:rsid w:val="3FB2105A"/>
    <w:rsid w:val="3FD22A9E"/>
    <w:rsid w:val="400F6A26"/>
    <w:rsid w:val="407D2605"/>
    <w:rsid w:val="40B732E0"/>
    <w:rsid w:val="40CA3013"/>
    <w:rsid w:val="41006A35"/>
    <w:rsid w:val="411424E0"/>
    <w:rsid w:val="417F6B65"/>
    <w:rsid w:val="41856F3A"/>
    <w:rsid w:val="41F12821"/>
    <w:rsid w:val="41F97033"/>
    <w:rsid w:val="42C628C5"/>
    <w:rsid w:val="42FF2D1C"/>
    <w:rsid w:val="433A1504"/>
    <w:rsid w:val="43600C36"/>
    <w:rsid w:val="440F5161"/>
    <w:rsid w:val="44316F05"/>
    <w:rsid w:val="44472BCC"/>
    <w:rsid w:val="44494651"/>
    <w:rsid w:val="444B0E4F"/>
    <w:rsid w:val="44637E9B"/>
    <w:rsid w:val="44B8461E"/>
    <w:rsid w:val="44DA33D0"/>
    <w:rsid w:val="44EA2AB7"/>
    <w:rsid w:val="44F31239"/>
    <w:rsid w:val="44F71559"/>
    <w:rsid w:val="450802D5"/>
    <w:rsid w:val="451F4F4C"/>
    <w:rsid w:val="45372C41"/>
    <w:rsid w:val="453945F1"/>
    <w:rsid w:val="458E18CE"/>
    <w:rsid w:val="458F0387"/>
    <w:rsid w:val="45DB35CC"/>
    <w:rsid w:val="45F12DF0"/>
    <w:rsid w:val="461A0599"/>
    <w:rsid w:val="46380A1F"/>
    <w:rsid w:val="464E4599"/>
    <w:rsid w:val="4661409B"/>
    <w:rsid w:val="46735944"/>
    <w:rsid w:val="46A377BC"/>
    <w:rsid w:val="46C6427C"/>
    <w:rsid w:val="46D149CF"/>
    <w:rsid w:val="473D3173"/>
    <w:rsid w:val="474E7DCE"/>
    <w:rsid w:val="47BC742D"/>
    <w:rsid w:val="482C2540"/>
    <w:rsid w:val="482E20C0"/>
    <w:rsid w:val="48D367DD"/>
    <w:rsid w:val="48E21116"/>
    <w:rsid w:val="48E474DA"/>
    <w:rsid w:val="49137521"/>
    <w:rsid w:val="491906C2"/>
    <w:rsid w:val="49217C8F"/>
    <w:rsid w:val="49792B95"/>
    <w:rsid w:val="497C13F6"/>
    <w:rsid w:val="4A31571D"/>
    <w:rsid w:val="4A3A1ADE"/>
    <w:rsid w:val="4A3C4295"/>
    <w:rsid w:val="4B1A0571"/>
    <w:rsid w:val="4B5454BD"/>
    <w:rsid w:val="4B78366B"/>
    <w:rsid w:val="4B920BD1"/>
    <w:rsid w:val="4BDC009E"/>
    <w:rsid w:val="4BF523ED"/>
    <w:rsid w:val="4BFA6B23"/>
    <w:rsid w:val="4C003290"/>
    <w:rsid w:val="4C261319"/>
    <w:rsid w:val="4C53424A"/>
    <w:rsid w:val="4C5A1416"/>
    <w:rsid w:val="4C756432"/>
    <w:rsid w:val="4CBE77A4"/>
    <w:rsid w:val="4D3708C2"/>
    <w:rsid w:val="4D5C2814"/>
    <w:rsid w:val="4D5E4C9D"/>
    <w:rsid w:val="4D6319D5"/>
    <w:rsid w:val="4E221C46"/>
    <w:rsid w:val="4E485E81"/>
    <w:rsid w:val="4E564138"/>
    <w:rsid w:val="4E90378B"/>
    <w:rsid w:val="4EC77B79"/>
    <w:rsid w:val="4EDF237F"/>
    <w:rsid w:val="4F607C3C"/>
    <w:rsid w:val="4F993153"/>
    <w:rsid w:val="4FB03FD0"/>
    <w:rsid w:val="4FC633C6"/>
    <w:rsid w:val="4FE217E6"/>
    <w:rsid w:val="500208DE"/>
    <w:rsid w:val="5039400D"/>
    <w:rsid w:val="50395ABF"/>
    <w:rsid w:val="506C56BD"/>
    <w:rsid w:val="507538CB"/>
    <w:rsid w:val="50B32844"/>
    <w:rsid w:val="50E06768"/>
    <w:rsid w:val="5111148D"/>
    <w:rsid w:val="51142088"/>
    <w:rsid w:val="51C72A55"/>
    <w:rsid w:val="51E603A3"/>
    <w:rsid w:val="52570187"/>
    <w:rsid w:val="52934A87"/>
    <w:rsid w:val="52A225E9"/>
    <w:rsid w:val="52D14CD6"/>
    <w:rsid w:val="52DC2732"/>
    <w:rsid w:val="532842A1"/>
    <w:rsid w:val="534D76FB"/>
    <w:rsid w:val="53510FDF"/>
    <w:rsid w:val="536D782E"/>
    <w:rsid w:val="53715570"/>
    <w:rsid w:val="53B06098"/>
    <w:rsid w:val="53C439C2"/>
    <w:rsid w:val="53D77AC9"/>
    <w:rsid w:val="53EC4BF7"/>
    <w:rsid w:val="53F91DFC"/>
    <w:rsid w:val="541E7772"/>
    <w:rsid w:val="54557693"/>
    <w:rsid w:val="54632F33"/>
    <w:rsid w:val="54664028"/>
    <w:rsid w:val="54F239E2"/>
    <w:rsid w:val="54FC13C2"/>
    <w:rsid w:val="557D64FE"/>
    <w:rsid w:val="562803B5"/>
    <w:rsid w:val="562C1C22"/>
    <w:rsid w:val="565847C5"/>
    <w:rsid w:val="56596FC8"/>
    <w:rsid w:val="56637A98"/>
    <w:rsid w:val="56C6554D"/>
    <w:rsid w:val="56FC04D0"/>
    <w:rsid w:val="57035A47"/>
    <w:rsid w:val="571A045F"/>
    <w:rsid w:val="572E1C13"/>
    <w:rsid w:val="578B1598"/>
    <w:rsid w:val="578F58FF"/>
    <w:rsid w:val="57B8459F"/>
    <w:rsid w:val="57DA1A83"/>
    <w:rsid w:val="589776C4"/>
    <w:rsid w:val="58A67F87"/>
    <w:rsid w:val="58B032AD"/>
    <w:rsid w:val="58C63C68"/>
    <w:rsid w:val="593A5EB6"/>
    <w:rsid w:val="596353BD"/>
    <w:rsid w:val="5979577F"/>
    <w:rsid w:val="598454B4"/>
    <w:rsid w:val="59957BA3"/>
    <w:rsid w:val="59CD742D"/>
    <w:rsid w:val="59DB028E"/>
    <w:rsid w:val="5A2570B4"/>
    <w:rsid w:val="5A517EA9"/>
    <w:rsid w:val="5A6E0A5B"/>
    <w:rsid w:val="5A70032F"/>
    <w:rsid w:val="5AD05272"/>
    <w:rsid w:val="5AD07020"/>
    <w:rsid w:val="5AF423C3"/>
    <w:rsid w:val="5B040EE3"/>
    <w:rsid w:val="5B690172"/>
    <w:rsid w:val="5BA90BEB"/>
    <w:rsid w:val="5BB10BFF"/>
    <w:rsid w:val="5BBB382C"/>
    <w:rsid w:val="5BC57C52"/>
    <w:rsid w:val="5BDB5C7C"/>
    <w:rsid w:val="5C6A5252"/>
    <w:rsid w:val="5C6D77C9"/>
    <w:rsid w:val="5C7752AC"/>
    <w:rsid w:val="5CC00E9C"/>
    <w:rsid w:val="5CFB1CCD"/>
    <w:rsid w:val="5CFF599B"/>
    <w:rsid w:val="5D005D18"/>
    <w:rsid w:val="5D026E12"/>
    <w:rsid w:val="5D1F7DEB"/>
    <w:rsid w:val="5D9E4FC5"/>
    <w:rsid w:val="5DAA3963"/>
    <w:rsid w:val="5DD60DF1"/>
    <w:rsid w:val="5E320CBA"/>
    <w:rsid w:val="5E6A126D"/>
    <w:rsid w:val="5E7D126D"/>
    <w:rsid w:val="5EAA35A6"/>
    <w:rsid w:val="5EE44E48"/>
    <w:rsid w:val="5F0E7548"/>
    <w:rsid w:val="5F5441E8"/>
    <w:rsid w:val="5F591D2C"/>
    <w:rsid w:val="5F5E3606"/>
    <w:rsid w:val="5F645F89"/>
    <w:rsid w:val="5FBE1535"/>
    <w:rsid w:val="5FC7715C"/>
    <w:rsid w:val="5FE5531C"/>
    <w:rsid w:val="5FF11F12"/>
    <w:rsid w:val="5FF8696F"/>
    <w:rsid w:val="5FF94273"/>
    <w:rsid w:val="60830691"/>
    <w:rsid w:val="60A76C38"/>
    <w:rsid w:val="60C2565D"/>
    <w:rsid w:val="60C856EA"/>
    <w:rsid w:val="60CD62A7"/>
    <w:rsid w:val="60F14AC8"/>
    <w:rsid w:val="61141E2A"/>
    <w:rsid w:val="613A1F23"/>
    <w:rsid w:val="616541C3"/>
    <w:rsid w:val="61B14546"/>
    <w:rsid w:val="61B91585"/>
    <w:rsid w:val="61D56418"/>
    <w:rsid w:val="61FE26C5"/>
    <w:rsid w:val="621A068C"/>
    <w:rsid w:val="622A465E"/>
    <w:rsid w:val="62426A55"/>
    <w:rsid w:val="62465E1A"/>
    <w:rsid w:val="62BD2580"/>
    <w:rsid w:val="62DE42A4"/>
    <w:rsid w:val="62F259CB"/>
    <w:rsid w:val="63224191"/>
    <w:rsid w:val="636B3D52"/>
    <w:rsid w:val="642B042C"/>
    <w:rsid w:val="643D30F8"/>
    <w:rsid w:val="644665A5"/>
    <w:rsid w:val="645066B3"/>
    <w:rsid w:val="64535BAC"/>
    <w:rsid w:val="645F7290"/>
    <w:rsid w:val="64603D4A"/>
    <w:rsid w:val="646A497D"/>
    <w:rsid w:val="64CB4D1D"/>
    <w:rsid w:val="6522491C"/>
    <w:rsid w:val="6558008C"/>
    <w:rsid w:val="656C7056"/>
    <w:rsid w:val="65A02EC1"/>
    <w:rsid w:val="660179E7"/>
    <w:rsid w:val="66225BA7"/>
    <w:rsid w:val="66DA04BD"/>
    <w:rsid w:val="67421DFE"/>
    <w:rsid w:val="674F751F"/>
    <w:rsid w:val="677D5DBD"/>
    <w:rsid w:val="680B1B92"/>
    <w:rsid w:val="68297D70"/>
    <w:rsid w:val="68386D3E"/>
    <w:rsid w:val="68425862"/>
    <w:rsid w:val="687C07E7"/>
    <w:rsid w:val="687F5BE1"/>
    <w:rsid w:val="68863414"/>
    <w:rsid w:val="689526D7"/>
    <w:rsid w:val="69066F6D"/>
    <w:rsid w:val="69085BD7"/>
    <w:rsid w:val="690F51B7"/>
    <w:rsid w:val="691C2F61"/>
    <w:rsid w:val="69220DF6"/>
    <w:rsid w:val="69421FF4"/>
    <w:rsid w:val="69855891"/>
    <w:rsid w:val="69C65AD3"/>
    <w:rsid w:val="69DE76FB"/>
    <w:rsid w:val="6A4805A1"/>
    <w:rsid w:val="6A9E4E62"/>
    <w:rsid w:val="6AB60966"/>
    <w:rsid w:val="6AFD7A33"/>
    <w:rsid w:val="6B105489"/>
    <w:rsid w:val="6B2A452A"/>
    <w:rsid w:val="6B2E422E"/>
    <w:rsid w:val="6B4A0729"/>
    <w:rsid w:val="6B5F6C36"/>
    <w:rsid w:val="6B6F63E1"/>
    <w:rsid w:val="6B757AC3"/>
    <w:rsid w:val="6B914044"/>
    <w:rsid w:val="6BC95AF1"/>
    <w:rsid w:val="6C1D5E3D"/>
    <w:rsid w:val="6C40749D"/>
    <w:rsid w:val="6C5E257D"/>
    <w:rsid w:val="6C6A1A71"/>
    <w:rsid w:val="6C6E6699"/>
    <w:rsid w:val="6C877A8D"/>
    <w:rsid w:val="6C9A748E"/>
    <w:rsid w:val="6D0773A5"/>
    <w:rsid w:val="6D851EEC"/>
    <w:rsid w:val="6DB1683D"/>
    <w:rsid w:val="6DD8201C"/>
    <w:rsid w:val="6E0B0D13"/>
    <w:rsid w:val="6E14501E"/>
    <w:rsid w:val="6E204CFA"/>
    <w:rsid w:val="6E2844F9"/>
    <w:rsid w:val="6E4373BA"/>
    <w:rsid w:val="6EA23374"/>
    <w:rsid w:val="6EA25D30"/>
    <w:rsid w:val="6F08742C"/>
    <w:rsid w:val="6F1E43A6"/>
    <w:rsid w:val="6F2319BD"/>
    <w:rsid w:val="6F8D6FED"/>
    <w:rsid w:val="6F953657"/>
    <w:rsid w:val="6FB940CF"/>
    <w:rsid w:val="6FBB127E"/>
    <w:rsid w:val="6FD44168"/>
    <w:rsid w:val="702C664F"/>
    <w:rsid w:val="70413D51"/>
    <w:rsid w:val="709E5118"/>
    <w:rsid w:val="70D97D2C"/>
    <w:rsid w:val="71737246"/>
    <w:rsid w:val="71A37250"/>
    <w:rsid w:val="71CA7D6E"/>
    <w:rsid w:val="71D855D4"/>
    <w:rsid w:val="71ED62B2"/>
    <w:rsid w:val="72107EF7"/>
    <w:rsid w:val="72283DDB"/>
    <w:rsid w:val="72444124"/>
    <w:rsid w:val="724E6D50"/>
    <w:rsid w:val="72575615"/>
    <w:rsid w:val="7267287C"/>
    <w:rsid w:val="726F3AF8"/>
    <w:rsid w:val="72A434DA"/>
    <w:rsid w:val="72ED1126"/>
    <w:rsid w:val="73005444"/>
    <w:rsid w:val="737D2038"/>
    <w:rsid w:val="74100036"/>
    <w:rsid w:val="74316E9D"/>
    <w:rsid w:val="74617488"/>
    <w:rsid w:val="749B1FF5"/>
    <w:rsid w:val="74E97FDD"/>
    <w:rsid w:val="757365DD"/>
    <w:rsid w:val="75890700"/>
    <w:rsid w:val="758A7662"/>
    <w:rsid w:val="75D4756D"/>
    <w:rsid w:val="7630040E"/>
    <w:rsid w:val="76387213"/>
    <w:rsid w:val="763873C7"/>
    <w:rsid w:val="769F7C04"/>
    <w:rsid w:val="76AF40FE"/>
    <w:rsid w:val="76F12CEC"/>
    <w:rsid w:val="770A2D59"/>
    <w:rsid w:val="77512E53"/>
    <w:rsid w:val="77566789"/>
    <w:rsid w:val="77585F7B"/>
    <w:rsid w:val="775F555C"/>
    <w:rsid w:val="77B84D8E"/>
    <w:rsid w:val="77CB0E43"/>
    <w:rsid w:val="77DE2925"/>
    <w:rsid w:val="780F140D"/>
    <w:rsid w:val="787908FC"/>
    <w:rsid w:val="78A23952"/>
    <w:rsid w:val="78AA6C17"/>
    <w:rsid w:val="78E51463"/>
    <w:rsid w:val="79080911"/>
    <w:rsid w:val="79440545"/>
    <w:rsid w:val="798C7645"/>
    <w:rsid w:val="79E36E65"/>
    <w:rsid w:val="7A096B0B"/>
    <w:rsid w:val="7A3E3B4E"/>
    <w:rsid w:val="7A3F3423"/>
    <w:rsid w:val="7A660833"/>
    <w:rsid w:val="7AC04356"/>
    <w:rsid w:val="7ADB7A2C"/>
    <w:rsid w:val="7AE2097E"/>
    <w:rsid w:val="7AFB0C03"/>
    <w:rsid w:val="7B083DE4"/>
    <w:rsid w:val="7B2125FC"/>
    <w:rsid w:val="7B2B1DC3"/>
    <w:rsid w:val="7B2C39A7"/>
    <w:rsid w:val="7B5D6256"/>
    <w:rsid w:val="7BA275E4"/>
    <w:rsid w:val="7BA53B14"/>
    <w:rsid w:val="7C0C5586"/>
    <w:rsid w:val="7C484EC4"/>
    <w:rsid w:val="7C4E06B1"/>
    <w:rsid w:val="7C8B0BA1"/>
    <w:rsid w:val="7CB15751"/>
    <w:rsid w:val="7D0818B3"/>
    <w:rsid w:val="7D384885"/>
    <w:rsid w:val="7D566C57"/>
    <w:rsid w:val="7D9127E8"/>
    <w:rsid w:val="7DBA45B5"/>
    <w:rsid w:val="7DEA5BDC"/>
    <w:rsid w:val="7E0E1A8A"/>
    <w:rsid w:val="7E140BC2"/>
    <w:rsid w:val="7E880EC6"/>
    <w:rsid w:val="7E9374BB"/>
    <w:rsid w:val="7F1344FC"/>
    <w:rsid w:val="7F192776"/>
    <w:rsid w:val="7F2B1A18"/>
    <w:rsid w:val="7F3B68AE"/>
    <w:rsid w:val="7F662CE2"/>
    <w:rsid w:val="7FA27AB9"/>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napToGrid w:val="0"/>
      <w:spacing w:before="120" w:line="360" w:lineRule="auto"/>
    </w:pPr>
    <w:rPr>
      <w:rFonts w:ascii="Arial" w:hAnsi="Arial"/>
      <w:snapToGrid w:val="0"/>
      <w:color w:val="000000"/>
      <w:szCs w:val="20"/>
    </w:rPr>
  </w:style>
  <w:style w:type="paragraph" w:styleId="6">
    <w:name w:val="annotation text"/>
    <w:basedOn w:val="1"/>
    <w:link w:val="31"/>
    <w:qFormat/>
    <w:uiPriority w:val="0"/>
    <w:pPr>
      <w:jc w:val="left"/>
    </w:pPr>
  </w:style>
  <w:style w:type="paragraph" w:styleId="7">
    <w:name w:val="Body Text"/>
    <w:basedOn w:val="1"/>
    <w:next w:val="8"/>
    <w:link w:val="30"/>
    <w:qFormat/>
    <w:uiPriority w:val="0"/>
    <w:pPr>
      <w:spacing w:after="120"/>
    </w:pPr>
  </w:style>
  <w:style w:type="paragraph" w:styleId="8">
    <w:name w:val="Body Text First Indent"/>
    <w:basedOn w:val="7"/>
    <w:unhideWhenUsed/>
    <w:qFormat/>
    <w:uiPriority w:val="99"/>
    <w:pPr>
      <w:ind w:firstLine="420" w:firstLineChars="100"/>
    </w:pPr>
  </w:style>
  <w:style w:type="paragraph" w:styleId="9">
    <w:name w:val="Plain Text"/>
    <w:basedOn w:val="1"/>
    <w:link w:val="32"/>
    <w:qFormat/>
    <w:uiPriority w:val="0"/>
    <w:rPr>
      <w:rFonts w:ascii="宋体" w:hAnsi="Courier New"/>
      <w:szCs w:val="20"/>
    </w:rPr>
  </w:style>
  <w:style w:type="paragraph" w:styleId="10">
    <w:name w:val="Date"/>
    <w:basedOn w:val="1"/>
    <w:next w:val="1"/>
    <w:link w:val="49"/>
    <w:semiHidden/>
    <w:unhideWhenUsed/>
    <w:qFormat/>
    <w:uiPriority w:val="99"/>
    <w:pPr>
      <w:ind w:left="100" w:leftChars="2500"/>
    </w:pPr>
  </w:style>
  <w:style w:type="paragraph" w:styleId="11">
    <w:name w:val="Balloon Text"/>
    <w:basedOn w:val="1"/>
    <w:link w:val="38"/>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qFormat/>
    <w:uiPriority w:val="0"/>
    <w:pPr>
      <w:spacing w:beforeAutospacing="1" w:afterAutospacing="1"/>
      <w:jc w:val="left"/>
    </w:pPr>
    <w:rPr>
      <w:kern w:val="0"/>
      <w:sz w:val="24"/>
    </w:rPr>
  </w:style>
  <w:style w:type="paragraph" w:styleId="17">
    <w:name w:val="Title"/>
    <w:basedOn w:val="1"/>
    <w:next w:val="1"/>
    <w:link w:val="33"/>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6"/>
    <w:next w:val="6"/>
    <w:link w:val="43"/>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1"/>
    <w:qFormat/>
    <w:uiPriority w:val="0"/>
    <w:rPr>
      <w:sz w:val="21"/>
      <w:szCs w:val="21"/>
    </w:rPr>
  </w:style>
  <w:style w:type="paragraph" w:customStyle="1" w:styleId="26">
    <w:name w:val="文档正文"/>
    <w:basedOn w:val="1"/>
    <w:qFormat/>
    <w:uiPriority w:val="0"/>
    <w:pPr>
      <w:spacing w:line="360" w:lineRule="auto"/>
    </w:pPr>
    <w:rPr>
      <w:rFonts w:cs="Arial"/>
      <w:bCs/>
    </w:rPr>
  </w:style>
  <w:style w:type="character" w:customStyle="1" w:styleId="27">
    <w:name w:val="页眉 字符"/>
    <w:basedOn w:val="21"/>
    <w:link w:val="13"/>
    <w:qFormat/>
    <w:uiPriority w:val="99"/>
    <w:rPr>
      <w:sz w:val="18"/>
      <w:szCs w:val="18"/>
    </w:rPr>
  </w:style>
  <w:style w:type="character" w:customStyle="1" w:styleId="28">
    <w:name w:val="页脚 字符"/>
    <w:basedOn w:val="21"/>
    <w:link w:val="12"/>
    <w:qFormat/>
    <w:uiPriority w:val="99"/>
    <w:rPr>
      <w:sz w:val="18"/>
      <w:szCs w:val="18"/>
    </w:rPr>
  </w:style>
  <w:style w:type="character" w:customStyle="1" w:styleId="29">
    <w:name w:val="标题 2 字符"/>
    <w:basedOn w:val="21"/>
    <w:link w:val="3"/>
    <w:qFormat/>
    <w:uiPriority w:val="0"/>
    <w:rPr>
      <w:rFonts w:ascii="Arial" w:hAnsi="Arial" w:eastAsia="黑体" w:cs="Times New Roman"/>
      <w:b/>
      <w:kern w:val="0"/>
      <w:sz w:val="32"/>
      <w:szCs w:val="20"/>
    </w:rPr>
  </w:style>
  <w:style w:type="character" w:customStyle="1" w:styleId="30">
    <w:name w:val="正文文本 字符"/>
    <w:basedOn w:val="21"/>
    <w:link w:val="7"/>
    <w:qFormat/>
    <w:uiPriority w:val="0"/>
    <w:rPr>
      <w:rFonts w:ascii="Times New Roman" w:hAnsi="Times New Roman" w:eastAsia="宋体" w:cs="Times New Roman"/>
      <w:szCs w:val="24"/>
    </w:rPr>
  </w:style>
  <w:style w:type="character" w:customStyle="1" w:styleId="31">
    <w:name w:val="批注文字 字符"/>
    <w:basedOn w:val="21"/>
    <w:link w:val="6"/>
    <w:qFormat/>
    <w:uiPriority w:val="0"/>
    <w:rPr>
      <w:rFonts w:ascii="Times New Roman" w:hAnsi="Times New Roman" w:eastAsia="宋体" w:cs="Times New Roman"/>
      <w:szCs w:val="24"/>
    </w:rPr>
  </w:style>
  <w:style w:type="character" w:customStyle="1" w:styleId="32">
    <w:name w:val="纯文本 字符"/>
    <w:basedOn w:val="21"/>
    <w:link w:val="9"/>
    <w:qFormat/>
    <w:uiPriority w:val="0"/>
    <w:rPr>
      <w:rFonts w:ascii="宋体" w:hAnsi="Courier New" w:eastAsia="宋体" w:cs="Times New Roman"/>
      <w:szCs w:val="20"/>
    </w:rPr>
  </w:style>
  <w:style w:type="character" w:customStyle="1" w:styleId="33">
    <w:name w:val="标题 字符"/>
    <w:basedOn w:val="21"/>
    <w:link w:val="17"/>
    <w:qFormat/>
    <w:uiPriority w:val="10"/>
    <w:rPr>
      <w:rFonts w:ascii="Cambria" w:hAnsi="Cambria" w:eastAsia="宋体" w:cs="Times New Roman"/>
      <w:b/>
      <w:bCs/>
      <w:kern w:val="0"/>
      <w:sz w:val="32"/>
      <w:szCs w:val="32"/>
    </w:rPr>
  </w:style>
  <w:style w:type="paragraph" w:customStyle="1" w:styleId="34">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5">
    <w:name w:val="页眉 Char1"/>
    <w:qFormat/>
    <w:uiPriority w:val="0"/>
    <w:rPr>
      <w:kern w:val="2"/>
      <w:sz w:val="18"/>
      <w:szCs w:val="18"/>
    </w:rPr>
  </w:style>
  <w:style w:type="character" w:customStyle="1" w:styleId="36">
    <w:name w:val="页脚 Char1"/>
    <w:qFormat/>
    <w:uiPriority w:val="0"/>
    <w:rPr>
      <w:kern w:val="2"/>
      <w:sz w:val="18"/>
      <w:szCs w:val="18"/>
    </w:rPr>
  </w:style>
  <w:style w:type="character" w:customStyle="1" w:styleId="37">
    <w:name w:val="标题 1 字符"/>
    <w:basedOn w:val="21"/>
    <w:link w:val="2"/>
    <w:qFormat/>
    <w:uiPriority w:val="9"/>
    <w:rPr>
      <w:rFonts w:ascii="Times New Roman" w:hAnsi="Times New Roman" w:eastAsia="宋体" w:cs="Times New Roman"/>
      <w:b/>
      <w:bCs/>
      <w:kern w:val="44"/>
      <w:sz w:val="44"/>
      <w:szCs w:val="44"/>
    </w:rPr>
  </w:style>
  <w:style w:type="character" w:customStyle="1" w:styleId="38">
    <w:name w:val="批注框文本 字符"/>
    <w:basedOn w:val="21"/>
    <w:link w:val="11"/>
    <w:semiHidden/>
    <w:qFormat/>
    <w:uiPriority w:val="99"/>
    <w:rPr>
      <w:rFonts w:ascii="Times New Roman" w:hAnsi="Times New Roman" w:eastAsia="宋体" w:cs="Times New Roman"/>
      <w:sz w:val="18"/>
      <w:szCs w:val="18"/>
    </w:rPr>
  </w:style>
  <w:style w:type="paragraph" w:styleId="39">
    <w:name w:val="List Paragraph"/>
    <w:basedOn w:val="1"/>
    <w:qFormat/>
    <w:uiPriority w:val="34"/>
    <w:pPr>
      <w:ind w:firstLine="420" w:firstLineChars="200"/>
    </w:pPr>
    <w:rPr>
      <w:rFonts w:ascii="Calibri" w:hAnsi="Calibri"/>
      <w:szCs w:val="22"/>
    </w:rPr>
  </w:style>
  <w:style w:type="paragraph" w:customStyle="1" w:styleId="40">
    <w:name w:val="列出段落1"/>
    <w:basedOn w:val="1"/>
    <w:link w:val="42"/>
    <w:qFormat/>
    <w:uiPriority w:val="34"/>
    <w:pPr>
      <w:ind w:firstLine="420" w:firstLineChars="200"/>
    </w:pPr>
    <w:rPr>
      <w:rFonts w:ascii="Calibri" w:hAnsi="Calibri"/>
      <w:szCs w:val="22"/>
      <w:lang w:val="zh-CN"/>
    </w:rPr>
  </w:style>
  <w:style w:type="paragraph" w:customStyle="1" w:styleId="41">
    <w:name w:val="p0"/>
    <w:basedOn w:val="1"/>
    <w:qFormat/>
    <w:uiPriority w:val="99"/>
    <w:pPr>
      <w:widowControl/>
    </w:pPr>
    <w:rPr>
      <w:rFonts w:hAnsi="Calibri"/>
      <w:kern w:val="0"/>
      <w:szCs w:val="20"/>
    </w:rPr>
  </w:style>
  <w:style w:type="character" w:customStyle="1" w:styleId="42">
    <w:name w:val="List Paragraph Char"/>
    <w:link w:val="40"/>
    <w:qFormat/>
    <w:locked/>
    <w:uiPriority w:val="34"/>
    <w:rPr>
      <w:rFonts w:ascii="Calibri" w:hAnsi="Calibri" w:eastAsia="宋体" w:cs="Times New Roman"/>
      <w:lang w:val="zh-CN" w:eastAsia="zh-CN"/>
    </w:rPr>
  </w:style>
  <w:style w:type="character" w:customStyle="1" w:styleId="43">
    <w:name w:val="批注主题 字符"/>
    <w:basedOn w:val="31"/>
    <w:link w:val="18"/>
    <w:semiHidden/>
    <w:qFormat/>
    <w:uiPriority w:val="99"/>
    <w:rPr>
      <w:rFonts w:ascii="Times New Roman" w:hAnsi="Times New Roman" w:eastAsia="宋体" w:cs="Times New Roman"/>
      <w:b/>
      <w:bCs/>
      <w:szCs w:val="24"/>
    </w:rPr>
  </w:style>
  <w:style w:type="paragraph" w:customStyle="1" w:styleId="4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正文缩进2格 Char"/>
    <w:link w:val="46"/>
    <w:qFormat/>
    <w:uiPriority w:val="0"/>
    <w:rPr>
      <w:rFonts w:ascii="仿宋_GB2312" w:hAnsi="宋体" w:eastAsia="仿宋_GB231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31"/>
      <w:szCs w:val="28"/>
    </w:rPr>
  </w:style>
  <w:style w:type="character" w:customStyle="1" w:styleId="47">
    <w:name w:val="纯文本 字符1"/>
    <w:basedOn w:val="21"/>
    <w:qFormat/>
    <w:uiPriority w:val="0"/>
    <w:rPr>
      <w:rFonts w:ascii="宋体" w:hAnsi="Courier New" w:eastAsia="宋体" w:cs="Times New Roman"/>
      <w:szCs w:val="20"/>
    </w:rPr>
  </w:style>
  <w:style w:type="character" w:customStyle="1" w:styleId="48">
    <w:name w:val="正文文本 字符1"/>
    <w:basedOn w:val="21"/>
    <w:qFormat/>
    <w:uiPriority w:val="0"/>
    <w:rPr>
      <w:rFonts w:ascii="Times New Roman" w:hAnsi="Times New Roman" w:eastAsia="宋体" w:cs="Times New Roman"/>
      <w:szCs w:val="24"/>
    </w:rPr>
  </w:style>
  <w:style w:type="character" w:customStyle="1" w:styleId="49">
    <w:name w:val="日期 字符"/>
    <w:basedOn w:val="21"/>
    <w:link w:val="10"/>
    <w:semiHidden/>
    <w:qFormat/>
    <w:uiPriority w:val="99"/>
    <w:rPr>
      <w:rFonts w:ascii="Times New Roman" w:hAnsi="Times New Roman" w:eastAsia="宋体" w:cs="Times New Roman"/>
      <w:szCs w:val="24"/>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标题 3 字符"/>
    <w:basedOn w:val="21"/>
    <w:link w:val="4"/>
    <w:semiHidden/>
    <w:qFormat/>
    <w:uiPriority w:val="9"/>
    <w:rPr>
      <w:b/>
      <w:bCs/>
      <w:kern w:val="2"/>
      <w:sz w:val="32"/>
      <w:szCs w:val="32"/>
    </w:rPr>
  </w:style>
  <w:style w:type="character" w:customStyle="1" w:styleId="52">
    <w:name w:val="纯文本 Char1"/>
    <w:qFormat/>
    <w:uiPriority w:val="0"/>
    <w:rPr>
      <w:rFonts w:ascii="宋体" w:hAnsi="Courier New" w:eastAsia="宋体" w:cs="Times New Roman"/>
      <w:szCs w:val="20"/>
      <w:lang w:val="en-US" w:eastAsia="zh-CN"/>
    </w:rPr>
  </w:style>
  <w:style w:type="character" w:customStyle="1" w:styleId="53">
    <w:name w:val="font01"/>
    <w:basedOn w:val="21"/>
    <w:qFormat/>
    <w:uiPriority w:val="0"/>
    <w:rPr>
      <w:rFonts w:hint="eastAsia" w:ascii="宋体" w:hAnsi="宋体" w:eastAsia="宋体" w:cs="宋体"/>
      <w:color w:val="000000"/>
      <w:sz w:val="22"/>
      <w:szCs w:val="22"/>
      <w:u w:val="none"/>
    </w:rPr>
  </w:style>
  <w:style w:type="paragraph" w:customStyle="1" w:styleId="54">
    <w:name w:val="样式 宋体 行距: 1.5 倍行距"/>
    <w:basedOn w:val="1"/>
    <w:qFormat/>
    <w:uiPriority w:val="0"/>
    <w:pPr>
      <w:jc w:val="center"/>
    </w:pPr>
    <w:rPr>
      <w:b/>
    </w:rPr>
  </w:style>
  <w:style w:type="paragraph" w:customStyle="1" w:styleId="55">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table" w:customStyle="1" w:styleId="5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30</Pages>
  <Words>11475</Words>
  <Characters>12250</Characters>
  <Lines>200</Lines>
  <Paragraphs>56</Paragraphs>
  <TotalTime>7</TotalTime>
  <ScaleCrop>false</ScaleCrop>
  <LinksUpToDate>false</LinksUpToDate>
  <CharactersWithSpaces>12721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翟志盛</cp:lastModifiedBy>
  <cp:lastPrinted>2026-02-26T07:03:00Z</cp:lastPrinted>
  <dcterms:modified xsi:type="dcterms:W3CDTF">2026-03-11T11:49:20Z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8E0C87AC218A40FF88F7936674BBE1E8_13</vt:lpwstr>
  </property>
  <property fmtid="{D5CDD505-2E9C-101B-9397-08002B2CF9AE}" pid="4" name="KSOTemplateDocerSaveRecord">
    <vt:lpwstr>eyJoZGlkIjoiMzVmMTBiODI4MDNhNjIxNDkxZGIzZTJiNjMxMTNjNGIiLCJ1c2VySWQiOiIxNDc3OTk4ODQxIn0=</vt:lpwstr>
  </property>
</Properties>
</file>