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rPr>
        <w:id w:val="759183708"/>
        <w:docPartObj>
          <w:docPartGallery w:val="autotext"/>
        </w:docPartObj>
      </w:sdtPr>
      <w:sdtEndPr>
        <w:rPr>
          <w:rFonts w:hint="eastAsia" w:ascii="宋体" w:hAnsi="宋体"/>
        </w:rPr>
      </w:sdtEndPr>
      <w:sdtContent>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widowControl w:val="0"/>
            <w:autoSpaceDE w:val="0"/>
            <w:autoSpaceDN w:val="0"/>
            <w:snapToGrid/>
            <w:spacing w:after="0" w:line="360" w:lineRule="auto"/>
            <w:ind w:right="-26"/>
            <w:jc w:val="center"/>
            <w:rPr>
              <w:rFonts w:hint="eastAsia" w:ascii="宋体" w:hAnsi="宋体" w:eastAsia="宋体" w:cs="宋体"/>
              <w:b/>
              <w:bCs/>
              <w:kern w:val="2"/>
              <w:sz w:val="48"/>
              <w:szCs w:val="48"/>
            </w:rPr>
          </w:pPr>
          <w:r>
            <w:rPr>
              <w:rFonts w:hint="eastAsia" w:ascii="宋体" w:hAnsi="宋体" w:eastAsia="宋体" w:cs="宋体"/>
              <w:b/>
              <w:bCs/>
              <w:kern w:val="2"/>
              <w:sz w:val="48"/>
              <w:szCs w:val="48"/>
            </w:rPr>
            <w:t>仓库信息系统建设项目</w:t>
          </w:r>
        </w:p>
        <w:p>
          <w:pPr>
            <w:widowControl w:val="0"/>
            <w:autoSpaceDE w:val="0"/>
            <w:autoSpaceDN w:val="0"/>
            <w:snapToGrid/>
            <w:spacing w:after="0" w:line="360" w:lineRule="auto"/>
            <w:ind w:right="-26"/>
            <w:jc w:val="center"/>
            <w:rPr>
              <w:rFonts w:hint="eastAsia" w:ascii="宋体" w:hAnsi="宋体" w:eastAsia="宋体" w:cs="宋体"/>
              <w:b/>
              <w:bCs/>
              <w:kern w:val="2"/>
              <w:sz w:val="48"/>
              <w:szCs w:val="48"/>
            </w:rPr>
          </w:pPr>
          <w:r>
            <w:rPr>
              <w:rFonts w:hint="eastAsia" w:ascii="宋体" w:hAnsi="宋体" w:eastAsia="宋体" w:cs="宋体"/>
              <w:b/>
              <w:bCs/>
              <w:kern w:val="2"/>
              <w:sz w:val="48"/>
              <w:szCs w:val="48"/>
            </w:rPr>
            <w:t>询比文件</w:t>
          </w: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widowControl w:val="0"/>
            <w:autoSpaceDE w:val="0"/>
            <w:autoSpaceDN w:val="0"/>
            <w:snapToGrid/>
            <w:spacing w:after="0" w:line="360" w:lineRule="auto"/>
            <w:jc w:val="center"/>
            <w:rPr>
              <w:rFonts w:hint="eastAsia" w:ascii="宋体" w:hAnsi="宋体" w:eastAsia="宋体" w:cs="宋体"/>
              <w:b/>
              <w:bCs/>
              <w:sz w:val="32"/>
              <w:szCs w:val="32"/>
            </w:rPr>
          </w:pPr>
          <w:bookmarkStart w:id="0" w:name="_Hlk26971294"/>
          <w:r>
            <w:rPr>
              <w:rFonts w:hint="eastAsia" w:ascii="宋体" w:hAnsi="宋体" w:eastAsia="宋体" w:cs="宋体"/>
              <w:b/>
              <w:bCs/>
              <w:sz w:val="32"/>
              <w:szCs w:val="32"/>
            </w:rPr>
            <w:t>东莞市碧水信息科技有限公司</w:t>
          </w:r>
        </w:p>
        <w:bookmarkEnd w:id="0"/>
        <w:p>
          <w:pPr>
            <w:widowControl w:val="0"/>
            <w:autoSpaceDE w:val="0"/>
            <w:autoSpaceDN w:val="0"/>
            <w:snapToGrid/>
            <w:spacing w:after="0" w:line="360" w:lineRule="auto"/>
            <w:jc w:val="center"/>
            <w:rPr>
              <w:rFonts w:hint="eastAsia" w:ascii="宋体" w:hAnsi="宋体" w:eastAsia="宋体" w:cs="宋体"/>
              <w:b/>
              <w:bCs/>
              <w:sz w:val="32"/>
              <w:szCs w:val="32"/>
              <w:lang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0" w:num="1"/>
              <w:docGrid w:type="lines" w:linePitch="332" w:charSpace="0"/>
            </w:sectPr>
          </w:pPr>
          <w:r>
            <w:rPr>
              <w:rFonts w:hint="eastAsia" w:ascii="宋体" w:hAnsi="宋体" w:eastAsia="宋体" w:cs="宋体"/>
              <w:b/>
              <w:bCs/>
              <w:sz w:val="32"/>
              <w:szCs w:val="32"/>
              <w:lang w:eastAsia="zh-CN"/>
            </w:rPr>
            <w:t>2026年3月5日</w:t>
          </w:r>
        </w:p>
        <w:p>
          <w:pPr>
            <w:adjustRightInd/>
            <w:snapToGrid/>
            <w:spacing w:after="0"/>
            <w:rPr>
              <w:rFonts w:hint="eastAsia" w:ascii="宋体" w:hAnsi="宋体" w:eastAsia="宋体"/>
              <w:b/>
              <w:kern w:val="44"/>
              <w:sz w:val="28"/>
            </w:rPr>
          </w:pPr>
        </w:p>
      </w:sdtContent>
    </w:sdt>
    <w:p>
      <w:pPr>
        <w:pStyle w:val="3"/>
        <w:spacing w:before="156" w:after="156" w:line="276" w:lineRule="auto"/>
        <w:jc w:val="center"/>
        <w:rPr>
          <w:rFonts w:hint="eastAsia" w:ascii="宋体" w:hAnsi="宋体"/>
        </w:rPr>
      </w:pPr>
      <w:r>
        <w:rPr>
          <w:rFonts w:hint="eastAsia" w:ascii="宋体" w:hAnsi="宋体"/>
        </w:rPr>
        <w:t>询比公告</w:t>
      </w:r>
    </w:p>
    <w:p>
      <w:pPr>
        <w:spacing w:line="360" w:lineRule="auto"/>
        <w:rPr>
          <w:rFonts w:hint="eastAsia" w:ascii="宋体" w:hAnsi="宋体" w:eastAsia="宋体" w:cs="宋体"/>
        </w:rPr>
      </w:pPr>
      <w:r>
        <w:rPr>
          <w:rFonts w:hint="eastAsia" w:ascii="宋体" w:hAnsi="宋体" w:eastAsia="宋体" w:cs="宋体"/>
        </w:rPr>
        <w:t>各供应商：</w:t>
      </w:r>
    </w:p>
    <w:p>
      <w:pPr>
        <w:spacing w:line="276" w:lineRule="auto"/>
        <w:ind w:firstLine="440" w:firstLineChars="200"/>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“仓库信息系统建设项目”</w:t>
      </w:r>
      <w:r>
        <w:rPr>
          <w:rFonts w:hint="eastAsia" w:ascii="宋体" w:hAnsi="宋体" w:eastAsia="宋体" w:cs="宋体"/>
        </w:rPr>
        <w:t>正式开展，现邀请符合资格条件的供应商参与本项目询比。项目具体信息如下：</w:t>
      </w:r>
    </w:p>
    <w:p>
      <w:pPr>
        <w:spacing w:line="276" w:lineRule="auto"/>
        <w:ind w:left="220" w:leftChars="100"/>
        <w:rPr>
          <w:rFonts w:hint="eastAsia" w:ascii="宋体" w:hAnsi="宋体" w:eastAsia="宋体" w:cs="宋体"/>
        </w:rPr>
      </w:pPr>
      <w:r>
        <w:rPr>
          <w:rFonts w:hint="eastAsia" w:ascii="宋体" w:hAnsi="宋体" w:eastAsia="宋体" w:cs="宋体"/>
        </w:rPr>
        <w:t>一、采购项目名称：</w:t>
      </w:r>
      <w:r>
        <w:rPr>
          <w:rFonts w:hint="eastAsia" w:ascii="宋体" w:hAnsi="宋体" w:eastAsia="宋体" w:cs="宋体"/>
          <w:u w:val="single"/>
        </w:rPr>
        <w:t>东莞市碧水信息科技有限公司仓库信息系统建设项目</w:t>
      </w:r>
    </w:p>
    <w:p>
      <w:pPr>
        <w:spacing w:line="276" w:lineRule="auto"/>
        <w:ind w:left="220" w:leftChars="100"/>
        <w:rPr>
          <w:rFonts w:hint="eastAsia" w:ascii="宋体" w:hAnsi="宋体" w:eastAsia="宋体" w:cs="宋体"/>
        </w:rPr>
      </w:pPr>
      <w:r>
        <w:rPr>
          <w:rFonts w:hint="eastAsia" w:ascii="宋体" w:hAnsi="宋体" w:eastAsia="宋体" w:cs="宋体"/>
        </w:rPr>
        <w:t>二、采购预算：含税最高采购限价为人民</w:t>
      </w:r>
      <w:r>
        <w:rPr>
          <w:rFonts w:hint="eastAsia" w:ascii="宋体" w:hAnsi="宋体" w:eastAsia="宋体" w:cs="宋体"/>
          <w:color w:val="auto"/>
        </w:rPr>
        <w:t>币（</w:t>
      </w:r>
      <w:r>
        <w:rPr>
          <w:rFonts w:hint="eastAsia" w:ascii="宋体" w:hAnsi="宋体" w:eastAsia="宋体" w:cs="宋体"/>
          <w:color w:val="auto"/>
          <w:u w:val="single"/>
        </w:rPr>
        <w:t>94700</w:t>
      </w:r>
      <w:r>
        <w:rPr>
          <w:rFonts w:hint="eastAsia" w:ascii="宋体" w:hAnsi="宋体" w:eastAsia="宋体" w:cs="宋体"/>
          <w:color w:val="auto"/>
        </w:rPr>
        <w:t>）</w:t>
      </w:r>
      <w:r>
        <w:rPr>
          <w:rFonts w:hint="eastAsia" w:ascii="宋体" w:hAnsi="宋体" w:eastAsia="宋体" w:cs="宋体"/>
        </w:rPr>
        <w:t>元。</w:t>
      </w:r>
    </w:p>
    <w:p>
      <w:pPr>
        <w:spacing w:line="276" w:lineRule="auto"/>
        <w:ind w:left="220" w:leftChars="100"/>
        <w:rPr>
          <w:rFonts w:hint="eastAsia" w:ascii="宋体" w:hAnsi="宋体" w:eastAsia="宋体" w:cs="宋体"/>
        </w:rPr>
      </w:pPr>
      <w:r>
        <w:rPr>
          <w:rFonts w:hint="eastAsia" w:ascii="宋体" w:hAnsi="宋体" w:eastAsia="宋体" w:cs="宋体"/>
        </w:rPr>
        <w:t>三、采购内容：</w:t>
      </w:r>
      <w:r>
        <w:rPr>
          <w:rFonts w:hint="eastAsia" w:ascii="宋体" w:hAnsi="宋体" w:eastAsia="宋体" w:cs="宋体"/>
          <w:u w:val="single"/>
        </w:rPr>
        <w:t>仓库信息系统建设</w:t>
      </w:r>
      <w:r>
        <w:rPr>
          <w:rFonts w:hint="eastAsia" w:ascii="宋体" w:hAnsi="宋体" w:eastAsia="宋体" w:cs="宋体"/>
        </w:rPr>
        <w:t>（具体详见用户需求书）</w:t>
      </w:r>
    </w:p>
    <w:p>
      <w:pPr>
        <w:spacing w:line="276" w:lineRule="auto"/>
        <w:ind w:left="220" w:leftChars="100"/>
        <w:rPr>
          <w:rFonts w:hint="eastAsia" w:ascii="宋体" w:hAnsi="宋体" w:eastAsia="宋体" w:cs="宋体"/>
        </w:rPr>
      </w:pPr>
      <w:r>
        <w:rPr>
          <w:rFonts w:hint="eastAsia" w:ascii="宋体" w:hAnsi="宋体" w:eastAsia="宋体" w:cs="宋体"/>
        </w:rPr>
        <w:t>四、资格要求：</w:t>
      </w:r>
    </w:p>
    <w:p>
      <w:pPr>
        <w:spacing w:line="276" w:lineRule="auto"/>
        <w:ind w:firstLine="389" w:firstLineChars="177"/>
        <w:rPr>
          <w:rFonts w:hint="eastAsia" w:ascii="宋体" w:hAnsi="宋体" w:eastAsia="宋体" w:cs="宋体"/>
        </w:rPr>
      </w:pPr>
      <w:r>
        <w:rPr>
          <w:rFonts w:hint="eastAsia" w:ascii="宋体" w:hAnsi="宋体" w:eastAsia="宋体" w:cs="宋体"/>
        </w:rPr>
        <w:t>1.须为在中华人民共和国境内登记注册的、合法存续、正常经营且具有独立承担民事责任能力的法人或其他组织。</w:t>
      </w:r>
    </w:p>
    <w:p>
      <w:pPr>
        <w:spacing w:line="276" w:lineRule="auto"/>
        <w:ind w:firstLine="389" w:firstLineChars="177"/>
        <w:rPr>
          <w:rFonts w:hint="eastAsia" w:ascii="宋体" w:hAnsi="宋体" w:eastAsia="宋体" w:cs="宋体"/>
        </w:rPr>
      </w:pPr>
      <w:r>
        <w:rPr>
          <w:rFonts w:hint="eastAsia" w:ascii="宋体" w:hAnsi="宋体" w:eastAsia="宋体" w:cs="宋体"/>
        </w:rPr>
        <w:t>2.未被列入“信用中国”网站（www.creditchina.gov.cn）记录的失信被执行人、重大税收违法失信主体、政府采购严重违法失信行为记录名单（处罚期限届满的除外）。</w:t>
      </w:r>
      <w:r>
        <w:rPr>
          <w:rFonts w:ascii="宋体" w:hAnsi="宋体" w:eastAsia="宋体" w:cs="Segoe UI"/>
          <w:color w:val="0F1115"/>
          <w:shd w:val="clear" w:color="auto" w:fill="FFFFFF"/>
        </w:rPr>
        <w:t>须提供响应文件递交截止当天在“信用中国”网站的查询结果截图</w:t>
      </w:r>
      <w:r>
        <w:rPr>
          <w:rFonts w:hint="eastAsia" w:ascii="宋体" w:hAnsi="宋体" w:eastAsia="宋体" w:cs="宋体"/>
        </w:rPr>
        <w:t>。</w:t>
      </w:r>
    </w:p>
    <w:p>
      <w:pPr>
        <w:spacing w:line="276" w:lineRule="auto"/>
        <w:ind w:firstLine="389" w:firstLineChars="177"/>
        <w:rPr>
          <w:rFonts w:hint="eastAsia" w:ascii="宋体" w:hAnsi="宋体" w:eastAsia="宋体" w:cs="宋体"/>
        </w:rPr>
      </w:pPr>
      <w:r>
        <w:rPr>
          <w:rFonts w:hint="eastAsia" w:ascii="宋体" w:hAnsi="宋体" w:eastAsia="宋体" w:cs="宋体"/>
        </w:rPr>
        <w:t>3.供应商必须提供有效的营业执照及相关认证资质文件。</w:t>
      </w:r>
    </w:p>
    <w:p>
      <w:pPr>
        <w:spacing w:line="276" w:lineRule="auto"/>
        <w:ind w:firstLine="389" w:firstLineChars="177"/>
        <w:rPr>
          <w:rFonts w:hint="eastAsia" w:ascii="宋体" w:hAnsi="宋体" w:eastAsia="宋体" w:cs="宋体"/>
        </w:rPr>
      </w:pPr>
      <w:r>
        <w:rPr>
          <w:rFonts w:hint="eastAsia" w:ascii="宋体" w:hAnsi="宋体" w:eastAsia="宋体" w:cs="宋体"/>
        </w:rPr>
        <w:t>4.供应商近三年内须具有至少为1家企业提供仓库信息系统建设的成功案例经验（须提供合同原件复印件等有效证明文件）。</w:t>
      </w:r>
    </w:p>
    <w:p>
      <w:pPr>
        <w:spacing w:line="276" w:lineRule="auto"/>
        <w:ind w:left="220" w:leftChars="100"/>
        <w:rPr>
          <w:rFonts w:hint="eastAsia" w:ascii="宋体" w:hAnsi="宋体" w:eastAsia="宋体" w:cs="宋体"/>
        </w:rPr>
      </w:pPr>
      <w:r>
        <w:rPr>
          <w:rFonts w:hint="eastAsia" w:ascii="宋体" w:hAnsi="宋体" w:eastAsia="宋体" w:cs="宋体"/>
        </w:rPr>
        <w:t>五、成交原则：</w:t>
      </w:r>
      <w:r>
        <w:rPr>
          <w:rFonts w:hint="eastAsia" w:ascii="宋体" w:hAnsi="宋体" w:eastAsia="宋体" w:cs="宋体"/>
          <w:bCs/>
        </w:rPr>
        <w:t>从实质性满足采购需求的供应商中，按照综合评分法，以综合得分最高者确定为成交供应商。</w:t>
      </w:r>
    </w:p>
    <w:p>
      <w:pPr>
        <w:spacing w:line="276" w:lineRule="auto"/>
        <w:ind w:left="220" w:leftChars="100"/>
        <w:rPr>
          <w:rFonts w:hint="eastAsia" w:ascii="宋体" w:hAnsi="宋体" w:eastAsia="宋体" w:cs="宋体"/>
        </w:rPr>
      </w:pPr>
      <w:r>
        <w:rPr>
          <w:rFonts w:hint="eastAsia" w:ascii="宋体" w:hAnsi="宋体" w:eastAsia="宋体" w:cs="宋体"/>
        </w:rPr>
        <w:t>六、响应文件递交截止时间：</w:t>
      </w:r>
      <w:bookmarkStart w:id="1" w:name="_Hlk27138379"/>
      <w:r>
        <w:rPr>
          <w:rFonts w:hint="eastAsia" w:ascii="宋体" w:hAnsi="宋体" w:eastAsia="宋体" w:cs="宋体"/>
          <w:lang w:val="en-US" w:eastAsia="zh-CN"/>
        </w:rPr>
        <w:t>2026</w:t>
      </w:r>
      <w:r>
        <w:rPr>
          <w:rFonts w:hint="eastAsia" w:ascii="宋体" w:hAnsi="宋体" w:eastAsia="宋体" w:cs="宋体"/>
        </w:rPr>
        <w:t xml:space="preserve"> </w:t>
      </w:r>
      <w:r>
        <w:rPr>
          <w:rFonts w:ascii="宋体" w:hAnsi="宋体" w:eastAsia="宋体" w:cs="宋体"/>
        </w:rPr>
        <w:t>年</w:t>
      </w:r>
      <w:r>
        <w:rPr>
          <w:rFonts w:hint="eastAsia" w:ascii="宋体" w:hAnsi="宋体" w:eastAsia="宋体" w:cs="宋体"/>
        </w:rPr>
        <w:t xml:space="preserve"> </w:t>
      </w:r>
      <w:r>
        <w:rPr>
          <w:rFonts w:hint="eastAsia" w:ascii="宋体" w:hAnsi="宋体" w:eastAsia="宋体" w:cs="宋体"/>
          <w:lang w:val="en-US" w:eastAsia="zh-CN"/>
        </w:rPr>
        <w:t>3</w:t>
      </w:r>
      <w:r>
        <w:rPr>
          <w:rFonts w:hint="eastAsia" w:ascii="宋体" w:hAnsi="宋体" w:eastAsia="宋体" w:cs="宋体"/>
        </w:rPr>
        <w:t xml:space="preserve"> </w:t>
      </w:r>
      <w:r>
        <w:rPr>
          <w:rFonts w:ascii="宋体" w:hAnsi="宋体" w:eastAsia="宋体" w:cs="宋体"/>
        </w:rPr>
        <w:t>月</w:t>
      </w:r>
      <w:r>
        <w:rPr>
          <w:rFonts w:hint="eastAsia" w:ascii="宋体" w:hAnsi="宋体" w:eastAsia="宋体" w:cs="宋体"/>
          <w:lang w:val="en-US" w:eastAsia="zh-CN"/>
        </w:rPr>
        <w:t>10</w:t>
      </w:r>
      <w:r>
        <w:rPr>
          <w:rFonts w:ascii="宋体" w:hAnsi="宋体" w:eastAsia="宋体" w:cs="宋体"/>
        </w:rPr>
        <w:t>日</w:t>
      </w: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rPr>
        <w:t xml:space="preserve"> </w:t>
      </w:r>
      <w:r>
        <w:rPr>
          <w:rFonts w:ascii="宋体" w:hAnsi="宋体" w:eastAsia="宋体" w:cs="宋体"/>
        </w:rPr>
        <w:t>时</w:t>
      </w:r>
      <w:r>
        <w:rPr>
          <w:rFonts w:hint="eastAsia" w:ascii="宋体" w:hAnsi="宋体" w:eastAsia="宋体" w:cs="宋体"/>
        </w:rPr>
        <w:t>30</w:t>
      </w:r>
      <w:r>
        <w:rPr>
          <w:rFonts w:ascii="宋体" w:hAnsi="宋体" w:eastAsia="宋体" w:cs="宋体"/>
        </w:rPr>
        <w:t>分</w:t>
      </w:r>
      <w:bookmarkEnd w:id="1"/>
      <w:r>
        <w:rPr>
          <w:rFonts w:hint="eastAsia" w:ascii="宋体" w:hAnsi="宋体" w:eastAsia="宋体" w:cs="宋体"/>
        </w:rPr>
        <w:t>。</w:t>
      </w:r>
    </w:p>
    <w:p>
      <w:pPr>
        <w:spacing w:line="276" w:lineRule="auto"/>
        <w:ind w:left="220" w:leftChars="100"/>
        <w:rPr>
          <w:rFonts w:hint="eastAsia" w:ascii="宋体" w:hAnsi="宋体" w:eastAsia="宋体" w:cs="宋体"/>
        </w:rPr>
      </w:pPr>
      <w:r>
        <w:rPr>
          <w:rFonts w:hint="eastAsia" w:ascii="宋体" w:hAnsi="宋体" w:eastAsia="宋体" w:cs="宋体"/>
        </w:rPr>
        <w:t>七、响应文件递交地点：东莞市东莞市南城街道石鼓滨河路100号C栋2楼</w:t>
      </w:r>
      <w:r>
        <w:rPr>
          <w:rFonts w:hint="eastAsia" w:ascii="宋体" w:hAnsi="宋体" w:eastAsia="宋体" w:cs="宋体"/>
          <w:lang w:eastAsia="zh-CN"/>
        </w:rPr>
        <w:t>（东莞市碧水信息科技有限公司）</w:t>
      </w:r>
      <w:r>
        <w:rPr>
          <w:rFonts w:hint="eastAsia" w:ascii="宋体" w:hAnsi="宋体" w:eastAsia="宋体" w:cs="宋体"/>
        </w:rPr>
        <w:t>。</w:t>
      </w:r>
    </w:p>
    <w:p>
      <w:pPr>
        <w:spacing w:line="276" w:lineRule="auto"/>
        <w:ind w:left="220" w:leftChars="100"/>
        <w:rPr>
          <w:rFonts w:hint="eastAsia" w:ascii="宋体" w:hAnsi="宋体" w:eastAsia="宋体" w:cs="宋体"/>
        </w:rPr>
      </w:pPr>
      <w:r>
        <w:rPr>
          <w:rFonts w:hint="eastAsia" w:ascii="宋体" w:hAnsi="宋体" w:eastAsia="宋体" w:cs="宋体"/>
        </w:rPr>
        <w:t>八、响应文件开封时间：</w:t>
      </w:r>
      <w:r>
        <w:rPr>
          <w:rFonts w:hint="eastAsia" w:ascii="宋体" w:hAnsi="宋体" w:eastAsia="宋体" w:cs="宋体"/>
          <w:lang w:val="en-US" w:eastAsia="zh-CN"/>
        </w:rPr>
        <w:t>2026</w:t>
      </w:r>
      <w:r>
        <w:rPr>
          <w:rFonts w:hint="eastAsia" w:ascii="宋体" w:hAnsi="宋体" w:eastAsia="宋体" w:cs="宋体"/>
        </w:rPr>
        <w:t xml:space="preserve"> </w:t>
      </w:r>
      <w:r>
        <w:rPr>
          <w:rFonts w:ascii="宋体" w:hAnsi="宋体" w:eastAsia="宋体" w:cs="宋体"/>
        </w:rPr>
        <w:t>年</w:t>
      </w:r>
      <w:r>
        <w:rPr>
          <w:rFonts w:hint="eastAsia" w:ascii="宋体" w:hAnsi="宋体" w:eastAsia="宋体" w:cs="宋体"/>
        </w:rPr>
        <w:t xml:space="preserve"> </w:t>
      </w:r>
      <w:r>
        <w:rPr>
          <w:rFonts w:hint="eastAsia" w:ascii="宋体" w:hAnsi="宋体" w:eastAsia="宋体" w:cs="宋体"/>
          <w:lang w:val="en-US" w:eastAsia="zh-CN"/>
        </w:rPr>
        <w:t>3</w:t>
      </w:r>
      <w:r>
        <w:rPr>
          <w:rFonts w:hint="eastAsia" w:ascii="宋体" w:hAnsi="宋体" w:eastAsia="宋体" w:cs="宋体"/>
        </w:rPr>
        <w:t xml:space="preserve"> </w:t>
      </w:r>
      <w:r>
        <w:rPr>
          <w:rFonts w:ascii="宋体" w:hAnsi="宋体" w:eastAsia="宋体" w:cs="宋体"/>
        </w:rPr>
        <w:t>月</w:t>
      </w:r>
      <w:r>
        <w:rPr>
          <w:rFonts w:hint="eastAsia" w:ascii="宋体" w:hAnsi="宋体" w:eastAsia="宋体" w:cs="宋体"/>
          <w:lang w:val="en-US" w:eastAsia="zh-CN"/>
        </w:rPr>
        <w:t>10</w:t>
      </w:r>
      <w:r>
        <w:rPr>
          <w:rFonts w:ascii="宋体" w:hAnsi="宋体" w:eastAsia="宋体" w:cs="宋体"/>
        </w:rPr>
        <w:t>日</w:t>
      </w: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rPr>
        <w:t xml:space="preserve"> </w:t>
      </w:r>
      <w:r>
        <w:rPr>
          <w:rFonts w:ascii="宋体" w:hAnsi="宋体" w:eastAsia="宋体" w:cs="宋体"/>
        </w:rPr>
        <w:t>时</w:t>
      </w:r>
      <w:r>
        <w:rPr>
          <w:rFonts w:hint="eastAsia" w:ascii="宋体" w:hAnsi="宋体" w:eastAsia="宋体" w:cs="宋体"/>
        </w:rPr>
        <w:t>30</w:t>
      </w:r>
      <w:r>
        <w:rPr>
          <w:rFonts w:ascii="宋体" w:hAnsi="宋体" w:eastAsia="宋体" w:cs="宋体"/>
        </w:rPr>
        <w:t>分</w:t>
      </w:r>
      <w:r>
        <w:rPr>
          <w:rFonts w:hint="eastAsia" w:ascii="宋体" w:hAnsi="宋体" w:eastAsia="宋体" w:cs="宋体"/>
        </w:rPr>
        <w:t>。</w:t>
      </w:r>
    </w:p>
    <w:p>
      <w:pPr>
        <w:spacing w:line="276" w:lineRule="auto"/>
        <w:ind w:left="220" w:leftChars="100"/>
        <w:rPr>
          <w:rFonts w:hint="eastAsia" w:ascii="宋体" w:hAnsi="宋体" w:eastAsia="宋体" w:cs="宋体"/>
        </w:rPr>
      </w:pPr>
      <w:r>
        <w:rPr>
          <w:rFonts w:hint="eastAsia" w:ascii="宋体" w:hAnsi="宋体" w:eastAsia="宋体" w:cs="宋体"/>
        </w:rPr>
        <w:t>九、开封地点：</w:t>
      </w:r>
      <w:r>
        <w:rPr>
          <w:rFonts w:hint="eastAsia" w:ascii="宋体" w:hAnsi="宋体" w:eastAsia="宋体" w:cs="宋体"/>
          <w:lang w:val="en-US" w:eastAsia="zh-CN"/>
        </w:rPr>
        <w:t>东莞市碧水信息科技有限公司合同管理部。</w:t>
      </w:r>
    </w:p>
    <w:p>
      <w:pPr>
        <w:spacing w:line="276" w:lineRule="auto"/>
        <w:ind w:left="220" w:leftChars="100"/>
        <w:rPr>
          <w:rFonts w:hint="eastAsia" w:ascii="宋体" w:hAnsi="宋体" w:eastAsia="宋体" w:cs="宋体"/>
        </w:rPr>
      </w:pPr>
      <w:r>
        <w:rPr>
          <w:rFonts w:hint="eastAsia" w:ascii="宋体" w:hAnsi="宋体" w:eastAsia="宋体" w:cs="宋体"/>
        </w:rPr>
        <w:t>十、采购人联系方式：</w:t>
      </w:r>
    </w:p>
    <w:p>
      <w:pPr>
        <w:spacing w:line="276" w:lineRule="auto"/>
        <w:ind w:left="220" w:leftChars="100"/>
        <w:rPr>
          <w:rFonts w:hint="eastAsia" w:ascii="宋体" w:hAnsi="宋体" w:eastAsia="宋体" w:cs="宋体"/>
          <w:color w:val="000000"/>
        </w:rPr>
      </w:pPr>
      <w:bookmarkStart w:id="2" w:name="_Hlk27138405"/>
      <w:r>
        <w:rPr>
          <w:rFonts w:hint="eastAsia" w:ascii="宋体" w:hAnsi="宋体" w:eastAsia="宋体" w:cs="宋体"/>
          <w:color w:val="000000"/>
        </w:rPr>
        <w:t>采购联系人：</w:t>
      </w:r>
      <w:r>
        <w:rPr>
          <w:rFonts w:hint="eastAsia" w:ascii="宋体" w:hAnsi="宋体" w:eastAsia="宋体" w:cs="宋体"/>
          <w:color w:val="000000"/>
          <w:lang w:val="en-US" w:eastAsia="zh-CN"/>
        </w:rPr>
        <w:t>黎</w:t>
      </w:r>
      <w:r>
        <w:rPr>
          <w:rFonts w:hint="eastAsia" w:ascii="宋体" w:hAnsi="宋体" w:eastAsia="宋体" w:cs="宋体"/>
          <w:color w:val="000000"/>
        </w:rPr>
        <w:t>工</w:t>
      </w:r>
    </w:p>
    <w:p>
      <w:pPr>
        <w:spacing w:line="276" w:lineRule="auto"/>
        <w:ind w:left="220" w:leftChars="100"/>
        <w:rPr>
          <w:rFonts w:hint="eastAsia" w:ascii="宋体" w:hAnsi="宋体" w:eastAsia="宋体" w:cs="宋体"/>
          <w:color w:val="000000"/>
        </w:rPr>
      </w:pPr>
      <w:r>
        <w:rPr>
          <w:rFonts w:hint="eastAsia" w:ascii="宋体" w:hAnsi="宋体" w:eastAsia="宋体" w:cs="宋体"/>
          <w:color w:val="000000"/>
        </w:rPr>
        <w:t>联系电话：0769-27289286</w:t>
      </w:r>
    </w:p>
    <w:p>
      <w:pPr>
        <w:spacing w:line="276" w:lineRule="auto"/>
        <w:ind w:left="22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rPr>
        <w:t>联系地址：</w:t>
      </w:r>
      <w:bookmarkEnd w:id="2"/>
      <w:r>
        <w:rPr>
          <w:rFonts w:hint="eastAsia" w:ascii="宋体" w:hAnsi="宋体" w:eastAsia="宋体" w:cs="宋体"/>
          <w:color w:val="000000"/>
        </w:rPr>
        <w:t>东莞市南城街道石鼓滨河路100号C栋2楼。</w:t>
      </w:r>
    </w:p>
    <w:p>
      <w:pPr>
        <w:spacing w:line="360" w:lineRule="auto"/>
        <w:rPr>
          <w:rFonts w:hint="eastAsia" w:ascii="宋体" w:hAnsi="宋体" w:eastAsia="宋体" w:cs="宋体"/>
          <w:color w:val="000000" w:themeColor="text1"/>
          <w14:textFill>
            <w14:solidFill>
              <w14:schemeClr w14:val="tx1"/>
            </w14:solidFill>
          </w14:textFill>
        </w:rPr>
      </w:pPr>
    </w:p>
    <w:p>
      <w:pPr>
        <w:spacing w:line="276" w:lineRule="auto"/>
        <w:ind w:left="5060" w:leftChars="2300"/>
        <w:rPr>
          <w:rFonts w:hint="eastAsia" w:ascii="宋体" w:hAnsi="宋体" w:eastAsia="宋体" w:cs="宋体"/>
          <w:color w:val="000000"/>
        </w:rPr>
      </w:pPr>
      <w:bookmarkStart w:id="3" w:name="_Hlk27138410"/>
      <w:r>
        <w:rPr>
          <w:rFonts w:hint="eastAsia" w:ascii="宋体" w:hAnsi="宋体" w:eastAsia="宋体" w:cs="宋体"/>
          <w:color w:val="000000"/>
        </w:rPr>
        <w:t>东莞市碧水信息科技有限公司</w:t>
      </w:r>
    </w:p>
    <w:p>
      <w:pPr>
        <w:spacing w:line="276" w:lineRule="auto"/>
        <w:ind w:left="5060" w:leftChars="2300"/>
        <w:rPr>
          <w:rFonts w:hint="eastAsia" w:ascii="宋体" w:hAnsi="宋体" w:eastAsia="宋体" w:cs="宋体"/>
          <w:color w:val="000000"/>
        </w:rPr>
      </w:pPr>
      <w:r>
        <w:rPr>
          <w:rFonts w:ascii="宋体" w:hAnsi="宋体" w:eastAsia="宋体" w:cs="宋体"/>
          <w:color w:val="000000"/>
        </w:rPr>
        <w:t>202</w:t>
      </w:r>
      <w:r>
        <w:rPr>
          <w:rFonts w:hint="eastAsia" w:ascii="宋体" w:hAnsi="宋体" w:eastAsia="宋体" w:cs="宋体"/>
          <w:color w:val="000000"/>
          <w:lang w:val="en-US" w:eastAsia="zh-CN"/>
        </w:rPr>
        <w:t>6</w:t>
      </w:r>
      <w:r>
        <w:rPr>
          <w:rFonts w:ascii="宋体" w:hAnsi="宋体" w:eastAsia="宋体" w:cs="宋体"/>
          <w:color w:val="000000"/>
        </w:rPr>
        <w:t>年</w:t>
      </w:r>
      <w:r>
        <w:rPr>
          <w:rFonts w:hint="eastAsia" w:ascii="宋体" w:hAnsi="宋体" w:eastAsia="宋体" w:cs="宋体"/>
          <w:color w:val="000000"/>
        </w:rPr>
        <w:t xml:space="preserve"> </w:t>
      </w:r>
      <w:r>
        <w:rPr>
          <w:rFonts w:hint="eastAsia" w:ascii="宋体" w:hAnsi="宋体" w:eastAsia="宋体" w:cs="宋体"/>
          <w:color w:val="000000"/>
          <w:lang w:val="en-US" w:eastAsia="zh-CN"/>
        </w:rPr>
        <w:t>3</w:t>
      </w:r>
      <w:r>
        <w:rPr>
          <w:rFonts w:ascii="宋体" w:hAnsi="宋体" w:eastAsia="宋体" w:cs="宋体"/>
          <w:color w:val="000000"/>
        </w:rPr>
        <w:t>月</w:t>
      </w:r>
      <w:r>
        <w:rPr>
          <w:rFonts w:hint="eastAsia" w:ascii="宋体" w:hAnsi="宋体" w:eastAsia="宋体" w:cs="宋体"/>
          <w:color w:val="000000"/>
          <w:lang w:val="en-US" w:eastAsia="zh-CN"/>
        </w:rPr>
        <w:t>5</w:t>
      </w:r>
      <w:r>
        <w:rPr>
          <w:rFonts w:ascii="宋体" w:hAnsi="宋体" w:eastAsia="宋体" w:cs="宋体"/>
          <w:color w:val="000000"/>
        </w:rPr>
        <w:t>日</w:t>
      </w:r>
      <w:r>
        <w:rPr>
          <w:rFonts w:hint="eastAsia" w:ascii="宋体" w:hAnsi="宋体" w:eastAsia="宋体" w:cs="宋体"/>
          <w:color w:val="000000"/>
        </w:rPr>
        <w:t xml:space="preserve">      </w:t>
      </w:r>
    </w:p>
    <w:bookmarkEnd w:id="3"/>
    <w:p>
      <w:pPr>
        <w:rPr>
          <w:rFonts w:hint="eastAsia" w:ascii="宋体" w:hAnsi="宋体" w:eastAsia="宋体"/>
        </w:rPr>
      </w:pPr>
    </w:p>
    <w:p>
      <w:pPr>
        <w:spacing w:before="156" w:after="156" w:line="276" w:lineRule="auto"/>
        <w:jc w:val="center"/>
        <w:rPr>
          <w:rFonts w:hint="eastAsia" w:ascii="宋体" w:hAnsi="宋体" w:eastAsia="宋体"/>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797" w:bottom="1440" w:left="1797" w:header="851" w:footer="992" w:gutter="0"/>
          <w:pgNumType w:start="0"/>
          <w:cols w:space="425" w:num="1"/>
          <w:titlePg/>
          <w:docGrid w:type="lines" w:linePitch="312" w:charSpace="0"/>
        </w:sectPr>
      </w:pPr>
    </w:p>
    <w:p>
      <w:pPr>
        <w:spacing w:before="156" w:after="156" w:line="276" w:lineRule="auto"/>
        <w:jc w:val="center"/>
        <w:rPr>
          <w:rFonts w:hint="eastAsia" w:ascii="宋体" w:hAnsi="宋体" w:eastAsia="宋体"/>
        </w:rPr>
      </w:pPr>
    </w:p>
    <w:p>
      <w:pPr>
        <w:pStyle w:val="3"/>
        <w:spacing w:before="156" w:after="156" w:line="276" w:lineRule="auto"/>
        <w:jc w:val="center"/>
        <w:rPr>
          <w:rFonts w:hint="eastAsia" w:ascii="宋体" w:hAnsi="宋体"/>
        </w:rPr>
      </w:pPr>
      <w:r>
        <w:rPr>
          <w:rFonts w:hint="eastAsia" w:ascii="宋体" w:hAnsi="宋体"/>
        </w:rPr>
        <w:t>用户需求</w:t>
      </w:r>
      <w:r>
        <w:rPr>
          <w:rFonts w:hint="eastAsia" w:ascii="宋体" w:hAnsi="宋体"/>
          <w:lang w:val="en-US" w:eastAsia="zh-CN"/>
        </w:rPr>
        <w:t>书</w:t>
      </w:r>
    </w:p>
    <w:p>
      <w:pPr>
        <w:spacing w:after="0" w:line="276" w:lineRule="auto"/>
        <w:ind w:firstLine="442" w:firstLineChars="200"/>
        <w:rPr>
          <w:rFonts w:hint="eastAsia" w:ascii="宋体" w:hAnsi="宋体" w:eastAsia="宋体"/>
          <w:b/>
          <w:bCs/>
        </w:rPr>
      </w:pPr>
      <w:r>
        <w:rPr>
          <w:rFonts w:hint="eastAsia" w:ascii="宋体" w:hAnsi="宋体" w:eastAsia="宋体"/>
          <w:b/>
          <w:bCs/>
        </w:rPr>
        <w:t>一、业务需求</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由于公司缺乏专业的仓库物资管理人才，库存物资从“</w:t>
      </w:r>
      <w:r>
        <w:rPr>
          <w:rFonts w:ascii="宋体" w:hAnsi="宋体" w:eastAsia="宋体" w:cs="仿宋_GB2312"/>
          <w:kern w:val="2"/>
          <w:sz w:val="21"/>
          <w:szCs w:val="21"/>
        </w:rPr>
        <w:t>分区、分类、标识、上架、系统、制度</w:t>
      </w:r>
      <w:r>
        <w:rPr>
          <w:rFonts w:hint="eastAsia" w:ascii="宋体" w:hAnsi="宋体" w:eastAsia="宋体" w:cs="仿宋_GB2312"/>
          <w:kern w:val="2"/>
          <w:sz w:val="21"/>
          <w:szCs w:val="21"/>
        </w:rPr>
        <w:t>”等方面管理不够完善</w:t>
      </w:r>
      <w:r>
        <w:rPr>
          <w:rFonts w:ascii="宋体" w:hAnsi="宋体" w:eastAsia="宋体" w:cs="仿宋_GB2312"/>
          <w:kern w:val="2"/>
          <w:sz w:val="21"/>
          <w:szCs w:val="21"/>
        </w:rPr>
        <w:t>，长效</w:t>
      </w:r>
      <w:r>
        <w:rPr>
          <w:rFonts w:hint="eastAsia" w:ascii="宋体" w:hAnsi="宋体" w:eastAsia="宋体" w:cs="仿宋_GB2312"/>
          <w:kern w:val="2"/>
          <w:sz w:val="21"/>
          <w:szCs w:val="21"/>
        </w:rPr>
        <w:t>运行</w:t>
      </w:r>
      <w:r>
        <w:rPr>
          <w:rFonts w:ascii="宋体" w:hAnsi="宋体" w:eastAsia="宋体" w:cs="仿宋_GB2312"/>
          <w:kern w:val="2"/>
          <w:sz w:val="21"/>
          <w:szCs w:val="21"/>
        </w:rPr>
        <w:t>机制</w:t>
      </w:r>
      <w:r>
        <w:rPr>
          <w:rFonts w:hint="eastAsia" w:ascii="宋体" w:hAnsi="宋体" w:eastAsia="宋体" w:cs="仿宋_GB2312"/>
          <w:kern w:val="2"/>
          <w:sz w:val="21"/>
          <w:szCs w:val="21"/>
        </w:rPr>
        <w:t>不健全。计划通过本项目的建设实现公司库存业务管理底数清、账实符；数据实时动态共享、运行效率高的效果。经调查梳理，主要需求为：</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1、信息系统支撑需求</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为确保仓库整改后的成果形成长效运行机制，需借助信息系统工具支撑库存业务的长期运行，主要需求如下：</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（1）库存计划需求。替换目前人为手工计划工作模式。能通过安全库存设置、现有库存量生成新的库存采购计划建议，并能对计划建议进行查看、数量调整和进行下一步业务处理。</w:t>
      </w:r>
      <w:r>
        <w:rPr>
          <w:rFonts w:ascii="宋体" w:hAnsi="宋体" w:eastAsia="宋体" w:cs="仿宋_GB2312"/>
          <w:kern w:val="2"/>
          <w:sz w:val="21"/>
          <w:szCs w:val="21"/>
        </w:rPr>
        <w:t>提升库存利用率，降低库存</w:t>
      </w:r>
      <w:r>
        <w:rPr>
          <w:rFonts w:hint="eastAsia" w:ascii="宋体" w:hAnsi="宋体" w:eastAsia="宋体" w:cs="仿宋_GB2312"/>
          <w:kern w:val="2"/>
          <w:sz w:val="21"/>
          <w:szCs w:val="21"/>
        </w:rPr>
        <w:t>产生</w:t>
      </w:r>
      <w:r>
        <w:rPr>
          <w:rFonts w:ascii="宋体" w:hAnsi="宋体" w:eastAsia="宋体" w:cs="仿宋_GB2312"/>
          <w:kern w:val="2"/>
          <w:sz w:val="21"/>
          <w:szCs w:val="21"/>
        </w:rPr>
        <w:t>呆滞</w:t>
      </w:r>
      <w:r>
        <w:rPr>
          <w:rFonts w:hint="eastAsia" w:ascii="宋体" w:hAnsi="宋体" w:eastAsia="宋体" w:cs="仿宋_GB2312"/>
          <w:kern w:val="2"/>
          <w:sz w:val="21"/>
          <w:szCs w:val="21"/>
        </w:rPr>
        <w:t>的</w:t>
      </w:r>
      <w:r>
        <w:rPr>
          <w:rFonts w:ascii="宋体" w:hAnsi="宋体" w:eastAsia="宋体" w:cs="仿宋_GB2312"/>
          <w:kern w:val="2"/>
          <w:sz w:val="21"/>
          <w:szCs w:val="21"/>
        </w:rPr>
        <w:t>风险</w:t>
      </w:r>
      <w:r>
        <w:rPr>
          <w:rFonts w:hint="eastAsia" w:ascii="宋体" w:hAnsi="宋体" w:eastAsia="宋体" w:cs="仿宋_GB2312"/>
          <w:kern w:val="2"/>
          <w:sz w:val="21"/>
          <w:szCs w:val="21"/>
        </w:rPr>
        <w:t>。</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（2）库存基础资料管理需求。需实现物料库存信息、库存状态、仓库、仓位、批号、序列号、预警等基础资料管理。</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（3）采购收货和入库。能根据库存计划进行采购收货和入库。同时入库数据需同步到“NCC系统”。</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项目领料。能通过项目用料需求，开具领料申请，并打印单据审核后，交仓库备料。仓管员在“NCC系统”检查相应项目已经下发（具备发料条件），仓库员在领料申请单上补充完整相应项目信息，才能从仓库管理系统进行出库减账操作，同时出库数据需同步到“NCC系统”。</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（5）其他入库/出库业务。仓库日常作业中的一些无订单来源的入库/出库业务实现系统入库/出库。</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（6）仓库物资调拨。能实现仓库物资调拨的管理过程，如从正常用料仓库调拨至呆滞料仓库/废品仓、临时物资借出等业务场景。</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（7）库存物资调整。各种原因导致库存物资需要改变其物资形态、物料批号和存放状态等场景</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（8）库存盘点。实现定期或不定期对库存进行盘点，能按规则生成盘点表、对盘完结果实现盈亏表调整等。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（9）库存调整。支持仓位移动管理、即时库存调整，包括物料和批次转换等。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（10）库存分析报表。即时库存查询、物料收发汇总、物料收发明细、库存台账、库存盘点差异报告、库存流水、库存账龄分析、库存预警分析等必要的数据分析。</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（11）库存关账。实现对期间库存业务处理上的截止管理，控制已关账期间不能再发生相应的库存业务。</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（12）锁库/解锁。能实现库存锁库、解锁。</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2、业务切换实施上线需求。</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提供库存业务切换辅导培训、静态数据初始化、协助实物盘点与审核、库存期初数据导入系统并核实、启用库存信息系统、正式运行、组织项目验收、质保服务等，确保项目顺利上线使用。</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3、实物盘点整改。</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公司将利用（人力、叉车、吊车）等对现有库存物资进行全面实物盘点摸底，并按新的仓库规划要求，重新上架和摆放相应物资，建立现有存货账目，识别呆滞料，实现物资信息挂牌等。</w:t>
      </w:r>
    </w:p>
    <w:p>
      <w:pPr>
        <w:spacing w:after="0" w:line="276" w:lineRule="auto"/>
        <w:ind w:firstLine="442" w:firstLineChars="200"/>
        <w:rPr>
          <w:rFonts w:hint="eastAsia" w:ascii="宋体" w:hAnsi="宋体" w:eastAsia="宋体"/>
          <w:b/>
          <w:bCs/>
        </w:rPr>
      </w:pPr>
      <w:r>
        <w:rPr>
          <w:rFonts w:hint="eastAsia" w:ascii="宋体" w:hAnsi="宋体" w:eastAsia="宋体"/>
          <w:b/>
          <w:bCs/>
        </w:rPr>
        <w:t>二、建设内容要求</w:t>
      </w:r>
    </w:p>
    <w:p>
      <w:pPr>
        <w:spacing w:after="0" w:line="276" w:lineRule="auto"/>
        <w:ind w:firstLine="442" w:firstLineChars="200"/>
        <w:rPr>
          <w:rFonts w:hint="eastAsia" w:ascii="宋体" w:hAnsi="宋体" w:eastAsia="宋体"/>
          <w:b/>
          <w:bCs/>
        </w:rPr>
      </w:pPr>
      <w:r>
        <w:rPr>
          <w:rFonts w:hint="eastAsia" w:ascii="宋体" w:hAnsi="宋体" w:eastAsia="宋体"/>
          <w:b/>
          <w:bCs/>
        </w:rPr>
        <w:t>（一）项目目标</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通过信息系统管理，有效提高仓库存储空间利用率，整合仓储管理各个环节，实现物资先进先出、可追溯管理，实时在线了解物资收、发、存情况，消除“信息孤岛”，减少沟通成本。提升物资管理及时性和合理性，提高工作效率，实现资源有效配置。统一物资出入库流程，实现操作预警、安全库存预警等提示，保证账实相符并实现由物到账的可追溯过程。由粗放式的管理转向集约化、精益化的方向发展，实现规范化、标准化、智能化的物资管理。</w:t>
      </w:r>
    </w:p>
    <w:p>
      <w:pPr>
        <w:spacing w:after="0" w:line="276" w:lineRule="auto"/>
        <w:ind w:firstLine="442" w:firstLineChars="200"/>
        <w:rPr>
          <w:rFonts w:hint="eastAsia" w:ascii="宋体" w:hAnsi="宋体" w:eastAsia="宋体"/>
          <w:b/>
          <w:bCs/>
        </w:rPr>
      </w:pPr>
      <w:bookmarkStart w:id="4" w:name="_Toc214001346"/>
      <w:r>
        <w:rPr>
          <w:rFonts w:hint="eastAsia" w:ascii="宋体" w:hAnsi="宋体" w:eastAsia="宋体"/>
          <w:b/>
          <w:bCs/>
        </w:rPr>
        <w:t>（二）仓库信息系统建设</w:t>
      </w:r>
      <w:bookmarkEnd w:id="4"/>
      <w:r>
        <w:rPr>
          <w:rFonts w:hint="eastAsia" w:ascii="宋体" w:hAnsi="宋体" w:eastAsia="宋体"/>
          <w:b/>
          <w:bCs/>
        </w:rPr>
        <w:t>内容</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为确保仓库规划整改后的效果形成长效运行机制，通过建立仓库信息系统，长期达成库存业务管理底数清、账实符；数据实时动态共享、运行效率高的效果。</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1、建设原则</w:t>
      </w:r>
    </w:p>
    <w:p>
      <w:pPr>
        <w:spacing w:after="0" w:line="276" w:lineRule="auto"/>
        <w:ind w:firstLine="420" w:firstLineChars="200"/>
        <w:rPr>
          <w:rFonts w:hint="eastAsia" w:ascii="宋体" w:hAnsi="宋体" w:eastAsia="宋体" w:cs="仿宋_GB2312"/>
          <w:kern w:val="2"/>
          <w:sz w:val="21"/>
          <w:szCs w:val="21"/>
        </w:rPr>
      </w:pPr>
      <w:bookmarkStart w:id="5" w:name="_Toc203662006"/>
      <w:r>
        <w:rPr>
          <w:rFonts w:hint="eastAsia" w:ascii="宋体" w:hAnsi="宋体" w:eastAsia="宋体" w:cs="仿宋_GB2312"/>
          <w:kern w:val="2"/>
          <w:sz w:val="21"/>
          <w:szCs w:val="21"/>
        </w:rPr>
        <w:t>（1）实用性原则</w:t>
      </w:r>
      <w:bookmarkEnd w:id="5"/>
      <w:r>
        <w:rPr>
          <w:rFonts w:hint="eastAsia" w:ascii="宋体" w:hAnsi="宋体" w:eastAsia="宋体" w:cs="仿宋_GB2312"/>
          <w:kern w:val="2"/>
          <w:sz w:val="21"/>
          <w:szCs w:val="21"/>
        </w:rPr>
        <w:t>。紧紧结合目前信息化特点和网络通信发展趋势，在确保满足整个库存业务管理和充分利用已有投资及信息数据前提下，基于高性能价格比原则进行系统软硬件设备选型，基于业务管理的实际情况打造软件应用功能。</w:t>
      </w:r>
    </w:p>
    <w:p>
      <w:pPr>
        <w:spacing w:after="0" w:line="276" w:lineRule="auto"/>
        <w:ind w:firstLine="420" w:firstLineChars="200"/>
        <w:rPr>
          <w:rFonts w:hint="eastAsia" w:ascii="宋体" w:hAnsi="宋体" w:eastAsia="宋体" w:cs="仿宋_GB2312"/>
          <w:kern w:val="2"/>
          <w:sz w:val="21"/>
          <w:szCs w:val="21"/>
        </w:rPr>
      </w:pPr>
      <w:bookmarkStart w:id="6" w:name="_Toc203662007"/>
      <w:r>
        <w:rPr>
          <w:rFonts w:hint="eastAsia" w:ascii="宋体" w:hAnsi="宋体" w:eastAsia="宋体" w:cs="仿宋_GB2312"/>
          <w:kern w:val="2"/>
          <w:sz w:val="21"/>
          <w:szCs w:val="21"/>
        </w:rPr>
        <w:t>（2）安全和可靠性原则</w:t>
      </w:r>
      <w:bookmarkEnd w:id="6"/>
      <w:r>
        <w:rPr>
          <w:rFonts w:hint="eastAsia" w:ascii="宋体" w:hAnsi="宋体" w:eastAsia="宋体" w:cs="仿宋_GB2312"/>
          <w:kern w:val="2"/>
          <w:sz w:val="21"/>
          <w:szCs w:val="21"/>
        </w:rPr>
        <w:t>。采用多种安全防范技术和措施，满足各项数据信息运行对实时性、安全性的要求，确保数据信息、库存数据上传、使库存业务长期安全稳定可靠运行。</w:t>
      </w:r>
    </w:p>
    <w:p>
      <w:pPr>
        <w:spacing w:after="0" w:line="276" w:lineRule="auto"/>
        <w:ind w:firstLine="420" w:firstLineChars="200"/>
        <w:rPr>
          <w:rFonts w:hint="eastAsia" w:ascii="宋体" w:hAnsi="宋体" w:eastAsia="宋体" w:cs="仿宋_GB2312"/>
          <w:kern w:val="2"/>
          <w:sz w:val="21"/>
          <w:szCs w:val="21"/>
        </w:rPr>
      </w:pPr>
      <w:bookmarkStart w:id="7" w:name="_Toc203662008"/>
      <w:r>
        <w:rPr>
          <w:rFonts w:hint="eastAsia" w:ascii="宋体" w:hAnsi="宋体" w:eastAsia="宋体" w:cs="仿宋_GB2312"/>
          <w:kern w:val="2"/>
          <w:sz w:val="21"/>
          <w:szCs w:val="21"/>
        </w:rPr>
        <w:t>（3）开放性和可扩展性原则</w:t>
      </w:r>
      <w:bookmarkEnd w:id="7"/>
      <w:r>
        <w:rPr>
          <w:rFonts w:hint="eastAsia" w:ascii="宋体" w:hAnsi="宋体" w:eastAsia="宋体" w:cs="仿宋_GB2312"/>
          <w:kern w:val="2"/>
          <w:sz w:val="21"/>
          <w:szCs w:val="21"/>
        </w:rPr>
        <w:t>。坚持系统实用和安全的基础上，充分考虑本系统的多样性、广泛互连性特点，注意系统足够的开放性；充分考虑与其他系统的接口，注意系统足够的可扩展性，能支持二次开发，既能满足用户当前需求，又适应一定范围用户的业务变化和社会发展的需要，具备较强的前瞻性，使系统具有比较旺盛的生命力。</w:t>
      </w:r>
    </w:p>
    <w:p>
      <w:pPr>
        <w:spacing w:after="0" w:line="276" w:lineRule="auto"/>
        <w:ind w:firstLine="420" w:firstLineChars="200"/>
        <w:rPr>
          <w:rFonts w:hint="eastAsia" w:ascii="宋体" w:hAnsi="宋体" w:eastAsia="宋体" w:cs="仿宋_GB2312"/>
          <w:kern w:val="2"/>
          <w:sz w:val="21"/>
          <w:szCs w:val="21"/>
        </w:rPr>
      </w:pPr>
      <w:bookmarkStart w:id="8" w:name="_Toc203662009"/>
      <w:r>
        <w:rPr>
          <w:rFonts w:hint="eastAsia" w:ascii="宋体" w:hAnsi="宋体" w:eastAsia="宋体" w:cs="仿宋_GB2312"/>
          <w:kern w:val="2"/>
          <w:sz w:val="21"/>
          <w:szCs w:val="21"/>
        </w:rPr>
        <w:t>（4）数据增长低线性化原则</w:t>
      </w:r>
      <w:bookmarkEnd w:id="8"/>
      <w:r>
        <w:rPr>
          <w:rFonts w:hint="eastAsia" w:ascii="宋体" w:hAnsi="宋体" w:eastAsia="宋体" w:cs="仿宋_GB2312"/>
          <w:kern w:val="2"/>
          <w:sz w:val="21"/>
          <w:szCs w:val="21"/>
        </w:rPr>
        <w:t>。充分评估分析库存各类数据、实时监管数据在一定时间内会快速膨胀增长的现状，解决库存信息数据、日常交易数据的立体增长，尽量做到数据增长的线性化。</w:t>
      </w:r>
    </w:p>
    <w:p>
      <w:pPr>
        <w:spacing w:after="0" w:line="276" w:lineRule="auto"/>
        <w:ind w:firstLine="420" w:firstLineChars="200"/>
        <w:rPr>
          <w:rFonts w:hint="eastAsia" w:ascii="宋体" w:hAnsi="宋体" w:eastAsia="宋体" w:cs="仿宋_GB2312"/>
          <w:kern w:val="2"/>
          <w:sz w:val="21"/>
          <w:szCs w:val="21"/>
        </w:rPr>
      </w:pPr>
      <w:bookmarkStart w:id="9" w:name="_Toc203662010"/>
      <w:r>
        <w:rPr>
          <w:rFonts w:hint="eastAsia" w:ascii="宋体" w:hAnsi="宋体" w:eastAsia="宋体" w:cs="仿宋_GB2312"/>
          <w:kern w:val="2"/>
          <w:sz w:val="21"/>
          <w:szCs w:val="21"/>
        </w:rPr>
        <w:t>（5）先进性原则</w:t>
      </w:r>
      <w:bookmarkEnd w:id="9"/>
      <w:r>
        <w:rPr>
          <w:rFonts w:hint="eastAsia" w:ascii="宋体" w:hAnsi="宋体" w:eastAsia="宋体" w:cs="仿宋_GB2312"/>
          <w:kern w:val="2"/>
          <w:sz w:val="21"/>
          <w:szCs w:val="21"/>
        </w:rPr>
        <w:t>。坚持选择成熟、先进的信息技术构建库存管理系统，严格遵循国家省市的行业及技术各类标准规范，始终确保系统的先进性。</w:t>
      </w:r>
    </w:p>
    <w:p>
      <w:pPr>
        <w:spacing w:after="0" w:line="276" w:lineRule="auto"/>
        <w:ind w:firstLine="420" w:firstLineChars="200"/>
        <w:rPr>
          <w:rFonts w:hint="eastAsia" w:ascii="宋体" w:hAnsi="宋体" w:eastAsia="宋体" w:cs="仿宋_GB2312"/>
          <w:kern w:val="2"/>
          <w:sz w:val="21"/>
          <w:szCs w:val="21"/>
        </w:rPr>
      </w:pPr>
      <w:bookmarkStart w:id="10" w:name="_Toc203662011"/>
      <w:r>
        <w:rPr>
          <w:rFonts w:hint="eastAsia" w:ascii="宋体" w:hAnsi="宋体" w:eastAsia="宋体" w:cs="仿宋_GB2312"/>
          <w:kern w:val="2"/>
          <w:sz w:val="21"/>
          <w:szCs w:val="21"/>
        </w:rPr>
        <w:t>（6）易用性、友好性原则</w:t>
      </w:r>
      <w:bookmarkEnd w:id="10"/>
      <w:r>
        <w:rPr>
          <w:rFonts w:hint="eastAsia" w:ascii="宋体" w:hAnsi="宋体" w:eastAsia="宋体" w:cs="仿宋_GB2312"/>
          <w:kern w:val="2"/>
          <w:sz w:val="21"/>
          <w:szCs w:val="21"/>
        </w:rPr>
        <w:t>。基于系统前台用户特点量身定制系统操作界面功能，坚持应用系统的人性化、个性化、界面友</w:t>
      </w:r>
      <w:r>
        <w:rPr>
          <w:rFonts w:hint="eastAsia" w:ascii="宋体" w:hAnsi="宋体" w:eastAsia="宋体" w:cs="仿宋_GB2312"/>
          <w:kern w:val="2"/>
          <w:sz w:val="21"/>
          <w:szCs w:val="21"/>
          <w:lang w:val="en-US" w:eastAsia="zh-CN"/>
        </w:rPr>
        <w:t>好</w:t>
      </w:r>
      <w:r>
        <w:rPr>
          <w:rFonts w:hint="eastAsia" w:ascii="宋体" w:hAnsi="宋体" w:eastAsia="宋体" w:cs="仿宋_GB2312"/>
          <w:kern w:val="2"/>
          <w:sz w:val="21"/>
          <w:szCs w:val="21"/>
        </w:rPr>
        <w:t>、窗口方式统一、操作方便，方便用户使用。</w:t>
      </w:r>
    </w:p>
    <w:p>
      <w:pPr>
        <w:spacing w:after="0" w:line="276" w:lineRule="auto"/>
        <w:ind w:firstLine="420" w:firstLineChars="200"/>
        <w:rPr>
          <w:rFonts w:hint="eastAsia" w:ascii="宋体" w:hAnsi="宋体" w:eastAsia="宋体" w:cs="仿宋_GB2312"/>
          <w:kern w:val="2"/>
          <w:sz w:val="21"/>
          <w:szCs w:val="21"/>
        </w:rPr>
      </w:pPr>
      <w:bookmarkStart w:id="11" w:name="_Toc203662012"/>
      <w:r>
        <w:rPr>
          <w:rFonts w:hint="eastAsia" w:ascii="宋体" w:hAnsi="宋体" w:eastAsia="宋体" w:cs="仿宋_GB2312"/>
          <w:kern w:val="2"/>
          <w:sz w:val="21"/>
          <w:szCs w:val="21"/>
        </w:rPr>
        <w:t>（7）标准化、规范化原则</w:t>
      </w:r>
      <w:bookmarkEnd w:id="11"/>
      <w:r>
        <w:rPr>
          <w:rFonts w:hint="eastAsia" w:ascii="宋体" w:hAnsi="宋体" w:eastAsia="宋体" w:cs="仿宋_GB2312"/>
          <w:kern w:val="2"/>
          <w:sz w:val="21"/>
          <w:szCs w:val="21"/>
        </w:rPr>
        <w:t>。坚持标准化设计，确保库存管理系统各技术标准包括系统的各项标准、网络通信方式、库存业务规范、用户信息数据项、信息分类编码标准和有关技术标准，满足相关技术标准，特别是国家、省、市及集团有关信息系统研发的技术标准；有关技术暂无国家和省标准的，将紧密结合目前业务管理特点进行规范、统一，形成统一的信息技术指标。</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2、技术路线</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（1）系统采用B/S架构。采用开放架构及标准的 “表现层－逻辑层－数据层”三层次结构；</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（2）主流操作系统Windows Server上安装；支持MS SQL Server 2008及以上版本数据库，同时支持信创。</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（3）支持对关系型数据库的集成，可以与其他系统互换信息，可以提供决策数据参考，保证系统的外拓或兼容；</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（4）采用标准、开放和高效的接口与协议；跨系统平台接口数据传递采用Web service实现；</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（5）系统采用多级安全机制如服务器安全、数据库安全，每级安全要有严格的权限控制保障，必要时可提供CA认证、验证码、动态密码、key等多种论证组合方式；</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（6）高性能。支持大规模的集中应用，可以在海量数据、大规模用户并发、复杂网络环境下具有优异的性能表现；</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3、服务器及部署</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根据目前仓库业务规模和未来发展需求，仓库信息系统用户数约6-70个，随着业务量的增加，系统数据也将大幅度增加。配置及部署如下：</w:t>
      </w:r>
    </w:p>
    <w:tbl>
      <w:tblPr>
        <w:tblStyle w:val="18"/>
        <w:tblW w:w="5000" w:type="pct"/>
        <w:tblInd w:w="0" w:type="dxa"/>
        <w:tblLayout w:type="autofit"/>
        <w:tblCellMar>
          <w:top w:w="0" w:type="dxa"/>
          <w:left w:w="108" w:type="dxa"/>
          <w:bottom w:w="0" w:type="dxa"/>
          <w:right w:w="108" w:type="dxa"/>
        </w:tblCellMar>
      </w:tblPr>
      <w:tblGrid>
        <w:gridCol w:w="572"/>
        <w:gridCol w:w="1407"/>
        <w:gridCol w:w="3388"/>
        <w:gridCol w:w="904"/>
        <w:gridCol w:w="2257"/>
      </w:tblGrid>
      <w:tr>
        <w:tblPrEx>
          <w:tblCellMar>
            <w:top w:w="0" w:type="dxa"/>
            <w:left w:w="108" w:type="dxa"/>
            <w:bottom w:w="0" w:type="dxa"/>
            <w:right w:w="108" w:type="dxa"/>
          </w:tblCellMar>
        </w:tblPrEx>
        <w:trPr>
          <w:trHeight w:val="300" w:hRule="atLeast"/>
        </w:trPr>
        <w:tc>
          <w:tcPr>
            <w:tcW w:w="335" w:type="pct"/>
            <w:tcBorders>
              <w:top w:val="single" w:color="auto" w:sz="4" w:space="0"/>
              <w:left w:val="single" w:color="auto" w:sz="4" w:space="0"/>
              <w:bottom w:val="single" w:color="auto" w:sz="4" w:space="0"/>
              <w:right w:val="single" w:color="auto" w:sz="4" w:space="0"/>
            </w:tcBorders>
            <w:shd w:val="clear" w:color="000000" w:fill="F1F1F1"/>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825" w:type="pct"/>
            <w:tcBorders>
              <w:top w:val="single" w:color="auto" w:sz="4" w:space="0"/>
              <w:left w:val="nil"/>
              <w:bottom w:val="single" w:color="auto" w:sz="4" w:space="0"/>
              <w:right w:val="single" w:color="auto" w:sz="4" w:space="0"/>
            </w:tcBorders>
            <w:shd w:val="clear" w:color="000000" w:fill="F1F1F1"/>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软硬件名称</w:t>
            </w:r>
          </w:p>
        </w:tc>
        <w:tc>
          <w:tcPr>
            <w:tcW w:w="1986" w:type="pct"/>
            <w:tcBorders>
              <w:top w:val="single" w:color="auto" w:sz="4" w:space="0"/>
              <w:left w:val="nil"/>
              <w:bottom w:val="single" w:color="auto" w:sz="4" w:space="0"/>
              <w:right w:val="single" w:color="auto" w:sz="4" w:space="0"/>
            </w:tcBorders>
            <w:shd w:val="clear" w:color="000000" w:fill="F1F1F1"/>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基础配置</w:t>
            </w:r>
          </w:p>
        </w:tc>
        <w:tc>
          <w:tcPr>
            <w:tcW w:w="530" w:type="pct"/>
            <w:tcBorders>
              <w:top w:val="single" w:color="auto" w:sz="4" w:space="0"/>
              <w:left w:val="single" w:color="auto" w:sz="4" w:space="0"/>
              <w:bottom w:val="single" w:color="auto" w:sz="4" w:space="0"/>
              <w:right w:val="single" w:color="auto" w:sz="4" w:space="0"/>
            </w:tcBorders>
            <w:shd w:val="clear" w:color="000000" w:fill="F1F1F1"/>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1323" w:type="pct"/>
            <w:tcBorders>
              <w:top w:val="single" w:color="auto" w:sz="4" w:space="0"/>
              <w:left w:val="single" w:color="auto" w:sz="4" w:space="0"/>
              <w:bottom w:val="single" w:color="auto" w:sz="4" w:space="0"/>
              <w:right w:val="single" w:color="auto" w:sz="4" w:space="0"/>
            </w:tcBorders>
            <w:shd w:val="clear" w:color="000000" w:fill="F1F1F1"/>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CellMar>
            <w:top w:w="0" w:type="dxa"/>
            <w:left w:w="108" w:type="dxa"/>
            <w:bottom w:w="0" w:type="dxa"/>
            <w:right w:w="108" w:type="dxa"/>
          </w:tblCellMar>
        </w:tblPrEx>
        <w:trPr>
          <w:trHeight w:val="900" w:hRule="atLeast"/>
        </w:trPr>
        <w:tc>
          <w:tcPr>
            <w:tcW w:w="3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825"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数据库服务器</w:t>
            </w:r>
          </w:p>
        </w:tc>
        <w:tc>
          <w:tcPr>
            <w:tcW w:w="1986"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bCs/>
                <w:sz w:val="21"/>
                <w:szCs w:val="21"/>
              </w:rPr>
            </w:pPr>
            <w:r>
              <w:rPr>
                <w:rFonts w:hint="eastAsia" w:ascii="宋体" w:hAnsi="宋体" w:eastAsia="宋体" w:cs="宋体"/>
                <w:sz w:val="21"/>
                <w:szCs w:val="21"/>
              </w:rPr>
              <w:t>CPU：总8核，2.7GHz+</w:t>
            </w:r>
          </w:p>
          <w:p>
            <w:pPr>
              <w:rPr>
                <w:rFonts w:hint="eastAsia" w:ascii="宋体" w:hAnsi="宋体" w:eastAsia="宋体" w:cs="宋体"/>
                <w:bCs/>
                <w:sz w:val="21"/>
                <w:szCs w:val="21"/>
              </w:rPr>
            </w:pPr>
            <w:r>
              <w:rPr>
                <w:rFonts w:hint="eastAsia" w:ascii="宋体" w:hAnsi="宋体" w:eastAsia="宋体" w:cs="宋体"/>
                <w:sz w:val="21"/>
                <w:szCs w:val="21"/>
              </w:rPr>
              <w:t>内存：64GB</w:t>
            </w:r>
          </w:p>
          <w:p>
            <w:pPr>
              <w:rPr>
                <w:rFonts w:hint="eastAsia" w:ascii="宋体" w:hAnsi="宋体" w:eastAsia="宋体" w:cs="宋体"/>
                <w:sz w:val="21"/>
                <w:szCs w:val="21"/>
              </w:rPr>
            </w:pPr>
            <w:r>
              <w:rPr>
                <w:rFonts w:hint="eastAsia" w:ascii="宋体" w:hAnsi="宋体" w:eastAsia="宋体" w:cs="宋体"/>
                <w:sz w:val="21"/>
                <w:szCs w:val="21"/>
              </w:rPr>
              <w:t>存储：NVMe SSD，RAID 10 1Tx4</w:t>
            </w:r>
          </w:p>
        </w:tc>
        <w:tc>
          <w:tcPr>
            <w:tcW w:w="53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1台</w:t>
            </w:r>
          </w:p>
        </w:tc>
        <w:tc>
          <w:tcPr>
            <w:tcW w:w="132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数据库和应用服务器部署在“东莞市水务环境投资控股集团有限公司机房”</w:t>
            </w:r>
          </w:p>
        </w:tc>
      </w:tr>
      <w:tr>
        <w:tblPrEx>
          <w:tblCellMar>
            <w:top w:w="0" w:type="dxa"/>
            <w:left w:w="108" w:type="dxa"/>
            <w:bottom w:w="0" w:type="dxa"/>
            <w:right w:w="108" w:type="dxa"/>
          </w:tblCellMar>
        </w:tblPrEx>
        <w:trPr>
          <w:trHeight w:val="900" w:hRule="atLeast"/>
        </w:trPr>
        <w:tc>
          <w:tcPr>
            <w:tcW w:w="3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825"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应用服务器</w:t>
            </w:r>
          </w:p>
        </w:tc>
        <w:tc>
          <w:tcPr>
            <w:tcW w:w="1986"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bCs/>
                <w:sz w:val="21"/>
                <w:szCs w:val="21"/>
              </w:rPr>
            </w:pPr>
            <w:r>
              <w:rPr>
                <w:rFonts w:hint="eastAsia" w:ascii="宋体" w:hAnsi="宋体" w:eastAsia="宋体" w:cs="宋体"/>
                <w:sz w:val="21"/>
                <w:szCs w:val="21"/>
              </w:rPr>
              <w:t>CPU：总8核，2.4GHz+</w:t>
            </w:r>
          </w:p>
          <w:p>
            <w:pPr>
              <w:rPr>
                <w:rFonts w:hint="eastAsia" w:ascii="宋体" w:hAnsi="宋体" w:eastAsia="宋体" w:cs="宋体"/>
                <w:bCs/>
                <w:sz w:val="21"/>
                <w:szCs w:val="21"/>
              </w:rPr>
            </w:pPr>
            <w:r>
              <w:rPr>
                <w:rFonts w:hint="eastAsia" w:ascii="宋体" w:hAnsi="宋体" w:eastAsia="宋体" w:cs="宋体"/>
                <w:sz w:val="21"/>
                <w:szCs w:val="21"/>
              </w:rPr>
              <w:t>内存：32GB</w:t>
            </w:r>
          </w:p>
          <w:p>
            <w:pPr>
              <w:rPr>
                <w:rFonts w:hint="eastAsia" w:ascii="宋体" w:hAnsi="宋体" w:eastAsia="宋体" w:cs="宋体"/>
                <w:sz w:val="21"/>
                <w:szCs w:val="21"/>
              </w:rPr>
            </w:pPr>
            <w:r>
              <w:rPr>
                <w:rFonts w:hint="eastAsia" w:ascii="宋体" w:hAnsi="宋体" w:eastAsia="宋体" w:cs="宋体"/>
                <w:sz w:val="21"/>
                <w:szCs w:val="21"/>
              </w:rPr>
              <w:t>存储：NVMe SSD，RAID 5 500Gx3</w:t>
            </w:r>
          </w:p>
        </w:tc>
        <w:tc>
          <w:tcPr>
            <w:tcW w:w="53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1台</w:t>
            </w:r>
          </w:p>
        </w:tc>
        <w:tc>
          <w:tcPr>
            <w:tcW w:w="132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bl>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服务器说明：</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（1）数据库服务器用于部署通信、数据处理、数据库等长时间运算资源的系统模块。</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（2）应用服务用于部署应用访问系统、访问代理、与各业务系统之间的对接等服务。</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4、应用蓝图</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库存应用主要包含基础设置、库存初始化、出入库业务、库存盘点、库存关账等，如下图示：</w:t>
      </w:r>
    </w:p>
    <w:p>
      <w:pPr>
        <w:spacing w:after="0" w:line="276" w:lineRule="auto"/>
        <w:jc w:val="center"/>
        <w:rPr>
          <w:rFonts w:hint="eastAsia" w:ascii="宋体" w:hAnsi="宋体" w:eastAsia="宋体"/>
        </w:rPr>
      </w:pPr>
      <w:r>
        <w:rPr>
          <w:rFonts w:hint="eastAsia" w:ascii="宋体" w:hAnsi="宋体" w:eastAsia="宋体"/>
        </w:rPr>
        <w:drawing>
          <wp:inline distT="0" distB="0" distL="0" distR="0">
            <wp:extent cx="5365750" cy="2504440"/>
            <wp:effectExtent l="0" t="0" r="6350" b="0"/>
            <wp:docPr id="2401461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4611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68272" cy="2505384"/>
                    </a:xfrm>
                    <a:prstGeom prst="rect">
                      <a:avLst/>
                    </a:prstGeom>
                    <a:noFill/>
                    <a:ln>
                      <a:noFill/>
                    </a:ln>
                  </pic:spPr>
                </pic:pic>
              </a:graphicData>
            </a:graphic>
          </wp:inline>
        </w:drawing>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5、支持主要功能</w:t>
      </w:r>
    </w:p>
    <w:tbl>
      <w:tblPr>
        <w:tblStyle w:val="18"/>
        <w:tblW w:w="0" w:type="auto"/>
        <w:tblInd w:w="0" w:type="dxa"/>
        <w:tblLayout w:type="autofit"/>
        <w:tblCellMar>
          <w:top w:w="0" w:type="dxa"/>
          <w:left w:w="108" w:type="dxa"/>
          <w:bottom w:w="0" w:type="dxa"/>
          <w:right w:w="108" w:type="dxa"/>
        </w:tblCellMar>
      </w:tblPr>
      <w:tblGrid>
        <w:gridCol w:w="704"/>
        <w:gridCol w:w="709"/>
        <w:gridCol w:w="1984"/>
        <w:gridCol w:w="4905"/>
      </w:tblGrid>
      <w:tr>
        <w:tblPrEx>
          <w:tblCellMar>
            <w:top w:w="0" w:type="dxa"/>
            <w:left w:w="108" w:type="dxa"/>
            <w:bottom w:w="0" w:type="dxa"/>
            <w:right w:w="108" w:type="dxa"/>
          </w:tblCellMar>
        </w:tblPrEx>
        <w:trPr>
          <w:trHeight w:val="260"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系统</w:t>
            </w:r>
          </w:p>
        </w:tc>
        <w:tc>
          <w:tcPr>
            <w:tcW w:w="709" w:type="dxa"/>
            <w:tcBorders>
              <w:top w:val="single" w:color="auto" w:sz="4" w:space="0"/>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模块模块</w:t>
            </w: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功能点</w:t>
            </w:r>
          </w:p>
        </w:tc>
        <w:tc>
          <w:tcPr>
            <w:tcW w:w="4905" w:type="dxa"/>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功能描述</w:t>
            </w:r>
          </w:p>
        </w:tc>
      </w:tr>
      <w:tr>
        <w:tblPrEx>
          <w:tblCellMar>
            <w:top w:w="0" w:type="dxa"/>
            <w:left w:w="108" w:type="dxa"/>
            <w:bottom w:w="0" w:type="dxa"/>
            <w:right w:w="108" w:type="dxa"/>
          </w:tblCellMar>
        </w:tblPrEx>
        <w:trPr>
          <w:trHeight w:val="699" w:hRule="atLeast"/>
        </w:trPr>
        <w:tc>
          <w:tcPr>
            <w:tcW w:w="704" w:type="dxa"/>
            <w:vMerge w:val="restart"/>
            <w:tcBorders>
              <w:top w:val="nil"/>
              <w:left w:val="single" w:color="auto" w:sz="4" w:space="0"/>
              <w:bottom w:val="single" w:color="auto" w:sz="4" w:space="0"/>
              <w:right w:val="single" w:color="auto" w:sz="4" w:space="0"/>
            </w:tcBorders>
            <w:noWrap/>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库存管理</w:t>
            </w: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基础资料</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1.物料库存信息</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支持物料库存相关基础数据和库存控制规则的建立和维护</w:t>
            </w:r>
            <w:r>
              <w:rPr>
                <w:rFonts w:hint="eastAsia" w:ascii="宋体" w:hAnsi="宋体" w:eastAsia="宋体" w:cs="宋体"/>
                <w:sz w:val="21"/>
                <w:szCs w:val="21"/>
              </w:rPr>
              <w:br w:type="textWrapping"/>
            </w:r>
            <w:r>
              <w:rPr>
                <w:rFonts w:hint="eastAsia" w:ascii="宋体" w:hAnsi="宋体" w:eastAsia="宋体" w:cs="宋体"/>
                <w:sz w:val="21"/>
                <w:szCs w:val="21"/>
              </w:rPr>
              <w:t>支持物料出库规则的设置</w:t>
            </w:r>
            <w:r>
              <w:rPr>
                <w:rFonts w:hint="eastAsia" w:ascii="宋体" w:hAnsi="宋体" w:eastAsia="宋体" w:cs="宋体"/>
                <w:sz w:val="21"/>
                <w:szCs w:val="21"/>
              </w:rPr>
              <w:br w:type="textWrapping"/>
            </w:r>
            <w:r>
              <w:rPr>
                <w:rFonts w:hint="eastAsia" w:ascii="宋体" w:hAnsi="宋体" w:eastAsia="宋体" w:cs="宋体"/>
                <w:sz w:val="21"/>
                <w:szCs w:val="21"/>
              </w:rPr>
              <w:t>支持物料库存监控信息的设置</w:t>
            </w:r>
            <w:r>
              <w:rPr>
                <w:rFonts w:hint="eastAsia" w:ascii="宋体" w:hAnsi="宋体" w:eastAsia="宋体" w:cs="宋体"/>
                <w:sz w:val="21"/>
                <w:szCs w:val="21"/>
              </w:rPr>
              <w:br w:type="textWrapping"/>
            </w:r>
            <w:r>
              <w:rPr>
                <w:rFonts w:hint="eastAsia" w:ascii="宋体" w:hAnsi="宋体" w:eastAsia="宋体" w:cs="宋体"/>
                <w:sz w:val="21"/>
                <w:szCs w:val="21"/>
              </w:rPr>
              <w:t>支持物料批号、序列号规则的设置</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2.库存状态</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支持库存物料在流通过程中所处的业务状态，通常可以分为可用、待检、冻结、报废等</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3.库存业务组</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支持库存业务组和业务员的建立和维护，支持库存组和业务员的多组织属性支持通过库存业务组可以进行业务分工，通过业务员明确库存业务角色</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4.仓库</w:t>
            </w:r>
          </w:p>
        </w:tc>
        <w:tc>
          <w:tcPr>
            <w:tcW w:w="4905" w:type="dxa"/>
            <w:tcBorders>
              <w:top w:val="single" w:color="auto" w:sz="4" w:space="0"/>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仓库是储存物品的地点，是库存管理的基本元素之一该功能定义了仓库的自然属性，支持仓库启用和禁用，只有启用状态的仓库才能被使用</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5.仓位</w:t>
            </w:r>
          </w:p>
        </w:tc>
        <w:tc>
          <w:tcPr>
            <w:tcW w:w="4905" w:type="dxa"/>
            <w:tcBorders>
              <w:top w:val="single" w:color="auto" w:sz="4" w:space="0"/>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需要对仓库进行精细化管理时，启用仓位，将仓库划分为若干区域出入库时可以指定仓位，便于管理物料在仓库内的具体位置</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6.仓库仓位关系</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建立仓库与仓位的关联关系以列表形式查看仓库对应的仓位信息，展示清晰，一目了然</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7.批号主档</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支持查看物料批号的相关属性及出入库的移动轨迹</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8.批号/序列号编码属性</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支持自定义批号/序列号编码规则中使用的组成属性及属性来源属性类型支持文本、日期、行号、常量、流水号</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9.批号/序列号编码规则</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支持自定义批号或序列号的编码生成规则，实现批号和序列号通过系统自动按照编码规则生成</w:t>
            </w:r>
          </w:p>
        </w:tc>
      </w:tr>
      <w:tr>
        <w:tblPrEx>
          <w:tblCellMar>
            <w:top w:w="0" w:type="dxa"/>
            <w:left w:w="108" w:type="dxa"/>
            <w:bottom w:w="0" w:type="dxa"/>
            <w:right w:w="108" w:type="dxa"/>
          </w:tblCellMar>
        </w:tblPrEx>
        <w:trPr>
          <w:trHeight w:val="78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10.序列号主档</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支持查看物料序列号的相关属性、在库状态及移动轨迹</w:t>
            </w:r>
          </w:p>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支持手工建立序列号与物料的关联关系</w:t>
            </w:r>
          </w:p>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支持序列号关联即时库存查询</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11.库存预警维度</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用于自定义设置库存预警的维度，可按照库存组织+物料+仓库、库存组织+物料+辅助属性等维度进行预警方案的设置</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12.库存预警方案</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根据库存预警维度，设置物料对应维度的最小、安全、再订货点、最大库存的水位，库存预警方案设置后，预警监控按照库存预警方案中设定的水位进行预警</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采购出/入库</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1.采购入库单列表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采购入库功能一站式处理各类入库业务，支持智能关联采购订单和收料通知自动生成单据，同时提供手工灵活创建方式，无需依赖前置单据即可快速完成入库操作，兼顾流程规范与特殊业务需求</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2.采购退料单列表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采购退料功能支持从退料申请或入库单自动生成退料单，也可手工新建，灵活适配各类退货场景，简化逆向物流流程，提升供应链协同效率</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领/退料</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1.项目领料单列表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支持用于项目领料单，可分仓发料或按指定套数生成领料单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2.项目退料单列表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支持项目过程中的材料退仓，包括来料不良退料、良品退料和作业不良退料等</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杂收杂发</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1.出库申请单列表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出库申请领用审批，关联需求申请等；</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2.其他出库单列表。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处理杂项出库，支持物料混合出库和退回</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3.其他入库单列表：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处理杂项入库，支持标准单据关联</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调拨处理</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1.调拨申请单列表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调拨申请审批，关联需求申请</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2.直接调拨单列表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库存组织内调拨，支持混合物料调拨，组织间仓库调拨等</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盘点处理</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1.盘点方案列表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快速创建盘点表，支持自定义盘点方案和分单规则</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2.盘点表列表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创建盘点表，冻结库存，控制盘点流程，生成盘盈亏单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3.盘盈单列表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盘点表审核后更新盘盈库存，支持手工新增盘盈单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4.盘亏单列表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盘点表审核后更新盘亏库存，支持手工新增盘亏单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库存调整</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1.仓位移动单列表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支持仓位移动管理，自定义库存类型和状态</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2.形态转换单列表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即时库存调整，包括物料和批次转换等</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3.计量尾差调整</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调整换算率异常数据，支持库存数量调整</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库存查询</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即时库存</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即时库存查询，多维度显示，支持联查预留记录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报表分析</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1.物料收发汇总表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仓库库存收发汇总报表，多条件查询，自定义显示格式</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2.物料收发明细表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仓库库存收发明细报表，多条件查询，自定义显示格式</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3.库存台账</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物料收发情况分页查看，多条件查询库存台账</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4.库存流水</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库存业务单据流水查询，多条件查询，支持货主分页</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5.库存盘点差异报告</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盘点盈亏数据查询统计，多条件查询，支持货主分页</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6.库存账龄分析表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库存存放时间分析，即时或截止日期查询，多条件筛选</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7.库存预警分析表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实时监控库存差异，支持多种查询和预警，可生成采购申请</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8.库存呆滞料分析表</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分析呆滞库存，自定义判断标准，提高库存周转效率</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关账处理</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 xml:space="preserve"> 关账处理</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独立的库存关账处理，进行业务控制和明细汇总，确保库存准确性</w:t>
            </w:r>
          </w:p>
        </w:tc>
      </w:tr>
      <w:tr>
        <w:tblPrEx>
          <w:tblCellMar>
            <w:top w:w="0" w:type="dxa"/>
            <w:left w:w="108" w:type="dxa"/>
            <w:bottom w:w="0" w:type="dxa"/>
            <w:right w:w="108" w:type="dxa"/>
          </w:tblCellMar>
        </w:tblPrEx>
        <w:trPr>
          <w:trHeight w:val="130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库存初始化</w:t>
            </w:r>
          </w:p>
        </w:tc>
        <w:tc>
          <w:tcPr>
            <w:tcW w:w="1984" w:type="dxa"/>
            <w:tcBorders>
              <w:top w:val="nil"/>
              <w:left w:val="nil"/>
              <w:bottom w:val="single" w:color="auto" w:sz="4" w:space="0"/>
              <w:right w:val="single" w:color="auto" w:sz="4" w:space="0"/>
            </w:tcBorders>
            <w:noWrap/>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库存初始化</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初始化是将系统上线之前的库存数据转录到系统中，并形成库存初始数量的过程</w:t>
            </w:r>
            <w:r>
              <w:rPr>
                <w:rFonts w:hint="eastAsia" w:ascii="宋体" w:hAnsi="宋体" w:eastAsia="宋体" w:cs="宋体"/>
                <w:sz w:val="21"/>
                <w:szCs w:val="21"/>
              </w:rPr>
              <w:br w:type="textWrapping"/>
            </w:r>
            <w:r>
              <w:rPr>
                <w:rFonts w:hint="eastAsia" w:ascii="宋体" w:hAnsi="宋体" w:eastAsia="宋体" w:cs="宋体"/>
                <w:sz w:val="21"/>
                <w:szCs w:val="21"/>
              </w:rPr>
              <w:t>启用库存：按库存组织启用库存管理业务</w:t>
            </w:r>
            <w:r>
              <w:rPr>
                <w:rFonts w:hint="eastAsia" w:ascii="宋体" w:hAnsi="宋体" w:eastAsia="宋体" w:cs="宋体"/>
                <w:sz w:val="21"/>
                <w:szCs w:val="21"/>
              </w:rPr>
              <w:br w:type="textWrapping"/>
            </w:r>
            <w:r>
              <w:rPr>
                <w:rFonts w:hint="eastAsia" w:ascii="宋体" w:hAnsi="宋体" w:eastAsia="宋体" w:cs="宋体"/>
                <w:sz w:val="21"/>
                <w:szCs w:val="21"/>
              </w:rPr>
              <w:t>初始库存：按库存组织录入库存初始数量，支持引入功能，支持根据库存事务自定义初始库存类型和库存状态</w:t>
            </w:r>
            <w:r>
              <w:rPr>
                <w:rFonts w:hint="eastAsia" w:ascii="宋体" w:hAnsi="宋体" w:eastAsia="宋体" w:cs="宋体"/>
                <w:sz w:val="21"/>
                <w:szCs w:val="21"/>
              </w:rPr>
              <w:br w:type="textWrapping"/>
            </w:r>
            <w:r>
              <w:rPr>
                <w:rFonts w:hint="eastAsia" w:ascii="宋体" w:hAnsi="宋体" w:eastAsia="宋体" w:cs="宋体"/>
                <w:sz w:val="21"/>
                <w:szCs w:val="21"/>
              </w:rPr>
              <w:t>结束初始化：按库存组织结束初始化，提供反初始化功能</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数据接口</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1.入库数据同步</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入库数据同步至NCC系统。详见备注1</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2.出库数据同步</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出库数据同步至NCC系统。详见备注1</w:t>
            </w:r>
          </w:p>
        </w:tc>
      </w:tr>
      <w:tr>
        <w:tblPrEx>
          <w:tblCellMar>
            <w:top w:w="0" w:type="dxa"/>
            <w:left w:w="108" w:type="dxa"/>
            <w:bottom w:w="0" w:type="dxa"/>
            <w:right w:w="108" w:type="dxa"/>
          </w:tblCellMar>
        </w:tblPrEx>
        <w:trPr>
          <w:trHeight w:val="1560" w:hRule="atLeast"/>
        </w:trPr>
        <w:tc>
          <w:tcPr>
            <w:tcW w:w="704" w:type="dxa"/>
            <w:vMerge w:val="restart"/>
            <w:tcBorders>
              <w:top w:val="nil"/>
              <w:left w:val="single" w:color="auto" w:sz="4" w:space="0"/>
              <w:bottom w:val="single" w:color="auto" w:sz="4" w:space="0"/>
              <w:right w:val="single" w:color="auto" w:sz="4" w:space="0"/>
            </w:tcBorders>
            <w:noWrap/>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库存计划</w:t>
            </w:r>
          </w:p>
        </w:tc>
        <w:tc>
          <w:tcPr>
            <w:tcW w:w="709" w:type="dxa"/>
            <w:vMerge w:val="restart"/>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1"/>
                <w:szCs w:val="21"/>
              </w:rPr>
            </w:pPr>
            <w:r>
              <w:rPr>
                <w:rFonts w:hint="eastAsia" w:ascii="宋体" w:hAnsi="宋体" w:eastAsia="宋体" w:cs="宋体"/>
                <w:sz w:val="21"/>
                <w:szCs w:val="21"/>
              </w:rPr>
              <w:t>库存计划</w:t>
            </w: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1.动态安全库存</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动态安全库存，根据未来一段时期的日平均消耗来确定未来时期的安全库存数量</w:t>
            </w:r>
            <w:r>
              <w:rPr>
                <w:rFonts w:hint="eastAsia" w:ascii="宋体" w:hAnsi="宋体" w:eastAsia="宋体" w:cs="宋体"/>
                <w:sz w:val="21"/>
                <w:szCs w:val="21"/>
              </w:rPr>
              <w:br w:type="textWrapping"/>
            </w:r>
            <w:r>
              <w:rPr>
                <w:rFonts w:hint="eastAsia" w:ascii="宋体" w:hAnsi="宋体" w:eastAsia="宋体" w:cs="宋体"/>
                <w:sz w:val="21"/>
                <w:szCs w:val="21"/>
              </w:rPr>
              <w:t>（1）动态安全库存方案设置</w:t>
            </w:r>
            <w:r>
              <w:rPr>
                <w:rFonts w:hint="eastAsia" w:ascii="宋体" w:hAnsi="宋体" w:eastAsia="宋体" w:cs="宋体"/>
                <w:sz w:val="21"/>
                <w:szCs w:val="21"/>
              </w:rPr>
              <w:br w:type="textWrapping"/>
            </w:r>
            <w:r>
              <w:rPr>
                <w:rFonts w:hint="eastAsia" w:ascii="宋体" w:hAnsi="宋体" w:eastAsia="宋体" w:cs="宋体"/>
                <w:sz w:val="21"/>
                <w:szCs w:val="21"/>
              </w:rPr>
              <w:t>支持按照方案中设置的数据来源、计算模型、计算参数、物料范围等进行安全库存的运算</w:t>
            </w:r>
            <w:r>
              <w:rPr>
                <w:rFonts w:hint="eastAsia" w:ascii="宋体" w:hAnsi="宋体" w:eastAsia="宋体" w:cs="宋体"/>
                <w:sz w:val="21"/>
                <w:szCs w:val="21"/>
              </w:rPr>
              <w:br w:type="textWrapping"/>
            </w:r>
            <w:r>
              <w:rPr>
                <w:rFonts w:hint="eastAsia" w:ascii="宋体" w:hAnsi="宋体" w:eastAsia="宋体" w:cs="宋体"/>
                <w:sz w:val="21"/>
                <w:szCs w:val="21"/>
              </w:rPr>
              <w:t>（2）动态安全库存计算</w:t>
            </w:r>
            <w:r>
              <w:rPr>
                <w:rFonts w:hint="eastAsia" w:ascii="宋体" w:hAnsi="宋体" w:eastAsia="宋体" w:cs="宋体"/>
                <w:sz w:val="21"/>
                <w:szCs w:val="21"/>
              </w:rPr>
              <w:br w:type="textWrapping"/>
            </w:r>
            <w:r>
              <w:rPr>
                <w:rFonts w:hint="eastAsia" w:ascii="宋体" w:hAnsi="宋体" w:eastAsia="宋体" w:cs="宋体"/>
                <w:sz w:val="21"/>
                <w:szCs w:val="21"/>
              </w:rPr>
              <w:t>进行手工运算，根据动态安全库存方案计算出对应维度的物料的安全库存，并可更新物料库存信息、库存计划信息</w:t>
            </w:r>
          </w:p>
        </w:tc>
      </w:tr>
      <w:tr>
        <w:tblPrEx>
          <w:tblCellMar>
            <w:top w:w="0" w:type="dxa"/>
            <w:left w:w="108" w:type="dxa"/>
            <w:bottom w:w="0" w:type="dxa"/>
            <w:right w:w="108" w:type="dxa"/>
          </w:tblCellMar>
        </w:tblPrEx>
        <w:trPr>
          <w:trHeight w:val="983" w:hRule="atLeast"/>
        </w:trPr>
        <w:tc>
          <w:tcPr>
            <w:tcW w:w="704"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p>
        </w:tc>
        <w:tc>
          <w:tcPr>
            <w:tcW w:w="1984"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2.库存计划</w:t>
            </w:r>
          </w:p>
        </w:tc>
        <w:tc>
          <w:tcPr>
            <w:tcW w:w="4905" w:type="dxa"/>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sz w:val="21"/>
                <w:szCs w:val="21"/>
              </w:rPr>
            </w:pPr>
            <w:r>
              <w:rPr>
                <w:rFonts w:hint="eastAsia" w:ascii="宋体" w:hAnsi="宋体" w:eastAsia="宋体" w:cs="宋体"/>
                <w:sz w:val="21"/>
                <w:szCs w:val="21"/>
              </w:rPr>
              <w:t>对当前库存结合其他因素（最大/最小库存、安全库存、再订货点等）进行综合计算，确定何时补货，补多少货；满足企业正常经营对物料的需求</w:t>
            </w:r>
            <w:r>
              <w:rPr>
                <w:rFonts w:hint="eastAsia" w:ascii="宋体" w:hAnsi="宋体" w:eastAsia="宋体" w:cs="宋体"/>
                <w:sz w:val="21"/>
                <w:szCs w:val="21"/>
              </w:rPr>
              <w:br w:type="textWrapping"/>
            </w:r>
            <w:r>
              <w:rPr>
                <w:rFonts w:hint="eastAsia" w:ascii="宋体" w:hAnsi="宋体" w:eastAsia="宋体" w:cs="宋体"/>
                <w:sz w:val="21"/>
                <w:szCs w:val="21"/>
              </w:rPr>
              <w:t>（1）库存计划初始化</w:t>
            </w:r>
            <w:r>
              <w:rPr>
                <w:rFonts w:hint="eastAsia" w:ascii="宋体" w:hAnsi="宋体" w:eastAsia="宋体" w:cs="宋体"/>
                <w:sz w:val="21"/>
                <w:szCs w:val="21"/>
              </w:rPr>
              <w:br w:type="textWrapping"/>
            </w:r>
            <w:r>
              <w:rPr>
                <w:rFonts w:hint="eastAsia" w:ascii="宋体" w:hAnsi="宋体" w:eastAsia="宋体" w:cs="宋体"/>
                <w:sz w:val="21"/>
                <w:szCs w:val="21"/>
              </w:rPr>
              <w:t>库存计划初始化完成库存计划初始化，才能使用库存计划库存计划初始化，系统自动生成计划组织在库存计划运算过程中用到的算法模型和算法方案</w:t>
            </w:r>
            <w:r>
              <w:rPr>
                <w:rFonts w:hint="eastAsia" w:ascii="宋体" w:hAnsi="宋体" w:eastAsia="宋体" w:cs="宋体"/>
                <w:sz w:val="21"/>
                <w:szCs w:val="21"/>
              </w:rPr>
              <w:br w:type="textWrapping"/>
            </w:r>
            <w:r>
              <w:rPr>
                <w:rFonts w:hint="eastAsia" w:ascii="宋体" w:hAnsi="宋体" w:eastAsia="宋体" w:cs="宋体"/>
                <w:sz w:val="21"/>
                <w:szCs w:val="21"/>
              </w:rPr>
              <w:t>（2）基础资料设置</w:t>
            </w:r>
            <w:r>
              <w:rPr>
                <w:rFonts w:hint="eastAsia" w:ascii="宋体" w:hAnsi="宋体" w:eastAsia="宋体" w:cs="宋体"/>
                <w:sz w:val="21"/>
                <w:szCs w:val="21"/>
              </w:rPr>
              <w:br w:type="textWrapping"/>
            </w:r>
            <w:r>
              <w:rPr>
                <w:rFonts w:hint="eastAsia" w:ascii="宋体" w:hAnsi="宋体" w:eastAsia="宋体" w:cs="宋体"/>
                <w:sz w:val="21"/>
                <w:szCs w:val="21"/>
              </w:rPr>
              <w:t>即时库存供应策略。用于库存计划计算时，即时库存作为供应数据时的数据筛选</w:t>
            </w:r>
            <w:r>
              <w:rPr>
                <w:rFonts w:hint="eastAsia" w:ascii="宋体" w:hAnsi="宋体" w:eastAsia="宋体" w:cs="宋体"/>
                <w:sz w:val="21"/>
                <w:szCs w:val="21"/>
              </w:rPr>
              <w:br w:type="textWrapping"/>
            </w:r>
            <w:r>
              <w:rPr>
                <w:rFonts w:hint="eastAsia" w:ascii="宋体" w:hAnsi="宋体" w:eastAsia="宋体" w:cs="宋体"/>
                <w:sz w:val="21"/>
                <w:szCs w:val="21"/>
              </w:rPr>
              <w:t>库存计划组。用于设置计划组和计划员对应关系，以便可按照计划员和计划组维护库存计划信息</w:t>
            </w:r>
            <w:r>
              <w:rPr>
                <w:rFonts w:hint="eastAsia" w:ascii="宋体" w:hAnsi="宋体" w:eastAsia="宋体" w:cs="宋体"/>
                <w:sz w:val="21"/>
                <w:szCs w:val="21"/>
              </w:rPr>
              <w:br w:type="textWrapping"/>
            </w:r>
            <w:r>
              <w:rPr>
                <w:rFonts w:hint="eastAsia" w:ascii="宋体" w:hAnsi="宋体" w:eastAsia="宋体" w:cs="宋体"/>
                <w:sz w:val="21"/>
                <w:szCs w:val="21"/>
              </w:rPr>
              <w:t>库存计划信息。用于设置物料的库存计划信息，包括：定义物料的水位信息、补货策略、计划类型等，为后续的库存计划运算提供判断依据</w:t>
            </w:r>
            <w:r>
              <w:rPr>
                <w:rFonts w:hint="eastAsia" w:ascii="宋体" w:hAnsi="宋体" w:eastAsia="宋体" w:cs="宋体"/>
                <w:sz w:val="21"/>
                <w:szCs w:val="21"/>
              </w:rPr>
              <w:br w:type="textWrapping"/>
            </w:r>
            <w:r>
              <w:rPr>
                <w:rFonts w:hint="eastAsia" w:ascii="宋体" w:hAnsi="宋体" w:eastAsia="宋体" w:cs="宋体"/>
                <w:sz w:val="21"/>
                <w:szCs w:val="21"/>
              </w:rPr>
              <w:t>（3）库存计划方案</w:t>
            </w:r>
            <w:r>
              <w:rPr>
                <w:rFonts w:hint="eastAsia" w:ascii="宋体" w:hAnsi="宋体" w:eastAsia="宋体" w:cs="宋体"/>
                <w:sz w:val="21"/>
                <w:szCs w:val="21"/>
              </w:rPr>
              <w:br w:type="textWrapping"/>
            </w:r>
            <w:r>
              <w:rPr>
                <w:rFonts w:hint="eastAsia" w:ascii="宋体" w:hAnsi="宋体" w:eastAsia="宋体" w:cs="宋体"/>
                <w:sz w:val="21"/>
                <w:szCs w:val="21"/>
              </w:rPr>
              <w:t>库存计划方案。支持按照方案中设置的组织范围、物料范围、需求参数、供应参数、输出参数等进行库存计划的运算</w:t>
            </w:r>
            <w:r>
              <w:rPr>
                <w:rFonts w:hint="eastAsia" w:ascii="宋体" w:hAnsi="宋体" w:eastAsia="宋体" w:cs="宋体"/>
                <w:sz w:val="21"/>
                <w:szCs w:val="21"/>
              </w:rPr>
              <w:br w:type="textWrapping"/>
            </w:r>
            <w:r>
              <w:rPr>
                <w:rFonts w:hint="eastAsia" w:ascii="宋体" w:hAnsi="宋体" w:eastAsia="宋体" w:cs="宋体"/>
                <w:sz w:val="21"/>
                <w:szCs w:val="21"/>
              </w:rPr>
              <w:t>（4）库存计划执行</w:t>
            </w:r>
            <w:r>
              <w:rPr>
                <w:rFonts w:hint="eastAsia" w:ascii="宋体" w:hAnsi="宋体" w:eastAsia="宋体" w:cs="宋体"/>
                <w:sz w:val="21"/>
                <w:szCs w:val="21"/>
              </w:rPr>
              <w:br w:type="textWrapping"/>
            </w:r>
            <w:r>
              <w:rPr>
                <w:rFonts w:hint="eastAsia" w:ascii="宋体" w:hAnsi="宋体" w:eastAsia="宋体" w:cs="宋体"/>
                <w:sz w:val="21"/>
                <w:szCs w:val="21"/>
              </w:rPr>
              <w:t>库存计划运算。用于用户手工运算，执行库存计划方案</w:t>
            </w:r>
            <w:r>
              <w:rPr>
                <w:rFonts w:hint="eastAsia" w:ascii="宋体" w:hAnsi="宋体" w:eastAsia="宋体" w:cs="宋体"/>
                <w:sz w:val="21"/>
                <w:szCs w:val="21"/>
              </w:rPr>
              <w:br w:type="textWrapping"/>
            </w:r>
            <w:r>
              <w:rPr>
                <w:rFonts w:hint="eastAsia" w:ascii="宋体" w:hAnsi="宋体" w:eastAsia="宋体" w:cs="宋体"/>
                <w:sz w:val="21"/>
                <w:szCs w:val="21"/>
              </w:rPr>
              <w:t>库存计划调度方案。用于设定库存计划调度方案，以便系统定期根据调度方案自动执行库存计划运算</w:t>
            </w:r>
            <w:r>
              <w:rPr>
                <w:rFonts w:hint="eastAsia" w:ascii="宋体" w:hAnsi="宋体" w:eastAsia="宋体" w:cs="宋体"/>
                <w:sz w:val="21"/>
                <w:szCs w:val="21"/>
              </w:rPr>
              <w:br w:type="textWrapping"/>
            </w:r>
            <w:r>
              <w:rPr>
                <w:rFonts w:hint="eastAsia" w:ascii="宋体" w:hAnsi="宋体" w:eastAsia="宋体" w:cs="宋体"/>
                <w:sz w:val="21"/>
                <w:szCs w:val="21"/>
              </w:rPr>
              <w:t>（5）库存计划分析</w:t>
            </w:r>
            <w:r>
              <w:rPr>
                <w:rFonts w:hint="eastAsia" w:ascii="宋体" w:hAnsi="宋体" w:eastAsia="宋体" w:cs="宋体"/>
                <w:sz w:val="21"/>
                <w:szCs w:val="21"/>
              </w:rPr>
              <w:br w:type="textWrapping"/>
            </w:r>
            <w:r>
              <w:rPr>
                <w:rFonts w:hint="eastAsia" w:ascii="宋体" w:hAnsi="宋体" w:eastAsia="宋体" w:cs="宋体"/>
                <w:sz w:val="21"/>
                <w:szCs w:val="21"/>
              </w:rPr>
              <w:t>库存计划建议。用于库存计划运算后，生成库存计划建议，用户可对库存计划建议进行查看、数量调整或进行下一步业务处理</w:t>
            </w:r>
            <w:r>
              <w:rPr>
                <w:rFonts w:hint="eastAsia" w:ascii="宋体" w:hAnsi="宋体" w:eastAsia="宋体" w:cs="宋体"/>
                <w:sz w:val="21"/>
                <w:szCs w:val="21"/>
              </w:rPr>
              <w:br w:type="textWrapping"/>
            </w:r>
            <w:r>
              <w:rPr>
                <w:rFonts w:hint="eastAsia" w:ascii="宋体" w:hAnsi="宋体" w:eastAsia="宋体" w:cs="宋体"/>
                <w:sz w:val="21"/>
                <w:szCs w:val="21"/>
              </w:rPr>
              <w:t>计划运算结果。用于库存计划运算完成后，对库存计算的运算过程及异常信息进行分析记录参与库存计划运算的来源数据（需求、供应的信息）、需求与供应的匹配情况以及运算时的异常信息</w:t>
            </w:r>
          </w:p>
        </w:tc>
      </w:tr>
    </w:tbl>
    <w:p>
      <w:pPr>
        <w:spacing w:after="0" w:line="276" w:lineRule="auto"/>
        <w:ind w:firstLine="422" w:firstLineChars="200"/>
        <w:rPr>
          <w:rFonts w:hint="eastAsia" w:ascii="宋体" w:hAnsi="宋体" w:eastAsia="宋体" w:cstheme="majorBidi"/>
          <w:b/>
          <w:bCs/>
          <w:sz w:val="21"/>
          <w:szCs w:val="32"/>
        </w:rPr>
      </w:pPr>
    </w:p>
    <w:p>
      <w:pPr>
        <w:spacing w:after="0" w:line="276" w:lineRule="auto"/>
        <w:ind w:firstLine="422" w:firstLineChars="200"/>
        <w:rPr>
          <w:rFonts w:hint="eastAsia" w:ascii="宋体" w:hAnsi="宋体" w:eastAsia="宋体" w:cstheme="majorBidi"/>
          <w:b/>
          <w:bCs/>
          <w:sz w:val="21"/>
          <w:szCs w:val="32"/>
        </w:rPr>
      </w:pPr>
      <w:r>
        <w:rPr>
          <w:rFonts w:hint="eastAsia" w:ascii="宋体" w:hAnsi="宋体" w:eastAsia="宋体" w:cstheme="majorBidi"/>
          <w:b/>
          <w:bCs/>
          <w:sz w:val="21"/>
          <w:szCs w:val="32"/>
        </w:rPr>
        <w:t xml:space="preserve">备注1： </w:t>
      </w:r>
    </w:p>
    <w:p>
      <w:pPr>
        <w:spacing w:after="0" w:line="276" w:lineRule="auto"/>
        <w:ind w:firstLine="420" w:firstLineChars="200"/>
        <w:rPr>
          <w:rFonts w:hint="eastAsia" w:ascii="宋体" w:hAnsi="宋体" w:eastAsia="宋体" w:cstheme="majorBidi"/>
          <w:sz w:val="21"/>
          <w:szCs w:val="32"/>
        </w:rPr>
      </w:pPr>
      <w:r>
        <w:rPr>
          <w:rFonts w:hint="eastAsia" w:ascii="宋体" w:hAnsi="宋体" w:eastAsia="宋体" w:cstheme="majorBidi"/>
          <w:sz w:val="21"/>
          <w:szCs w:val="32"/>
        </w:rPr>
        <w:t>1、传输内容：【采购入库单、其他入库单、材料出库单、其他出库单】</w:t>
      </w:r>
    </w:p>
    <w:p>
      <w:pPr>
        <w:spacing w:after="0" w:line="276" w:lineRule="auto"/>
        <w:ind w:firstLine="420" w:firstLineChars="200"/>
        <w:rPr>
          <w:rFonts w:hint="eastAsia" w:ascii="宋体" w:hAnsi="宋体" w:eastAsia="宋体" w:cstheme="majorBidi"/>
          <w:sz w:val="21"/>
          <w:szCs w:val="32"/>
        </w:rPr>
      </w:pPr>
      <w:r>
        <w:rPr>
          <w:rFonts w:hint="eastAsia" w:ascii="宋体" w:hAnsi="宋体" w:eastAsia="宋体" w:cstheme="majorBidi"/>
          <w:sz w:val="21"/>
          <w:szCs w:val="32"/>
        </w:rPr>
        <w:t>2、传输方向：【碧水库存系统（新建）】</w:t>
      </w:r>
      <w:r>
        <w:rPr>
          <w:rFonts w:ascii="宋体" w:hAnsi="宋体" w:eastAsia="宋体" w:cstheme="majorBidi"/>
          <w:sz w:val="21"/>
          <w:szCs w:val="32"/>
        </w:rPr>
        <w:sym w:font="Wingdings" w:char="F0E0"/>
      </w:r>
      <w:r>
        <w:rPr>
          <w:rFonts w:hint="eastAsia" w:ascii="宋体" w:hAnsi="宋体" w:eastAsia="宋体" w:cstheme="majorBidi"/>
          <w:sz w:val="21"/>
          <w:szCs w:val="32"/>
        </w:rPr>
        <w:t>【NCC系统（版本：</w:t>
      </w:r>
      <w:r>
        <w:rPr>
          <w:rFonts w:ascii="宋体" w:hAnsi="宋体" w:eastAsia="宋体" w:cstheme="majorBidi"/>
          <w:sz w:val="21"/>
          <w:szCs w:val="32"/>
        </w:rPr>
        <w:t>NC Cloud 2020.05</w:t>
      </w:r>
      <w:r>
        <w:rPr>
          <w:rFonts w:hint="eastAsia" w:ascii="宋体" w:hAnsi="宋体" w:eastAsia="宋体" w:cstheme="majorBidi"/>
          <w:sz w:val="21"/>
          <w:szCs w:val="32"/>
        </w:rPr>
        <w:t>）】</w:t>
      </w:r>
    </w:p>
    <w:p>
      <w:pPr>
        <w:spacing w:after="0" w:line="276" w:lineRule="auto"/>
        <w:ind w:firstLine="420" w:firstLineChars="200"/>
        <w:rPr>
          <w:rFonts w:hint="eastAsia" w:ascii="宋体" w:hAnsi="宋体" w:eastAsia="宋体" w:cstheme="majorBidi"/>
          <w:sz w:val="21"/>
          <w:szCs w:val="32"/>
        </w:rPr>
      </w:pPr>
      <w:r>
        <w:rPr>
          <w:rFonts w:hint="eastAsia" w:ascii="宋体" w:hAnsi="宋体" w:eastAsia="宋体" w:cstheme="majorBidi"/>
          <w:sz w:val="21"/>
          <w:szCs w:val="32"/>
        </w:rPr>
        <w:t>3、配合事项：</w:t>
      </w:r>
    </w:p>
    <w:p>
      <w:pPr>
        <w:spacing w:after="0" w:line="276" w:lineRule="auto"/>
        <w:ind w:firstLine="420" w:firstLineChars="200"/>
        <w:rPr>
          <w:rFonts w:hint="eastAsia" w:ascii="宋体" w:hAnsi="宋体" w:eastAsia="宋体" w:cstheme="majorBidi"/>
          <w:sz w:val="21"/>
          <w:szCs w:val="32"/>
        </w:rPr>
      </w:pPr>
      <w:r>
        <w:rPr>
          <w:rFonts w:hint="eastAsia" w:ascii="宋体" w:hAnsi="宋体" w:eastAsia="宋体" w:cstheme="majorBidi"/>
          <w:sz w:val="21"/>
          <w:szCs w:val="32"/>
        </w:rPr>
        <w:t>（1）NCC系统侧：</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接口可用性：保证接口服务可用性≥99.5%</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数据安全：</w:t>
      </w:r>
      <w:r>
        <w:rPr>
          <w:rFonts w:hint="eastAsia" w:ascii="宋体" w:hAnsi="宋体" w:eastAsia="宋体" w:cstheme="majorBidi"/>
          <w:sz w:val="21"/>
          <w:szCs w:val="32"/>
        </w:rPr>
        <w:t>保障</w:t>
      </w:r>
      <w:r>
        <w:rPr>
          <w:rFonts w:ascii="宋体" w:hAnsi="宋体" w:eastAsia="宋体" w:cstheme="majorBidi"/>
          <w:sz w:val="21"/>
          <w:szCs w:val="32"/>
        </w:rPr>
        <w:t>数据安全存储</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数据完整性：接收后立即返回接收回执，保证不丢失数据</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及时处理：在接收到数据后30分钟内完成业务处理</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状态反馈：提供单据处理状态查询接口</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数据一致性：保证接收数据与业务处理结果一致</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容量保障：支持峰值每秒100单的处理能力</w:t>
      </w:r>
      <w:r>
        <w:rPr>
          <w:rFonts w:hint="eastAsia" w:ascii="宋体" w:hAnsi="宋体" w:eastAsia="宋体" w:cstheme="majorBidi"/>
          <w:sz w:val="21"/>
          <w:szCs w:val="32"/>
        </w:rPr>
        <w:t>。</w:t>
      </w:r>
    </w:p>
    <w:p>
      <w:pPr>
        <w:spacing w:after="0" w:line="276" w:lineRule="auto"/>
        <w:ind w:left="220" w:leftChars="100" w:firstLine="420" w:firstLineChars="200"/>
        <w:rPr>
          <w:rFonts w:hint="eastAsia" w:ascii="宋体" w:hAnsi="宋体" w:eastAsia="宋体" w:cstheme="majorBidi"/>
          <w:sz w:val="21"/>
          <w:szCs w:val="32"/>
        </w:rPr>
      </w:pPr>
      <w:r>
        <w:rPr>
          <w:rFonts w:ascii="宋体" w:hAnsi="宋体" w:eastAsia="宋体" w:cstheme="majorBidi"/>
          <w:sz w:val="21"/>
          <w:szCs w:val="32"/>
        </w:rPr>
        <w:t>技术支持</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提供详细的接口文档和测试环境</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提供必要的技术支持和问题排查</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hint="eastAsia" w:ascii="宋体" w:hAnsi="宋体" w:eastAsia="宋体" w:cstheme="majorBidi"/>
          <w:sz w:val="21"/>
          <w:szCs w:val="32"/>
        </w:rPr>
        <w:t>接口维护或升级提前通知</w:t>
      </w:r>
      <w:r>
        <w:rPr>
          <w:rFonts w:ascii="宋体" w:hAnsi="宋体" w:eastAsia="宋体" w:cstheme="majorBidi"/>
          <w:sz w:val="21"/>
          <w:szCs w:val="32"/>
        </w:rPr>
        <w:t>服务</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协助进行数据一致性核对</w:t>
      </w:r>
      <w:r>
        <w:rPr>
          <w:rFonts w:hint="eastAsia" w:ascii="宋体" w:hAnsi="宋体" w:eastAsia="宋体" w:cstheme="majorBidi"/>
          <w:sz w:val="21"/>
          <w:szCs w:val="32"/>
        </w:rPr>
        <w:t>等。</w:t>
      </w:r>
    </w:p>
    <w:p>
      <w:pPr>
        <w:spacing w:after="0" w:line="276" w:lineRule="auto"/>
        <w:ind w:firstLine="420" w:firstLineChars="200"/>
        <w:rPr>
          <w:rFonts w:hint="eastAsia" w:ascii="宋体" w:hAnsi="宋体" w:eastAsia="宋体" w:cstheme="majorBidi"/>
          <w:sz w:val="21"/>
          <w:szCs w:val="32"/>
        </w:rPr>
      </w:pPr>
      <w:r>
        <w:rPr>
          <w:rFonts w:hint="eastAsia" w:ascii="宋体" w:hAnsi="宋体" w:eastAsia="宋体" w:cstheme="majorBidi"/>
          <w:sz w:val="21"/>
          <w:szCs w:val="32"/>
        </w:rPr>
        <w:t>（2）碧水库存系统（新建）侧：</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数据准确性：确保推送的数据准确、完整、符合业务规则</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数据转换：数据格式转换为接口约定格式</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单据唯一性：保证单据编号在系统内唯一</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及时推送：在业务单据审核完成后</w:t>
      </w:r>
      <w:r>
        <w:rPr>
          <w:rFonts w:ascii="宋体" w:hAnsi="宋体" w:eastAsia="宋体" w:cstheme="majorBidi"/>
          <w:color w:val="000000" w:themeColor="text1"/>
          <w:sz w:val="21"/>
          <w:szCs w:val="32"/>
          <w14:textFill>
            <w14:solidFill>
              <w14:schemeClr w14:val="tx1"/>
            </w14:solidFill>
          </w14:textFill>
        </w:rPr>
        <w:t>15</w:t>
      </w:r>
      <w:r>
        <w:rPr>
          <w:rFonts w:ascii="宋体" w:hAnsi="宋体" w:eastAsia="宋体" w:cstheme="majorBidi"/>
          <w:sz w:val="21"/>
          <w:szCs w:val="32"/>
        </w:rPr>
        <w:t>分钟内推送</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异常处理：建立推送失败监控机制，及时处理异常数据</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日志记录：保留至少90天的推送日志和原始数据</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版本兼容：接口升级时提前通知并保证向下兼容</w:t>
      </w:r>
      <w:r>
        <w:rPr>
          <w:rFonts w:hint="eastAsia" w:ascii="宋体" w:hAnsi="宋体" w:eastAsia="宋体" w:cstheme="majorBidi"/>
          <w:sz w:val="21"/>
          <w:szCs w:val="32"/>
        </w:rPr>
        <w:t>；</w:t>
      </w:r>
    </w:p>
    <w:p>
      <w:pPr>
        <w:spacing w:after="0" w:line="276" w:lineRule="auto"/>
        <w:ind w:left="220" w:leftChars="100" w:firstLine="420" w:firstLineChars="200"/>
        <w:rPr>
          <w:rFonts w:hint="eastAsia" w:ascii="宋体" w:hAnsi="宋体" w:eastAsia="宋体" w:cstheme="majorBidi"/>
          <w:sz w:val="21"/>
          <w:szCs w:val="32"/>
        </w:rPr>
      </w:pPr>
      <w:r>
        <w:rPr>
          <w:rFonts w:ascii="宋体" w:hAnsi="宋体" w:eastAsia="宋体" w:cstheme="majorBidi"/>
          <w:sz w:val="21"/>
          <w:szCs w:val="32"/>
        </w:rPr>
        <w:t>技术</w:t>
      </w:r>
      <w:r>
        <w:rPr>
          <w:rFonts w:hint="eastAsia" w:ascii="宋体" w:hAnsi="宋体" w:eastAsia="宋体" w:cstheme="majorBidi"/>
          <w:sz w:val="21"/>
          <w:szCs w:val="32"/>
        </w:rPr>
        <w:t>支持</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实现数据安全</w:t>
      </w:r>
      <w:r>
        <w:rPr>
          <w:rFonts w:hint="eastAsia" w:ascii="宋体" w:hAnsi="宋体" w:eastAsia="宋体" w:cstheme="majorBidi"/>
          <w:sz w:val="21"/>
          <w:szCs w:val="32"/>
        </w:rPr>
        <w:t>合规；</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实现重试机制和异常告警</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提供数据追溯能力</w:t>
      </w:r>
      <w:r>
        <w:rPr>
          <w:rFonts w:hint="eastAsia" w:ascii="宋体" w:hAnsi="宋体" w:eastAsia="宋体" w:cstheme="majorBidi"/>
          <w:sz w:val="21"/>
          <w:szCs w:val="32"/>
        </w:rPr>
        <w:t>；</w:t>
      </w:r>
    </w:p>
    <w:p>
      <w:pPr>
        <w:pStyle w:val="30"/>
        <w:numPr>
          <w:ilvl w:val="0"/>
          <w:numId w:val="5"/>
        </w:numPr>
        <w:spacing w:after="0" w:line="276" w:lineRule="auto"/>
        <w:ind w:firstLineChars="0"/>
        <w:rPr>
          <w:rFonts w:hint="eastAsia" w:ascii="宋体" w:hAnsi="宋体" w:eastAsia="宋体" w:cstheme="majorBidi"/>
          <w:sz w:val="21"/>
          <w:szCs w:val="32"/>
        </w:rPr>
      </w:pPr>
      <w:r>
        <w:rPr>
          <w:rFonts w:ascii="宋体" w:hAnsi="宋体" w:eastAsia="宋体" w:cstheme="majorBidi"/>
          <w:sz w:val="21"/>
          <w:szCs w:val="32"/>
        </w:rPr>
        <w:t>定期进行接口健康检查</w:t>
      </w:r>
      <w:r>
        <w:rPr>
          <w:rFonts w:hint="eastAsia" w:ascii="宋体" w:hAnsi="宋体" w:eastAsia="宋体" w:cstheme="majorBidi"/>
          <w:sz w:val="21"/>
          <w:szCs w:val="32"/>
        </w:rPr>
        <w:t>；</w:t>
      </w:r>
    </w:p>
    <w:p>
      <w:pPr>
        <w:spacing w:after="0" w:line="276" w:lineRule="auto"/>
        <w:ind w:firstLine="422" w:firstLineChars="200"/>
        <w:rPr>
          <w:rFonts w:hint="eastAsia" w:ascii="宋体" w:hAnsi="宋体" w:eastAsia="宋体" w:cstheme="majorBidi"/>
          <w:b/>
          <w:bCs/>
          <w:sz w:val="21"/>
          <w:szCs w:val="32"/>
        </w:rPr>
      </w:pPr>
      <w:r>
        <w:rPr>
          <w:rFonts w:hint="eastAsia" w:ascii="宋体" w:hAnsi="宋体" w:eastAsia="宋体" w:cstheme="majorBidi"/>
          <w:b/>
          <w:bCs/>
          <w:sz w:val="21"/>
          <w:szCs w:val="32"/>
        </w:rPr>
        <w:t>（三）业务切换实施上线</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1、培训。提供业务切换相应辅导培训。</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2、静态数据初始化。协助整理并录/导入物料主数据、仓库、库位、单位等基础数据。</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3、实物盘点与审核。组织仓库进行实物盘点，提供盘点模板并协助审核盘点结果。</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4、库存期初数据导入系统并核实。将审核后的期初库存数据导入系统，并共同核对准确性。</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5、启用库存信息系统。配置参数、开启库存功能、设置审批流，完成上线前最终检查。</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6、正式运行。系统切换至正式运行状态，支持首周业务操作，处理初期问题等。</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7、验收。组织对项目成果进行验收评审，签署验收报告。</w:t>
      </w:r>
    </w:p>
    <w:p>
      <w:pPr>
        <w:spacing w:after="0" w:line="276" w:lineRule="auto"/>
        <w:ind w:left="220" w:leftChars="100"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8、持续跟踪。质保服务，处理系统缺陷、配置等问题。</w:t>
      </w:r>
    </w:p>
    <w:p>
      <w:pPr>
        <w:spacing w:after="0" w:line="276" w:lineRule="auto"/>
        <w:ind w:firstLine="442" w:firstLineChars="200"/>
        <w:rPr>
          <w:rFonts w:hint="eastAsia" w:ascii="宋体" w:hAnsi="宋体" w:eastAsia="宋体"/>
          <w:b/>
          <w:bCs/>
        </w:rPr>
      </w:pPr>
      <w:r>
        <w:rPr>
          <w:rFonts w:hint="eastAsia" w:ascii="宋体" w:hAnsi="宋体" w:eastAsia="宋体"/>
          <w:b/>
          <w:bCs/>
        </w:rPr>
        <w:t>三、项目计划及交付</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（一）项目计划</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本项目需按照</w:t>
      </w:r>
      <w:r>
        <w:rPr>
          <w:rFonts w:ascii="宋体" w:hAnsi="宋体" w:eastAsia="宋体" w:cs="仿宋_GB2312"/>
          <w:kern w:val="2"/>
          <w:sz w:val="21"/>
          <w:szCs w:val="21"/>
        </w:rPr>
        <w:t>专业化、标准化的实施方法有条不紊地展开，并严格按照标准流程进行</w:t>
      </w:r>
      <w:r>
        <w:rPr>
          <w:rFonts w:hint="eastAsia" w:ascii="宋体" w:hAnsi="宋体" w:eastAsia="宋体" w:cs="仿宋_GB2312"/>
          <w:kern w:val="2"/>
          <w:sz w:val="21"/>
          <w:szCs w:val="21"/>
        </w:rPr>
        <w:t>。分为：启动</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需求确定</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方案设计</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系统构建</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系统测试</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实施上线</w:t>
      </w:r>
      <w:r>
        <w:rPr>
          <w:rFonts w:ascii="宋体" w:hAnsi="宋体" w:eastAsia="宋体" w:cs="仿宋_GB2312"/>
          <w:kern w:val="2"/>
          <w:sz w:val="21"/>
          <w:szCs w:val="21"/>
        </w:rPr>
        <w:sym w:font="Wingdings" w:char="F0E0"/>
      </w:r>
      <w:r>
        <w:rPr>
          <w:rFonts w:hint="eastAsia" w:ascii="宋体" w:hAnsi="宋体" w:eastAsia="宋体" w:cs="仿宋_GB2312"/>
          <w:kern w:val="2"/>
          <w:sz w:val="21"/>
          <w:szCs w:val="21"/>
        </w:rPr>
        <w:t>验收。共7个阶段进行计划实施。</w:t>
      </w:r>
    </w:p>
    <w:tbl>
      <w:tblPr>
        <w:tblStyle w:val="18"/>
        <w:tblW w:w="0" w:type="auto"/>
        <w:tblInd w:w="0" w:type="dxa"/>
        <w:tblLayout w:type="autofit"/>
        <w:tblCellMar>
          <w:top w:w="0" w:type="dxa"/>
          <w:left w:w="108" w:type="dxa"/>
          <w:bottom w:w="0" w:type="dxa"/>
          <w:right w:w="108" w:type="dxa"/>
        </w:tblCellMar>
      </w:tblPr>
      <w:tblGrid>
        <w:gridCol w:w="3681"/>
        <w:gridCol w:w="1276"/>
        <w:gridCol w:w="992"/>
        <w:gridCol w:w="709"/>
        <w:gridCol w:w="1644"/>
      </w:tblGrid>
      <w:tr>
        <w:tblPrEx>
          <w:tblCellMar>
            <w:top w:w="0" w:type="dxa"/>
            <w:left w:w="108" w:type="dxa"/>
            <w:bottom w:w="0" w:type="dxa"/>
            <w:right w:w="108" w:type="dxa"/>
          </w:tblCellMar>
        </w:tblPrEx>
        <w:trPr>
          <w:trHeight w:val="260" w:hRule="atLeast"/>
        </w:trPr>
        <w:tc>
          <w:tcPr>
            <w:tcW w:w="368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任务内容</w:t>
            </w:r>
          </w:p>
        </w:tc>
        <w:tc>
          <w:tcPr>
            <w:tcW w:w="127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工期预计</w:t>
            </w:r>
          </w:p>
          <w:p>
            <w:pPr>
              <w:jc w:val="center"/>
              <w:rPr>
                <w:rFonts w:hint="eastAsia" w:ascii="宋体" w:hAnsi="宋体" w:eastAsia="宋体" w:cs="宋体"/>
                <w:b/>
                <w:sz w:val="21"/>
                <w:szCs w:val="21"/>
              </w:rPr>
            </w:pPr>
            <w:r>
              <w:rPr>
                <w:rFonts w:hint="eastAsia" w:ascii="宋体" w:hAnsi="宋体" w:eastAsia="宋体" w:cs="宋体"/>
                <w:b/>
                <w:sz w:val="21"/>
                <w:szCs w:val="21"/>
              </w:rPr>
              <w:t>（日历天）</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开始日期</w:t>
            </w:r>
          </w:p>
        </w:tc>
        <w:tc>
          <w:tcPr>
            <w:tcW w:w="70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结束日期</w:t>
            </w:r>
          </w:p>
        </w:tc>
        <w:tc>
          <w:tcPr>
            <w:tcW w:w="1644"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资源名称</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b/>
                <w:sz w:val="21"/>
                <w:szCs w:val="21"/>
              </w:rPr>
            </w:pPr>
            <w:r>
              <w:rPr>
                <w:rFonts w:hint="eastAsia" w:ascii="宋体" w:hAnsi="宋体" w:eastAsia="宋体" w:cs="宋体"/>
                <w:b/>
                <w:sz w:val="21"/>
                <w:szCs w:val="21"/>
              </w:rPr>
              <w:t>1、项目启动阶段</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项目实施大纲编制及确认</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2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召开项目启动会</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2、需求确定阶段</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业务方面：设计调研问卷、业务现状调研、业务调研报告</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3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技术方面：现有系统调研、安装配置系统环境、技术调研报告</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3、方案设计阶段</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业务方案设计</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3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识别二次开发</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系统环境研讨设计</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4、系统构建</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完成编写系统配置方案、技术设计说明、系统定制开发</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25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单元测试、接口联调</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3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系统配置、主数据收集</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测试环境搭建</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编写培训教材、关键用户培训等</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2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5、系统测试</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编制测试用例、上线数据准备、功能测试、集成测试、压力测试</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2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UAT测试</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技术架构集成测试</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生产环境程序的迁入、静态数据导入、生产环境克隆测试</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2</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编写系统操作手册、组织最终用户培训等</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2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6、实施上线</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sz w:val="21"/>
                <w:szCs w:val="21"/>
              </w:rPr>
            </w:pPr>
          </w:p>
        </w:tc>
      </w:tr>
      <w:tr>
        <w:tblPrEx>
          <w:tblCellMar>
            <w:top w:w="0" w:type="dxa"/>
            <w:left w:w="108" w:type="dxa"/>
            <w:bottom w:w="0" w:type="dxa"/>
            <w:right w:w="108" w:type="dxa"/>
          </w:tblCellMar>
        </w:tblPrEx>
        <w:trPr>
          <w:trHeight w:val="520" w:hRule="atLeast"/>
        </w:trPr>
        <w:tc>
          <w:tcPr>
            <w:tcW w:w="3681" w:type="dxa"/>
            <w:tcBorders>
              <w:top w:val="nil"/>
              <w:left w:val="single" w:color="auto" w:sz="4" w:space="0"/>
              <w:bottom w:val="single" w:color="auto" w:sz="4" w:space="0"/>
              <w:right w:val="single" w:color="auto" w:sz="4" w:space="0"/>
            </w:tcBorders>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上线切换策略、动态数据准备、上线事项检查、上线动员会、上线问题管理、上线运行报告</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4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生产环境初始化、动态数据导入、生产环境迭代</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3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7、验收</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Cs/>
                <w:sz w:val="21"/>
                <w:szCs w:val="21"/>
              </w:rPr>
            </w:pPr>
            <w:r>
              <w:rPr>
                <w:rFonts w:hint="eastAsia" w:ascii="宋体" w:hAnsi="宋体" w:eastAsia="宋体" w:cs="宋体"/>
                <w:sz w:val="21"/>
                <w:szCs w:val="21"/>
              </w:rPr>
              <w:t>项目文档交接、项目验收会、项目验收报告</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 xml:space="preserve">1 </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双方人员</w:t>
            </w: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b/>
                <w:sz w:val="21"/>
                <w:szCs w:val="21"/>
              </w:rPr>
            </w:pPr>
            <w:r>
              <w:rPr>
                <w:rFonts w:hint="eastAsia" w:ascii="宋体" w:hAnsi="宋体" w:eastAsia="宋体" w:cs="宋体"/>
                <w:b/>
                <w:sz w:val="21"/>
                <w:szCs w:val="21"/>
              </w:rPr>
              <w:t>8、运维阶段</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r>
        <w:tblPrEx>
          <w:tblCellMar>
            <w:top w:w="0" w:type="dxa"/>
            <w:left w:w="108" w:type="dxa"/>
            <w:bottom w:w="0" w:type="dxa"/>
            <w:right w:w="108" w:type="dxa"/>
          </w:tblCellMar>
        </w:tblPrEx>
        <w:trPr>
          <w:trHeight w:val="260" w:hRule="atLeast"/>
        </w:trPr>
        <w:tc>
          <w:tcPr>
            <w:tcW w:w="3681" w:type="dxa"/>
            <w:tcBorders>
              <w:top w:val="nil"/>
              <w:left w:val="single" w:color="auto" w:sz="4" w:space="0"/>
              <w:bottom w:val="single" w:color="auto" w:sz="4" w:space="0"/>
              <w:right w:val="single" w:color="auto" w:sz="4" w:space="0"/>
            </w:tcBorders>
            <w:noWrap/>
            <w:vAlign w:val="center"/>
          </w:tcPr>
          <w:p>
            <w:pPr>
              <w:ind w:left="220" w:leftChars="100"/>
              <w:rPr>
                <w:rFonts w:hint="eastAsia" w:ascii="宋体" w:hAnsi="宋体" w:eastAsia="宋体" w:cs="宋体"/>
                <w:bCs/>
                <w:sz w:val="21"/>
                <w:szCs w:val="21"/>
              </w:rPr>
            </w:pPr>
            <w:r>
              <w:rPr>
                <w:rFonts w:hint="eastAsia" w:ascii="宋体" w:hAnsi="宋体" w:eastAsia="宋体" w:cs="宋体"/>
                <w:sz w:val="21"/>
                <w:szCs w:val="21"/>
              </w:rPr>
              <w:t>质保服务，处理系统缺陷、配置及用户有关使用上的异常问题</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70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c>
          <w:tcPr>
            <w:tcW w:w="164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Cs/>
                <w:sz w:val="21"/>
                <w:szCs w:val="21"/>
              </w:rPr>
            </w:pPr>
          </w:p>
        </w:tc>
      </w:tr>
    </w:tbl>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（二）项目交付</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1、项目主要交付材料。包括但不限于如下内容：</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（1）启动阶段：项目章程、启动会PPT、启动会纪要、总体计划等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（2）需求阶段：调研计划、调研问卷、业务调研报告等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（3）方案阶段：业务蓝图、开发需求功能清单、需求规格说明书、系统部署方案等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（4）构建阶段：详细设计说明书、开发编码/插件，主数据收集计划、主数据收集表、关键用户培训、系统安装确认等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（5）测试阶段：测试计划、测试用例、测试报告、用户操作手册、问题跟踪表、培训PPT、UAT测试报告、UAT测试确认单等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（6）上线阶段：上线切换方案、生产环境、初始化数据、系统初始化操作指南、初始化数据确认表、问题跟踪表、系统初始化确认单</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（7）验收阶段：项目总结报告、项目售后交接单、实施完成确认单等。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（8）其他材料：项目周报、项目进度汇报、会议纪要等</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2、项目验收要求</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w:t>
      </w:r>
      <w:r>
        <w:rPr>
          <w:rFonts w:ascii="宋体" w:hAnsi="宋体" w:eastAsia="宋体" w:cs="仿宋_GB2312"/>
          <w:kern w:val="2"/>
          <w:sz w:val="21"/>
          <w:szCs w:val="21"/>
        </w:rPr>
        <w:t>验收标准：本项目采用</w:t>
      </w:r>
      <w:r>
        <w:rPr>
          <w:rFonts w:hint="eastAsia" w:ascii="宋体" w:hAnsi="宋体" w:eastAsia="宋体" w:cs="仿宋_GB2312"/>
          <w:kern w:val="2"/>
          <w:sz w:val="21"/>
          <w:szCs w:val="21"/>
        </w:rPr>
        <w:t>《</w:t>
      </w:r>
      <w:r>
        <w:rPr>
          <w:rFonts w:ascii="宋体" w:hAnsi="宋体" w:eastAsia="宋体" w:cs="仿宋_GB2312"/>
          <w:kern w:val="2"/>
          <w:sz w:val="21"/>
          <w:szCs w:val="21"/>
        </w:rPr>
        <w:t>现场验收</w:t>
      </w:r>
      <w:r>
        <w:rPr>
          <w:rFonts w:hint="eastAsia" w:ascii="宋体" w:hAnsi="宋体" w:eastAsia="宋体" w:cs="仿宋_GB2312"/>
          <w:kern w:val="2"/>
          <w:sz w:val="21"/>
          <w:szCs w:val="21"/>
        </w:rPr>
        <w:t>》</w:t>
      </w:r>
      <w:r>
        <w:rPr>
          <w:rFonts w:ascii="宋体" w:hAnsi="宋体" w:eastAsia="宋体" w:cs="仿宋_GB2312"/>
          <w:kern w:val="2"/>
          <w:sz w:val="21"/>
          <w:szCs w:val="21"/>
        </w:rPr>
        <w:t>方式验收</w:t>
      </w:r>
      <w:r>
        <w:rPr>
          <w:rFonts w:hint="eastAsia" w:ascii="宋体" w:hAnsi="宋体" w:eastAsia="宋体" w:cs="仿宋_GB2312"/>
          <w:kern w:val="2"/>
          <w:sz w:val="21"/>
          <w:szCs w:val="21"/>
        </w:rPr>
        <w:t>，</w:t>
      </w:r>
      <w:r>
        <w:rPr>
          <w:rFonts w:ascii="宋体" w:hAnsi="宋体" w:eastAsia="宋体" w:cs="仿宋_GB2312"/>
          <w:kern w:val="2"/>
          <w:sz w:val="21"/>
          <w:szCs w:val="21"/>
        </w:rPr>
        <w:t>验收标准以双方共同确认的《项目服务清单》的内容要求为准。</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w:t>
      </w:r>
      <w:r>
        <w:rPr>
          <w:rFonts w:ascii="宋体" w:hAnsi="宋体" w:eastAsia="宋体" w:cs="仿宋_GB2312"/>
          <w:kern w:val="2"/>
          <w:sz w:val="21"/>
          <w:szCs w:val="21"/>
        </w:rPr>
        <w:t>验收由双方人员共同参与。系统部署完成后，</w:t>
      </w:r>
      <w:r>
        <w:rPr>
          <w:rFonts w:hint="eastAsia" w:ascii="宋体" w:hAnsi="宋体" w:eastAsia="宋体" w:cs="仿宋_GB2312"/>
          <w:kern w:val="2"/>
          <w:sz w:val="21"/>
          <w:szCs w:val="21"/>
        </w:rPr>
        <w:t>承建方应</w:t>
      </w:r>
      <w:r>
        <w:rPr>
          <w:rFonts w:ascii="宋体" w:hAnsi="宋体" w:eastAsia="宋体" w:cs="仿宋_GB2312"/>
          <w:kern w:val="2"/>
          <w:sz w:val="21"/>
          <w:szCs w:val="21"/>
        </w:rPr>
        <w:t>积极配合接口联调，</w:t>
      </w:r>
      <w:r>
        <w:rPr>
          <w:rFonts w:hint="eastAsia" w:ascii="宋体" w:hAnsi="宋体" w:eastAsia="宋体" w:cs="仿宋_GB2312"/>
          <w:kern w:val="2"/>
          <w:sz w:val="21"/>
          <w:szCs w:val="21"/>
        </w:rPr>
        <w:t>确保</w:t>
      </w:r>
      <w:r>
        <w:rPr>
          <w:rFonts w:ascii="宋体" w:hAnsi="宋体" w:eastAsia="宋体" w:cs="仿宋_GB2312"/>
          <w:kern w:val="2"/>
          <w:sz w:val="21"/>
          <w:szCs w:val="21"/>
        </w:rPr>
        <w:t>接口符合要求，</w:t>
      </w:r>
      <w:r>
        <w:rPr>
          <w:rFonts w:hint="eastAsia" w:ascii="宋体" w:hAnsi="宋体" w:eastAsia="宋体" w:cs="仿宋_GB2312"/>
          <w:kern w:val="2"/>
          <w:sz w:val="21"/>
          <w:szCs w:val="21"/>
        </w:rPr>
        <w:t>仓库业务</w:t>
      </w:r>
      <w:r>
        <w:rPr>
          <w:rFonts w:ascii="宋体" w:hAnsi="宋体" w:eastAsia="宋体" w:cs="仿宋_GB2312"/>
          <w:kern w:val="2"/>
          <w:sz w:val="21"/>
          <w:szCs w:val="21"/>
        </w:rPr>
        <w:t>能够正常运行，即视为验收通过，验收通过后</w:t>
      </w:r>
      <w:r>
        <w:rPr>
          <w:rFonts w:hint="eastAsia" w:ascii="宋体" w:hAnsi="宋体" w:eastAsia="宋体" w:cs="仿宋_GB2312"/>
          <w:kern w:val="2"/>
          <w:sz w:val="21"/>
          <w:szCs w:val="21"/>
        </w:rPr>
        <w:t>双方</w:t>
      </w:r>
      <w:r>
        <w:rPr>
          <w:rFonts w:ascii="宋体" w:hAnsi="宋体" w:eastAsia="宋体" w:cs="仿宋_GB2312"/>
          <w:kern w:val="2"/>
          <w:sz w:val="21"/>
          <w:szCs w:val="21"/>
        </w:rPr>
        <w:t>共同签署服务验收单。</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w:t>
      </w:r>
      <w:r>
        <w:rPr>
          <w:rFonts w:ascii="宋体" w:hAnsi="宋体" w:eastAsia="宋体" w:cs="仿宋_GB2312"/>
          <w:kern w:val="2"/>
          <w:sz w:val="21"/>
          <w:szCs w:val="21"/>
        </w:rPr>
        <w:t>验收不合格，应出具书面的异议，</w:t>
      </w:r>
      <w:r>
        <w:rPr>
          <w:rFonts w:hint="eastAsia" w:ascii="宋体" w:hAnsi="宋体" w:eastAsia="宋体" w:cs="仿宋_GB2312"/>
          <w:kern w:val="2"/>
          <w:sz w:val="21"/>
          <w:szCs w:val="21"/>
        </w:rPr>
        <w:t>承建</w:t>
      </w:r>
      <w:r>
        <w:rPr>
          <w:rFonts w:ascii="宋体" w:hAnsi="宋体" w:eastAsia="宋体" w:cs="仿宋_GB2312"/>
          <w:kern w:val="2"/>
          <w:sz w:val="21"/>
          <w:szCs w:val="21"/>
        </w:rPr>
        <w:t>方应及时加以修改纠正，直到验收合格为止，</w:t>
      </w:r>
      <w:r>
        <w:rPr>
          <w:rFonts w:hint="eastAsia" w:ascii="宋体" w:hAnsi="宋体" w:eastAsia="宋体" w:cs="仿宋_GB2312"/>
          <w:kern w:val="2"/>
          <w:sz w:val="21"/>
          <w:szCs w:val="21"/>
        </w:rPr>
        <w:t>承建</w:t>
      </w:r>
      <w:r>
        <w:rPr>
          <w:rFonts w:ascii="宋体" w:hAnsi="宋体" w:eastAsia="宋体" w:cs="仿宋_GB2312"/>
          <w:kern w:val="2"/>
          <w:sz w:val="21"/>
          <w:szCs w:val="21"/>
        </w:rPr>
        <w:t>方应在接受</w:t>
      </w:r>
      <w:r>
        <w:rPr>
          <w:rFonts w:hint="eastAsia" w:ascii="宋体" w:hAnsi="宋体" w:eastAsia="宋体" w:cs="仿宋_GB2312"/>
          <w:kern w:val="2"/>
          <w:sz w:val="21"/>
          <w:szCs w:val="21"/>
        </w:rPr>
        <w:t>建设</w:t>
      </w:r>
      <w:r>
        <w:rPr>
          <w:rFonts w:ascii="宋体" w:hAnsi="宋体" w:eastAsia="宋体" w:cs="仿宋_GB2312"/>
          <w:kern w:val="2"/>
          <w:sz w:val="21"/>
          <w:szCs w:val="21"/>
        </w:rPr>
        <w:t>方书面异议后3个日历天内对本项目系统完成整改，</w:t>
      </w:r>
      <w:r>
        <w:rPr>
          <w:rFonts w:hint="eastAsia" w:ascii="宋体" w:hAnsi="宋体" w:eastAsia="宋体" w:cs="仿宋_GB2312"/>
          <w:kern w:val="2"/>
          <w:sz w:val="21"/>
          <w:szCs w:val="21"/>
        </w:rPr>
        <w:t>建设方</w:t>
      </w:r>
      <w:r>
        <w:rPr>
          <w:rFonts w:ascii="宋体" w:hAnsi="宋体" w:eastAsia="宋体" w:cs="仿宋_GB2312"/>
          <w:kern w:val="2"/>
          <w:sz w:val="21"/>
          <w:szCs w:val="21"/>
        </w:rPr>
        <w:t>再行组织对本项目系统进行验收，由此造成的工期延迟由</w:t>
      </w:r>
      <w:r>
        <w:rPr>
          <w:rFonts w:hint="eastAsia" w:ascii="宋体" w:hAnsi="宋体" w:eastAsia="宋体" w:cs="仿宋_GB2312"/>
          <w:kern w:val="2"/>
          <w:sz w:val="21"/>
          <w:szCs w:val="21"/>
        </w:rPr>
        <w:t>承建方</w:t>
      </w:r>
      <w:r>
        <w:rPr>
          <w:rFonts w:ascii="宋体" w:hAnsi="宋体" w:eastAsia="宋体" w:cs="仿宋_GB2312"/>
          <w:kern w:val="2"/>
          <w:sz w:val="21"/>
          <w:szCs w:val="21"/>
        </w:rPr>
        <w:t>承担。</w:t>
      </w:r>
    </w:p>
    <w:p>
      <w:pPr>
        <w:spacing w:after="0" w:line="276" w:lineRule="auto"/>
        <w:ind w:firstLine="442" w:firstLineChars="200"/>
        <w:rPr>
          <w:rFonts w:hint="eastAsia" w:ascii="宋体" w:hAnsi="宋体" w:eastAsia="宋体"/>
          <w:b/>
          <w:bCs/>
        </w:rPr>
      </w:pPr>
      <w:r>
        <w:rPr>
          <w:rFonts w:hint="eastAsia" w:ascii="宋体" w:hAnsi="宋体" w:eastAsia="宋体"/>
          <w:b/>
          <w:bCs/>
        </w:rPr>
        <w:t>四、项目保障</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1．为了确保本项目建设按计划、目标、质量进行，供应商需成立项目领导小组，确定双方项目经理，全面领导和组织项目实施工作；</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2．为确保项目的顺利开展和实施，供应商应配备相应经验的实施顾问、技术开发人员和项目经理，确保项目的交付质量；</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3．供应商应建立风险管控策略、机制和流程。</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4．供应商维护期保障。</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（1）提供7x</w:t>
      </w:r>
      <w:r>
        <w:rPr>
          <w:rFonts w:ascii="宋体" w:hAnsi="宋体" w:eastAsia="宋体" w:cs="仿宋_GB2312"/>
          <w:kern w:val="2"/>
          <w:sz w:val="21"/>
          <w:szCs w:val="21"/>
        </w:rPr>
        <w:t>24</w:t>
      </w:r>
      <w:r>
        <w:rPr>
          <w:rFonts w:hint="eastAsia" w:ascii="宋体" w:hAnsi="宋体" w:eastAsia="宋体" w:cs="仿宋_GB2312"/>
          <w:kern w:val="2"/>
          <w:sz w:val="21"/>
          <w:szCs w:val="21"/>
        </w:rPr>
        <w:t>小时的故障服务。</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（2）电话支持：通过热线电话支持的方式，解决相关用户日常操作中遇到的应用系统操作使用问题及相关用户终端软硬件操作使用问题。</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3）电子邮件：提供基于电子邮件的技术支持服务。建设单位技术人员可以通过电子邮件或传真将技术支持需求或故障报告书发送给承建单位质保期技术服务人员，接到技术支持请求或故障报告书后，可以立即以电子邮件等方式进行联系，写清故障排除方法和步骤，指导并及时排除故障，恢复系统正常运行。</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4）远程支持。对于通过热线电话服务和电子邮件等途径不能解决的故障，在条件允许的情况下，可以远程登录的方式进行故障诊断，目的在于尽早查找故障出现的原因，指导现场工程技术人员处理故障，最大程度地缩短故障恢复的时间。如果远程登录方式不能解决相应的故障时，应派出技术人员赶赴现场，恢复系统运行。</w:t>
      </w:r>
    </w:p>
    <w:p>
      <w:pPr>
        <w:spacing w:after="0" w:line="276" w:lineRule="auto"/>
        <w:ind w:firstLine="420" w:firstLineChars="200"/>
        <w:rPr>
          <w:rFonts w:hint="eastAsia" w:ascii="宋体" w:hAnsi="宋体" w:eastAsia="宋体" w:cs="仿宋_GB2312"/>
          <w:kern w:val="2"/>
          <w:sz w:val="21"/>
          <w:szCs w:val="21"/>
        </w:rPr>
      </w:pPr>
      <w:r>
        <w:rPr>
          <w:rFonts w:hint="eastAsia" w:ascii="宋体" w:hAnsi="宋体" w:eastAsia="宋体" w:cs="仿宋_GB2312"/>
          <w:kern w:val="2"/>
          <w:sz w:val="21"/>
          <w:szCs w:val="21"/>
        </w:rPr>
        <w:t>（5）质保期应急措施。针对本期项目系统重大故障，提供应急响应服务，紧急故障现场响应时间在2小时之内。</w:t>
      </w:r>
    </w:p>
    <w:p>
      <w:pPr>
        <w:spacing w:after="0" w:line="276" w:lineRule="auto"/>
        <w:ind w:firstLine="420" w:firstLineChars="200"/>
        <w:rPr>
          <w:rFonts w:hint="eastAsia" w:ascii="宋体" w:hAnsi="宋体" w:eastAsia="宋体" w:cs="仿宋_GB2312"/>
          <w:color w:val="000000" w:themeColor="text1"/>
          <w:kern w:val="2"/>
          <w:sz w:val="21"/>
          <w:szCs w:val="21"/>
          <w14:textFill>
            <w14:solidFill>
              <w14:schemeClr w14:val="tx1"/>
            </w14:solidFill>
          </w14:textFill>
        </w:rPr>
      </w:pPr>
      <w:r>
        <w:rPr>
          <w:rFonts w:hint="eastAsia" w:ascii="宋体" w:hAnsi="宋体" w:eastAsia="宋体" w:cs="仿宋_GB2312"/>
          <w:color w:val="000000" w:themeColor="text1"/>
          <w:kern w:val="2"/>
          <w:sz w:val="21"/>
          <w:szCs w:val="21"/>
          <w14:textFill>
            <w14:solidFill>
              <w14:schemeClr w14:val="tx1"/>
            </w14:solidFill>
          </w14:textFill>
        </w:rPr>
        <w:t>5. 供应商需提供1-2名具有相关经验的技术人员驻仓库现场配合采购人仓库规划整改服务，时间约3个月，保障信息系统与仓库业务运作全面契合。</w:t>
      </w:r>
    </w:p>
    <w:p>
      <w:pPr>
        <w:spacing w:after="0" w:line="276" w:lineRule="auto"/>
        <w:ind w:firstLine="420" w:firstLineChars="200"/>
        <w:rPr>
          <w:rFonts w:hint="eastAsia" w:ascii="宋体" w:hAnsi="宋体" w:eastAsia="宋体" w:cs="仿宋_GB2312"/>
          <w:color w:val="000000" w:themeColor="text1"/>
          <w:kern w:val="2"/>
          <w:sz w:val="21"/>
          <w:szCs w:val="21"/>
          <w14:textFill>
            <w14:solidFill>
              <w14:schemeClr w14:val="tx1"/>
            </w14:solidFill>
          </w14:textFill>
        </w:rPr>
      </w:pPr>
    </w:p>
    <w:p>
      <w:pPr>
        <w:spacing w:after="0" w:line="276" w:lineRule="auto"/>
        <w:ind w:firstLine="440" w:firstLineChars="200"/>
        <w:rPr>
          <w:rFonts w:hint="eastAsia" w:ascii="宋体" w:hAnsi="宋体" w:eastAsia="宋体"/>
        </w:rPr>
        <w:sectPr>
          <w:pgSz w:w="11906" w:h="16838"/>
          <w:pgMar w:top="1440" w:right="1797" w:bottom="1440" w:left="1797" w:header="851" w:footer="992" w:gutter="0"/>
          <w:cols w:space="425" w:num="1"/>
          <w:docGrid w:type="lines" w:linePitch="312" w:charSpace="0"/>
        </w:sectPr>
      </w:pPr>
    </w:p>
    <w:p>
      <w:pPr>
        <w:pStyle w:val="3"/>
        <w:spacing w:before="156" w:after="156" w:line="276" w:lineRule="auto"/>
        <w:jc w:val="center"/>
        <w:rPr>
          <w:rFonts w:hint="eastAsia" w:ascii="宋体" w:hAnsi="宋体"/>
        </w:rPr>
      </w:pPr>
      <w:r>
        <w:rPr>
          <w:rFonts w:hint="eastAsia" w:ascii="宋体" w:hAnsi="宋体"/>
        </w:rPr>
        <w:t>合同条款</w:t>
      </w:r>
    </w:p>
    <w:p>
      <w:pPr>
        <w:jc w:val="right"/>
      </w:pPr>
    </w:p>
    <w:p>
      <w:pPr>
        <w:wordWrap w:val="0"/>
        <w:jc w:val="right"/>
        <w:rPr>
          <w:rFonts w:hint="eastAsia" w:ascii="宋体" w:hAnsi="宋体" w:eastAsia="宋体"/>
        </w:rPr>
      </w:pPr>
      <w:r>
        <w:rPr>
          <w:rFonts w:hint="eastAsia" w:ascii="宋体" w:hAnsi="宋体" w:eastAsia="宋体"/>
        </w:rPr>
        <w:t xml:space="preserve">合同编号：    </w:t>
      </w:r>
    </w:p>
    <w:p>
      <w:pPr>
        <w:jc w:val="right"/>
      </w:pPr>
    </w:p>
    <w:p>
      <w:pPr>
        <w:jc w:val="right"/>
      </w:pPr>
    </w:p>
    <w:p>
      <w:pPr>
        <w:spacing w:line="360" w:lineRule="auto"/>
        <w:jc w:val="center"/>
        <w:rPr>
          <w:rFonts w:hint="eastAsia" w:ascii="宋体" w:hAnsi="宋体" w:eastAsia="宋体"/>
          <w:b/>
          <w:sz w:val="44"/>
          <w:szCs w:val="44"/>
        </w:rPr>
      </w:pPr>
      <w:r>
        <w:rPr>
          <w:rFonts w:ascii="宋体" w:hAnsi="宋体" w:eastAsia="宋体"/>
          <w:b/>
          <w:sz w:val="44"/>
          <w:szCs w:val="44"/>
        </w:rPr>
        <w:t>东莞市</w:t>
      </w:r>
      <w:r>
        <w:rPr>
          <w:rFonts w:hint="eastAsia" w:ascii="宋体" w:hAnsi="宋体" w:eastAsia="宋体"/>
          <w:b/>
          <w:sz w:val="44"/>
          <w:szCs w:val="44"/>
        </w:rPr>
        <w:t>碧水信息科技有限公司仓库信息系统建设项目</w:t>
      </w:r>
      <w:r>
        <w:rPr>
          <w:rFonts w:ascii="宋体" w:hAnsi="宋体" w:eastAsia="宋体"/>
          <w:b/>
          <w:sz w:val="44"/>
          <w:szCs w:val="44"/>
        </w:rPr>
        <w:t>合同</w:t>
      </w: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pPr>
    </w:p>
    <w:p>
      <w:pPr>
        <w:spacing w:line="360" w:lineRule="auto"/>
        <w:ind w:firstLine="1800" w:firstLineChars="600"/>
        <w:rPr>
          <w:rFonts w:hint="eastAsia" w:ascii="宋体" w:hAnsi="宋体" w:eastAsia="宋体"/>
          <w:b/>
          <w:bCs/>
          <w:sz w:val="30"/>
          <w:szCs w:val="30"/>
          <w:u w:val="single"/>
        </w:rPr>
      </w:pPr>
      <w:r>
        <w:rPr>
          <w:rFonts w:hint="eastAsia" w:ascii="宋体" w:hAnsi="宋体" w:eastAsia="宋体"/>
          <w:sz w:val="30"/>
          <w:szCs w:val="30"/>
        </w:rPr>
        <w:t>甲方：</w:t>
      </w:r>
      <w:r>
        <w:rPr>
          <w:rFonts w:hint="eastAsia" w:ascii="宋体" w:hAnsi="宋体" w:eastAsia="宋体"/>
          <w:sz w:val="30"/>
          <w:szCs w:val="30"/>
          <w:u w:val="single"/>
        </w:rPr>
        <w:t>东莞市碧水信息科技有限公司</w:t>
      </w:r>
    </w:p>
    <w:p>
      <w:pPr>
        <w:spacing w:line="360" w:lineRule="auto"/>
        <w:ind w:firstLine="1800" w:firstLineChars="600"/>
        <w:rPr>
          <w:rFonts w:hint="eastAsia" w:ascii="宋体" w:hAnsi="宋体" w:eastAsia="宋体"/>
          <w:sz w:val="30"/>
          <w:szCs w:val="30"/>
        </w:rPr>
      </w:pPr>
    </w:p>
    <w:p>
      <w:pPr>
        <w:spacing w:line="360" w:lineRule="auto"/>
        <w:ind w:firstLine="1800" w:firstLineChars="600"/>
        <w:rPr>
          <w:rFonts w:hint="eastAsia" w:ascii="宋体" w:hAnsi="宋体" w:eastAsia="宋体"/>
          <w:sz w:val="30"/>
          <w:szCs w:val="30"/>
        </w:rPr>
      </w:pPr>
      <w:r>
        <w:rPr>
          <w:rFonts w:hint="eastAsia" w:ascii="宋体" w:hAnsi="宋体" w:eastAsia="宋体"/>
          <w:sz w:val="30"/>
          <w:szCs w:val="30"/>
        </w:rPr>
        <w:t>乙方：</w:t>
      </w:r>
      <w:r>
        <w:rPr>
          <w:rFonts w:hint="eastAsia" w:ascii="宋体" w:hAnsi="宋体" w:eastAsia="宋体"/>
          <w:sz w:val="30"/>
          <w:szCs w:val="30"/>
          <w:u w:val="single"/>
        </w:rPr>
        <w:t xml:space="preserve">                        </w:t>
      </w:r>
    </w:p>
    <w:p>
      <w:pPr>
        <w:spacing w:line="360" w:lineRule="auto"/>
        <w:jc w:val="center"/>
        <w:rPr>
          <w:rFonts w:hint="eastAsia" w:ascii="宋体" w:hAnsi="宋体" w:eastAsia="宋体"/>
          <w:sz w:val="30"/>
          <w:szCs w:val="30"/>
          <w:u w:val="single"/>
        </w:rPr>
      </w:pPr>
    </w:p>
    <w:p>
      <w:pPr>
        <w:spacing w:line="360" w:lineRule="auto"/>
        <w:jc w:val="center"/>
        <w:rPr>
          <w:rFonts w:hint="eastAsia" w:ascii="宋体" w:hAnsi="宋体" w:eastAsia="宋体"/>
          <w:sz w:val="30"/>
          <w:szCs w:val="30"/>
          <w:u w:val="single"/>
        </w:rPr>
      </w:pPr>
    </w:p>
    <w:p>
      <w:pPr>
        <w:ind w:firstLine="2100" w:firstLineChars="700"/>
        <w:rPr>
          <w:rFonts w:hint="eastAsia" w:ascii="宋体" w:hAnsi="宋体" w:eastAsia="宋体"/>
          <w:sz w:val="30"/>
          <w:szCs w:val="30"/>
        </w:rPr>
      </w:pPr>
      <w:r>
        <w:rPr>
          <w:rFonts w:ascii="宋体" w:hAnsi="宋体" w:eastAsia="宋体"/>
          <w:sz w:val="30"/>
          <w:szCs w:val="30"/>
        </w:rPr>
        <w:t>签订日期</w:t>
      </w:r>
      <w:r>
        <w:rPr>
          <w:rFonts w:hint="eastAsia" w:ascii="宋体" w:hAnsi="宋体" w:eastAsia="宋体"/>
          <w:sz w:val="30"/>
          <w:szCs w:val="30"/>
        </w:rPr>
        <w:t>： 年   月   日</w:t>
      </w:r>
    </w:p>
    <w:p>
      <w:pPr>
        <w:spacing w:line="360" w:lineRule="auto"/>
        <w:jc w:val="center"/>
        <w:rPr>
          <w:rFonts w:hint="eastAsia" w:ascii="宋体" w:hAnsi="宋体" w:eastAsia="宋体"/>
          <w:b/>
          <w:sz w:val="32"/>
          <w:szCs w:val="32"/>
        </w:rPr>
      </w:pPr>
    </w:p>
    <w:p>
      <w:pPr>
        <w:spacing w:line="360" w:lineRule="auto"/>
        <w:jc w:val="center"/>
        <w:rPr>
          <w:rFonts w:hint="eastAsia" w:ascii="宋体" w:hAnsi="宋体" w:eastAsia="宋体"/>
          <w:b/>
          <w:sz w:val="32"/>
          <w:szCs w:val="32"/>
        </w:rPr>
        <w:sectPr>
          <w:pgSz w:w="11906" w:h="16838"/>
          <w:pgMar w:top="1440" w:right="1797" w:bottom="1440" w:left="1797" w:header="851" w:footer="992" w:gutter="0"/>
          <w:cols w:space="425" w:num="1"/>
          <w:docGrid w:type="lines" w:linePitch="312" w:charSpace="0"/>
        </w:sectPr>
      </w:pPr>
    </w:p>
    <w:p>
      <w:pPr>
        <w:spacing w:line="360" w:lineRule="auto"/>
        <w:ind w:firstLine="440" w:firstLineChars="200"/>
        <w:rPr>
          <w:rFonts w:hint="eastAsia" w:ascii="宋体" w:hAnsi="宋体" w:eastAsia="宋体"/>
        </w:rPr>
      </w:pPr>
      <w:r>
        <w:rPr>
          <w:rFonts w:ascii="宋体" w:hAnsi="宋体" w:eastAsia="宋体"/>
        </w:rPr>
        <w:t>甲方：</w:t>
      </w:r>
      <w:bookmarkStart w:id="12" w:name="_Hlk106639934"/>
      <w:r>
        <w:rPr>
          <w:rFonts w:ascii="宋体" w:hAnsi="宋体" w:eastAsia="宋体"/>
          <w:u w:val="single"/>
        </w:rPr>
        <w:t>东莞市</w:t>
      </w:r>
      <w:r>
        <w:rPr>
          <w:rFonts w:hint="eastAsia" w:ascii="宋体" w:hAnsi="宋体" w:eastAsia="宋体"/>
          <w:u w:val="single"/>
        </w:rPr>
        <w:t>碧水信息科技</w:t>
      </w:r>
      <w:r>
        <w:rPr>
          <w:rFonts w:ascii="宋体" w:hAnsi="宋体" w:eastAsia="宋体"/>
          <w:u w:val="single"/>
        </w:rPr>
        <w:t>有限公司</w:t>
      </w:r>
      <w:bookmarkEnd w:id="12"/>
    </w:p>
    <w:p>
      <w:pPr>
        <w:spacing w:line="360" w:lineRule="auto"/>
        <w:ind w:firstLine="440" w:firstLineChars="200"/>
        <w:rPr>
          <w:rFonts w:hint="eastAsia" w:ascii="宋体" w:hAnsi="宋体" w:eastAsia="宋体"/>
          <w:u w:val="single"/>
        </w:rPr>
      </w:pPr>
      <w:r>
        <w:rPr>
          <w:rFonts w:ascii="宋体" w:hAnsi="宋体" w:eastAsia="宋体"/>
        </w:rPr>
        <w:t>乙方：</w:t>
      </w:r>
      <w:r>
        <w:rPr>
          <w:rFonts w:ascii="宋体" w:hAnsi="宋体" w:eastAsia="宋体"/>
          <w:bCs/>
          <w:u w:val="single"/>
        </w:rPr>
        <w:t xml:space="preserve">                          </w:t>
      </w:r>
    </w:p>
    <w:p>
      <w:pPr>
        <w:spacing w:line="360" w:lineRule="auto"/>
        <w:ind w:firstLine="440" w:firstLineChars="200"/>
        <w:rPr>
          <w:rFonts w:hint="eastAsia" w:ascii="宋体" w:hAnsi="宋体" w:eastAsia="宋体"/>
        </w:rPr>
      </w:pPr>
      <w:r>
        <w:rPr>
          <w:rFonts w:hint="eastAsia" w:ascii="宋体" w:hAnsi="宋体" w:eastAsia="宋体"/>
        </w:rPr>
        <w:t>甲方委托乙方承担东莞市碧水信息科技有限公司仓库信息系统建设实施工作，乙方接受委托并进行此项目建设。双方经过平等协商，在真实、充分地表达各自意愿的基础上，根据《中华人民共和国民法典》的规定，达成如下协议，并由双方共同恪守。</w:t>
      </w:r>
    </w:p>
    <w:p>
      <w:pPr>
        <w:spacing w:line="360" w:lineRule="auto"/>
        <w:ind w:firstLine="440" w:firstLineChars="200"/>
        <w:rPr>
          <w:rFonts w:hint="eastAsia" w:ascii="宋体" w:hAnsi="宋体" w:eastAsia="宋体"/>
        </w:rPr>
      </w:pPr>
      <w:r>
        <w:rPr>
          <w:rFonts w:ascii="宋体" w:hAnsi="宋体" w:eastAsia="宋体"/>
        </w:rPr>
        <w:t>第一条 项目名称</w:t>
      </w:r>
    </w:p>
    <w:p>
      <w:pPr>
        <w:spacing w:line="360" w:lineRule="auto"/>
        <w:ind w:firstLine="440" w:firstLineChars="200"/>
        <w:rPr>
          <w:rFonts w:hint="eastAsia" w:ascii="宋体" w:hAnsi="宋体" w:eastAsia="宋体"/>
          <w:u w:val="single"/>
        </w:rPr>
      </w:pPr>
      <w:r>
        <w:rPr>
          <w:rFonts w:hint="eastAsia" w:ascii="宋体" w:hAnsi="宋体" w:eastAsia="宋体"/>
          <w:u w:val="single"/>
        </w:rPr>
        <w:t>东莞市碧水信息科技有限公司仓库信息系统建设项目</w:t>
      </w:r>
    </w:p>
    <w:p>
      <w:pPr>
        <w:spacing w:line="360" w:lineRule="auto"/>
        <w:ind w:firstLine="440" w:firstLineChars="200"/>
        <w:rPr>
          <w:rFonts w:hint="eastAsia" w:ascii="宋体" w:hAnsi="宋体" w:eastAsia="宋体"/>
        </w:rPr>
      </w:pPr>
      <w:r>
        <w:rPr>
          <w:rFonts w:ascii="宋体" w:hAnsi="宋体" w:eastAsia="宋体"/>
        </w:rPr>
        <w:t>第二条 服务内容</w:t>
      </w:r>
    </w:p>
    <w:p>
      <w:pPr>
        <w:spacing w:line="360" w:lineRule="auto"/>
        <w:ind w:firstLine="440" w:firstLineChars="200"/>
        <w:rPr>
          <w:rFonts w:hint="eastAsia" w:ascii="宋体" w:hAnsi="宋体" w:eastAsia="宋体"/>
        </w:rPr>
      </w:pPr>
      <w:r>
        <w:rPr>
          <w:rFonts w:hint="eastAsia" w:ascii="宋体" w:hAnsi="宋体" w:eastAsia="宋体"/>
        </w:rPr>
        <w:t>为确保仓库规划整改后的效果形成长效运行机制，甲方通过建立仓库信息系统，长期达成库存业务管理底数清、账实符；数据实时动态共享、运行效率高的效果。</w:t>
      </w:r>
    </w:p>
    <w:p>
      <w:pPr>
        <w:spacing w:line="360" w:lineRule="auto"/>
        <w:ind w:firstLine="440" w:firstLineChars="200"/>
        <w:rPr>
          <w:rFonts w:hint="eastAsia" w:ascii="宋体" w:hAnsi="宋体" w:eastAsia="宋体"/>
        </w:rPr>
      </w:pPr>
      <w:r>
        <w:rPr>
          <w:rFonts w:hint="eastAsia" w:ascii="宋体" w:hAnsi="宋体" w:eastAsia="宋体"/>
          <w:lang w:val="en-US" w:eastAsia="zh-CN"/>
        </w:rPr>
        <w:t>2.1</w:t>
      </w:r>
      <w:r>
        <w:rPr>
          <w:rFonts w:hint="eastAsia" w:ascii="宋体" w:hAnsi="宋体" w:eastAsia="宋体"/>
        </w:rPr>
        <w:t>甲方委托乙方建设内容为：</w:t>
      </w:r>
      <w:bookmarkStart w:id="13" w:name="_Hlk88077631"/>
      <w:r>
        <w:rPr>
          <w:rFonts w:hint="eastAsia" w:ascii="宋体" w:hAnsi="宋体" w:eastAsia="宋体" w:cstheme="minorBidi"/>
          <w:i w:val="0"/>
          <w:iCs w:val="0"/>
          <w:caps w:val="0"/>
          <w:spacing w:val="0"/>
          <w:sz w:val="22"/>
          <w:szCs w:val="22"/>
          <w:shd w:val="clear"/>
        </w:rPr>
        <w:t>实现东莞市碧水信息科技有限公司仓库信息系统的软件开发、部署、测试、培训及业务切换实施上线。</w:t>
      </w:r>
      <w:r>
        <w:rPr>
          <w:rFonts w:hint="eastAsia" w:ascii="宋体" w:hAnsi="宋体" w:eastAsia="宋体" w:cstheme="minorBidi"/>
          <w:b w:val="0"/>
          <w:bCs w:val="0"/>
          <w:i w:val="0"/>
          <w:iCs w:val="0"/>
          <w:caps w:val="0"/>
          <w:spacing w:val="0"/>
          <w:sz w:val="22"/>
          <w:szCs w:val="22"/>
          <w:shd w:val="clear"/>
        </w:rPr>
        <w:t>全部具体功能、技术指标、性能要求、交付物清单等，均以《用户需求</w:t>
      </w:r>
      <w:r>
        <w:rPr>
          <w:rFonts w:hint="eastAsia" w:ascii="宋体" w:hAnsi="宋体" w:eastAsia="宋体" w:cstheme="minorBidi"/>
          <w:b w:val="0"/>
          <w:bCs w:val="0"/>
          <w:i w:val="0"/>
          <w:iCs w:val="0"/>
          <w:caps w:val="0"/>
          <w:spacing w:val="0"/>
          <w:sz w:val="22"/>
          <w:szCs w:val="22"/>
          <w:shd w:val="clear"/>
          <w:lang w:val="en-US" w:eastAsia="zh-CN"/>
        </w:rPr>
        <w:t>书</w:t>
      </w:r>
      <w:r>
        <w:rPr>
          <w:rFonts w:hint="eastAsia" w:ascii="宋体" w:hAnsi="宋体" w:eastAsia="宋体" w:cstheme="minorBidi"/>
          <w:b w:val="0"/>
          <w:bCs w:val="0"/>
          <w:i w:val="0"/>
          <w:iCs w:val="0"/>
          <w:caps w:val="0"/>
          <w:spacing w:val="0"/>
          <w:sz w:val="22"/>
          <w:szCs w:val="22"/>
          <w:shd w:val="clear"/>
        </w:rPr>
        <w:t>》</w:t>
      </w:r>
      <w:r>
        <w:rPr>
          <w:rFonts w:hint="eastAsia" w:ascii="宋体" w:hAnsi="宋体" w:eastAsia="宋体" w:cstheme="minorBidi"/>
          <w:b w:val="0"/>
          <w:bCs w:val="0"/>
          <w:i w:val="0"/>
          <w:iCs w:val="0"/>
          <w:caps w:val="0"/>
          <w:spacing w:val="0"/>
          <w:sz w:val="22"/>
          <w:szCs w:val="22"/>
          <w:shd w:val="clear"/>
          <w:lang w:val="en-US" w:eastAsia="zh-CN"/>
        </w:rPr>
        <w:t>的具体内容</w:t>
      </w:r>
      <w:r>
        <w:rPr>
          <w:rFonts w:hint="eastAsia" w:ascii="宋体" w:hAnsi="宋体" w:eastAsia="宋体" w:cstheme="minorBidi"/>
          <w:b w:val="0"/>
          <w:bCs w:val="0"/>
          <w:i w:val="0"/>
          <w:iCs w:val="0"/>
          <w:caps w:val="0"/>
          <w:spacing w:val="0"/>
          <w:sz w:val="22"/>
          <w:szCs w:val="22"/>
          <w:shd w:val="clear"/>
        </w:rPr>
        <w:t>为准。《用户需求</w:t>
      </w:r>
      <w:r>
        <w:rPr>
          <w:rFonts w:hint="eastAsia" w:ascii="宋体" w:hAnsi="宋体" w:eastAsia="宋体" w:cstheme="minorBidi"/>
          <w:b w:val="0"/>
          <w:bCs w:val="0"/>
          <w:i w:val="0"/>
          <w:iCs w:val="0"/>
          <w:caps w:val="0"/>
          <w:spacing w:val="0"/>
          <w:sz w:val="22"/>
          <w:szCs w:val="22"/>
          <w:shd w:val="clear"/>
          <w:lang w:val="en-US" w:eastAsia="zh-CN"/>
        </w:rPr>
        <w:t>书</w:t>
      </w:r>
      <w:r>
        <w:rPr>
          <w:rFonts w:hint="eastAsia" w:ascii="宋体" w:hAnsi="宋体" w:eastAsia="宋体" w:cstheme="minorBidi"/>
          <w:b w:val="0"/>
          <w:bCs w:val="0"/>
          <w:i w:val="0"/>
          <w:iCs w:val="0"/>
          <w:caps w:val="0"/>
          <w:spacing w:val="0"/>
          <w:sz w:val="22"/>
          <w:szCs w:val="22"/>
          <w:shd w:val="clear"/>
        </w:rPr>
        <w:t>》为本合同不可分割的一部分，与本合同具有同等法律效力。</w:t>
      </w:r>
      <w:r>
        <w:rPr>
          <w:rFonts w:hint="eastAsia" w:ascii="宋体" w:hAnsi="宋体" w:eastAsia="宋体" w:cstheme="minorBidi"/>
          <w:i w:val="0"/>
          <w:iCs w:val="0"/>
          <w:caps w:val="0"/>
          <w:spacing w:val="0"/>
          <w:sz w:val="22"/>
          <w:szCs w:val="22"/>
          <w:shd w:val="clear"/>
        </w:rPr>
        <w:t> </w:t>
      </w:r>
      <w:bookmarkEnd w:id="13"/>
    </w:p>
    <w:p>
      <w:pPr>
        <w:spacing w:line="360" w:lineRule="auto"/>
        <w:ind w:firstLine="440" w:firstLineChars="200"/>
        <w:rPr>
          <w:rFonts w:hint="eastAsia" w:ascii="宋体" w:hAnsi="宋体" w:eastAsia="宋体"/>
        </w:rPr>
      </w:pPr>
      <w:r>
        <w:rPr>
          <w:rFonts w:ascii="宋体" w:hAnsi="宋体" w:eastAsia="宋体"/>
        </w:rPr>
        <w:t>第三条 实施服务进度及软件成果交付</w:t>
      </w:r>
    </w:p>
    <w:p>
      <w:pPr>
        <w:spacing w:line="360" w:lineRule="auto"/>
        <w:ind w:firstLine="440" w:firstLineChars="200"/>
        <w:rPr>
          <w:rFonts w:hint="eastAsia" w:ascii="宋体" w:hAnsi="宋体" w:eastAsia="宋体" w:cstheme="minorBidi"/>
          <w:i w:val="0"/>
          <w:iCs w:val="0"/>
          <w:caps w:val="0"/>
          <w:spacing w:val="0"/>
          <w:sz w:val="22"/>
          <w:szCs w:val="22"/>
          <w:shd w:val="clear"/>
        </w:rPr>
      </w:pPr>
      <w:r>
        <w:rPr>
          <w:rFonts w:hint="eastAsia" w:ascii="宋体" w:hAnsi="宋体" w:eastAsia="宋体"/>
          <w:lang w:val="en-US" w:eastAsia="zh-CN"/>
        </w:rPr>
        <w:t>3.1本</w:t>
      </w:r>
      <w:r>
        <w:rPr>
          <w:rFonts w:hint="eastAsia" w:ascii="宋体" w:hAnsi="宋体" w:eastAsia="宋体" w:cstheme="minorBidi"/>
          <w:i w:val="0"/>
          <w:iCs w:val="0"/>
          <w:caps w:val="0"/>
          <w:spacing w:val="0"/>
          <w:sz w:val="22"/>
          <w:szCs w:val="22"/>
          <w:shd w:val="clear"/>
        </w:rPr>
        <w:t>项目工期为</w:t>
      </w:r>
      <w:r>
        <w:rPr>
          <w:rFonts w:hint="eastAsia" w:ascii="宋体" w:hAnsi="宋体" w:eastAsia="宋体" w:cstheme="minorBidi"/>
          <w:b w:val="0"/>
          <w:bCs w:val="0"/>
          <w:i w:val="0"/>
          <w:iCs w:val="0"/>
          <w:caps w:val="0"/>
          <w:spacing w:val="0"/>
          <w:sz w:val="22"/>
          <w:szCs w:val="22"/>
          <w:shd w:val="clear"/>
        </w:rPr>
        <w:t>60个日历天</w:t>
      </w:r>
      <w:r>
        <w:rPr>
          <w:rFonts w:hint="eastAsia" w:ascii="宋体" w:hAnsi="宋体" w:eastAsia="宋体" w:cstheme="minorBidi"/>
          <w:i w:val="0"/>
          <w:iCs w:val="0"/>
          <w:caps w:val="0"/>
          <w:spacing w:val="0"/>
          <w:sz w:val="22"/>
          <w:szCs w:val="22"/>
          <w:shd w:val="clear"/>
        </w:rPr>
        <w:t>，自本合同生效之日起计算。乙方应在此期限内完成系统开发、部署、内部测试、用户培训、数据迁移及业务切换上线</w:t>
      </w:r>
      <w:r>
        <w:rPr>
          <w:rFonts w:hint="eastAsia" w:ascii="宋体" w:hAnsi="宋体" w:eastAsia="宋体" w:cstheme="minorBidi"/>
          <w:i w:val="0"/>
          <w:iCs w:val="0"/>
          <w:caps w:val="0"/>
          <w:spacing w:val="0"/>
          <w:sz w:val="22"/>
          <w:szCs w:val="22"/>
          <w:shd w:val="clear"/>
          <w:lang w:val="en-US" w:eastAsia="zh-CN"/>
        </w:rPr>
        <w:t>的</w:t>
      </w:r>
      <w:r>
        <w:rPr>
          <w:rFonts w:hint="eastAsia" w:ascii="宋体" w:hAnsi="宋体" w:eastAsia="宋体" w:cstheme="minorBidi"/>
          <w:i w:val="0"/>
          <w:iCs w:val="0"/>
          <w:caps w:val="0"/>
          <w:spacing w:val="0"/>
          <w:sz w:val="22"/>
          <w:szCs w:val="22"/>
          <w:shd w:val="clear"/>
        </w:rPr>
        <w:t>全部工作，并达到本合同约定的所有要求</w:t>
      </w:r>
      <w:r>
        <w:rPr>
          <w:rFonts w:hint="eastAsia" w:ascii="宋体" w:hAnsi="宋体" w:eastAsia="宋体" w:cstheme="minorBidi"/>
          <w:i w:val="0"/>
          <w:iCs w:val="0"/>
          <w:caps w:val="0"/>
          <w:spacing w:val="0"/>
          <w:sz w:val="22"/>
          <w:szCs w:val="22"/>
          <w:shd w:val="clear"/>
          <w:lang w:eastAsia="zh-CN"/>
        </w:rPr>
        <w:t>（</w:t>
      </w:r>
      <w:r>
        <w:rPr>
          <w:rFonts w:hint="eastAsia" w:ascii="宋体" w:hAnsi="宋体" w:eastAsia="宋体" w:cstheme="minorBidi"/>
          <w:i w:val="0"/>
          <w:iCs w:val="0"/>
          <w:caps w:val="0"/>
          <w:spacing w:val="0"/>
          <w:sz w:val="22"/>
          <w:szCs w:val="22"/>
          <w:shd w:val="clear"/>
          <w:lang w:val="en-US" w:eastAsia="zh-CN"/>
        </w:rPr>
        <w:t>即60日内通过甲方最终验收</w:t>
      </w:r>
      <w:r>
        <w:rPr>
          <w:rFonts w:hint="eastAsia" w:ascii="宋体" w:hAnsi="宋体" w:eastAsia="宋体" w:cstheme="minorBidi"/>
          <w:i w:val="0"/>
          <w:iCs w:val="0"/>
          <w:caps w:val="0"/>
          <w:spacing w:val="0"/>
          <w:sz w:val="22"/>
          <w:szCs w:val="22"/>
          <w:shd w:val="clear"/>
          <w:lang w:eastAsia="zh-CN"/>
        </w:rPr>
        <w:t>）</w:t>
      </w:r>
      <w:r>
        <w:rPr>
          <w:rFonts w:hint="eastAsia" w:ascii="宋体" w:hAnsi="宋体" w:eastAsia="宋体" w:cstheme="minorBidi"/>
          <w:i w:val="0"/>
          <w:iCs w:val="0"/>
          <w:caps w:val="0"/>
          <w:spacing w:val="0"/>
          <w:sz w:val="22"/>
          <w:szCs w:val="22"/>
          <w:shd w:val="clear"/>
        </w:rPr>
        <w:t>。</w:t>
      </w:r>
    </w:p>
    <w:p>
      <w:pPr>
        <w:spacing w:line="360" w:lineRule="auto"/>
        <w:ind w:firstLine="440" w:firstLineChars="200"/>
        <w:rPr>
          <w:rFonts w:hint="eastAsia" w:ascii="宋体" w:hAnsi="宋体" w:eastAsia="宋体" w:cstheme="minorBidi"/>
          <w:i w:val="0"/>
          <w:iCs w:val="0"/>
          <w:caps w:val="0"/>
          <w:spacing w:val="0"/>
          <w:sz w:val="22"/>
          <w:szCs w:val="22"/>
          <w:shd w:val="clear"/>
        </w:rPr>
      </w:pPr>
      <w:r>
        <w:rPr>
          <w:rFonts w:hint="eastAsia" w:ascii="宋体" w:hAnsi="宋体" w:eastAsia="宋体" w:cstheme="minorBidi"/>
          <w:i w:val="0"/>
          <w:iCs w:val="0"/>
          <w:caps w:val="0"/>
          <w:spacing w:val="0"/>
          <w:sz w:val="22"/>
          <w:szCs w:val="22"/>
          <w:shd w:val="clear"/>
          <w:lang w:val="en-US" w:eastAsia="zh-CN"/>
        </w:rPr>
        <w:t>3.2</w:t>
      </w:r>
      <w:r>
        <w:rPr>
          <w:rFonts w:hint="eastAsia" w:ascii="宋体" w:hAnsi="宋体" w:eastAsia="宋体" w:cstheme="minorBidi"/>
          <w:i w:val="0"/>
          <w:iCs w:val="0"/>
          <w:caps w:val="0"/>
          <w:spacing w:val="0"/>
          <w:sz w:val="22"/>
          <w:szCs w:val="22"/>
          <w:shd w:val="clear"/>
        </w:rPr>
        <w:t>乙方完成系统开发部署后，应进行充分内部测试，并向甲方提交《系统交付与初验申请报告》</w:t>
      </w:r>
      <w:r>
        <w:rPr>
          <w:rFonts w:hint="eastAsia" w:ascii="宋体" w:hAnsi="宋体" w:eastAsia="宋体" w:cstheme="minorBidi"/>
          <w:i w:val="0"/>
          <w:iCs w:val="0"/>
          <w:caps w:val="0"/>
          <w:spacing w:val="0"/>
          <w:sz w:val="22"/>
          <w:szCs w:val="22"/>
          <w:shd w:val="clear"/>
          <w:lang w:eastAsia="zh-CN"/>
        </w:rPr>
        <w:t>，</w:t>
      </w:r>
      <w:r>
        <w:rPr>
          <w:rFonts w:hint="eastAsia" w:ascii="宋体" w:hAnsi="宋体" w:eastAsia="宋体" w:cstheme="minorBidi"/>
          <w:i w:val="0"/>
          <w:iCs w:val="0"/>
          <w:caps w:val="0"/>
          <w:spacing w:val="0"/>
          <w:sz w:val="22"/>
          <w:szCs w:val="22"/>
          <w:shd w:val="clear"/>
        </w:rPr>
        <w:t>甲方在收到申请后</w:t>
      </w:r>
      <w:r>
        <w:rPr>
          <w:rFonts w:hint="eastAsia" w:ascii="宋体" w:hAnsi="宋体" w:eastAsia="宋体" w:cstheme="minorBidi"/>
          <w:b w:val="0"/>
          <w:bCs w:val="0"/>
          <w:i w:val="0"/>
          <w:iCs w:val="0"/>
          <w:caps w:val="0"/>
          <w:spacing w:val="0"/>
          <w:sz w:val="22"/>
          <w:szCs w:val="22"/>
          <w:shd w:val="clear"/>
        </w:rPr>
        <w:t>10个工作日</w:t>
      </w:r>
      <w:r>
        <w:rPr>
          <w:rFonts w:hint="eastAsia" w:ascii="宋体" w:hAnsi="宋体" w:eastAsia="宋体" w:cstheme="minorBidi"/>
          <w:i w:val="0"/>
          <w:iCs w:val="0"/>
          <w:caps w:val="0"/>
          <w:spacing w:val="0"/>
          <w:sz w:val="22"/>
          <w:szCs w:val="22"/>
          <w:shd w:val="clear"/>
        </w:rPr>
        <w:t xml:space="preserve">内组织初步验收。 </w:t>
      </w:r>
    </w:p>
    <w:p>
      <w:pPr>
        <w:spacing w:line="360" w:lineRule="auto"/>
        <w:ind w:firstLine="440" w:firstLineChars="200"/>
        <w:rPr>
          <w:rFonts w:hint="eastAsia" w:ascii="宋体" w:hAnsi="宋体" w:eastAsia="宋体"/>
        </w:rPr>
      </w:pPr>
      <w:r>
        <w:rPr>
          <w:rFonts w:hint="eastAsia" w:ascii="宋体" w:hAnsi="宋体" w:eastAsia="宋体" w:cstheme="minorBidi"/>
          <w:i w:val="0"/>
          <w:iCs w:val="0"/>
          <w:caps w:val="0"/>
          <w:spacing w:val="0"/>
          <w:sz w:val="22"/>
          <w:szCs w:val="22"/>
          <w:shd w:val="clear"/>
          <w:lang w:val="en-US" w:eastAsia="zh-CN"/>
        </w:rPr>
        <w:t>3.3</w:t>
      </w:r>
      <w:r>
        <w:rPr>
          <w:rFonts w:hint="eastAsia" w:ascii="宋体" w:hAnsi="宋体" w:eastAsia="宋体" w:cstheme="minorBidi"/>
          <w:i w:val="0"/>
          <w:iCs w:val="0"/>
          <w:caps w:val="0"/>
          <w:spacing w:val="0"/>
          <w:sz w:val="22"/>
          <w:szCs w:val="22"/>
          <w:shd w:val="clear"/>
        </w:rPr>
        <w:t>初步验收通过后，进入为期</w:t>
      </w:r>
      <w:r>
        <w:rPr>
          <w:rFonts w:hint="eastAsia" w:ascii="宋体" w:hAnsi="宋体" w:eastAsia="宋体" w:cstheme="minorBidi"/>
          <w:b w:val="0"/>
          <w:bCs w:val="0"/>
          <w:i w:val="0"/>
          <w:iCs w:val="0"/>
          <w:caps w:val="0"/>
          <w:spacing w:val="0"/>
          <w:sz w:val="22"/>
          <w:szCs w:val="22"/>
          <w:shd w:val="clear"/>
          <w:lang w:val="en-US" w:eastAsia="zh-CN"/>
        </w:rPr>
        <w:t>15</w:t>
      </w:r>
      <w:r>
        <w:rPr>
          <w:rFonts w:hint="eastAsia" w:ascii="宋体" w:hAnsi="宋体" w:eastAsia="宋体" w:cstheme="minorBidi"/>
          <w:b w:val="0"/>
          <w:bCs w:val="0"/>
          <w:i w:val="0"/>
          <w:iCs w:val="0"/>
          <w:caps w:val="0"/>
          <w:spacing w:val="0"/>
          <w:sz w:val="22"/>
          <w:szCs w:val="22"/>
          <w:shd w:val="clear"/>
        </w:rPr>
        <w:t>个日历天</w:t>
      </w:r>
      <w:r>
        <w:rPr>
          <w:rFonts w:hint="eastAsia" w:ascii="宋体" w:hAnsi="宋体" w:eastAsia="宋体" w:cstheme="minorBidi"/>
          <w:i w:val="0"/>
          <w:iCs w:val="0"/>
          <w:caps w:val="0"/>
          <w:spacing w:val="0"/>
          <w:sz w:val="22"/>
          <w:szCs w:val="22"/>
          <w:shd w:val="clear"/>
        </w:rPr>
        <w:t>的试运行期。试运行期满且系统运行稳定，双方进行最终验收。</w:t>
      </w:r>
      <w:r>
        <w:rPr>
          <w:rFonts w:hint="eastAsia" w:ascii="宋体" w:hAnsi="宋体" w:eastAsia="宋体" w:cstheme="minorBidi"/>
          <w:b w:val="0"/>
          <w:bCs w:val="0"/>
          <w:i w:val="0"/>
          <w:iCs w:val="0"/>
          <w:caps w:val="0"/>
          <w:spacing w:val="0"/>
          <w:sz w:val="22"/>
          <w:szCs w:val="22"/>
          <w:shd w:val="clear"/>
        </w:rPr>
        <w:t>最终验收合格并签署《最终验收报告》后，方视为正式交付。</w:t>
      </w:r>
    </w:p>
    <w:p>
      <w:pPr>
        <w:spacing w:line="360" w:lineRule="auto"/>
        <w:ind w:firstLine="440" w:firstLineChars="200"/>
        <w:rPr>
          <w:rFonts w:hint="eastAsia" w:ascii="宋体" w:hAnsi="宋体" w:eastAsia="宋体"/>
        </w:rPr>
      </w:pPr>
      <w:r>
        <w:rPr>
          <w:rFonts w:hint="eastAsia" w:ascii="宋体" w:hAnsi="宋体" w:eastAsia="宋体"/>
          <w:lang w:val="en-US" w:eastAsia="zh-CN"/>
        </w:rPr>
        <w:t>3.4</w:t>
      </w:r>
      <w:r>
        <w:rPr>
          <w:rFonts w:ascii="宋体" w:hAnsi="宋体" w:eastAsia="宋体"/>
        </w:rPr>
        <w:t>软件产品交付地点为甲方指定地点，交付内容为</w:t>
      </w:r>
      <w:r>
        <w:rPr>
          <w:rFonts w:hint="eastAsia" w:ascii="宋体" w:hAnsi="宋体" w:eastAsia="宋体"/>
        </w:rPr>
        <w:t>仓库信息系统</w:t>
      </w:r>
      <w:r>
        <w:rPr>
          <w:rFonts w:ascii="宋体" w:hAnsi="宋体" w:eastAsia="宋体"/>
        </w:rPr>
        <w:t>软件，</w:t>
      </w:r>
      <w:r>
        <w:rPr>
          <w:rFonts w:hint="eastAsia" w:ascii="宋体" w:hAnsi="宋体" w:eastAsia="宋体"/>
        </w:rPr>
        <w:t>并在甲方指定机房部署服务器和应用系统</w:t>
      </w:r>
      <w:r>
        <w:rPr>
          <w:rFonts w:ascii="宋体" w:hAnsi="宋体" w:eastAsia="宋体"/>
        </w:rPr>
        <w:t>。</w:t>
      </w:r>
    </w:p>
    <w:p>
      <w:pPr>
        <w:spacing w:line="360" w:lineRule="auto"/>
        <w:ind w:firstLine="440" w:firstLineChars="200"/>
        <w:rPr>
          <w:rFonts w:hint="eastAsia" w:ascii="宋体" w:hAnsi="宋体" w:eastAsia="宋体"/>
        </w:rPr>
      </w:pPr>
      <w:r>
        <w:rPr>
          <w:rFonts w:ascii="宋体" w:hAnsi="宋体" w:eastAsia="宋体"/>
        </w:rPr>
        <w:t>第四条 服务费用</w:t>
      </w:r>
    </w:p>
    <w:p>
      <w:pPr>
        <w:spacing w:line="360" w:lineRule="auto"/>
        <w:ind w:firstLine="440" w:firstLineChars="200"/>
        <w:rPr>
          <w:rFonts w:hint="eastAsia" w:ascii="宋体" w:hAnsi="宋体" w:eastAsia="宋体"/>
        </w:rPr>
      </w:pPr>
      <w:r>
        <w:rPr>
          <w:rFonts w:hint="eastAsia" w:ascii="宋体" w:hAnsi="宋体" w:eastAsia="宋体"/>
          <w:lang w:val="en-US" w:eastAsia="zh-CN"/>
        </w:rPr>
        <w:t>本合同总价</w:t>
      </w:r>
      <w:r>
        <w:rPr>
          <w:rFonts w:ascii="宋体" w:hAnsi="宋体" w:eastAsia="宋体"/>
        </w:rPr>
        <w:t>（含税）为：</w:t>
      </w:r>
      <w:r>
        <w:rPr>
          <w:rFonts w:ascii="宋体" w:hAnsi="宋体" w:eastAsia="宋体"/>
          <w:u w:val="single"/>
        </w:rPr>
        <w:t>¥          （大写：         ）</w:t>
      </w:r>
      <w:r>
        <w:rPr>
          <w:rFonts w:ascii="宋体" w:hAnsi="宋体" w:eastAsia="宋体"/>
        </w:rPr>
        <w:t>，费用包括</w:t>
      </w:r>
      <w:r>
        <w:rPr>
          <w:rFonts w:hint="eastAsia" w:ascii="宋体" w:hAnsi="宋体" w:eastAsia="宋体"/>
        </w:rPr>
        <w:t>仓库信息系统开发</w:t>
      </w:r>
      <w:r>
        <w:rPr>
          <w:rFonts w:ascii="宋体" w:hAnsi="宋体" w:eastAsia="宋体"/>
        </w:rPr>
        <w:t>、</w:t>
      </w:r>
      <w:r>
        <w:rPr>
          <w:rFonts w:hint="eastAsia" w:ascii="宋体" w:hAnsi="宋体" w:eastAsia="宋体"/>
        </w:rPr>
        <w:t>业务切换实施上线</w:t>
      </w:r>
      <w:r>
        <w:rPr>
          <w:rFonts w:ascii="宋体" w:hAnsi="宋体" w:eastAsia="宋体"/>
        </w:rPr>
        <w:t>等乙方为完成本合同服务内容所需的全部相关费用</w:t>
      </w:r>
      <w:r>
        <w:rPr>
          <w:rFonts w:hint="eastAsia" w:ascii="宋体" w:hAnsi="宋体" w:eastAsia="宋体"/>
        </w:rPr>
        <w:t>。</w:t>
      </w:r>
    </w:p>
    <w:p>
      <w:pPr>
        <w:spacing w:line="360" w:lineRule="auto"/>
        <w:ind w:firstLine="440" w:firstLineChars="200"/>
        <w:rPr>
          <w:rFonts w:hint="eastAsia" w:ascii="宋体" w:hAnsi="宋体" w:eastAsia="宋体"/>
        </w:rPr>
      </w:pPr>
      <w:r>
        <w:rPr>
          <w:rFonts w:ascii="宋体" w:hAnsi="宋体" w:eastAsia="宋体"/>
        </w:rPr>
        <w:t>第五条 付款结算方式</w:t>
      </w:r>
    </w:p>
    <w:p>
      <w:pPr>
        <w:spacing w:line="360" w:lineRule="auto"/>
        <w:ind w:firstLine="440" w:firstLineChars="200"/>
        <w:rPr>
          <w:rFonts w:hint="eastAsia" w:ascii="宋体" w:hAnsi="宋体" w:eastAsia="宋体"/>
        </w:rPr>
      </w:pPr>
      <w:r>
        <w:rPr>
          <w:rFonts w:hint="eastAsia" w:ascii="宋体" w:hAnsi="宋体" w:eastAsia="宋体"/>
          <w:lang w:val="en-US" w:eastAsia="zh-CN"/>
        </w:rPr>
        <w:t>5.1</w:t>
      </w:r>
      <w:r>
        <w:rPr>
          <w:rFonts w:ascii="宋体" w:hAnsi="宋体" w:eastAsia="宋体" w:cstheme="minorBidi"/>
          <w:i w:val="0"/>
          <w:iCs w:val="0"/>
          <w:caps w:val="0"/>
          <w:spacing w:val="0"/>
          <w:sz w:val="22"/>
          <w:szCs w:val="22"/>
          <w:shd w:val="clear"/>
        </w:rPr>
        <w:t>本合同生效且乙方提供等额增值税专用发票后</w:t>
      </w:r>
      <w:r>
        <w:rPr>
          <w:rFonts w:hint="default" w:ascii="宋体" w:hAnsi="宋体" w:eastAsia="宋体" w:cstheme="minorBidi"/>
          <w:b w:val="0"/>
          <w:bCs w:val="0"/>
          <w:i w:val="0"/>
          <w:iCs w:val="0"/>
          <w:caps w:val="0"/>
          <w:spacing w:val="0"/>
          <w:sz w:val="22"/>
          <w:szCs w:val="22"/>
          <w:shd w:val="clear"/>
        </w:rPr>
        <w:t>1</w:t>
      </w:r>
      <w:r>
        <w:rPr>
          <w:rFonts w:hint="eastAsia" w:ascii="宋体" w:hAnsi="宋体" w:eastAsia="宋体" w:cstheme="minorBidi"/>
          <w:b w:val="0"/>
          <w:bCs w:val="0"/>
          <w:i w:val="0"/>
          <w:iCs w:val="0"/>
          <w:caps w:val="0"/>
          <w:spacing w:val="0"/>
          <w:sz w:val="22"/>
          <w:szCs w:val="22"/>
          <w:shd w:val="clear"/>
          <w:lang w:val="en-US" w:eastAsia="zh-CN"/>
        </w:rPr>
        <w:t>0</w:t>
      </w:r>
      <w:r>
        <w:rPr>
          <w:rFonts w:hint="default" w:ascii="宋体" w:hAnsi="宋体" w:eastAsia="宋体" w:cstheme="minorBidi"/>
          <w:b w:val="0"/>
          <w:bCs w:val="0"/>
          <w:i w:val="0"/>
          <w:iCs w:val="0"/>
          <w:caps w:val="0"/>
          <w:spacing w:val="0"/>
          <w:sz w:val="22"/>
          <w:szCs w:val="22"/>
          <w:shd w:val="clear"/>
        </w:rPr>
        <w:t>个工作日内</w:t>
      </w:r>
      <w:r>
        <w:rPr>
          <w:rFonts w:hint="eastAsia" w:ascii="宋体" w:hAnsi="宋体" w:eastAsia="宋体" w:cstheme="minorBidi"/>
          <w:b w:val="0"/>
          <w:bCs w:val="0"/>
          <w:i w:val="0"/>
          <w:iCs w:val="0"/>
          <w:caps w:val="0"/>
          <w:spacing w:val="0"/>
          <w:sz w:val="22"/>
          <w:szCs w:val="22"/>
          <w:shd w:val="clear"/>
          <w:lang w:eastAsia="zh-CN"/>
        </w:rPr>
        <w:t>，</w:t>
      </w:r>
      <w:r>
        <w:rPr>
          <w:rFonts w:hint="eastAsia" w:ascii="宋体" w:hAnsi="宋体" w:eastAsia="宋体" w:cstheme="minorBidi"/>
          <w:b w:val="0"/>
          <w:bCs w:val="0"/>
          <w:i w:val="0"/>
          <w:iCs w:val="0"/>
          <w:caps w:val="0"/>
          <w:spacing w:val="0"/>
          <w:sz w:val="22"/>
          <w:szCs w:val="22"/>
          <w:shd w:val="clear"/>
          <w:lang w:val="en-US" w:eastAsia="zh-CN"/>
        </w:rPr>
        <w:t>甲方</w:t>
      </w:r>
      <w:r>
        <w:rPr>
          <w:rFonts w:ascii="宋体" w:hAnsi="宋体" w:eastAsia="宋体"/>
        </w:rPr>
        <w:t>向乙方支付合同</w:t>
      </w:r>
      <w:r>
        <w:rPr>
          <w:rFonts w:hint="eastAsia" w:ascii="宋体" w:hAnsi="宋体" w:eastAsia="宋体"/>
          <w:lang w:val="en-US" w:eastAsia="zh-CN"/>
        </w:rPr>
        <w:t>含税</w:t>
      </w:r>
      <w:r>
        <w:rPr>
          <w:rFonts w:ascii="宋体" w:hAnsi="宋体" w:eastAsia="宋体"/>
        </w:rPr>
        <w:t>总价的【50】%，即人民币【         】（大写【         】）。</w:t>
      </w:r>
    </w:p>
    <w:p>
      <w:pPr>
        <w:spacing w:line="360" w:lineRule="auto"/>
        <w:ind w:firstLine="440" w:firstLineChars="200"/>
        <w:rPr>
          <w:rFonts w:hint="eastAsia" w:ascii="宋体" w:hAnsi="宋体" w:eastAsia="宋体"/>
        </w:rPr>
      </w:pPr>
      <w:r>
        <w:rPr>
          <w:rFonts w:hint="eastAsia" w:ascii="宋体" w:hAnsi="宋体" w:eastAsia="宋体"/>
          <w:lang w:val="en-US" w:eastAsia="zh-CN"/>
        </w:rPr>
        <w:t>5.2</w:t>
      </w:r>
      <w:r>
        <w:rPr>
          <w:rFonts w:ascii="宋体" w:hAnsi="宋体" w:eastAsia="宋体" w:cstheme="minorBidi"/>
          <w:i w:val="0"/>
          <w:iCs w:val="0"/>
          <w:caps w:val="0"/>
          <w:spacing w:val="0"/>
          <w:sz w:val="22"/>
          <w:szCs w:val="22"/>
          <w:shd w:val="clear"/>
        </w:rPr>
        <w:t>系统试运行结束，通过最终验收并签署《最终验收报告》后</w:t>
      </w:r>
      <w:r>
        <w:rPr>
          <w:rFonts w:hint="default" w:ascii="宋体" w:hAnsi="宋体" w:eastAsia="宋体" w:cstheme="minorBidi"/>
          <w:b w:val="0"/>
          <w:bCs w:val="0"/>
          <w:i w:val="0"/>
          <w:iCs w:val="0"/>
          <w:caps w:val="0"/>
          <w:spacing w:val="0"/>
          <w:sz w:val="22"/>
          <w:szCs w:val="22"/>
          <w:shd w:val="clear"/>
        </w:rPr>
        <w:t>15个工作日内</w:t>
      </w:r>
      <w:r>
        <w:rPr>
          <w:rFonts w:hint="default" w:ascii="宋体" w:hAnsi="宋体" w:eastAsia="宋体" w:cstheme="minorBidi"/>
          <w:i w:val="0"/>
          <w:iCs w:val="0"/>
          <w:caps w:val="0"/>
          <w:spacing w:val="0"/>
          <w:sz w:val="22"/>
          <w:szCs w:val="22"/>
          <w:shd w:val="clear"/>
        </w:rPr>
        <w:t>，甲方向乙方支付合同</w:t>
      </w:r>
      <w:r>
        <w:rPr>
          <w:rFonts w:hint="eastAsia" w:ascii="宋体" w:hAnsi="宋体" w:eastAsia="宋体" w:cstheme="minorBidi"/>
          <w:i w:val="0"/>
          <w:iCs w:val="0"/>
          <w:caps w:val="0"/>
          <w:spacing w:val="0"/>
          <w:sz w:val="22"/>
          <w:szCs w:val="22"/>
          <w:shd w:val="clear"/>
          <w:lang w:val="en-US" w:eastAsia="zh-CN"/>
        </w:rPr>
        <w:t>含税</w:t>
      </w:r>
      <w:r>
        <w:rPr>
          <w:rFonts w:hint="default" w:ascii="宋体" w:hAnsi="宋体" w:eastAsia="宋体" w:cstheme="minorBidi"/>
          <w:i w:val="0"/>
          <w:iCs w:val="0"/>
          <w:caps w:val="0"/>
          <w:spacing w:val="0"/>
          <w:sz w:val="22"/>
          <w:szCs w:val="22"/>
          <w:shd w:val="clear"/>
        </w:rPr>
        <w:t>总价的</w:t>
      </w:r>
      <w:r>
        <w:rPr>
          <w:rFonts w:hint="eastAsia" w:ascii="宋体" w:hAnsi="宋体" w:eastAsia="宋体" w:cstheme="minorBidi"/>
          <w:b w:val="0"/>
          <w:bCs w:val="0"/>
          <w:i w:val="0"/>
          <w:iCs w:val="0"/>
          <w:caps w:val="0"/>
          <w:spacing w:val="0"/>
          <w:sz w:val="22"/>
          <w:szCs w:val="22"/>
          <w:shd w:val="clear"/>
          <w:lang w:val="en-US" w:eastAsia="zh-CN"/>
        </w:rPr>
        <w:t>50</w:t>
      </w:r>
      <w:r>
        <w:rPr>
          <w:rFonts w:hint="default" w:ascii="宋体" w:hAnsi="宋体" w:eastAsia="宋体" w:cstheme="minorBidi"/>
          <w:b w:val="0"/>
          <w:bCs w:val="0"/>
          <w:i w:val="0"/>
          <w:iCs w:val="0"/>
          <w:caps w:val="0"/>
          <w:spacing w:val="0"/>
          <w:sz w:val="22"/>
          <w:szCs w:val="22"/>
          <w:shd w:val="clear"/>
        </w:rPr>
        <w:t>%</w:t>
      </w:r>
      <w:r>
        <w:rPr>
          <w:rFonts w:hint="default" w:ascii="宋体" w:hAnsi="宋体" w:eastAsia="宋体" w:cstheme="minorBidi"/>
          <w:i w:val="0"/>
          <w:iCs w:val="0"/>
          <w:caps w:val="0"/>
          <w:spacing w:val="0"/>
          <w:sz w:val="22"/>
          <w:szCs w:val="22"/>
          <w:shd w:val="clear"/>
        </w:rPr>
        <w:t>，</w:t>
      </w:r>
      <w:r>
        <w:rPr>
          <w:rFonts w:ascii="宋体" w:hAnsi="宋体" w:eastAsia="宋体"/>
        </w:rPr>
        <w:t>，即人民币【         】元（大写【         】）。</w:t>
      </w:r>
    </w:p>
    <w:p>
      <w:pPr>
        <w:spacing w:line="360" w:lineRule="auto"/>
        <w:ind w:firstLine="440" w:firstLineChars="200"/>
        <w:rPr>
          <w:rFonts w:hint="eastAsia" w:ascii="宋体" w:hAnsi="宋体" w:eastAsia="宋体"/>
        </w:rPr>
      </w:pPr>
      <w:r>
        <w:rPr>
          <w:rFonts w:hint="eastAsia" w:ascii="宋体" w:hAnsi="宋体" w:eastAsia="宋体"/>
          <w:lang w:val="en-US" w:eastAsia="zh-CN"/>
        </w:rPr>
        <w:t>5.3</w:t>
      </w:r>
      <w:r>
        <w:rPr>
          <w:rFonts w:ascii="宋体" w:hAnsi="宋体" w:eastAsia="宋体"/>
        </w:rPr>
        <w:t>付款前，乙方应将相应金额的合法有效的增值税发票原件及请款报告交至甲方，甲方核对无误后支付前述费用，因乙方逾期提供请款资料及发票或提交资料、发票不符合甲方要求的，甲方付款时间顺延，并不承担逾期付款违约责任。</w:t>
      </w:r>
    </w:p>
    <w:p>
      <w:pPr>
        <w:spacing w:line="360" w:lineRule="auto"/>
        <w:ind w:firstLine="440" w:firstLineChars="200"/>
        <w:rPr>
          <w:rFonts w:hint="eastAsia" w:ascii="宋体" w:hAnsi="宋体" w:eastAsia="宋体"/>
        </w:rPr>
      </w:pPr>
      <w:r>
        <w:rPr>
          <w:rFonts w:hint="eastAsia" w:ascii="宋体" w:hAnsi="宋体" w:eastAsia="宋体"/>
          <w:lang w:val="en-US" w:eastAsia="zh-CN"/>
        </w:rPr>
        <w:t>5.4</w:t>
      </w:r>
      <w:r>
        <w:rPr>
          <w:rFonts w:ascii="宋体" w:hAnsi="宋体" w:eastAsia="宋体"/>
        </w:rPr>
        <w:t>乙方账户信息如下：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840" w:type="dxa"/>
            <w:vAlign w:val="center"/>
          </w:tcPr>
          <w:p>
            <w:pPr>
              <w:spacing w:line="360" w:lineRule="auto"/>
              <w:jc w:val="center"/>
              <w:rPr>
                <w:rFonts w:hint="eastAsia" w:ascii="宋体" w:hAnsi="宋体" w:eastAsia="宋体"/>
              </w:rPr>
            </w:pPr>
            <w:r>
              <w:rPr>
                <w:rFonts w:ascii="宋体" w:hAnsi="宋体" w:eastAsia="宋体"/>
              </w:rPr>
              <w:t>公司名称</w:t>
            </w:r>
          </w:p>
        </w:tc>
        <w:tc>
          <w:tcPr>
            <w:tcW w:w="6593" w:type="dxa"/>
            <w:vAlign w:val="center"/>
          </w:tcPr>
          <w:p>
            <w:pPr>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840" w:type="dxa"/>
            <w:vAlign w:val="center"/>
          </w:tcPr>
          <w:p>
            <w:pPr>
              <w:spacing w:line="360" w:lineRule="auto"/>
              <w:jc w:val="center"/>
              <w:rPr>
                <w:rFonts w:hint="eastAsia" w:ascii="宋体" w:hAnsi="宋体" w:eastAsia="宋体"/>
              </w:rPr>
            </w:pPr>
            <w:r>
              <w:rPr>
                <w:rFonts w:ascii="宋体" w:hAnsi="宋体" w:eastAsia="宋体"/>
              </w:rPr>
              <w:t>开 户 行</w:t>
            </w:r>
          </w:p>
        </w:tc>
        <w:tc>
          <w:tcPr>
            <w:tcW w:w="6593" w:type="dxa"/>
            <w:vAlign w:val="center"/>
          </w:tcPr>
          <w:p>
            <w:pPr>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840" w:type="dxa"/>
            <w:vAlign w:val="center"/>
          </w:tcPr>
          <w:p>
            <w:pPr>
              <w:spacing w:line="360" w:lineRule="auto"/>
              <w:jc w:val="center"/>
              <w:rPr>
                <w:rFonts w:hint="eastAsia" w:ascii="宋体" w:hAnsi="宋体" w:eastAsia="宋体"/>
              </w:rPr>
            </w:pPr>
            <w:r>
              <w:rPr>
                <w:rFonts w:ascii="宋体" w:hAnsi="宋体" w:eastAsia="宋体"/>
              </w:rPr>
              <w:t>开户名称</w:t>
            </w:r>
          </w:p>
        </w:tc>
        <w:tc>
          <w:tcPr>
            <w:tcW w:w="6593" w:type="dxa"/>
            <w:vAlign w:val="center"/>
          </w:tcPr>
          <w:p>
            <w:pPr>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840" w:type="dxa"/>
            <w:vAlign w:val="center"/>
          </w:tcPr>
          <w:p>
            <w:pPr>
              <w:spacing w:line="360" w:lineRule="auto"/>
              <w:jc w:val="center"/>
              <w:rPr>
                <w:rFonts w:hint="eastAsia" w:ascii="宋体" w:hAnsi="宋体" w:eastAsia="宋体"/>
              </w:rPr>
            </w:pPr>
            <w:r>
              <w:rPr>
                <w:rFonts w:ascii="宋体" w:hAnsi="宋体" w:eastAsia="宋体"/>
              </w:rPr>
              <w:t>开户账号</w:t>
            </w:r>
          </w:p>
        </w:tc>
        <w:tc>
          <w:tcPr>
            <w:tcW w:w="6593" w:type="dxa"/>
            <w:vAlign w:val="center"/>
          </w:tcPr>
          <w:p>
            <w:pPr>
              <w:spacing w:line="360" w:lineRule="auto"/>
              <w:jc w:val="center"/>
              <w:rPr>
                <w:rFonts w:hint="eastAsia" w:ascii="宋体" w:hAnsi="宋体" w:eastAsia="宋体"/>
              </w:rPr>
            </w:pPr>
          </w:p>
        </w:tc>
      </w:tr>
    </w:tbl>
    <w:p>
      <w:pPr>
        <w:spacing w:line="360" w:lineRule="auto"/>
        <w:ind w:firstLine="440" w:firstLineChars="200"/>
        <w:rPr>
          <w:rFonts w:hint="eastAsia" w:ascii="宋体" w:hAnsi="宋体" w:eastAsia="宋体"/>
        </w:rPr>
      </w:pPr>
      <w:r>
        <w:rPr>
          <w:rFonts w:ascii="宋体" w:hAnsi="宋体" w:eastAsia="宋体"/>
        </w:rPr>
        <w:t>第六条 项目验收</w:t>
      </w:r>
    </w:p>
    <w:p>
      <w:pPr>
        <w:spacing w:line="360" w:lineRule="auto"/>
        <w:ind w:firstLine="440" w:firstLineChars="200"/>
        <w:rPr>
          <w:rFonts w:hint="eastAsia" w:ascii="宋体" w:hAnsi="宋体" w:eastAsia="宋体"/>
        </w:rPr>
      </w:pPr>
      <w:r>
        <w:rPr>
          <w:rFonts w:hint="eastAsia" w:ascii="宋体" w:hAnsi="宋体" w:eastAsia="宋体"/>
          <w:lang w:val="en-US" w:eastAsia="zh-CN"/>
        </w:rPr>
        <w:t>6.1</w:t>
      </w:r>
      <w:r>
        <w:rPr>
          <w:rFonts w:ascii="宋体" w:hAnsi="宋体" w:eastAsia="宋体"/>
        </w:rPr>
        <w:t>验收标准：本项目采用</w:t>
      </w:r>
      <w:r>
        <w:rPr>
          <w:rFonts w:ascii="宋体" w:hAnsi="宋体" w:eastAsia="宋体"/>
          <w:u w:val="single"/>
        </w:rPr>
        <w:t xml:space="preserve"> 现场验收 </w:t>
      </w:r>
      <w:r>
        <w:rPr>
          <w:rFonts w:hint="eastAsia" w:ascii="宋体" w:hAnsi="宋体" w:eastAsia="宋体"/>
          <w:u w:val="single"/>
          <w:lang w:val="en-US" w:eastAsia="zh-CN"/>
        </w:rPr>
        <w:t>的</w:t>
      </w:r>
      <w:r>
        <w:rPr>
          <w:rFonts w:ascii="宋体" w:hAnsi="宋体" w:eastAsia="宋体"/>
        </w:rPr>
        <w:t>方式验收,验收标准以双方共同确认的《</w:t>
      </w:r>
      <w:r>
        <w:rPr>
          <w:rFonts w:hint="eastAsia" w:ascii="宋体" w:hAnsi="宋体" w:eastAsia="宋体"/>
        </w:rPr>
        <w:t>东莞市碧水信息科技有限公司仓库信息系统</w:t>
      </w:r>
      <w:r>
        <w:rPr>
          <w:rFonts w:ascii="宋体" w:hAnsi="宋体" w:eastAsia="宋体"/>
        </w:rPr>
        <w:t>开发服务项目清单》的内容要求为准。</w:t>
      </w:r>
    </w:p>
    <w:p>
      <w:pPr>
        <w:spacing w:line="360" w:lineRule="auto"/>
        <w:ind w:firstLine="440" w:firstLineChars="200"/>
        <w:rPr>
          <w:rFonts w:hint="eastAsia" w:ascii="宋体" w:hAnsi="宋体" w:eastAsia="宋体"/>
        </w:rPr>
      </w:pPr>
      <w:r>
        <w:rPr>
          <w:rFonts w:hint="eastAsia" w:ascii="宋体" w:hAnsi="宋体" w:eastAsia="宋体"/>
          <w:lang w:val="en-US" w:eastAsia="zh-CN"/>
        </w:rPr>
        <w:t>6.2</w:t>
      </w:r>
      <w:r>
        <w:rPr>
          <w:rFonts w:ascii="宋体" w:hAnsi="宋体" w:eastAsia="宋体"/>
        </w:rPr>
        <w:t>验收由双方人员共同参与。系统部署完成后，乙方积极配合接口联调，接口符合本合同要求，</w:t>
      </w:r>
      <w:r>
        <w:rPr>
          <w:rFonts w:hint="eastAsia" w:ascii="宋体" w:hAnsi="宋体" w:eastAsia="宋体"/>
        </w:rPr>
        <w:t>东莞市碧水信息科技有限公司仓库信息系统</w:t>
      </w:r>
      <w:r>
        <w:rPr>
          <w:rFonts w:ascii="宋体" w:hAnsi="宋体" w:eastAsia="宋体"/>
        </w:rPr>
        <w:t>能够正常运行，即视为验收通过，验收通过后甲方与乙方共同签署</w:t>
      </w:r>
      <w:r>
        <w:rPr>
          <w:rFonts w:ascii="宋体" w:hAnsi="宋体" w:eastAsia="宋体"/>
          <w:u w:val="single"/>
        </w:rPr>
        <w:t xml:space="preserve"> 贰 </w:t>
      </w:r>
      <w:r>
        <w:rPr>
          <w:rFonts w:ascii="宋体" w:hAnsi="宋体" w:eastAsia="宋体"/>
        </w:rPr>
        <w:t>份服务验收单，甲、乙双方各保存</w:t>
      </w:r>
      <w:r>
        <w:rPr>
          <w:rFonts w:ascii="宋体" w:hAnsi="宋体" w:eastAsia="宋体"/>
          <w:u w:val="single"/>
        </w:rPr>
        <w:t xml:space="preserve"> 壹 </w:t>
      </w:r>
      <w:r>
        <w:rPr>
          <w:rFonts w:ascii="宋体" w:hAnsi="宋体" w:eastAsia="宋体"/>
        </w:rPr>
        <w:t>份。</w:t>
      </w:r>
    </w:p>
    <w:p>
      <w:pPr>
        <w:spacing w:line="360" w:lineRule="auto"/>
        <w:ind w:firstLine="440" w:firstLineChars="200"/>
        <w:rPr>
          <w:rFonts w:hint="eastAsia" w:ascii="宋体" w:hAnsi="宋体" w:eastAsia="宋体"/>
        </w:rPr>
      </w:pPr>
      <w:r>
        <w:rPr>
          <w:rFonts w:hint="eastAsia" w:ascii="宋体" w:hAnsi="宋体" w:eastAsia="宋体"/>
          <w:lang w:val="en-US" w:eastAsia="zh-CN"/>
        </w:rPr>
        <w:t>6.3如遇</w:t>
      </w:r>
      <w:r>
        <w:rPr>
          <w:rFonts w:ascii="宋体" w:hAnsi="宋体" w:eastAsia="宋体"/>
        </w:rPr>
        <w:t>验收不合格</w:t>
      </w:r>
      <w:r>
        <w:rPr>
          <w:rFonts w:hint="eastAsia" w:ascii="宋体" w:hAnsi="宋体" w:eastAsia="宋体"/>
          <w:lang w:val="en-US" w:eastAsia="zh-CN"/>
        </w:rPr>
        <w:t>的情况</w:t>
      </w:r>
      <w:r>
        <w:rPr>
          <w:rFonts w:ascii="宋体" w:hAnsi="宋体" w:eastAsia="宋体"/>
        </w:rPr>
        <w:t>，</w:t>
      </w:r>
      <w:r>
        <w:rPr>
          <w:rFonts w:hint="eastAsia" w:ascii="宋体" w:hAnsi="宋体" w:eastAsia="宋体"/>
          <w:lang w:val="en-US" w:eastAsia="zh-CN"/>
        </w:rPr>
        <w:t>甲方</w:t>
      </w:r>
      <w:r>
        <w:rPr>
          <w:rFonts w:ascii="宋体" w:hAnsi="宋体" w:eastAsia="宋体"/>
        </w:rPr>
        <w:t>应出具书面的异议，乙方应及时加以修改纠正，直到验收合格为止，乙方应在接受甲方书面异议后3个日历天内对软件完成整改，甲方再行组织对</w:t>
      </w:r>
      <w:r>
        <w:rPr>
          <w:rFonts w:hint="eastAsia" w:ascii="宋体" w:hAnsi="宋体" w:eastAsia="宋体"/>
        </w:rPr>
        <w:t>仓库信息系统</w:t>
      </w:r>
      <w:r>
        <w:rPr>
          <w:rFonts w:ascii="宋体" w:hAnsi="宋体" w:eastAsia="宋体"/>
        </w:rPr>
        <w:t>软件</w:t>
      </w:r>
      <w:r>
        <w:rPr>
          <w:rFonts w:hint="eastAsia" w:ascii="宋体" w:hAnsi="宋体" w:eastAsia="宋体"/>
        </w:rPr>
        <w:t>系统</w:t>
      </w:r>
      <w:r>
        <w:rPr>
          <w:rFonts w:ascii="宋体" w:hAnsi="宋体" w:eastAsia="宋体"/>
        </w:rPr>
        <w:t>进行验收，由此造成的工期延迟由乙方承担相应违约责任。如经甲方组织验收达3次后仍未验收合格的，甲方有权解除本合同，并要求乙方支付违约金，由此给甲方造成的损失，乙方承担赔偿责任。</w:t>
      </w:r>
    </w:p>
    <w:p>
      <w:pPr>
        <w:spacing w:line="360" w:lineRule="auto"/>
        <w:ind w:firstLine="440" w:firstLineChars="200"/>
        <w:rPr>
          <w:rFonts w:hint="eastAsia" w:ascii="宋体" w:hAnsi="宋体" w:eastAsia="宋体"/>
        </w:rPr>
      </w:pPr>
      <w:r>
        <w:rPr>
          <w:rFonts w:ascii="宋体" w:hAnsi="宋体" w:eastAsia="宋体"/>
        </w:rPr>
        <w:t>第七条 质保期及售后服务要求</w:t>
      </w:r>
    </w:p>
    <w:p>
      <w:pPr>
        <w:spacing w:line="360" w:lineRule="auto"/>
        <w:ind w:firstLine="440" w:firstLineChars="200"/>
        <w:rPr>
          <w:rFonts w:hint="eastAsia" w:ascii="宋体" w:hAnsi="宋体" w:eastAsia="宋体"/>
        </w:rPr>
      </w:pPr>
      <w:r>
        <w:rPr>
          <w:rFonts w:ascii="宋体" w:hAnsi="宋体" w:eastAsia="宋体"/>
        </w:rPr>
        <w:t>乙方对本项目提供质保期为一年的维护保修服务，质保期自验收合格之日起算。维护方式可以通过邮件、网络、远程或者现场方式进行。在质保期内，乙方应积极履行维修维护的责任，需自接到甲方通知后的12小时内对软件</w:t>
      </w:r>
      <w:r>
        <w:rPr>
          <w:rFonts w:hint="eastAsia" w:ascii="宋体" w:hAnsi="宋体" w:eastAsia="宋体"/>
        </w:rPr>
        <w:t>系统</w:t>
      </w:r>
      <w:r>
        <w:rPr>
          <w:rFonts w:ascii="宋体" w:hAnsi="宋体" w:eastAsia="宋体"/>
        </w:rPr>
        <w:t>进行维修并使</w:t>
      </w:r>
      <w:r>
        <w:rPr>
          <w:rFonts w:hint="eastAsia" w:ascii="宋体" w:hAnsi="宋体" w:eastAsia="宋体"/>
        </w:rPr>
        <w:t>东莞市碧水信息科技有限公司仓库信息系统</w:t>
      </w:r>
      <w:r>
        <w:rPr>
          <w:rFonts w:ascii="宋体" w:hAnsi="宋体" w:eastAsia="宋体"/>
        </w:rPr>
        <w:t>功能正常运行，如乙方在接到甲方通知后未能及时对该</w:t>
      </w:r>
      <w:r>
        <w:rPr>
          <w:rFonts w:hint="eastAsia" w:ascii="宋体" w:hAnsi="宋体" w:eastAsia="宋体"/>
        </w:rPr>
        <w:t>系统</w:t>
      </w:r>
      <w:r>
        <w:rPr>
          <w:rFonts w:ascii="宋体" w:hAnsi="宋体" w:eastAsia="宋体"/>
        </w:rPr>
        <w:t>进行维修维护或未及时使该</w:t>
      </w:r>
      <w:r>
        <w:rPr>
          <w:rFonts w:hint="eastAsia" w:ascii="宋体" w:hAnsi="宋体" w:eastAsia="宋体"/>
        </w:rPr>
        <w:t>系统</w:t>
      </w:r>
      <w:r>
        <w:rPr>
          <w:rFonts w:ascii="宋体" w:hAnsi="宋体" w:eastAsia="宋体"/>
        </w:rPr>
        <w:t>正常运行的，甲方有权委托第三方进行修复，由此产生的费用由乙方承担。</w:t>
      </w:r>
    </w:p>
    <w:p>
      <w:pPr>
        <w:spacing w:line="360" w:lineRule="auto"/>
        <w:ind w:firstLine="440" w:firstLineChars="200"/>
        <w:rPr>
          <w:rFonts w:hint="eastAsia" w:ascii="宋体" w:hAnsi="宋体" w:eastAsia="宋体"/>
        </w:rPr>
      </w:pPr>
      <w:r>
        <w:rPr>
          <w:rFonts w:ascii="宋体" w:hAnsi="宋体" w:eastAsia="宋体"/>
        </w:rPr>
        <w:t>第八条 双方的权利和义务</w:t>
      </w:r>
    </w:p>
    <w:p>
      <w:pPr>
        <w:spacing w:line="360" w:lineRule="auto"/>
        <w:ind w:firstLine="440" w:firstLineChars="200"/>
        <w:rPr>
          <w:rFonts w:hint="eastAsia" w:ascii="宋体" w:hAnsi="宋体" w:eastAsia="宋体"/>
        </w:rPr>
      </w:pPr>
      <w:r>
        <w:rPr>
          <w:rFonts w:hint="eastAsia" w:ascii="宋体" w:hAnsi="宋体" w:eastAsia="宋体"/>
          <w:lang w:val="en-US" w:eastAsia="zh-CN"/>
        </w:rPr>
        <w:t>8.1</w:t>
      </w:r>
      <w:r>
        <w:rPr>
          <w:rFonts w:ascii="宋体" w:hAnsi="宋体" w:eastAsia="宋体"/>
        </w:rPr>
        <w:t>甲方的权利和义务</w:t>
      </w:r>
    </w:p>
    <w:p>
      <w:pPr>
        <w:spacing w:line="360" w:lineRule="auto"/>
        <w:ind w:firstLine="440" w:firstLineChars="200"/>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w:t>
      </w:r>
      <w:r>
        <w:rPr>
          <w:rFonts w:ascii="宋体" w:hAnsi="宋体" w:eastAsia="宋体"/>
        </w:rPr>
        <w:t>甲方有权及时了解和监督本项目实施服务的进展情况，并应向乙方提供完成本项目实施服务所必需的资料和工作条件。</w:t>
      </w:r>
    </w:p>
    <w:p>
      <w:pPr>
        <w:spacing w:line="360" w:lineRule="auto"/>
        <w:ind w:firstLine="440" w:firstLineChars="200"/>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2</w:t>
      </w:r>
      <w:r>
        <w:rPr>
          <w:rFonts w:hint="eastAsia" w:ascii="宋体" w:hAnsi="宋体" w:eastAsia="宋体"/>
          <w:lang w:eastAsia="zh-CN"/>
        </w:rPr>
        <w:t>）</w:t>
      </w:r>
      <w:r>
        <w:rPr>
          <w:rFonts w:ascii="宋体" w:hAnsi="宋体" w:eastAsia="宋体"/>
        </w:rPr>
        <w:t>甲方负责协调各部门人员及第三方公司配合，保证乙方提供的本项目实施服务工作顺利进行。</w:t>
      </w:r>
    </w:p>
    <w:p>
      <w:pPr>
        <w:spacing w:line="360" w:lineRule="auto"/>
        <w:ind w:firstLine="440" w:firstLineChars="200"/>
        <w:rPr>
          <w:rFonts w:ascii="宋体" w:hAnsi="宋体" w:eastAsia="宋体"/>
        </w:rPr>
      </w:pPr>
      <w:r>
        <w:rPr>
          <w:rFonts w:hint="eastAsia" w:ascii="宋体" w:hAnsi="宋体" w:eastAsia="宋体"/>
          <w:lang w:eastAsia="zh-CN"/>
        </w:rPr>
        <w:t>（</w:t>
      </w:r>
      <w:r>
        <w:rPr>
          <w:rFonts w:hint="eastAsia" w:ascii="宋体" w:hAnsi="宋体" w:eastAsia="宋体"/>
          <w:lang w:val="en-US" w:eastAsia="zh-CN"/>
        </w:rPr>
        <w:t>3</w:t>
      </w:r>
      <w:r>
        <w:rPr>
          <w:rFonts w:hint="eastAsia" w:ascii="宋体" w:hAnsi="宋体" w:eastAsia="宋体"/>
          <w:lang w:eastAsia="zh-CN"/>
        </w:rPr>
        <w:t>）</w:t>
      </w:r>
      <w:r>
        <w:rPr>
          <w:rFonts w:ascii="宋体" w:hAnsi="宋体" w:eastAsia="宋体"/>
        </w:rPr>
        <w:t>甲方应当按照合同约定向乙方支付合同价款。</w:t>
      </w:r>
    </w:p>
    <w:p>
      <w:pPr>
        <w:spacing w:line="360" w:lineRule="auto"/>
        <w:ind w:firstLine="440" w:firstLineChars="200"/>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4</w:t>
      </w:r>
      <w:r>
        <w:rPr>
          <w:rFonts w:hint="eastAsia" w:ascii="宋体" w:hAnsi="宋体" w:eastAsia="宋体"/>
          <w:lang w:eastAsia="zh-CN"/>
        </w:rPr>
        <w:t>）</w:t>
      </w:r>
      <w:r>
        <w:rPr>
          <w:rFonts w:ascii="宋体" w:hAnsi="宋体" w:eastAsia="宋体"/>
        </w:rPr>
        <w:t>如因甲方的业务需求产生较大的变更、外在不可抗力因素、甲方人员不积极配合、不能满足试用或使用等原因致使项目期限需要延长的，甲方应及时知会乙方，由甲乙双方对服务期限延期协商处理</w:t>
      </w:r>
      <w:r>
        <w:rPr>
          <w:rFonts w:hint="eastAsia" w:ascii="宋体" w:hAnsi="宋体" w:eastAsia="宋体"/>
          <w:lang w:eastAsia="zh-CN"/>
        </w:rPr>
        <w:t>。</w:t>
      </w:r>
    </w:p>
    <w:p>
      <w:pPr>
        <w:spacing w:line="360" w:lineRule="auto"/>
        <w:ind w:firstLine="440" w:firstLineChars="200"/>
        <w:rPr>
          <w:rFonts w:hint="eastAsia" w:ascii="宋体" w:hAnsi="宋体" w:eastAsia="宋体"/>
        </w:rPr>
      </w:pPr>
      <w:r>
        <w:rPr>
          <w:rFonts w:hint="eastAsia" w:ascii="宋体" w:hAnsi="宋体" w:eastAsia="宋体"/>
          <w:lang w:val="en-US" w:eastAsia="zh-CN"/>
        </w:rPr>
        <w:t>8.2</w:t>
      </w:r>
      <w:r>
        <w:rPr>
          <w:rFonts w:ascii="宋体" w:hAnsi="宋体" w:eastAsia="宋体"/>
        </w:rPr>
        <w:t>乙方的权利和义务</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40" w:firstLineChars="200"/>
        <w:jc w:val="left"/>
        <w:rPr>
          <w:rFonts w:ascii="宋体" w:hAnsi="宋体" w:eastAsia="宋体"/>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w:t>
      </w:r>
      <w:r>
        <w:rPr>
          <w:rFonts w:ascii="宋体" w:hAnsi="宋体" w:eastAsia="宋体"/>
        </w:rPr>
        <w:t>乙方有权按照本合同约定收取合同价款。</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40" w:firstLineChars="200"/>
        <w:jc w:val="left"/>
        <w:rPr>
          <w:rFonts w:ascii="宋体" w:hAnsi="宋体" w:eastAsia="宋体"/>
        </w:rPr>
      </w:pPr>
      <w:r>
        <w:rPr>
          <w:rFonts w:hint="eastAsia" w:ascii="宋体" w:hAnsi="宋体" w:eastAsia="宋体" w:cstheme="minorBidi"/>
          <w:b w:val="0"/>
          <w:bCs w:val="0"/>
          <w:i w:val="0"/>
          <w:iCs w:val="0"/>
          <w:caps w:val="0"/>
          <w:spacing w:val="0"/>
          <w:sz w:val="22"/>
          <w:szCs w:val="22"/>
          <w:shd w:val="clear"/>
          <w:lang w:eastAsia="zh-CN"/>
        </w:rPr>
        <w:t>（</w:t>
      </w:r>
      <w:r>
        <w:rPr>
          <w:rFonts w:hint="eastAsia" w:ascii="宋体" w:hAnsi="宋体" w:eastAsia="宋体" w:cstheme="minorBidi"/>
          <w:b w:val="0"/>
          <w:bCs w:val="0"/>
          <w:i w:val="0"/>
          <w:iCs w:val="0"/>
          <w:caps w:val="0"/>
          <w:spacing w:val="0"/>
          <w:sz w:val="22"/>
          <w:szCs w:val="22"/>
          <w:shd w:val="clear"/>
          <w:lang w:val="en-US" w:eastAsia="zh-CN"/>
        </w:rPr>
        <w:t>2</w:t>
      </w:r>
      <w:r>
        <w:rPr>
          <w:rFonts w:hint="eastAsia" w:ascii="宋体" w:hAnsi="宋体" w:eastAsia="宋体" w:cstheme="minorBidi"/>
          <w:b w:val="0"/>
          <w:bCs w:val="0"/>
          <w:i w:val="0"/>
          <w:iCs w:val="0"/>
          <w:caps w:val="0"/>
          <w:spacing w:val="0"/>
          <w:sz w:val="22"/>
          <w:szCs w:val="22"/>
          <w:shd w:val="clear"/>
          <w:lang w:eastAsia="zh-CN"/>
        </w:rPr>
        <w:t>）</w:t>
      </w:r>
      <w:r>
        <w:rPr>
          <w:rFonts w:hint="default" w:ascii="宋体" w:hAnsi="宋体" w:eastAsia="宋体" w:cstheme="minorBidi"/>
          <w:i w:val="0"/>
          <w:iCs w:val="0"/>
          <w:caps w:val="0"/>
          <w:spacing w:val="0"/>
          <w:sz w:val="22"/>
          <w:szCs w:val="22"/>
          <w:shd w:val="clear"/>
        </w:rPr>
        <w:t>乙方</w:t>
      </w:r>
      <w:r>
        <w:rPr>
          <w:rFonts w:hint="eastAsia" w:ascii="宋体" w:hAnsi="宋体" w:eastAsia="宋体" w:cstheme="minorBidi"/>
          <w:i w:val="0"/>
          <w:iCs w:val="0"/>
          <w:caps w:val="0"/>
          <w:spacing w:val="0"/>
          <w:sz w:val="22"/>
          <w:szCs w:val="22"/>
          <w:shd w:val="clear"/>
          <w:lang w:val="en-US" w:eastAsia="zh-CN"/>
        </w:rPr>
        <w:t>需</w:t>
      </w:r>
      <w:r>
        <w:rPr>
          <w:rFonts w:hint="default" w:ascii="宋体" w:hAnsi="宋体" w:eastAsia="宋体" w:cstheme="minorBidi"/>
          <w:i w:val="0"/>
          <w:iCs w:val="0"/>
          <w:caps w:val="0"/>
          <w:spacing w:val="0"/>
          <w:sz w:val="22"/>
          <w:szCs w:val="22"/>
          <w:shd w:val="clear"/>
        </w:rPr>
        <w:t>保证其提供的软件及服务不侵犯任何第三方的知识产权。如发生相关索赔，由乙方承担全部责任及费用。</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40" w:firstLineChars="200"/>
        <w:jc w:val="left"/>
        <w:rPr>
          <w:rFonts w:ascii="宋体" w:hAnsi="宋体" w:eastAsia="宋体"/>
        </w:rPr>
      </w:pPr>
      <w:r>
        <w:rPr>
          <w:rFonts w:hint="eastAsia" w:ascii="宋体" w:hAnsi="宋体" w:eastAsia="宋体" w:cstheme="minorBidi"/>
          <w:b w:val="0"/>
          <w:bCs w:val="0"/>
          <w:i w:val="0"/>
          <w:iCs w:val="0"/>
          <w:caps w:val="0"/>
          <w:spacing w:val="0"/>
          <w:sz w:val="22"/>
          <w:szCs w:val="22"/>
          <w:shd w:val="clear"/>
          <w:lang w:eastAsia="zh-CN"/>
        </w:rPr>
        <w:t>（</w:t>
      </w:r>
      <w:r>
        <w:rPr>
          <w:rFonts w:hint="eastAsia" w:ascii="宋体" w:hAnsi="宋体" w:eastAsia="宋体" w:cstheme="minorBidi"/>
          <w:b w:val="0"/>
          <w:bCs w:val="0"/>
          <w:i w:val="0"/>
          <w:iCs w:val="0"/>
          <w:caps w:val="0"/>
          <w:spacing w:val="0"/>
          <w:sz w:val="22"/>
          <w:szCs w:val="22"/>
          <w:shd w:val="clear"/>
          <w:lang w:val="en-US" w:eastAsia="zh-CN"/>
        </w:rPr>
        <w:t>3</w:t>
      </w:r>
      <w:r>
        <w:rPr>
          <w:rFonts w:hint="eastAsia" w:ascii="宋体" w:hAnsi="宋体" w:eastAsia="宋体" w:cstheme="minorBidi"/>
          <w:b w:val="0"/>
          <w:bCs w:val="0"/>
          <w:i w:val="0"/>
          <w:iCs w:val="0"/>
          <w:caps w:val="0"/>
          <w:spacing w:val="0"/>
          <w:sz w:val="22"/>
          <w:szCs w:val="22"/>
          <w:shd w:val="clear"/>
          <w:lang w:eastAsia="zh-CN"/>
        </w:rPr>
        <w:t>）</w:t>
      </w:r>
      <w:r>
        <w:rPr>
          <w:rFonts w:hint="default" w:ascii="宋体" w:hAnsi="宋体" w:eastAsia="宋体" w:cstheme="minorBidi"/>
          <w:i w:val="0"/>
          <w:iCs w:val="0"/>
          <w:caps w:val="0"/>
          <w:spacing w:val="0"/>
          <w:sz w:val="22"/>
          <w:szCs w:val="22"/>
          <w:shd w:val="clear"/>
        </w:rPr>
        <w:t>乙方在项目实施过程中获取的甲方任何数据、资料均为甲方商业秘密，负有严格的保密义务。</w:t>
      </w:r>
    </w:p>
    <w:p>
      <w:pPr>
        <w:numPr>
          <w:ilvl w:val="0"/>
          <w:numId w:val="0"/>
        </w:numPr>
        <w:spacing w:after="0" w:line="360" w:lineRule="auto"/>
        <w:ind w:firstLine="440" w:firstLineChars="200"/>
        <w:rPr>
          <w:rFonts w:hint="eastAsia" w:ascii="宋体" w:hAnsi="宋体" w:eastAsia="宋体"/>
        </w:rPr>
      </w:pPr>
      <w:r>
        <w:rPr>
          <w:rFonts w:hint="eastAsia" w:ascii="宋体" w:hAnsi="宋体" w:eastAsia="宋体" w:cstheme="minorBidi"/>
          <w:b w:val="0"/>
          <w:bCs w:val="0"/>
          <w:i w:val="0"/>
          <w:iCs w:val="0"/>
          <w:caps w:val="0"/>
          <w:spacing w:val="0"/>
          <w:sz w:val="22"/>
          <w:szCs w:val="22"/>
          <w:shd w:val="clear"/>
          <w:lang w:eastAsia="zh-CN"/>
        </w:rPr>
        <w:t>（</w:t>
      </w:r>
      <w:r>
        <w:rPr>
          <w:rFonts w:hint="eastAsia" w:ascii="宋体" w:hAnsi="宋体" w:eastAsia="宋体" w:cstheme="minorBidi"/>
          <w:b w:val="0"/>
          <w:bCs w:val="0"/>
          <w:i w:val="0"/>
          <w:iCs w:val="0"/>
          <w:caps w:val="0"/>
          <w:spacing w:val="0"/>
          <w:sz w:val="22"/>
          <w:szCs w:val="22"/>
          <w:shd w:val="clear"/>
          <w:lang w:val="en-US" w:eastAsia="zh-CN"/>
        </w:rPr>
        <w:t>4</w:t>
      </w:r>
      <w:r>
        <w:rPr>
          <w:rFonts w:hint="eastAsia" w:ascii="宋体" w:hAnsi="宋体" w:eastAsia="宋体" w:cstheme="minorBidi"/>
          <w:b w:val="0"/>
          <w:bCs w:val="0"/>
          <w:i w:val="0"/>
          <w:iCs w:val="0"/>
          <w:caps w:val="0"/>
          <w:spacing w:val="0"/>
          <w:sz w:val="22"/>
          <w:szCs w:val="22"/>
          <w:shd w:val="clear"/>
          <w:lang w:eastAsia="zh-CN"/>
        </w:rPr>
        <w:t>）</w:t>
      </w:r>
      <w:r>
        <w:rPr>
          <w:rFonts w:hint="default" w:ascii="宋体" w:hAnsi="宋体" w:eastAsia="宋体" w:cstheme="minorBidi"/>
          <w:i w:val="0"/>
          <w:iCs w:val="0"/>
          <w:caps w:val="0"/>
          <w:spacing w:val="0"/>
          <w:sz w:val="22"/>
          <w:szCs w:val="22"/>
          <w:shd w:val="clear"/>
        </w:rPr>
        <w:t>乙方保证其提供的产品及服务符合国家信息安全等级保护等相关法律法规要求。</w:t>
      </w:r>
    </w:p>
    <w:p>
      <w:pPr>
        <w:spacing w:line="360" w:lineRule="auto"/>
        <w:ind w:firstLine="440" w:firstLineChars="200"/>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5</w:t>
      </w:r>
      <w:r>
        <w:rPr>
          <w:rFonts w:hint="eastAsia" w:ascii="宋体" w:hAnsi="宋体" w:eastAsia="宋体"/>
          <w:lang w:eastAsia="zh-CN"/>
        </w:rPr>
        <w:t>）</w:t>
      </w:r>
      <w:r>
        <w:rPr>
          <w:rFonts w:ascii="宋体" w:hAnsi="宋体" w:eastAsia="宋体"/>
        </w:rPr>
        <w:t>乙方保证所交付的软件产品（或服务）是完整的，满足安全、可靠和高效运行与方便维护的全部要求并且符合本合同要求。</w:t>
      </w:r>
    </w:p>
    <w:p>
      <w:pPr>
        <w:spacing w:line="360" w:lineRule="auto"/>
        <w:ind w:firstLine="440" w:firstLineChars="200"/>
        <w:rPr>
          <w:rFonts w:hint="eastAsia" w:ascii="宋体" w:hAnsi="宋体" w:eastAsia="宋体"/>
        </w:rPr>
      </w:pPr>
      <w:r>
        <w:rPr>
          <w:rFonts w:ascii="宋体" w:hAnsi="宋体" w:eastAsia="宋体"/>
        </w:rPr>
        <w:t>第九条 违约责任</w:t>
      </w:r>
    </w:p>
    <w:p>
      <w:pPr>
        <w:spacing w:line="360" w:lineRule="auto"/>
        <w:ind w:firstLine="440" w:firstLineChars="200"/>
        <w:rPr>
          <w:rFonts w:hint="eastAsia" w:ascii="宋体" w:hAnsi="宋体" w:eastAsia="宋体"/>
          <w:lang w:val="en-US" w:eastAsia="zh-CN"/>
        </w:rPr>
      </w:pPr>
      <w:r>
        <w:rPr>
          <w:rFonts w:hint="eastAsia" w:ascii="宋体" w:hAnsi="宋体" w:eastAsia="宋体"/>
          <w:lang w:val="en-US" w:eastAsia="zh-CN"/>
        </w:rPr>
        <w:t>9.1乙方未按本合同约定提供服务、提供阶段性服务成果、完成本项目系统实施等全部工作并经甲方书面确认验收合格完成交付的，每逾期1日，乙方应按合同含税总金额的0.5%向甲方支付违约金；逾期达【20】日及以上的，甲方有权解除合同，乙方除应按甲方要求一次性返还全部已收款项外，还应按合同含税总金额的20%向甲方支付违约金。</w:t>
      </w:r>
    </w:p>
    <w:p>
      <w:pPr>
        <w:spacing w:line="360" w:lineRule="auto"/>
        <w:ind w:firstLine="440" w:firstLineChars="200"/>
        <w:rPr>
          <w:rFonts w:hint="eastAsia" w:ascii="宋体" w:hAnsi="宋体" w:eastAsia="宋体"/>
        </w:rPr>
      </w:pPr>
      <w:r>
        <w:rPr>
          <w:rFonts w:hint="eastAsia" w:ascii="宋体" w:hAnsi="宋体" w:eastAsia="宋体"/>
          <w:lang w:val="en-US" w:eastAsia="zh-CN"/>
        </w:rPr>
        <w:t>9.2未经甲方书面同意，乙方将本合同项下部分或全部工作委托给第三方承担的，甲方有权解除合同，乙方除应按甲方要求一次性返还全部已收款项外，还应按合同含税总金额的20%向甲方支付违约金。</w:t>
      </w:r>
    </w:p>
    <w:p>
      <w:pPr>
        <w:spacing w:line="360" w:lineRule="auto"/>
        <w:ind w:firstLine="440" w:firstLineChars="200"/>
        <w:rPr>
          <w:rFonts w:hint="eastAsia" w:ascii="宋体" w:hAnsi="宋体" w:eastAsia="宋体"/>
          <w:lang w:val="en-US" w:eastAsia="zh-CN"/>
        </w:rPr>
      </w:pPr>
      <w:r>
        <w:rPr>
          <w:rFonts w:hint="eastAsia" w:ascii="宋体" w:hAnsi="宋体" w:eastAsia="宋体"/>
          <w:lang w:val="en-US" w:eastAsia="zh-CN"/>
        </w:rPr>
        <w:t>9.3乙方违反本合同约定之保密义务的，甲方有权解除合同，乙方除应按甲方要求一次性返还全部已收款项外，还应按合同含税总金额的20%向甲方支付违约金并赔偿甲方全部经济损失。若损失难以界定的，乙方应按人民币 10,000元/次的标准向甲方支付违约金。</w:t>
      </w:r>
    </w:p>
    <w:p>
      <w:pPr>
        <w:spacing w:line="360" w:lineRule="auto"/>
        <w:ind w:firstLine="440" w:firstLineChars="200"/>
        <w:rPr>
          <w:rFonts w:hint="eastAsia" w:ascii="宋体" w:hAnsi="宋体" w:eastAsia="宋体"/>
          <w:lang w:val="en-US" w:eastAsia="zh-CN"/>
        </w:rPr>
      </w:pPr>
      <w:r>
        <w:rPr>
          <w:rFonts w:hint="eastAsia" w:ascii="宋体" w:hAnsi="宋体" w:eastAsia="宋体"/>
          <w:lang w:val="en-US" w:eastAsia="zh-CN"/>
        </w:rPr>
        <w:t>9.4如因乙方原因导致提供的系统软件存在侵犯第三方知识产权或其他合法权益的情形，乙方除了承担全部赔偿责任（包括但不仅限于因此产生的直接损失、因此而产生的诉讼费、律师费等各项间接费用）之外，还应按照合同含税总金额的20%向甲方支付违约金。</w:t>
      </w:r>
    </w:p>
    <w:p>
      <w:pPr>
        <w:spacing w:line="360" w:lineRule="auto"/>
        <w:ind w:firstLine="440" w:firstLineChars="200"/>
        <w:rPr>
          <w:rFonts w:hint="eastAsia" w:ascii="宋体" w:hAnsi="宋体" w:eastAsia="宋体"/>
          <w:lang w:val="en-US" w:eastAsia="zh-CN"/>
        </w:rPr>
      </w:pPr>
      <w:r>
        <w:rPr>
          <w:rFonts w:hint="eastAsia" w:ascii="宋体" w:hAnsi="宋体" w:eastAsia="宋体"/>
          <w:lang w:val="en-US" w:eastAsia="zh-CN"/>
        </w:rPr>
        <w:t>9.5</w:t>
      </w:r>
      <w:r>
        <w:rPr>
          <w:rFonts w:hint="eastAsia" w:ascii="宋体" w:hAnsi="宋体" w:eastAsia="宋体"/>
          <w:lang w:eastAsia="zh-CN"/>
        </w:rPr>
        <w:t>除本合同另有违约责任约定外，乙方违反本合同约定，经甲方通知限期改正而乙方限期内未改正的，乙方每次应按照合同含税总金额的【</w:t>
      </w:r>
      <w:r>
        <w:rPr>
          <w:rFonts w:hint="eastAsia" w:ascii="宋体" w:hAnsi="宋体" w:eastAsia="宋体"/>
          <w:lang w:val="en-US" w:eastAsia="zh-CN"/>
        </w:rPr>
        <w:t>5</w:t>
      </w:r>
      <w:r>
        <w:rPr>
          <w:rFonts w:hint="eastAsia" w:ascii="宋体" w:hAnsi="宋体" w:eastAsia="宋体"/>
          <w:lang w:eastAsia="zh-CN"/>
        </w:rPr>
        <w:t>】%向甲方支付违约金，甲方有权解除合同。</w:t>
      </w:r>
      <w:r>
        <w:rPr>
          <w:rFonts w:hint="eastAsia" w:ascii="宋体" w:hAnsi="宋体" w:eastAsia="宋体"/>
          <w:lang w:val="en-US" w:eastAsia="zh-CN"/>
        </w:rPr>
        <w:t>甲方解除合同的，乙方应按甲方要求一次性返还全部已收款项。</w:t>
      </w:r>
    </w:p>
    <w:p>
      <w:pPr>
        <w:spacing w:line="360" w:lineRule="auto"/>
        <w:ind w:firstLine="440" w:firstLineChars="200"/>
        <w:rPr>
          <w:rFonts w:hint="eastAsia" w:ascii="宋体" w:hAnsi="宋体" w:eastAsia="宋体"/>
          <w:lang w:val="en-US" w:eastAsia="zh-CN"/>
        </w:rPr>
      </w:pPr>
      <w:r>
        <w:rPr>
          <w:rFonts w:hint="eastAsia" w:ascii="宋体" w:hAnsi="宋体" w:eastAsia="宋体"/>
          <w:lang w:val="en-US" w:eastAsia="zh-CN"/>
        </w:rPr>
        <w:t>9.6</w:t>
      </w:r>
      <w:r>
        <w:rPr>
          <w:rFonts w:hint="eastAsia" w:ascii="宋体" w:hAnsi="宋体" w:eastAsia="宋体"/>
          <w:lang w:eastAsia="zh-CN"/>
        </w:rPr>
        <w:t>在</w:t>
      </w:r>
      <w:r>
        <w:rPr>
          <w:rFonts w:hint="eastAsia" w:ascii="宋体" w:hAnsi="宋体" w:eastAsia="宋体"/>
          <w:lang w:val="en-US" w:eastAsia="zh-CN"/>
        </w:rPr>
        <w:t>合同</w:t>
      </w:r>
      <w:r>
        <w:rPr>
          <w:rFonts w:hint="eastAsia" w:ascii="宋体" w:hAnsi="宋体" w:eastAsia="宋体"/>
          <w:lang w:eastAsia="zh-CN"/>
        </w:rPr>
        <w:t>履行过程中，</w:t>
      </w:r>
      <w:r>
        <w:rPr>
          <w:rFonts w:hint="eastAsia" w:ascii="宋体" w:hAnsi="宋体" w:eastAsia="宋体"/>
          <w:lang w:val="zh-TW" w:eastAsia="zh-CN"/>
        </w:rPr>
        <w:t>由于乙方</w:t>
      </w:r>
      <w:r>
        <w:rPr>
          <w:rFonts w:hint="eastAsia" w:ascii="宋体" w:hAnsi="宋体" w:eastAsia="宋体"/>
          <w:lang w:eastAsia="zh-CN"/>
        </w:rPr>
        <w:t>及其服务人员</w:t>
      </w:r>
      <w:r>
        <w:rPr>
          <w:rFonts w:hint="eastAsia" w:ascii="宋体" w:hAnsi="宋体" w:eastAsia="宋体"/>
          <w:lang w:val="zh-TW" w:eastAsia="zh-CN"/>
        </w:rPr>
        <w:t>原因给甲方造成损失的，由乙方负责赔偿。本合同约定的违约金、赔偿金不足以弥补甲方损失的，由乙方补足。且前述款项甲方有权于应付未付乙方款项中直接扣除，乙方对此不持异议</w:t>
      </w:r>
    </w:p>
    <w:p>
      <w:pPr>
        <w:spacing w:line="360" w:lineRule="auto"/>
        <w:ind w:firstLine="440" w:firstLineChars="200"/>
        <w:rPr>
          <w:rFonts w:hint="eastAsia" w:ascii="宋体" w:hAnsi="宋体" w:eastAsia="宋体"/>
        </w:rPr>
      </w:pPr>
      <w:r>
        <w:rPr>
          <w:rFonts w:hint="eastAsia" w:ascii="宋体" w:hAnsi="宋体" w:eastAsia="宋体"/>
          <w:lang w:val="en-US" w:eastAsia="zh-CN"/>
        </w:rPr>
        <w:t>9.7</w:t>
      </w:r>
      <w:r>
        <w:rPr>
          <w:rFonts w:ascii="宋体" w:hAnsi="宋体" w:eastAsia="宋体"/>
        </w:rPr>
        <w:t>双方应本着友好合作的态度履行各自合同义务，一方不履行合同义务或履行合同义务不符合约定，守约方有权要求违约方承担继续履约、采取补救措施或者赔偿其实际损失（包括但不限于守约方因违约方违约行为而受到的直接损失以及守约方为维权而支付的诉讼费、律师费、财产保全责任保险费、误工费、交通费等相关费用）等违约责任。</w:t>
      </w:r>
    </w:p>
    <w:p>
      <w:pPr>
        <w:spacing w:line="360" w:lineRule="auto"/>
        <w:ind w:firstLine="440" w:firstLineChars="200"/>
        <w:rPr>
          <w:rFonts w:hint="eastAsia" w:ascii="宋体" w:hAnsi="宋体" w:eastAsia="宋体"/>
        </w:rPr>
      </w:pPr>
      <w:r>
        <w:rPr>
          <w:rFonts w:ascii="宋体" w:hAnsi="宋体" w:eastAsia="宋体"/>
        </w:rPr>
        <w:t>第十条 无效合同</w:t>
      </w:r>
    </w:p>
    <w:p>
      <w:pPr>
        <w:spacing w:line="360" w:lineRule="auto"/>
        <w:ind w:firstLine="440" w:firstLineChars="200"/>
        <w:rPr>
          <w:rFonts w:hint="eastAsia" w:ascii="宋体" w:hAnsi="宋体" w:eastAsia="宋体"/>
        </w:rPr>
      </w:pPr>
      <w:r>
        <w:rPr>
          <w:rFonts w:ascii="宋体" w:hAnsi="宋体" w:eastAsia="宋体"/>
        </w:rPr>
        <w:t>甲乙双方如因违反法律和有关规定，合同被宣告无效的，有过错的一方应当承担赔偿责任，双方都有过错的，各自承担相应的责任。</w:t>
      </w:r>
    </w:p>
    <w:p>
      <w:pPr>
        <w:spacing w:line="360" w:lineRule="auto"/>
        <w:ind w:firstLine="440" w:firstLineChars="200"/>
        <w:rPr>
          <w:rFonts w:hint="eastAsia" w:ascii="宋体" w:hAnsi="宋体" w:eastAsia="宋体"/>
        </w:rPr>
      </w:pPr>
      <w:r>
        <w:rPr>
          <w:rFonts w:ascii="宋体" w:hAnsi="宋体" w:eastAsia="宋体"/>
        </w:rPr>
        <w:t>第十一条 保密责任</w:t>
      </w:r>
    </w:p>
    <w:p>
      <w:pPr>
        <w:spacing w:line="360" w:lineRule="auto"/>
        <w:ind w:firstLine="440" w:firstLineChars="200"/>
        <w:rPr>
          <w:rFonts w:hint="eastAsia" w:ascii="宋体" w:hAnsi="宋体" w:eastAsia="宋体"/>
        </w:rPr>
      </w:pPr>
      <w:r>
        <w:rPr>
          <w:rFonts w:ascii="宋体" w:hAnsi="宋体" w:eastAsia="宋体"/>
        </w:rPr>
        <w:t xml:space="preserve"> </w:t>
      </w:r>
      <w:r>
        <w:rPr>
          <w:rFonts w:hint="eastAsia" w:ascii="宋体" w:hAnsi="宋体" w:eastAsia="宋体"/>
          <w:lang w:val="en-US" w:eastAsia="zh-CN"/>
        </w:rPr>
        <w:t>11.1</w:t>
      </w:r>
      <w:r>
        <w:rPr>
          <w:rFonts w:ascii="宋体" w:hAnsi="宋体" w:eastAsia="宋体"/>
        </w:rPr>
        <w:t>乙方应对在合作过程中所获得或知晓的甲方的资料、技术信息和经营状况保密，在未经甲方书面许可时，乙方不得将甲方经营、生产状况及技术资料等甲方任何信息以任何方式泄露给任何第三方（法规另有规定除外），否则乙方应向甲方支付违约金及赔偿甲方遭受的所有损失。</w:t>
      </w:r>
    </w:p>
    <w:p>
      <w:pPr>
        <w:spacing w:line="360" w:lineRule="auto"/>
        <w:ind w:firstLine="440" w:firstLineChars="200"/>
        <w:rPr>
          <w:rFonts w:hint="eastAsia" w:ascii="宋体" w:hAnsi="宋体" w:eastAsia="宋体"/>
        </w:rPr>
      </w:pPr>
      <w:r>
        <w:rPr>
          <w:rFonts w:hint="eastAsia" w:ascii="宋体" w:hAnsi="宋体" w:eastAsia="宋体"/>
          <w:lang w:val="en-US" w:eastAsia="zh-CN"/>
        </w:rPr>
        <w:t>11.2</w:t>
      </w:r>
      <w:r>
        <w:rPr>
          <w:rFonts w:ascii="宋体" w:hAnsi="宋体" w:eastAsia="宋体"/>
        </w:rPr>
        <w:t>乙方保证：乙方提供给甲方使用的软件以及开发服务为乙方自主研发而成，对该软件以及开发服务享有知识产权。若甲方使用乙方提供的软件以及开发服务与第三</w:t>
      </w:r>
      <w:r>
        <w:rPr>
          <w:rFonts w:hint="eastAsia" w:ascii="宋体" w:hAnsi="宋体" w:eastAsia="宋体"/>
          <w:lang w:val="en-US" w:eastAsia="zh-CN"/>
        </w:rPr>
        <w:t>方</w:t>
      </w:r>
      <w:r>
        <w:rPr>
          <w:rFonts w:ascii="宋体" w:hAnsi="宋体" w:eastAsia="宋体"/>
        </w:rPr>
        <w:t>产生纠纷的，乙方需赔偿甲方由此产生的一切损失。</w:t>
      </w:r>
    </w:p>
    <w:p>
      <w:pPr>
        <w:spacing w:line="360" w:lineRule="auto"/>
        <w:ind w:firstLine="440" w:firstLineChars="200"/>
        <w:rPr>
          <w:rFonts w:hint="eastAsia" w:ascii="宋体" w:hAnsi="宋体" w:eastAsia="宋体"/>
        </w:rPr>
      </w:pPr>
      <w:r>
        <w:rPr>
          <w:rFonts w:ascii="宋体" w:hAnsi="宋体" w:eastAsia="宋体"/>
        </w:rPr>
        <w:t>第十二条 不可抗力</w:t>
      </w:r>
    </w:p>
    <w:p>
      <w:pPr>
        <w:spacing w:line="360" w:lineRule="auto"/>
        <w:ind w:firstLine="440" w:firstLineChars="200"/>
        <w:rPr>
          <w:rFonts w:hint="eastAsia" w:ascii="宋体" w:hAnsi="宋体" w:eastAsia="宋体"/>
        </w:rPr>
      </w:pPr>
      <w:r>
        <w:rPr>
          <w:rFonts w:hint="eastAsia" w:ascii="宋体" w:hAnsi="宋体" w:eastAsia="宋体"/>
          <w:lang w:val="en-US" w:eastAsia="zh-CN"/>
        </w:rPr>
        <w:t>12.1</w:t>
      </w:r>
      <w:r>
        <w:rPr>
          <w:rFonts w:ascii="宋体" w:hAnsi="宋体" w:eastAsia="宋体"/>
        </w:rPr>
        <w:t>如合同双方中任何一方由于不可抗力，如：地震、水灾、台风、战争和其他双方都认为的不可抗力原因而无法按期履行合同。由双方协商确定后，合同执行的时间做相应延期。</w:t>
      </w:r>
    </w:p>
    <w:p>
      <w:pPr>
        <w:spacing w:line="360" w:lineRule="auto"/>
        <w:ind w:firstLine="440" w:firstLineChars="200"/>
        <w:rPr>
          <w:rFonts w:hint="eastAsia" w:ascii="宋体" w:hAnsi="宋体" w:eastAsia="宋体"/>
        </w:rPr>
      </w:pPr>
      <w:r>
        <w:rPr>
          <w:rFonts w:hint="eastAsia" w:ascii="宋体" w:hAnsi="宋体" w:eastAsia="宋体"/>
          <w:lang w:val="en-US" w:eastAsia="zh-CN"/>
        </w:rPr>
        <w:t>12.2</w:t>
      </w:r>
      <w:r>
        <w:rPr>
          <w:rFonts w:ascii="宋体" w:hAnsi="宋体" w:eastAsia="宋体"/>
        </w:rPr>
        <w:t>当不可抗力事故终止或事故消除后，受阻</w:t>
      </w:r>
      <w:r>
        <w:rPr>
          <w:rFonts w:hint="eastAsia" w:ascii="宋体" w:hAnsi="宋体" w:eastAsia="宋体"/>
          <w:lang w:val="en-US" w:eastAsia="zh-CN"/>
        </w:rPr>
        <w:t>一</w:t>
      </w:r>
      <w:r>
        <w:rPr>
          <w:rFonts w:ascii="宋体" w:hAnsi="宋体" w:eastAsia="宋体"/>
        </w:rPr>
        <w:t>方应尽快</w:t>
      </w:r>
      <w:r>
        <w:rPr>
          <w:rFonts w:hint="eastAsia" w:ascii="宋体" w:hAnsi="宋体" w:eastAsia="宋体"/>
          <w:lang w:val="en-US" w:eastAsia="zh-CN"/>
        </w:rPr>
        <w:t>书面通知另一方</w:t>
      </w:r>
      <w:r>
        <w:rPr>
          <w:rFonts w:ascii="宋体" w:hAnsi="宋体" w:eastAsia="宋体"/>
        </w:rPr>
        <w:t>，并继续履行合同。</w:t>
      </w:r>
    </w:p>
    <w:p>
      <w:pPr>
        <w:spacing w:line="360" w:lineRule="auto"/>
        <w:ind w:firstLine="440" w:firstLineChars="200"/>
        <w:rPr>
          <w:rFonts w:hint="eastAsia" w:ascii="宋体" w:hAnsi="宋体" w:eastAsia="宋体"/>
        </w:rPr>
      </w:pPr>
      <w:r>
        <w:rPr>
          <w:rFonts w:hint="eastAsia" w:ascii="宋体" w:hAnsi="宋体" w:eastAsia="宋体"/>
          <w:lang w:val="en-US" w:eastAsia="zh-CN"/>
        </w:rPr>
        <w:t>12.3</w:t>
      </w:r>
      <w:r>
        <w:rPr>
          <w:rFonts w:ascii="宋体" w:hAnsi="宋体" w:eastAsia="宋体"/>
        </w:rPr>
        <w:t>如果不可抗力阻碍合同的履行超过180个日历天，双方就合同的进一步履行问题进行讨论并达成一致意见。</w:t>
      </w:r>
    </w:p>
    <w:p>
      <w:pPr>
        <w:spacing w:line="360" w:lineRule="auto"/>
        <w:ind w:firstLine="440" w:firstLineChars="200"/>
        <w:rPr>
          <w:rFonts w:hint="eastAsia" w:ascii="宋体" w:hAnsi="宋体" w:eastAsia="宋体"/>
        </w:rPr>
      </w:pPr>
      <w:r>
        <w:rPr>
          <w:rFonts w:ascii="宋体" w:hAnsi="宋体" w:eastAsia="宋体"/>
        </w:rPr>
        <w:t>第十三条</w:t>
      </w:r>
      <w:r>
        <w:rPr>
          <w:rFonts w:hint="eastAsia" w:ascii="宋体" w:hAnsi="宋体" w:eastAsia="宋体"/>
          <w:lang w:val="en-US" w:eastAsia="zh-CN"/>
        </w:rPr>
        <w:t xml:space="preserve"> </w:t>
      </w:r>
      <w:r>
        <w:rPr>
          <w:rFonts w:ascii="宋体" w:hAnsi="宋体" w:eastAsia="宋体"/>
        </w:rPr>
        <w:t>争议的解决</w:t>
      </w:r>
    </w:p>
    <w:p>
      <w:pPr>
        <w:spacing w:line="360" w:lineRule="auto"/>
        <w:ind w:firstLine="440" w:firstLineChars="200"/>
        <w:rPr>
          <w:rFonts w:hint="eastAsia" w:ascii="宋体" w:hAnsi="宋体" w:eastAsia="宋体"/>
        </w:rPr>
      </w:pPr>
      <w:r>
        <w:rPr>
          <w:rFonts w:ascii="宋体" w:hAnsi="宋体" w:eastAsia="宋体"/>
        </w:rPr>
        <w:t>执行本合同发生争议，当事人双方应尽力协商解决；若协商不能解决，任何一方有权向</w:t>
      </w:r>
      <w:r>
        <w:rPr>
          <w:rFonts w:hint="eastAsia" w:ascii="宋体" w:hAnsi="宋体" w:eastAsia="宋体"/>
          <w:lang w:val="en-US" w:eastAsia="zh-CN"/>
        </w:rPr>
        <w:t>甲方所在</w:t>
      </w:r>
      <w:r>
        <w:rPr>
          <w:rFonts w:ascii="宋体" w:hAnsi="宋体" w:eastAsia="宋体"/>
        </w:rPr>
        <w:t>地人民法院提起诉讼。</w:t>
      </w:r>
      <w:r>
        <w:rPr>
          <w:rFonts w:hint="eastAsia" w:ascii="宋体" w:hAnsi="宋体" w:eastAsia="宋体"/>
        </w:rPr>
        <w:t>因乙方违约，除应承担合同约定的违约、损失赔偿责任外，乙方还应承担甲方为解决纠纷而产生的所有费用，包括但不限于律师费、诉讼费</w:t>
      </w:r>
      <w:r>
        <w:rPr>
          <w:rFonts w:hint="eastAsia" w:ascii="宋体" w:hAnsi="宋体" w:eastAsia="宋体"/>
          <w:lang w:eastAsia="zh-CN"/>
        </w:rPr>
        <w:t>、</w:t>
      </w:r>
      <w:r>
        <w:rPr>
          <w:rFonts w:hint="eastAsia" w:ascii="宋体" w:hAnsi="宋体" w:eastAsia="宋体"/>
        </w:rPr>
        <w:t>处理费、诉讼担保费、保全费、执行费、公证费、鉴定费、差旅费等。</w:t>
      </w:r>
    </w:p>
    <w:p>
      <w:pPr>
        <w:spacing w:line="360" w:lineRule="auto"/>
        <w:ind w:firstLine="440" w:firstLineChars="200"/>
        <w:rPr>
          <w:rFonts w:hint="eastAsia" w:ascii="宋体" w:hAnsi="宋体" w:eastAsia="宋体"/>
        </w:rPr>
      </w:pPr>
      <w:r>
        <w:rPr>
          <w:rFonts w:ascii="宋体" w:hAnsi="宋体" w:eastAsia="宋体"/>
        </w:rPr>
        <w:t>第十四条</w:t>
      </w:r>
      <w:r>
        <w:rPr>
          <w:rFonts w:hint="eastAsia" w:ascii="宋体" w:hAnsi="宋体" w:eastAsia="宋体"/>
          <w:lang w:val="en-US" w:eastAsia="zh-CN"/>
        </w:rPr>
        <w:t xml:space="preserve"> </w:t>
      </w:r>
      <w:r>
        <w:rPr>
          <w:rFonts w:ascii="宋体" w:hAnsi="宋体" w:eastAsia="宋体"/>
        </w:rPr>
        <w:t>其它事项</w:t>
      </w:r>
    </w:p>
    <w:p>
      <w:pPr>
        <w:pStyle w:val="16"/>
        <w:tabs>
          <w:tab w:val="left" w:pos="851"/>
        </w:tabs>
        <w:ind w:left="440"/>
        <w:rPr>
          <w:rFonts w:hint="eastAsia" w:ascii="宋体" w:hAnsi="宋体" w:eastAsia="宋体"/>
          <w:sz w:val="22"/>
          <w:szCs w:val="22"/>
        </w:rPr>
      </w:pPr>
      <w:r>
        <w:rPr>
          <w:rFonts w:hint="eastAsia" w:ascii="宋体" w:hAnsi="宋体" w:eastAsia="宋体"/>
          <w:sz w:val="22"/>
          <w:szCs w:val="22"/>
          <w:lang w:val="en-US" w:eastAsia="zh-CN"/>
        </w:rPr>
        <w:t>14.1</w:t>
      </w:r>
      <w:r>
        <w:rPr>
          <w:rFonts w:ascii="宋体" w:hAnsi="宋体" w:eastAsia="宋体"/>
          <w:sz w:val="22"/>
          <w:szCs w:val="22"/>
        </w:rPr>
        <w:t>合同签订地点：</w:t>
      </w:r>
      <w:r>
        <w:rPr>
          <w:rFonts w:ascii="宋体" w:hAnsi="宋体" w:eastAsia="宋体"/>
          <w:sz w:val="22"/>
          <w:szCs w:val="22"/>
          <w:u w:val="single"/>
        </w:rPr>
        <w:t>东莞市</w:t>
      </w:r>
      <w:r>
        <w:rPr>
          <w:rFonts w:hint="eastAsia" w:ascii="宋体" w:hAnsi="宋体" w:eastAsia="宋体"/>
          <w:sz w:val="22"/>
          <w:szCs w:val="22"/>
          <w:u w:val="single"/>
        </w:rPr>
        <w:t>碧水信息科技</w:t>
      </w:r>
      <w:r>
        <w:rPr>
          <w:rFonts w:ascii="宋体" w:hAnsi="宋体" w:eastAsia="宋体"/>
          <w:sz w:val="22"/>
          <w:szCs w:val="22"/>
          <w:u w:val="single"/>
        </w:rPr>
        <w:t xml:space="preserve">有限公司 </w:t>
      </w:r>
      <w:r>
        <w:rPr>
          <w:rFonts w:ascii="宋体" w:hAnsi="宋体" w:eastAsia="宋体"/>
          <w:sz w:val="22"/>
          <w:szCs w:val="22"/>
        </w:rPr>
        <w:t xml:space="preserve"> </w:t>
      </w:r>
    </w:p>
    <w:p>
      <w:pPr>
        <w:pStyle w:val="16"/>
        <w:tabs>
          <w:tab w:val="left" w:pos="851"/>
        </w:tabs>
        <w:ind w:left="440"/>
        <w:rPr>
          <w:rFonts w:hint="eastAsia" w:ascii="宋体" w:hAnsi="宋体" w:eastAsia="宋体"/>
          <w:sz w:val="22"/>
          <w:szCs w:val="22"/>
        </w:rPr>
      </w:pPr>
      <w:r>
        <w:rPr>
          <w:rFonts w:hint="eastAsia" w:ascii="宋体" w:hAnsi="宋体" w:eastAsia="宋体"/>
          <w:sz w:val="22"/>
          <w:szCs w:val="22"/>
          <w:lang w:val="en-US" w:eastAsia="zh-CN"/>
        </w:rPr>
        <w:t>14.2</w:t>
      </w:r>
      <w:r>
        <w:rPr>
          <w:rFonts w:ascii="宋体" w:hAnsi="宋体" w:eastAsia="宋体"/>
          <w:sz w:val="22"/>
          <w:szCs w:val="22"/>
        </w:rPr>
        <w:t>本合同一式</w:t>
      </w:r>
      <w:r>
        <w:rPr>
          <w:rFonts w:ascii="宋体" w:hAnsi="宋体" w:eastAsia="宋体"/>
          <w:sz w:val="22"/>
          <w:szCs w:val="22"/>
          <w:u w:val="single"/>
        </w:rPr>
        <w:t xml:space="preserve">  肆  </w:t>
      </w:r>
      <w:r>
        <w:rPr>
          <w:rFonts w:ascii="宋体" w:hAnsi="宋体" w:eastAsia="宋体"/>
          <w:sz w:val="22"/>
          <w:szCs w:val="22"/>
        </w:rPr>
        <w:t>份，甲方执</w:t>
      </w:r>
      <w:r>
        <w:rPr>
          <w:rFonts w:ascii="宋体" w:hAnsi="宋体" w:eastAsia="宋体"/>
          <w:sz w:val="22"/>
          <w:szCs w:val="22"/>
          <w:u w:val="single"/>
        </w:rPr>
        <w:t xml:space="preserve"> 贰 </w:t>
      </w:r>
      <w:r>
        <w:rPr>
          <w:rFonts w:ascii="宋体" w:hAnsi="宋体" w:eastAsia="宋体"/>
          <w:sz w:val="22"/>
          <w:szCs w:val="22"/>
        </w:rPr>
        <w:t>份，乙方执</w:t>
      </w:r>
      <w:r>
        <w:rPr>
          <w:rFonts w:ascii="宋体" w:hAnsi="宋体" w:eastAsia="宋体"/>
          <w:sz w:val="22"/>
          <w:szCs w:val="22"/>
          <w:u w:val="single"/>
        </w:rPr>
        <w:t xml:space="preserve"> 贰 </w:t>
      </w:r>
      <w:r>
        <w:rPr>
          <w:rFonts w:ascii="宋体" w:hAnsi="宋体" w:eastAsia="宋体"/>
          <w:sz w:val="22"/>
          <w:szCs w:val="22"/>
        </w:rPr>
        <w:t>份，具有同等法律效力。</w:t>
      </w:r>
    </w:p>
    <w:p>
      <w:pPr>
        <w:pStyle w:val="16"/>
        <w:tabs>
          <w:tab w:val="left" w:pos="851"/>
        </w:tabs>
        <w:ind w:left="440"/>
        <w:rPr>
          <w:rFonts w:hint="eastAsia" w:ascii="宋体" w:hAnsi="宋体" w:eastAsia="宋体"/>
          <w:sz w:val="22"/>
          <w:szCs w:val="22"/>
        </w:rPr>
      </w:pPr>
      <w:r>
        <w:rPr>
          <w:rFonts w:hint="eastAsia" w:ascii="宋体" w:hAnsi="宋体" w:eastAsia="宋体"/>
          <w:sz w:val="22"/>
          <w:szCs w:val="22"/>
          <w:lang w:val="en-US" w:eastAsia="zh-CN"/>
        </w:rPr>
        <w:t>14.3</w:t>
      </w:r>
      <w:r>
        <w:rPr>
          <w:rFonts w:ascii="宋体" w:hAnsi="宋体" w:eastAsia="宋体"/>
          <w:sz w:val="22"/>
          <w:szCs w:val="22"/>
        </w:rPr>
        <w:t>本合同自甲、乙双方法定代表人签字并盖章后生效，未尽事宜，本着友好协商的精神共同解决。</w:t>
      </w:r>
    </w:p>
    <w:p>
      <w:pPr>
        <w:pStyle w:val="16"/>
        <w:tabs>
          <w:tab w:val="left" w:pos="851"/>
        </w:tabs>
        <w:ind w:left="440"/>
        <w:rPr>
          <w:rFonts w:hint="eastAsia" w:ascii="宋体" w:hAnsi="宋体" w:eastAsia="宋体"/>
          <w:sz w:val="22"/>
          <w:szCs w:val="22"/>
        </w:rPr>
      </w:pPr>
    </w:p>
    <w:p>
      <w:pPr>
        <w:pStyle w:val="16"/>
        <w:tabs>
          <w:tab w:val="left" w:pos="851"/>
        </w:tabs>
        <w:ind w:left="440"/>
        <w:rPr>
          <w:rFonts w:hint="eastAsia" w:ascii="宋体" w:hAnsi="宋体" w:eastAsia="宋体"/>
          <w:sz w:val="22"/>
          <w:szCs w:val="22"/>
        </w:rPr>
      </w:pPr>
    </w:p>
    <w:p>
      <w:pPr>
        <w:pStyle w:val="16"/>
        <w:tabs>
          <w:tab w:val="left" w:pos="851"/>
        </w:tabs>
        <w:ind w:left="440"/>
        <w:rPr>
          <w:rFonts w:hint="eastAsia" w:ascii="宋体" w:hAnsi="宋体" w:eastAsia="宋体"/>
          <w:sz w:val="22"/>
          <w:szCs w:val="22"/>
        </w:rPr>
      </w:pPr>
    </w:p>
    <w:p>
      <w:pPr>
        <w:pStyle w:val="16"/>
        <w:tabs>
          <w:tab w:val="left" w:pos="851"/>
        </w:tabs>
        <w:ind w:left="440"/>
        <w:rPr>
          <w:rFonts w:hint="eastAsia" w:ascii="宋体" w:hAnsi="宋体" w:eastAsia="宋体"/>
          <w:sz w:val="22"/>
          <w:szCs w:val="22"/>
        </w:rPr>
      </w:pPr>
    </w:p>
    <w:p>
      <w:pPr>
        <w:pStyle w:val="16"/>
        <w:tabs>
          <w:tab w:val="left" w:pos="851"/>
        </w:tabs>
        <w:ind w:left="440"/>
        <w:rPr>
          <w:rFonts w:hint="eastAsia" w:ascii="宋体" w:hAnsi="宋体" w:eastAsia="宋体"/>
          <w:sz w:val="22"/>
          <w:szCs w:val="22"/>
        </w:rPr>
      </w:pPr>
      <w:r>
        <w:rPr>
          <w:rFonts w:ascii="宋体" w:hAnsi="宋体" w:eastAsia="宋体"/>
          <w:sz w:val="22"/>
          <w:szCs w:val="22"/>
        </w:rPr>
        <w:t>（以下为合同签署页）</w:t>
      </w:r>
    </w:p>
    <w:p>
      <w:pPr>
        <w:pStyle w:val="16"/>
        <w:tabs>
          <w:tab w:val="left" w:pos="851"/>
        </w:tabs>
        <w:ind w:left="440"/>
        <w:rPr>
          <w:rFonts w:hint="eastAsia" w:ascii="宋体" w:hAnsi="宋体" w:eastAsia="宋体"/>
        </w:rPr>
      </w:pPr>
    </w:p>
    <w:p>
      <w:pPr>
        <w:pStyle w:val="16"/>
        <w:tabs>
          <w:tab w:val="left" w:pos="851"/>
        </w:tabs>
        <w:ind w:left="440"/>
        <w:rPr>
          <w:rFonts w:hint="eastAsia" w:ascii="宋体" w:hAnsi="宋体" w:eastAsia="宋体"/>
        </w:rPr>
      </w:pPr>
    </w:p>
    <w:p>
      <w:pPr>
        <w:pStyle w:val="16"/>
        <w:tabs>
          <w:tab w:val="left" w:pos="851"/>
        </w:tabs>
        <w:ind w:left="440"/>
        <w:rPr>
          <w:rFonts w:hint="eastAsia" w:ascii="宋体" w:hAnsi="宋体" w:eastAsia="宋体"/>
        </w:rPr>
      </w:pPr>
    </w:p>
    <w:p>
      <w:pPr>
        <w:pStyle w:val="16"/>
        <w:tabs>
          <w:tab w:val="left" w:pos="851"/>
        </w:tabs>
        <w:ind w:left="440"/>
        <w:rPr>
          <w:rFonts w:hint="eastAsia" w:ascii="宋体" w:hAnsi="宋体" w:eastAsia="宋体"/>
        </w:rPr>
      </w:pPr>
    </w:p>
    <w:p>
      <w:pPr>
        <w:pStyle w:val="16"/>
        <w:tabs>
          <w:tab w:val="left" w:pos="851"/>
        </w:tabs>
        <w:ind w:left="440"/>
        <w:rPr>
          <w:rFonts w:hint="eastAsia" w:ascii="宋体" w:hAnsi="宋体" w:eastAsia="宋体"/>
        </w:rPr>
      </w:pPr>
    </w:p>
    <w:p>
      <w:pPr>
        <w:pStyle w:val="16"/>
        <w:tabs>
          <w:tab w:val="left" w:pos="851"/>
        </w:tabs>
        <w:ind w:left="440"/>
        <w:rPr>
          <w:rFonts w:hint="eastAsia" w:ascii="宋体" w:hAnsi="宋体" w:eastAsia="宋体"/>
        </w:rPr>
      </w:pPr>
    </w:p>
    <w:tbl>
      <w:tblPr>
        <w:tblStyle w:val="18"/>
        <w:tblpPr w:leftFromText="180" w:rightFromText="180" w:vertAnchor="text" w:horzAnchor="page" w:tblpX="1451" w:tblpY="623"/>
        <w:tblOverlap w:val="never"/>
        <w:tblW w:w="3686" w:type="dxa"/>
        <w:tblInd w:w="0" w:type="dxa"/>
        <w:tblLayout w:type="autofit"/>
        <w:tblCellMar>
          <w:top w:w="0" w:type="dxa"/>
          <w:left w:w="108" w:type="dxa"/>
          <w:bottom w:w="0" w:type="dxa"/>
          <w:right w:w="108" w:type="dxa"/>
        </w:tblCellMar>
      </w:tblPr>
      <w:tblGrid>
        <w:gridCol w:w="3686"/>
      </w:tblGrid>
      <w:tr>
        <w:tblPrEx>
          <w:tblCellMar>
            <w:top w:w="0" w:type="dxa"/>
            <w:left w:w="108" w:type="dxa"/>
            <w:bottom w:w="0" w:type="dxa"/>
            <w:right w:w="108" w:type="dxa"/>
          </w:tblCellMar>
        </w:tblPrEx>
        <w:trPr>
          <w:trHeight w:val="1826" w:hRule="atLeast"/>
        </w:trPr>
        <w:tc>
          <w:tcPr>
            <w:tcW w:w="3686" w:type="dxa"/>
          </w:tcPr>
          <w:p>
            <w:pPr>
              <w:spacing w:line="360" w:lineRule="auto"/>
              <w:rPr>
                <w:rFonts w:hint="eastAsia" w:ascii="宋体" w:hAnsi="宋体" w:eastAsia="宋体"/>
                <w:b/>
                <w:sz w:val="24"/>
                <w:szCs w:val="24"/>
              </w:rPr>
            </w:pPr>
            <w:r>
              <w:rPr>
                <w:rFonts w:ascii="宋体" w:hAnsi="宋体" w:eastAsia="宋体"/>
                <w:b/>
                <w:sz w:val="24"/>
                <w:szCs w:val="24"/>
              </w:rPr>
              <w:t>甲方（盖章）：东莞市</w:t>
            </w:r>
            <w:r>
              <w:rPr>
                <w:rFonts w:hint="eastAsia" w:ascii="宋体" w:hAnsi="宋体" w:eastAsia="宋体"/>
                <w:b/>
                <w:sz w:val="24"/>
                <w:szCs w:val="24"/>
              </w:rPr>
              <w:t>碧水信息科技</w:t>
            </w:r>
            <w:r>
              <w:rPr>
                <w:rFonts w:ascii="宋体" w:hAnsi="宋体" w:eastAsia="宋体"/>
                <w:b/>
                <w:sz w:val="24"/>
                <w:szCs w:val="24"/>
              </w:rPr>
              <w:t>有限公司</w:t>
            </w:r>
          </w:p>
        </w:tc>
      </w:tr>
      <w:tr>
        <w:tblPrEx>
          <w:tblCellMar>
            <w:top w:w="0" w:type="dxa"/>
            <w:left w:w="108" w:type="dxa"/>
            <w:bottom w:w="0" w:type="dxa"/>
            <w:right w:w="108" w:type="dxa"/>
          </w:tblCellMar>
        </w:tblPrEx>
        <w:trPr>
          <w:trHeight w:val="1080" w:hRule="atLeast"/>
        </w:trPr>
        <w:tc>
          <w:tcPr>
            <w:tcW w:w="3686" w:type="dxa"/>
          </w:tcPr>
          <w:p>
            <w:pPr>
              <w:spacing w:line="360" w:lineRule="auto"/>
              <w:rPr>
                <w:rFonts w:hint="eastAsia" w:ascii="宋体" w:hAnsi="宋体" w:eastAsia="宋体"/>
                <w:b/>
                <w:sz w:val="24"/>
                <w:szCs w:val="24"/>
              </w:rPr>
            </w:pPr>
            <w:r>
              <w:rPr>
                <w:rFonts w:ascii="宋体" w:hAnsi="宋体" w:eastAsia="宋体"/>
                <w:b/>
                <w:sz w:val="24"/>
                <w:szCs w:val="24"/>
              </w:rPr>
              <w:t>法定代表人（签字）：</w:t>
            </w:r>
          </w:p>
        </w:tc>
      </w:tr>
      <w:tr>
        <w:tblPrEx>
          <w:tblCellMar>
            <w:top w:w="0" w:type="dxa"/>
            <w:left w:w="108" w:type="dxa"/>
            <w:bottom w:w="0" w:type="dxa"/>
            <w:right w:w="108" w:type="dxa"/>
          </w:tblCellMar>
        </w:tblPrEx>
        <w:trPr>
          <w:trHeight w:val="1080" w:hRule="atLeast"/>
        </w:trPr>
        <w:tc>
          <w:tcPr>
            <w:tcW w:w="3686" w:type="dxa"/>
          </w:tcPr>
          <w:p>
            <w:pPr>
              <w:spacing w:line="360" w:lineRule="auto"/>
              <w:rPr>
                <w:rFonts w:hint="eastAsia" w:ascii="宋体" w:hAnsi="宋体" w:eastAsia="宋体"/>
                <w:b/>
                <w:sz w:val="24"/>
                <w:szCs w:val="24"/>
              </w:rPr>
            </w:pPr>
            <w:r>
              <w:rPr>
                <w:rFonts w:ascii="宋体" w:hAnsi="宋体" w:eastAsia="宋体"/>
                <w:b/>
                <w:sz w:val="24"/>
                <w:szCs w:val="24"/>
              </w:rPr>
              <w:t>日期：</w:t>
            </w:r>
          </w:p>
        </w:tc>
      </w:tr>
    </w:tbl>
    <w:p>
      <w:pPr>
        <w:rPr>
          <w:rFonts w:hint="eastAsia" w:ascii="宋体" w:hAnsi="宋体" w:eastAsia="宋体"/>
          <w:vanish/>
        </w:rPr>
      </w:pPr>
    </w:p>
    <w:tbl>
      <w:tblPr>
        <w:tblStyle w:val="18"/>
        <w:tblpPr w:leftFromText="180" w:rightFromText="180" w:vertAnchor="text" w:horzAnchor="margin" w:tblpXSpec="right" w:tblpY="146"/>
        <w:tblOverlap w:val="never"/>
        <w:tblW w:w="4351" w:type="dxa"/>
        <w:tblInd w:w="0" w:type="dxa"/>
        <w:tblLayout w:type="autofit"/>
        <w:tblCellMar>
          <w:top w:w="0" w:type="dxa"/>
          <w:left w:w="108" w:type="dxa"/>
          <w:bottom w:w="0" w:type="dxa"/>
          <w:right w:w="108" w:type="dxa"/>
        </w:tblCellMar>
      </w:tblPr>
      <w:tblGrid>
        <w:gridCol w:w="4351"/>
      </w:tblGrid>
      <w:tr>
        <w:tblPrEx>
          <w:tblCellMar>
            <w:top w:w="0" w:type="dxa"/>
            <w:left w:w="108" w:type="dxa"/>
            <w:bottom w:w="0" w:type="dxa"/>
            <w:right w:w="108" w:type="dxa"/>
          </w:tblCellMar>
        </w:tblPrEx>
        <w:trPr>
          <w:trHeight w:val="1833" w:hRule="atLeast"/>
        </w:trPr>
        <w:tc>
          <w:tcPr>
            <w:tcW w:w="4351" w:type="dxa"/>
          </w:tcPr>
          <w:p>
            <w:pPr>
              <w:widowControl w:val="0"/>
              <w:autoSpaceDE w:val="0"/>
              <w:autoSpaceDN w:val="0"/>
              <w:snapToGrid/>
              <w:spacing w:after="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乙方（盖章）：</w:t>
            </w:r>
          </w:p>
          <w:p>
            <w:pPr>
              <w:widowControl w:val="0"/>
              <w:autoSpaceDE w:val="0"/>
              <w:autoSpaceDN w:val="0"/>
              <w:snapToGrid/>
              <w:spacing w:after="0" w:line="360" w:lineRule="auto"/>
              <w:rPr>
                <w:rFonts w:ascii="Times New Roman" w:hAnsi="Times New Roman" w:eastAsia="宋体" w:cs="Times New Roman"/>
                <w:b/>
                <w:sz w:val="24"/>
                <w:szCs w:val="24"/>
              </w:rPr>
            </w:pPr>
          </w:p>
        </w:tc>
      </w:tr>
      <w:tr>
        <w:tblPrEx>
          <w:tblCellMar>
            <w:top w:w="0" w:type="dxa"/>
            <w:left w:w="108" w:type="dxa"/>
            <w:bottom w:w="0" w:type="dxa"/>
            <w:right w:w="108" w:type="dxa"/>
          </w:tblCellMar>
        </w:tblPrEx>
        <w:trPr>
          <w:trHeight w:val="1122" w:hRule="atLeast"/>
        </w:trPr>
        <w:tc>
          <w:tcPr>
            <w:tcW w:w="4351" w:type="dxa"/>
          </w:tcPr>
          <w:p>
            <w:pPr>
              <w:widowControl w:val="0"/>
              <w:autoSpaceDE w:val="0"/>
              <w:autoSpaceDN w:val="0"/>
              <w:snapToGrid/>
              <w:spacing w:after="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法定代表人（签字）：</w:t>
            </w:r>
          </w:p>
        </w:tc>
      </w:tr>
      <w:tr>
        <w:tblPrEx>
          <w:tblCellMar>
            <w:top w:w="0" w:type="dxa"/>
            <w:left w:w="108" w:type="dxa"/>
            <w:bottom w:w="0" w:type="dxa"/>
            <w:right w:w="108" w:type="dxa"/>
          </w:tblCellMar>
        </w:tblPrEx>
        <w:trPr>
          <w:trHeight w:val="1123" w:hRule="atLeast"/>
        </w:trPr>
        <w:tc>
          <w:tcPr>
            <w:tcW w:w="4351" w:type="dxa"/>
          </w:tcPr>
          <w:p>
            <w:pPr>
              <w:widowControl w:val="0"/>
              <w:autoSpaceDE w:val="0"/>
              <w:autoSpaceDN w:val="0"/>
              <w:snapToGrid/>
              <w:spacing w:after="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日期：</w:t>
            </w:r>
          </w:p>
        </w:tc>
      </w:tr>
    </w:tbl>
    <w:p>
      <w:pPr>
        <w:spacing w:line="360" w:lineRule="auto"/>
        <w:rPr>
          <w:rFonts w:hint="eastAsia" w:ascii="宋体" w:hAnsi="宋体" w:eastAsia="宋体" w:cs="宋体"/>
        </w:rPr>
        <w:sectPr>
          <w:pgSz w:w="11906" w:h="16838"/>
          <w:pgMar w:top="1440" w:right="1797" w:bottom="1440" w:left="1797" w:header="851" w:footer="992" w:gutter="0"/>
          <w:cols w:space="425" w:num="1"/>
          <w:docGrid w:type="lines" w:linePitch="312" w:charSpace="0"/>
        </w:sectPr>
      </w:pPr>
    </w:p>
    <w:p>
      <w:pPr>
        <w:pStyle w:val="3"/>
        <w:spacing w:before="156" w:after="156" w:line="276" w:lineRule="auto"/>
        <w:jc w:val="center"/>
        <w:rPr>
          <w:rFonts w:hint="eastAsia" w:ascii="宋体" w:hAnsi="宋体"/>
        </w:rPr>
      </w:pPr>
      <w:r>
        <w:rPr>
          <w:rFonts w:hint="eastAsia" w:ascii="宋体" w:hAnsi="宋体"/>
        </w:rPr>
        <w:t>响应须知</w:t>
      </w:r>
    </w:p>
    <w:p>
      <w:pPr>
        <w:spacing w:line="360" w:lineRule="auto"/>
        <w:ind w:firstLine="440" w:firstLineChars="200"/>
        <w:rPr>
          <w:rFonts w:hint="eastAsia" w:ascii="宋体" w:hAnsi="宋体" w:eastAsia="宋体"/>
        </w:rPr>
      </w:pPr>
      <w:r>
        <w:rPr>
          <w:rFonts w:hint="eastAsia" w:ascii="宋体" w:hAnsi="宋体" w:eastAsia="宋体"/>
        </w:rPr>
        <w:t>一、项目费用说明</w:t>
      </w:r>
    </w:p>
    <w:p>
      <w:pPr>
        <w:spacing w:line="360" w:lineRule="auto"/>
        <w:ind w:firstLine="440" w:firstLineChars="200"/>
        <w:rPr>
          <w:rFonts w:hint="eastAsia" w:ascii="宋体" w:hAnsi="宋体" w:eastAsia="宋体"/>
        </w:rPr>
      </w:pPr>
      <w:r>
        <w:rPr>
          <w:rFonts w:hint="eastAsia" w:ascii="宋体" w:hAnsi="宋体" w:eastAsia="宋体"/>
        </w:rPr>
        <w:t>报价人应按响应文件的具体要求，并结合企业的自身实际情况进行报价。所报的价格须包含为完成响应文件所规定的全部工作内容所需的一切费用（报价人销项税额除外），并应独立承担项目实施过程中的所有相应风险。</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r>
        <w:rPr>
          <w:rFonts w:hint="eastAsia" w:ascii="宋体" w:hAnsi="宋体" w:eastAsia="宋体"/>
        </w:rPr>
        <w:t>二、响应文件的组成</w:t>
      </w:r>
    </w:p>
    <w:p>
      <w:pPr>
        <w:spacing w:line="360" w:lineRule="auto"/>
        <w:ind w:firstLine="440" w:firstLineChars="200"/>
        <w:rPr>
          <w:rFonts w:hint="eastAsia" w:ascii="宋体" w:hAnsi="宋体" w:eastAsia="宋体"/>
        </w:rPr>
      </w:pPr>
      <w:r>
        <w:rPr>
          <w:rFonts w:hint="eastAsia" w:ascii="宋体" w:hAnsi="宋体" w:eastAsia="宋体"/>
        </w:rPr>
        <w:t>1.报价表；</w:t>
      </w:r>
    </w:p>
    <w:p>
      <w:pPr>
        <w:spacing w:line="360" w:lineRule="auto"/>
        <w:ind w:firstLine="440" w:firstLineChars="200"/>
        <w:rPr>
          <w:rFonts w:hint="eastAsia" w:ascii="宋体" w:hAnsi="宋体" w:eastAsia="宋体"/>
        </w:rPr>
      </w:pPr>
      <w:r>
        <w:rPr>
          <w:rFonts w:hint="eastAsia" w:ascii="宋体" w:hAnsi="宋体" w:eastAsia="宋体"/>
        </w:rPr>
        <w:t>2.项目响应声明；</w:t>
      </w:r>
    </w:p>
    <w:p>
      <w:pPr>
        <w:spacing w:line="360" w:lineRule="auto"/>
        <w:ind w:firstLine="440" w:firstLineChars="200"/>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承诺函；</w:t>
      </w:r>
    </w:p>
    <w:p>
      <w:pPr>
        <w:spacing w:line="360" w:lineRule="auto"/>
        <w:ind w:firstLine="440" w:firstLineChars="200"/>
        <w:rPr>
          <w:rFonts w:hint="eastAsia" w:ascii="宋体" w:hAnsi="宋体" w:eastAsia="宋体"/>
        </w:rPr>
      </w:pPr>
      <w:r>
        <w:rPr>
          <w:rFonts w:hint="eastAsia" w:ascii="宋体" w:hAnsi="宋体" w:eastAsia="宋体"/>
        </w:rPr>
        <w:t>4</w:t>
      </w:r>
      <w:r>
        <w:rPr>
          <w:rFonts w:ascii="宋体" w:hAnsi="宋体" w:eastAsia="宋体"/>
        </w:rPr>
        <w:t>.</w:t>
      </w:r>
      <w:r>
        <w:rPr>
          <w:rFonts w:hint="eastAsia" w:ascii="宋体" w:hAnsi="宋体" w:eastAsia="宋体"/>
        </w:rPr>
        <w:t>资质要求材料；</w:t>
      </w:r>
    </w:p>
    <w:p>
      <w:pPr>
        <w:spacing w:line="360" w:lineRule="auto"/>
        <w:ind w:firstLine="440" w:firstLineChars="200"/>
        <w:rPr>
          <w:rFonts w:hint="eastAsia" w:ascii="宋体" w:hAnsi="宋体" w:eastAsia="宋体"/>
        </w:rPr>
      </w:pPr>
      <w:r>
        <w:rPr>
          <w:rFonts w:hint="eastAsia" w:ascii="宋体" w:hAnsi="宋体" w:eastAsia="宋体"/>
        </w:rPr>
        <w:t>5.企业综合实力与资质材料；</w:t>
      </w:r>
    </w:p>
    <w:p>
      <w:pPr>
        <w:spacing w:line="360" w:lineRule="auto"/>
        <w:ind w:firstLine="440" w:firstLineChars="200"/>
        <w:rPr>
          <w:rFonts w:hint="eastAsia" w:ascii="宋体" w:hAnsi="宋体" w:eastAsia="宋体"/>
        </w:rPr>
      </w:pPr>
      <w:r>
        <w:rPr>
          <w:rFonts w:hint="eastAsia" w:ascii="宋体" w:hAnsi="宋体" w:eastAsia="宋体"/>
        </w:rPr>
        <w:t>6.建设方案资料；</w:t>
      </w:r>
    </w:p>
    <w:p>
      <w:pPr>
        <w:spacing w:line="360" w:lineRule="auto"/>
        <w:ind w:firstLine="440" w:firstLineChars="200"/>
        <w:rPr>
          <w:rFonts w:hint="eastAsia"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项目团队资料；</w:t>
      </w:r>
    </w:p>
    <w:p>
      <w:pPr>
        <w:spacing w:line="360" w:lineRule="auto"/>
        <w:ind w:firstLine="440" w:firstLineChars="200"/>
        <w:rPr>
          <w:rFonts w:hint="eastAsia" w:ascii="宋体" w:hAnsi="宋体" w:eastAsia="宋体"/>
        </w:rPr>
      </w:pPr>
      <w:r>
        <w:rPr>
          <w:rFonts w:hint="eastAsia" w:ascii="宋体" w:hAnsi="宋体" w:eastAsia="宋体"/>
        </w:rPr>
        <w:t>8</w:t>
      </w:r>
      <w:r>
        <w:rPr>
          <w:rFonts w:ascii="宋体" w:hAnsi="宋体" w:eastAsia="宋体"/>
        </w:rPr>
        <w:t>.</w:t>
      </w:r>
      <w:r>
        <w:rPr>
          <w:rFonts w:hint="eastAsia" w:ascii="宋体" w:hAnsi="宋体" w:eastAsia="宋体"/>
        </w:rPr>
        <w:t>相关项目经验证明材料；</w:t>
      </w:r>
    </w:p>
    <w:p>
      <w:pPr>
        <w:spacing w:line="360" w:lineRule="auto"/>
        <w:ind w:firstLine="440" w:firstLineChars="200"/>
        <w:rPr>
          <w:rFonts w:hint="eastAsia" w:ascii="宋体" w:hAnsi="宋体" w:eastAsia="宋体"/>
        </w:rPr>
      </w:pPr>
      <w:r>
        <w:rPr>
          <w:rFonts w:hint="eastAsia" w:ascii="宋体" w:hAnsi="宋体" w:eastAsia="宋体"/>
        </w:rPr>
        <w:t>9.报价人认为有必要提供的资料。</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r>
        <w:rPr>
          <w:rFonts w:hint="eastAsia" w:ascii="宋体" w:hAnsi="宋体" w:eastAsia="宋体"/>
        </w:rPr>
        <w:t>三、响应文件的封装和递交</w:t>
      </w:r>
    </w:p>
    <w:p>
      <w:pPr>
        <w:spacing w:line="360" w:lineRule="auto"/>
        <w:ind w:firstLine="440" w:firstLineChars="200"/>
        <w:rPr>
          <w:rFonts w:hint="eastAsia" w:ascii="宋体" w:hAnsi="宋体" w:eastAsia="宋体"/>
        </w:rPr>
      </w:pPr>
      <w:r>
        <w:rPr>
          <w:rFonts w:hint="eastAsia" w:ascii="宋体" w:hAnsi="宋体" w:eastAsia="宋体"/>
        </w:rPr>
        <w:t>1.报价人应提交一份单独密封的“报价信封”（仅放一份报价表即可），以及一式四份（一份正本和三份副本）的“响应文件”（即整套响应文件）。报价信封与响应文件须分开密封，且密封在一个不透明的外层封装中，外层密封封装表面应正确标明项目名称、报价人单位名称，封口位置盖章。响应文件要明确注明“正本”或“副本”，一旦正本和副本发现差异，以正本为准。副本文件可由正本文件复印而成。</w:t>
      </w:r>
    </w:p>
    <w:p>
      <w:pPr>
        <w:spacing w:line="360" w:lineRule="auto"/>
        <w:ind w:firstLine="440" w:firstLineChars="200"/>
        <w:rPr>
          <w:rFonts w:hint="eastAsia" w:ascii="宋体" w:hAnsi="宋体" w:eastAsia="宋体"/>
        </w:rPr>
      </w:pPr>
      <w:r>
        <w:rPr>
          <w:rFonts w:ascii="宋体" w:hAnsi="宋体" w:eastAsia="宋体"/>
        </w:rPr>
        <w:t>2.</w:t>
      </w:r>
      <w:r>
        <w:rPr>
          <w:rFonts w:hint="eastAsia" w:ascii="宋体" w:hAnsi="宋体" w:eastAsia="宋体"/>
        </w:rPr>
        <w:t>响应文件无须装订成册</w:t>
      </w:r>
      <w:r>
        <w:rPr>
          <w:rFonts w:ascii="宋体" w:hAnsi="宋体" w:eastAsia="宋体"/>
        </w:rPr>
        <w:t>。</w:t>
      </w:r>
      <w:r>
        <w:rPr>
          <w:rFonts w:hint="eastAsia" w:ascii="宋体" w:hAnsi="宋体" w:eastAsia="宋体"/>
        </w:rPr>
        <w:t>若报价文件装订成册，需同时提供电子文件，内容包括：签字、盖章后的报价文件扫描版PDF格式电子文件。电子文件不可设置密码，用U盘或DVD或CD-R光盘储存 ，可密封于“报价信封”内（电子文件的包装封面需注明项目名称、项目编号、报价人单位名称，并盖章）。</w:t>
      </w:r>
    </w:p>
    <w:p>
      <w:pPr>
        <w:spacing w:line="360" w:lineRule="auto"/>
        <w:ind w:firstLine="440" w:firstLineChars="200"/>
        <w:rPr>
          <w:rFonts w:hint="eastAsia" w:ascii="宋体" w:hAnsi="宋体" w:eastAsia="宋体"/>
        </w:rPr>
      </w:pPr>
      <w:r>
        <w:rPr>
          <w:rFonts w:hint="eastAsia" w:ascii="宋体" w:hAnsi="宋体" w:eastAsia="宋体"/>
        </w:rPr>
        <w:t>3.所有按上述要求密封的报价信封、响应文件，必须在询比公告中明确规定的递交截止时间之前，送达采购人指定的递交地点。逾期送达或未送达指定地点的响应文件，将被视为自动放弃参与本项目询比的资格。</w:t>
      </w:r>
    </w:p>
    <w:p>
      <w:pPr>
        <w:spacing w:line="360" w:lineRule="auto"/>
        <w:ind w:firstLine="440" w:firstLineChars="200"/>
        <w:rPr>
          <w:rFonts w:hint="eastAsia" w:ascii="宋体" w:hAnsi="宋体" w:eastAsia="宋体"/>
        </w:rPr>
      </w:pPr>
      <w:r>
        <w:rPr>
          <w:rFonts w:hint="eastAsia" w:ascii="宋体" w:hAnsi="宋体" w:eastAsia="宋体"/>
        </w:rPr>
        <w:t>四、报价有效性说明</w:t>
      </w:r>
    </w:p>
    <w:p>
      <w:pPr>
        <w:spacing w:line="360" w:lineRule="auto"/>
        <w:ind w:firstLine="440" w:firstLineChars="200"/>
        <w:rPr>
          <w:rFonts w:hint="eastAsia" w:ascii="宋体" w:hAnsi="宋体" w:eastAsia="宋体"/>
        </w:rPr>
      </w:pPr>
      <w:r>
        <w:rPr>
          <w:rFonts w:hint="eastAsia" w:ascii="宋体" w:hAnsi="宋体" w:eastAsia="宋体"/>
        </w:rPr>
        <w:t>1.若在响应文件递交截止后，经采购人审查确定的有效响应文件不足三家，采购人有权根据实际情况决定重新组织采购活动。</w:t>
      </w:r>
    </w:p>
    <w:p>
      <w:pPr>
        <w:spacing w:line="360" w:lineRule="auto"/>
        <w:ind w:firstLine="440" w:firstLineChars="200"/>
        <w:rPr>
          <w:rFonts w:hint="eastAsia" w:ascii="宋体" w:hAnsi="宋体" w:eastAsia="宋体"/>
        </w:rPr>
      </w:pPr>
      <w:r>
        <w:rPr>
          <w:rFonts w:hint="eastAsia" w:ascii="宋体" w:hAnsi="宋体" w:eastAsia="宋体"/>
        </w:rPr>
        <w:t>2.当被确定为综合得分最高的成交候选供应商主动放弃成交资格，或经采购人核实确认其并未实质性满足采购需求时，采购人有权顺次确定综合得分次高的实质性满足需求的供应商为成交供应商，或有权宣布本次采购失败并重新组织采购。</w:t>
      </w:r>
    </w:p>
    <w:p>
      <w:pPr>
        <w:spacing w:line="360" w:lineRule="auto"/>
        <w:ind w:firstLine="440" w:firstLineChars="200"/>
        <w:rPr>
          <w:rFonts w:hint="eastAsia" w:ascii="宋体" w:hAnsi="宋体" w:eastAsia="宋体"/>
        </w:rPr>
      </w:pPr>
      <w:r>
        <w:rPr>
          <w:rFonts w:hint="eastAsia" w:ascii="宋体" w:hAnsi="宋体" w:eastAsia="宋体"/>
        </w:rPr>
        <w:t>五</w:t>
      </w:r>
      <w:r>
        <w:rPr>
          <w:rFonts w:ascii="宋体" w:hAnsi="宋体" w:eastAsia="宋体"/>
        </w:rPr>
        <w:t>、评分标准</w:t>
      </w:r>
    </w:p>
    <w:p>
      <w:pPr>
        <w:spacing w:line="360" w:lineRule="auto"/>
        <w:ind w:firstLine="440" w:firstLineChars="200"/>
        <w:rPr>
          <w:rFonts w:hint="eastAsia" w:ascii="宋体" w:hAnsi="宋体" w:eastAsia="宋体"/>
        </w:rPr>
      </w:pPr>
      <w:r>
        <w:rPr>
          <w:rFonts w:ascii="宋体" w:hAnsi="宋体" w:eastAsia="宋体"/>
        </w:rPr>
        <w:t>采购人将组织评</w:t>
      </w:r>
      <w:r>
        <w:rPr>
          <w:rFonts w:hint="eastAsia" w:ascii="宋体" w:hAnsi="宋体" w:eastAsia="宋体"/>
        </w:rPr>
        <w:t>审</w:t>
      </w:r>
      <w:r>
        <w:rPr>
          <w:rFonts w:ascii="宋体" w:hAnsi="宋体" w:eastAsia="宋体"/>
        </w:rPr>
        <w:t>小组，对实质性满足采购需求的供应商</w:t>
      </w:r>
      <w:r>
        <w:rPr>
          <w:rFonts w:hint="eastAsia" w:ascii="宋体" w:hAnsi="宋体" w:eastAsia="宋体"/>
        </w:rPr>
        <w:t>所提交的</w:t>
      </w:r>
      <w:r>
        <w:rPr>
          <w:rFonts w:ascii="宋体" w:hAnsi="宋体" w:eastAsia="宋体"/>
        </w:rPr>
        <w:t>响应文件进行综合评</w:t>
      </w:r>
      <w:r>
        <w:rPr>
          <w:rFonts w:hint="eastAsia" w:ascii="宋体" w:hAnsi="宋体" w:eastAsia="宋体"/>
        </w:rPr>
        <w:t>审</w:t>
      </w:r>
      <w:r>
        <w:rPr>
          <w:rFonts w:ascii="宋体" w:hAnsi="宋体" w:eastAsia="宋体"/>
        </w:rPr>
        <w:t>。综合评分满分为100分，由商务部分</w:t>
      </w:r>
      <w:r>
        <w:rPr>
          <w:rFonts w:hint="eastAsia" w:ascii="宋体" w:hAnsi="宋体" w:eastAsia="宋体"/>
        </w:rPr>
        <w:t>（企业综合实力与资质、相关项目业绩）</w:t>
      </w:r>
      <w:r>
        <w:rPr>
          <w:rFonts w:ascii="宋体" w:hAnsi="宋体" w:eastAsia="宋体"/>
        </w:rPr>
        <w:t>、技术部分</w:t>
      </w:r>
      <w:r>
        <w:rPr>
          <w:rFonts w:hint="eastAsia" w:ascii="宋体" w:hAnsi="宋体" w:eastAsia="宋体"/>
        </w:rPr>
        <w:t>（服务</w:t>
      </w:r>
      <w:r>
        <w:rPr>
          <w:rFonts w:ascii="宋体" w:hAnsi="宋体" w:eastAsia="宋体"/>
        </w:rPr>
        <w:t>方案</w:t>
      </w:r>
      <w:r>
        <w:rPr>
          <w:rFonts w:hint="eastAsia" w:ascii="宋体" w:hAnsi="宋体" w:eastAsia="宋体"/>
        </w:rPr>
        <w:t>、项目团队）</w:t>
      </w:r>
      <w:r>
        <w:rPr>
          <w:rFonts w:ascii="宋体" w:hAnsi="宋体" w:eastAsia="宋体"/>
        </w:rPr>
        <w:t>和价格部分得分相加得出。评审小组将根据以下评分因素和标准进行评审：</w:t>
      </w:r>
    </w:p>
    <w:tbl>
      <w:tblPr>
        <w:tblStyle w:val="18"/>
        <w:tblW w:w="5000" w:type="pct"/>
        <w:tblInd w:w="0" w:type="dxa"/>
        <w:tblLayout w:type="autofit"/>
        <w:tblCellMar>
          <w:top w:w="0" w:type="dxa"/>
          <w:left w:w="108" w:type="dxa"/>
          <w:bottom w:w="0" w:type="dxa"/>
          <w:right w:w="108" w:type="dxa"/>
        </w:tblCellMar>
      </w:tblPr>
      <w:tblGrid>
        <w:gridCol w:w="723"/>
        <w:gridCol w:w="7244"/>
        <w:gridCol w:w="561"/>
      </w:tblGrid>
      <w:tr>
        <w:tblPrEx>
          <w:tblCellMar>
            <w:top w:w="0" w:type="dxa"/>
            <w:left w:w="108" w:type="dxa"/>
            <w:bottom w:w="0" w:type="dxa"/>
            <w:right w:w="108" w:type="dxa"/>
          </w:tblCellMar>
        </w:tblPrEx>
        <w:trPr>
          <w:trHeight w:val="600" w:hRule="atLeast"/>
        </w:trPr>
        <w:tc>
          <w:tcPr>
            <w:tcW w:w="424" w:type="pct"/>
            <w:tcBorders>
              <w:top w:val="single" w:color="auto" w:sz="4" w:space="0"/>
              <w:left w:val="single" w:color="auto" w:sz="4" w:space="0"/>
              <w:bottom w:val="single" w:color="auto" w:sz="4" w:space="0"/>
              <w:right w:val="single" w:color="auto" w:sz="4" w:space="0"/>
            </w:tcBorders>
            <w:shd w:val="clear" w:color="000000" w:fill="E7E6E6"/>
            <w:vAlign w:val="center"/>
          </w:tcPr>
          <w:p>
            <w:pPr>
              <w:adjustRightInd/>
              <w:snapToGrid/>
              <w:spacing w:after="0"/>
              <w:jc w:val="center"/>
              <w:rPr>
                <w:rFonts w:hint="eastAsia" w:ascii="宋体" w:hAnsi="宋体" w:eastAsia="宋体" w:cs="宋体"/>
                <w:b/>
                <w:bCs/>
                <w:color w:val="000000"/>
              </w:rPr>
            </w:pPr>
            <w:r>
              <w:rPr>
                <w:rFonts w:hint="eastAsia" w:ascii="宋体" w:hAnsi="宋体" w:eastAsia="宋体" w:cs="宋体"/>
                <w:b/>
                <w:bCs/>
                <w:color w:val="000000"/>
              </w:rPr>
              <w:t>评分项目</w:t>
            </w:r>
          </w:p>
        </w:tc>
        <w:tc>
          <w:tcPr>
            <w:tcW w:w="4247" w:type="pct"/>
            <w:tcBorders>
              <w:top w:val="single" w:color="auto" w:sz="4" w:space="0"/>
              <w:left w:val="nil"/>
              <w:bottom w:val="single" w:color="auto" w:sz="4" w:space="0"/>
              <w:right w:val="single" w:color="auto" w:sz="4" w:space="0"/>
            </w:tcBorders>
            <w:shd w:val="clear" w:color="000000" w:fill="E7E6E6"/>
            <w:vAlign w:val="center"/>
          </w:tcPr>
          <w:p>
            <w:pPr>
              <w:adjustRightInd/>
              <w:snapToGrid/>
              <w:spacing w:after="0"/>
              <w:jc w:val="center"/>
              <w:rPr>
                <w:rFonts w:hint="eastAsia" w:ascii="宋体" w:hAnsi="宋体" w:eastAsia="宋体" w:cs="宋体"/>
                <w:b/>
                <w:bCs/>
                <w:color w:val="000000"/>
              </w:rPr>
            </w:pPr>
            <w:r>
              <w:rPr>
                <w:rFonts w:hint="eastAsia" w:ascii="宋体" w:hAnsi="宋体" w:eastAsia="宋体" w:cs="宋体"/>
                <w:b/>
                <w:bCs/>
                <w:color w:val="000000"/>
              </w:rPr>
              <w:t>评分标准</w:t>
            </w:r>
          </w:p>
        </w:tc>
        <w:tc>
          <w:tcPr>
            <w:tcW w:w="329" w:type="pct"/>
            <w:tcBorders>
              <w:top w:val="single" w:color="auto" w:sz="4" w:space="0"/>
              <w:left w:val="nil"/>
              <w:bottom w:val="single" w:color="auto" w:sz="4" w:space="0"/>
              <w:right w:val="single" w:color="auto" w:sz="4" w:space="0"/>
            </w:tcBorders>
            <w:shd w:val="clear" w:color="000000" w:fill="E7E6E6"/>
            <w:vAlign w:val="center"/>
          </w:tcPr>
          <w:p>
            <w:pPr>
              <w:adjustRightInd/>
              <w:snapToGrid/>
              <w:spacing w:after="0"/>
              <w:jc w:val="center"/>
              <w:rPr>
                <w:rFonts w:hint="eastAsia" w:ascii="宋体" w:hAnsi="宋体" w:eastAsia="宋体" w:cs="宋体"/>
                <w:b/>
                <w:bCs/>
                <w:color w:val="000000"/>
              </w:rPr>
            </w:pPr>
            <w:r>
              <w:rPr>
                <w:rFonts w:hint="eastAsia" w:ascii="宋体" w:hAnsi="宋体" w:eastAsia="宋体" w:cs="宋体"/>
                <w:b/>
                <w:bCs/>
                <w:color w:val="000000"/>
              </w:rPr>
              <w:t>分值</w:t>
            </w:r>
          </w:p>
        </w:tc>
      </w:tr>
      <w:tr>
        <w:tblPrEx>
          <w:tblCellMar>
            <w:top w:w="0" w:type="dxa"/>
            <w:left w:w="108" w:type="dxa"/>
            <w:bottom w:w="0" w:type="dxa"/>
            <w:right w:w="108" w:type="dxa"/>
          </w:tblCellMar>
        </w:tblPrEx>
        <w:trPr>
          <w:trHeight w:val="1050" w:hRule="atLeast"/>
        </w:trPr>
        <w:tc>
          <w:tcPr>
            <w:tcW w:w="424" w:type="pct"/>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企业综合实力与资质</w:t>
            </w: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1.供应商2023年-2024年二个年度，每具有1个年度盈利的得1分，满分2分。</w:t>
            </w:r>
            <w:r>
              <w:rPr>
                <w:rFonts w:hint="eastAsia" w:ascii="宋体" w:hAnsi="宋体" w:eastAsia="宋体" w:cs="宋体"/>
                <w:color w:val="000000"/>
              </w:rPr>
              <w:br w:type="textWrapping"/>
            </w:r>
            <w:r>
              <w:rPr>
                <w:rFonts w:hint="eastAsia" w:ascii="宋体" w:hAnsi="宋体" w:eastAsia="宋体" w:cs="宋体"/>
                <w:color w:val="000000"/>
              </w:rPr>
              <w:t>（盈利指净利润为正数（非零、非负数），供应商应提供2023年、2024年二个年度的财务报表，净利润以对应年度经审计的财务报表为准，应提供经独立会计师事务所审计过的有效的财务报表复印件；未提供前述财务报表或财务报表未能反映净利润的，不得分）</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2</w:t>
            </w:r>
          </w:p>
        </w:tc>
      </w:tr>
      <w:tr>
        <w:tblPrEx>
          <w:tblCellMar>
            <w:top w:w="0" w:type="dxa"/>
            <w:left w:w="108" w:type="dxa"/>
            <w:bottom w:w="0" w:type="dxa"/>
            <w:right w:w="108" w:type="dxa"/>
          </w:tblCellMar>
        </w:tblPrEx>
        <w:trPr>
          <w:trHeight w:val="280" w:hRule="atLeast"/>
        </w:trPr>
        <w:tc>
          <w:tcPr>
            <w:tcW w:w="424"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hint="eastAsia" w:ascii="宋体" w:hAnsi="宋体" w:eastAsia="宋体" w:cs="宋体"/>
                <w:color w:val="000000"/>
              </w:rPr>
            </w:pP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2.供应商具有智能仓储系统的软件著作权登记证书得10分，没有的不得分。（需提供证书复印件并加盖公司公章）</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10</w:t>
            </w:r>
          </w:p>
        </w:tc>
      </w:tr>
      <w:tr>
        <w:tblPrEx>
          <w:tblCellMar>
            <w:top w:w="0" w:type="dxa"/>
            <w:left w:w="108" w:type="dxa"/>
            <w:bottom w:w="0" w:type="dxa"/>
            <w:right w:w="108" w:type="dxa"/>
          </w:tblCellMar>
        </w:tblPrEx>
        <w:trPr>
          <w:trHeight w:val="280" w:hRule="atLeast"/>
        </w:trPr>
        <w:tc>
          <w:tcPr>
            <w:tcW w:w="424"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hint="eastAsia" w:ascii="宋体" w:hAnsi="宋体" w:eastAsia="宋体" w:cs="宋体"/>
                <w:color w:val="000000"/>
              </w:rPr>
            </w:pP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3.供应商具有其他软件著作权登记证书的，每提供1个得1分，没有的不得分。本项满分8分（需提供证书复印件并加盖公司公章）</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8</w:t>
            </w:r>
          </w:p>
        </w:tc>
      </w:tr>
      <w:tr>
        <w:tblPrEx>
          <w:tblCellMar>
            <w:top w:w="0" w:type="dxa"/>
            <w:left w:w="108" w:type="dxa"/>
            <w:bottom w:w="0" w:type="dxa"/>
            <w:right w:w="108" w:type="dxa"/>
          </w:tblCellMar>
        </w:tblPrEx>
        <w:trPr>
          <w:trHeight w:val="700" w:hRule="atLeast"/>
        </w:trPr>
        <w:tc>
          <w:tcPr>
            <w:tcW w:w="424"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hint="eastAsia" w:ascii="宋体" w:hAnsi="宋体" w:eastAsia="宋体" w:cs="宋体"/>
                <w:color w:val="000000"/>
              </w:rPr>
            </w:pPr>
          </w:p>
        </w:tc>
        <w:tc>
          <w:tcPr>
            <w:tcW w:w="4247" w:type="pct"/>
            <w:tcBorders>
              <w:top w:val="nil"/>
              <w:left w:val="nil"/>
              <w:bottom w:val="nil"/>
              <w:right w:val="nil"/>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4.供应商项目经验</w:t>
            </w:r>
            <w:r>
              <w:rPr>
                <w:rFonts w:hint="eastAsia" w:ascii="宋体" w:hAnsi="宋体" w:eastAsia="宋体" w:cs="宋体"/>
                <w:color w:val="000000"/>
              </w:rPr>
              <w:br w:type="textWrapping"/>
            </w:r>
            <w:r>
              <w:rPr>
                <w:rFonts w:hint="eastAsia" w:ascii="宋体" w:hAnsi="宋体" w:eastAsia="宋体" w:cs="宋体"/>
                <w:color w:val="000000"/>
              </w:rPr>
              <w:t>供应商具有仓库信息系统（含智能仓储系统）相关项目建设实施经验，以签订的合同为准，每提供一个得2分，未提供不得分。本项满分得16分。（须提供合同原件复印件）</w:t>
            </w:r>
          </w:p>
        </w:tc>
        <w:tc>
          <w:tcPr>
            <w:tcW w:w="329" w:type="pct"/>
            <w:tcBorders>
              <w:top w:val="nil"/>
              <w:left w:val="single" w:color="auto" w:sz="4" w:space="0"/>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16</w:t>
            </w:r>
          </w:p>
        </w:tc>
      </w:tr>
      <w:tr>
        <w:tblPrEx>
          <w:tblCellMar>
            <w:top w:w="0" w:type="dxa"/>
            <w:left w:w="108" w:type="dxa"/>
            <w:bottom w:w="0" w:type="dxa"/>
            <w:right w:w="108" w:type="dxa"/>
          </w:tblCellMar>
        </w:tblPrEx>
        <w:trPr>
          <w:trHeight w:val="699" w:hRule="atLeast"/>
        </w:trPr>
        <w:tc>
          <w:tcPr>
            <w:tcW w:w="424" w:type="pct"/>
            <w:tcBorders>
              <w:top w:val="nil"/>
              <w:left w:val="single" w:color="auto" w:sz="4" w:space="0"/>
              <w:bottom w:val="single" w:color="auto" w:sz="4" w:space="0"/>
              <w:right w:val="single" w:color="auto" w:sz="4" w:space="0"/>
            </w:tcBorders>
            <w:vAlign w:val="center"/>
          </w:tcPr>
          <w:p>
            <w:pPr>
              <w:adjustRightInd/>
              <w:snapToGrid/>
              <w:spacing w:after="0"/>
              <w:jc w:val="center"/>
              <w:rPr>
                <w:rFonts w:hint="eastAsia" w:ascii="等线" w:hAnsi="等线" w:eastAsia="等线" w:cs="宋体"/>
                <w:color w:val="000000"/>
              </w:rPr>
            </w:pPr>
            <w:r>
              <w:rPr>
                <w:rFonts w:hint="eastAsia" w:ascii="等线" w:hAnsi="等线" w:eastAsia="等线" w:cs="宋体"/>
                <w:color w:val="000000"/>
              </w:rPr>
              <w:t>人员配置</w:t>
            </w:r>
          </w:p>
        </w:tc>
        <w:tc>
          <w:tcPr>
            <w:tcW w:w="4247" w:type="pct"/>
            <w:tcBorders>
              <w:top w:val="single" w:color="auto" w:sz="4" w:space="0"/>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供应商拟投入本项目的人员：</w:t>
            </w:r>
            <w:r>
              <w:rPr>
                <w:rFonts w:hint="eastAsia" w:ascii="宋体" w:hAnsi="宋体" w:eastAsia="宋体" w:cs="宋体"/>
                <w:color w:val="000000"/>
              </w:rPr>
              <w:br w:type="textWrapping"/>
            </w:r>
            <w:r>
              <w:rPr>
                <w:rFonts w:hint="eastAsia" w:ascii="宋体" w:hAnsi="宋体" w:eastAsia="宋体" w:cs="宋体"/>
                <w:color w:val="000000"/>
              </w:rPr>
              <w:t>（1）具有PMP证书的得2分；</w:t>
            </w:r>
            <w:r>
              <w:rPr>
                <w:rFonts w:hint="eastAsia" w:ascii="宋体" w:hAnsi="宋体" w:eastAsia="宋体" w:cs="宋体"/>
                <w:color w:val="000000"/>
              </w:rPr>
              <w:br w:type="textWrapping"/>
            </w:r>
            <w:r>
              <w:rPr>
                <w:rFonts w:hint="eastAsia" w:ascii="宋体" w:hAnsi="宋体" w:eastAsia="宋体" w:cs="宋体"/>
                <w:color w:val="000000"/>
              </w:rPr>
              <w:t>（2）技术人员具有中级软件设计师证书的得2分；</w:t>
            </w:r>
            <w:r>
              <w:rPr>
                <w:rFonts w:hint="eastAsia" w:ascii="宋体" w:hAnsi="宋体" w:eastAsia="宋体" w:cs="宋体"/>
                <w:color w:val="000000"/>
              </w:rPr>
              <w:br w:type="textWrapping"/>
            </w:r>
            <w:r>
              <w:rPr>
                <w:rFonts w:hint="eastAsia" w:ascii="宋体" w:hAnsi="宋体" w:eastAsia="宋体" w:cs="宋体"/>
                <w:color w:val="000000"/>
              </w:rPr>
              <w:t>注：</w:t>
            </w:r>
            <w:r>
              <w:rPr>
                <w:rFonts w:hint="eastAsia" w:ascii="宋体" w:hAnsi="宋体" w:eastAsia="宋体" w:cs="宋体"/>
                <w:color w:val="000000"/>
              </w:rPr>
              <w:br w:type="textWrapping"/>
            </w:r>
            <w:r>
              <w:rPr>
                <w:rFonts w:hint="eastAsia" w:ascii="宋体" w:hAnsi="宋体" w:eastAsia="宋体" w:cs="宋体"/>
                <w:color w:val="000000"/>
              </w:rPr>
              <w:t>1）以上人员不重复计分；</w:t>
            </w:r>
            <w:r>
              <w:rPr>
                <w:rFonts w:hint="eastAsia" w:ascii="宋体" w:hAnsi="宋体" w:eastAsia="宋体" w:cs="宋体"/>
                <w:color w:val="000000"/>
              </w:rPr>
              <w:br w:type="textWrapping"/>
            </w:r>
            <w:r>
              <w:rPr>
                <w:rFonts w:hint="eastAsia" w:ascii="宋体" w:hAnsi="宋体" w:eastAsia="宋体" w:cs="宋体"/>
                <w:color w:val="000000"/>
              </w:rPr>
              <w:t>2）须提供上述人员有效的证书复印件及人力资源和社会保障部门（或税务部门）出具的投标人自2025年12月至2026年2月连续3个月的社会保险缴纳证明，如因社会保险经办机构系统延迟、数据更新等原因，导致其中某个月份的官方记录暂时无法显示，投标人可提供以下替代文件之一进行证明，该替代文件与官方记录具有同等效力：1、该月份的社会保险费银行转账付款凭证或电子缴费回单；2、该月份的个人所得税缴纳记录（需与本单位名称一致）；3、该月份的工资发放银行流水记录（（需与本单位名称一致，并加盖公司公章）。</w:t>
            </w:r>
          </w:p>
          <w:p>
            <w:pPr>
              <w:adjustRightInd/>
              <w:snapToGrid/>
              <w:spacing w:after="0"/>
              <w:ind w:firstLine="440" w:firstLineChars="200"/>
              <w:rPr>
                <w:rFonts w:hint="eastAsia" w:ascii="宋体" w:hAnsi="宋体" w:eastAsia="宋体" w:cs="宋体"/>
                <w:color w:val="000000"/>
              </w:rPr>
            </w:pPr>
            <w:r>
              <w:rPr>
                <w:rFonts w:hint="eastAsia" w:ascii="宋体" w:hAnsi="宋体" w:eastAsia="宋体" w:cs="宋体"/>
                <w:color w:val="000000"/>
              </w:rPr>
              <w:t>为其缴纳的社保证明复印件加盖供应商公章。</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4</w:t>
            </w:r>
          </w:p>
        </w:tc>
      </w:tr>
      <w:tr>
        <w:tblPrEx>
          <w:tblCellMar>
            <w:top w:w="0" w:type="dxa"/>
            <w:left w:w="108" w:type="dxa"/>
            <w:bottom w:w="0" w:type="dxa"/>
            <w:right w:w="108" w:type="dxa"/>
          </w:tblCellMar>
        </w:tblPrEx>
        <w:trPr>
          <w:trHeight w:val="1830" w:hRule="atLeast"/>
        </w:trPr>
        <w:tc>
          <w:tcPr>
            <w:tcW w:w="424" w:type="pct"/>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建设实施方案</w:t>
            </w: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1、供应商的建设实施方案。</w:t>
            </w:r>
            <w:r>
              <w:rPr>
                <w:rFonts w:hint="eastAsia" w:ascii="宋体" w:hAnsi="宋体" w:eastAsia="宋体" w:cs="宋体"/>
                <w:color w:val="000000"/>
              </w:rPr>
              <w:br w:type="textWrapping"/>
            </w:r>
            <w:r>
              <w:rPr>
                <w:rFonts w:hint="eastAsia" w:ascii="宋体" w:hAnsi="宋体" w:eastAsia="宋体" w:cs="宋体"/>
                <w:color w:val="000000"/>
              </w:rPr>
              <w:t xml:space="preserve">包括但不限于对采购人业务现状及需求分析、建设目标、建设内容、以及为建设本项目所提供的项目组织、计划、交付、质量、风险保障等。 </w:t>
            </w:r>
            <w:r>
              <w:rPr>
                <w:rFonts w:hint="eastAsia" w:ascii="宋体" w:hAnsi="宋体" w:eastAsia="宋体" w:cs="宋体"/>
                <w:color w:val="000000"/>
              </w:rPr>
              <w:br w:type="textWrapping"/>
            </w:r>
            <w:r>
              <w:rPr>
                <w:rFonts w:hint="eastAsia" w:ascii="宋体" w:hAnsi="宋体" w:eastAsia="宋体" w:cs="宋体"/>
                <w:color w:val="000000"/>
              </w:rPr>
              <w:t xml:space="preserve">（1）方案内容对采购人现有业务现状及需求能深刻剖析，建设方案完整、思路清晰、合理且能完全满足项目需求，项目保障措施充足等。得18-20分； </w:t>
            </w:r>
            <w:r>
              <w:rPr>
                <w:rFonts w:hint="eastAsia" w:ascii="宋体" w:hAnsi="宋体" w:eastAsia="宋体" w:cs="宋体"/>
                <w:color w:val="000000"/>
              </w:rPr>
              <w:br w:type="textWrapping"/>
            </w:r>
            <w:r>
              <w:rPr>
                <w:rFonts w:hint="eastAsia" w:ascii="宋体" w:hAnsi="宋体" w:eastAsia="宋体" w:cs="宋体"/>
                <w:color w:val="000000"/>
              </w:rPr>
              <w:t>（2）方案内容对采购人现有业务现状及需求基本理解，方案完整，但思路不够清晰，合理性及项目保障一般，得10-12分；</w:t>
            </w:r>
            <w:r>
              <w:rPr>
                <w:rFonts w:hint="eastAsia" w:ascii="宋体" w:hAnsi="宋体" w:eastAsia="宋体" w:cs="宋体"/>
                <w:color w:val="000000"/>
              </w:rPr>
              <w:br w:type="textWrapping"/>
            </w:r>
            <w:r>
              <w:rPr>
                <w:rFonts w:hint="eastAsia" w:ascii="宋体" w:hAnsi="宋体" w:eastAsia="宋体" w:cs="宋体"/>
                <w:color w:val="000000"/>
              </w:rPr>
              <w:t>（3）方案内容不完整，内容模糊，得1-6分。</w:t>
            </w:r>
            <w:r>
              <w:rPr>
                <w:rFonts w:hint="eastAsia" w:ascii="宋体" w:hAnsi="宋体" w:eastAsia="宋体" w:cs="宋体"/>
                <w:color w:val="000000"/>
              </w:rPr>
              <w:br w:type="textWrapping"/>
            </w:r>
            <w:r>
              <w:rPr>
                <w:rFonts w:hint="eastAsia" w:ascii="宋体" w:hAnsi="宋体" w:eastAsia="宋体" w:cs="宋体"/>
                <w:color w:val="000000"/>
              </w:rPr>
              <w:t>（4）未提供，得0分。</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20</w:t>
            </w:r>
          </w:p>
        </w:tc>
      </w:tr>
      <w:tr>
        <w:tblPrEx>
          <w:tblCellMar>
            <w:top w:w="0" w:type="dxa"/>
            <w:left w:w="108" w:type="dxa"/>
            <w:bottom w:w="0" w:type="dxa"/>
            <w:right w:w="108" w:type="dxa"/>
          </w:tblCellMar>
        </w:tblPrEx>
        <w:trPr>
          <w:trHeight w:val="1230" w:hRule="atLeast"/>
        </w:trPr>
        <w:tc>
          <w:tcPr>
            <w:tcW w:w="424"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2、供应商的质保期及配合采购人仓库规划整改服务的保障。</w:t>
            </w:r>
            <w:r>
              <w:rPr>
                <w:rFonts w:hint="eastAsia" w:ascii="宋体" w:hAnsi="宋体" w:eastAsia="宋体" w:cs="宋体"/>
                <w:color w:val="000000"/>
              </w:rPr>
              <w:br w:type="textWrapping"/>
            </w:r>
            <w:r>
              <w:rPr>
                <w:rFonts w:hint="eastAsia" w:ascii="宋体" w:hAnsi="宋体" w:eastAsia="宋体" w:cs="宋体"/>
                <w:color w:val="000000"/>
              </w:rPr>
              <w:t>（1）对项目质保期提供了具体的保障措施，并承诺提供1-2名具有相关经验的人员驻仓库现场配合采购人仓库规划整改服务。得8-10分</w:t>
            </w:r>
            <w:r>
              <w:rPr>
                <w:rFonts w:hint="eastAsia" w:ascii="宋体" w:hAnsi="宋体" w:eastAsia="宋体" w:cs="宋体"/>
                <w:color w:val="000000"/>
              </w:rPr>
              <w:br w:type="textWrapping"/>
            </w:r>
            <w:r>
              <w:rPr>
                <w:rFonts w:hint="eastAsia" w:ascii="宋体" w:hAnsi="宋体" w:eastAsia="宋体" w:cs="宋体"/>
                <w:color w:val="000000"/>
              </w:rPr>
              <w:t>（2）对项目质保期保障措施及配合采购人仓库规划整改服务的承诺模糊不清晰。得1-2分</w:t>
            </w:r>
            <w:r>
              <w:rPr>
                <w:rFonts w:hint="eastAsia" w:ascii="宋体" w:hAnsi="宋体" w:eastAsia="宋体" w:cs="宋体"/>
                <w:color w:val="000000"/>
              </w:rPr>
              <w:br w:type="textWrapping"/>
            </w:r>
            <w:r>
              <w:rPr>
                <w:rFonts w:hint="eastAsia" w:ascii="宋体" w:hAnsi="宋体" w:eastAsia="宋体" w:cs="宋体"/>
                <w:color w:val="000000"/>
              </w:rPr>
              <w:t>（3）未提供，得0分。</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10</w:t>
            </w:r>
          </w:p>
        </w:tc>
      </w:tr>
      <w:tr>
        <w:tblPrEx>
          <w:tblCellMar>
            <w:top w:w="0" w:type="dxa"/>
            <w:left w:w="108" w:type="dxa"/>
            <w:bottom w:w="0" w:type="dxa"/>
            <w:right w:w="108" w:type="dxa"/>
          </w:tblCellMar>
        </w:tblPrEx>
        <w:trPr>
          <w:trHeight w:val="1070" w:hRule="atLeast"/>
        </w:trPr>
        <w:tc>
          <w:tcPr>
            <w:tcW w:w="424" w:type="pct"/>
            <w:tcBorders>
              <w:top w:val="nil"/>
              <w:left w:val="single" w:color="auto" w:sz="4" w:space="0"/>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价格</w:t>
            </w:r>
          </w:p>
        </w:tc>
        <w:tc>
          <w:tcPr>
            <w:tcW w:w="4247" w:type="pct"/>
            <w:tcBorders>
              <w:top w:val="nil"/>
              <w:left w:val="nil"/>
              <w:bottom w:val="single" w:color="auto" w:sz="4" w:space="0"/>
              <w:right w:val="single" w:color="auto" w:sz="4" w:space="0"/>
            </w:tcBorders>
            <w:vAlign w:val="center"/>
          </w:tcPr>
          <w:p>
            <w:pPr>
              <w:adjustRightInd/>
              <w:snapToGrid/>
              <w:spacing w:after="0"/>
              <w:rPr>
                <w:rFonts w:hint="eastAsia" w:ascii="宋体" w:hAnsi="宋体" w:eastAsia="宋体" w:cs="宋体"/>
                <w:color w:val="000000"/>
              </w:rPr>
            </w:pPr>
            <w:r>
              <w:rPr>
                <w:rFonts w:hint="eastAsia" w:ascii="宋体" w:hAnsi="宋体" w:eastAsia="宋体" w:cs="宋体"/>
                <w:color w:val="000000"/>
              </w:rPr>
              <w:t>1.评分标准：满足询比文件要求且最低报价的为评审基准价，其价格分为满分</w:t>
            </w:r>
            <w:r>
              <w:rPr>
                <w:rFonts w:hint="eastAsia" w:ascii="宋体" w:hAnsi="宋体" w:eastAsia="宋体" w:cs="宋体"/>
                <w:color w:val="000000"/>
                <w:lang w:val="en-US" w:eastAsia="zh-CN"/>
              </w:rPr>
              <w:t>3</w:t>
            </w:r>
            <w:r>
              <w:rPr>
                <w:rFonts w:hint="eastAsia" w:ascii="宋体" w:hAnsi="宋体" w:eastAsia="宋体" w:cs="宋体"/>
                <w:color w:val="000000"/>
              </w:rPr>
              <w:t>0分。</w:t>
            </w:r>
            <w:r>
              <w:rPr>
                <w:rFonts w:hint="eastAsia" w:ascii="宋体" w:hAnsi="宋体" w:eastAsia="宋体" w:cs="宋体"/>
                <w:color w:val="000000"/>
              </w:rPr>
              <w:br w:type="textWrapping"/>
            </w:r>
            <w:r>
              <w:rPr>
                <w:rFonts w:hint="eastAsia" w:ascii="宋体" w:hAnsi="宋体" w:eastAsia="宋体" w:cs="宋体"/>
                <w:color w:val="000000"/>
              </w:rPr>
              <w:t>2.计算方法：其他供应商的价格分统一按照下列公式计算：报价得分 = (评审基准价 / 最低报价) × 10。</w:t>
            </w:r>
            <w:r>
              <w:rPr>
                <w:rFonts w:hint="eastAsia" w:ascii="宋体" w:hAnsi="宋体" w:eastAsia="宋体" w:cs="宋体"/>
                <w:color w:val="000000"/>
              </w:rPr>
              <w:br w:type="textWrapping"/>
            </w:r>
            <w:r>
              <w:rPr>
                <w:rFonts w:hint="eastAsia" w:ascii="宋体" w:hAnsi="宋体" w:eastAsia="宋体" w:cs="宋体"/>
                <w:color w:val="000000"/>
              </w:rPr>
              <w:t>3.分数保留：价格得分保留小数点后两位，小数点后第三位“四舍五入”。</w:t>
            </w:r>
          </w:p>
        </w:tc>
        <w:tc>
          <w:tcPr>
            <w:tcW w:w="329" w:type="pct"/>
            <w:tcBorders>
              <w:top w:val="nil"/>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30</w:t>
            </w:r>
          </w:p>
        </w:tc>
      </w:tr>
      <w:tr>
        <w:tblPrEx>
          <w:tblCellMar>
            <w:top w:w="0" w:type="dxa"/>
            <w:left w:w="108" w:type="dxa"/>
            <w:bottom w:w="0" w:type="dxa"/>
            <w:right w:w="108" w:type="dxa"/>
          </w:tblCellMar>
        </w:tblPrEx>
        <w:trPr>
          <w:trHeight w:val="600" w:hRule="atLeast"/>
        </w:trPr>
        <w:tc>
          <w:tcPr>
            <w:tcW w:w="4671" w:type="pct"/>
            <w:gridSpan w:val="2"/>
            <w:tcBorders>
              <w:top w:val="single" w:color="auto" w:sz="4" w:space="0"/>
              <w:left w:val="single" w:color="auto" w:sz="4" w:space="0"/>
              <w:bottom w:val="single" w:color="auto" w:sz="4" w:space="0"/>
              <w:right w:val="single" w:color="auto" w:sz="4" w:space="0"/>
            </w:tcBorders>
            <w:shd w:val="clear" w:color="000000" w:fill="CFCDCD"/>
            <w:vAlign w:val="center"/>
          </w:tcPr>
          <w:p>
            <w:pPr>
              <w:adjustRightInd/>
              <w:snapToGrid/>
              <w:spacing w:after="0"/>
              <w:jc w:val="center"/>
              <w:rPr>
                <w:rFonts w:hint="eastAsia" w:ascii="宋体" w:hAnsi="宋体" w:eastAsia="宋体" w:cs="宋体"/>
                <w:b/>
                <w:bCs/>
                <w:color w:val="000000"/>
              </w:rPr>
            </w:pPr>
            <w:r>
              <w:rPr>
                <w:rFonts w:hint="eastAsia" w:ascii="宋体" w:hAnsi="宋体" w:eastAsia="宋体" w:cs="宋体"/>
                <w:b/>
                <w:bCs/>
                <w:color w:val="000000"/>
              </w:rPr>
              <w:t>合计</w:t>
            </w:r>
          </w:p>
        </w:tc>
        <w:tc>
          <w:tcPr>
            <w:tcW w:w="329" w:type="pct"/>
            <w:tcBorders>
              <w:top w:val="nil"/>
              <w:left w:val="nil"/>
              <w:bottom w:val="single" w:color="auto" w:sz="4" w:space="0"/>
              <w:right w:val="single" w:color="auto" w:sz="4" w:space="0"/>
            </w:tcBorders>
            <w:shd w:val="clear" w:color="000000" w:fill="CFCDCD"/>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100</w:t>
            </w:r>
          </w:p>
        </w:tc>
      </w:tr>
    </w:tbl>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r>
        <w:rPr>
          <w:rFonts w:hint="eastAsia" w:ascii="宋体" w:hAnsi="宋体" w:eastAsia="宋体"/>
        </w:rPr>
        <w:t>评审说明</w:t>
      </w:r>
      <w:r>
        <w:rPr>
          <w:rFonts w:ascii="宋体" w:hAnsi="宋体" w:eastAsia="宋体"/>
        </w:rPr>
        <w:t>：</w:t>
      </w:r>
    </w:p>
    <w:p>
      <w:pPr>
        <w:spacing w:line="360" w:lineRule="auto"/>
        <w:ind w:firstLine="440" w:firstLineChars="200"/>
        <w:rPr>
          <w:rFonts w:hint="eastAsia" w:ascii="宋体" w:hAnsi="宋体" w:eastAsia="宋体"/>
        </w:rPr>
      </w:pPr>
      <w:r>
        <w:rPr>
          <w:rFonts w:hint="eastAsia" w:ascii="宋体" w:hAnsi="宋体" w:eastAsia="宋体"/>
        </w:rPr>
        <w:t>1.评审小组首先对供应商进行资格性审查，审查通过的供应商方可进入详细评审。</w:t>
      </w:r>
    </w:p>
    <w:p>
      <w:pPr>
        <w:spacing w:line="360" w:lineRule="auto"/>
        <w:ind w:firstLine="440" w:firstLineChars="200"/>
        <w:rPr>
          <w:rFonts w:hint="eastAsia" w:ascii="宋体" w:hAnsi="宋体" w:eastAsia="宋体"/>
        </w:rPr>
      </w:pPr>
      <w:r>
        <w:rPr>
          <w:rFonts w:hint="eastAsia" w:ascii="宋体" w:hAnsi="宋体" w:eastAsia="宋体"/>
        </w:rPr>
        <w:t>2.技术部分和商务部分的得分由所有评委评分的算术平均值确定，</w:t>
      </w:r>
      <w:r>
        <w:rPr>
          <w:rFonts w:ascii="宋体" w:hAnsi="宋体" w:eastAsia="宋体"/>
        </w:rPr>
        <w:t>分数出现小数点，保留小数点后2位，从小数点后第3位四舍五入</w:t>
      </w:r>
      <w:r>
        <w:rPr>
          <w:rFonts w:hint="eastAsia" w:ascii="宋体" w:hAnsi="宋体" w:eastAsia="宋体"/>
        </w:rPr>
        <w:t>。</w:t>
      </w:r>
    </w:p>
    <w:p>
      <w:pPr>
        <w:spacing w:line="360" w:lineRule="auto"/>
        <w:ind w:firstLine="440" w:firstLineChars="200"/>
        <w:rPr>
          <w:rFonts w:hint="eastAsia" w:ascii="宋体" w:hAnsi="宋体" w:eastAsia="宋体"/>
        </w:rPr>
      </w:pPr>
      <w:r>
        <w:rPr>
          <w:rFonts w:hint="eastAsia" w:ascii="宋体" w:hAnsi="宋体" w:eastAsia="宋体"/>
        </w:rPr>
        <w:t>3.供应商的总得分为商务、技术、价格三部分得分之和。</w:t>
      </w:r>
    </w:p>
    <w:p>
      <w:pPr>
        <w:spacing w:line="360" w:lineRule="auto"/>
        <w:ind w:firstLine="440" w:firstLineChars="200"/>
        <w:rPr>
          <w:rFonts w:hint="eastAsia" w:ascii="宋体" w:hAnsi="宋体" w:eastAsia="宋体"/>
        </w:rPr>
      </w:pPr>
      <w:r>
        <w:rPr>
          <w:rFonts w:hint="eastAsia" w:ascii="宋体" w:hAnsi="宋体" w:eastAsia="宋体"/>
        </w:rPr>
        <w:t>4.评审小组将按照总得分由高到低的顺序推荐成交候选供应商。总得分相同的，按技术部分得分高低排序；技术部分得分也相同的，按商务部分得分高低排序。</w:t>
      </w:r>
    </w:p>
    <w:p>
      <w:pPr>
        <w:spacing w:line="360" w:lineRule="auto"/>
        <w:ind w:firstLine="440" w:firstLineChars="200"/>
        <w:rPr>
          <w:rFonts w:hint="eastAsia" w:ascii="宋体" w:hAnsi="宋体" w:eastAsia="宋体"/>
        </w:rPr>
      </w:pPr>
      <w:r>
        <w:rPr>
          <w:rFonts w:hint="eastAsia" w:ascii="宋体" w:hAnsi="宋体" w:eastAsia="宋体"/>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pPr>
        <w:spacing w:line="360" w:lineRule="auto"/>
        <w:ind w:firstLine="440" w:firstLineChars="200"/>
        <w:rPr>
          <w:rFonts w:hint="eastAsia" w:ascii="宋体" w:hAnsi="宋体" w:eastAsia="宋体"/>
        </w:rPr>
        <w:sectPr>
          <w:pgSz w:w="11906" w:h="16838"/>
          <w:pgMar w:top="1440" w:right="1797" w:bottom="1440" w:left="1797" w:header="851" w:footer="992" w:gutter="0"/>
          <w:cols w:space="425" w:num="1"/>
          <w:docGrid w:type="lines" w:linePitch="312" w:charSpace="0"/>
        </w:sectPr>
      </w:pPr>
    </w:p>
    <w:p>
      <w:pPr>
        <w:pStyle w:val="3"/>
        <w:spacing w:before="166" w:after="166" w:line="276" w:lineRule="auto"/>
        <w:jc w:val="center"/>
        <w:rPr>
          <w:rFonts w:hint="eastAsia" w:ascii="宋体" w:hAnsi="宋体"/>
        </w:rPr>
      </w:pPr>
      <w:r>
        <w:rPr>
          <w:rFonts w:hint="eastAsia" w:ascii="宋体" w:hAnsi="宋体"/>
        </w:rPr>
        <w:t>响应文件（格式）</w:t>
      </w:r>
    </w:p>
    <w:p>
      <w:pPr>
        <w:spacing w:line="360" w:lineRule="auto"/>
        <w:ind w:firstLine="442" w:firstLineChars="200"/>
        <w:rPr>
          <w:rFonts w:hint="eastAsia" w:ascii="宋体" w:hAnsi="宋体" w:eastAsia="宋体"/>
          <w:b/>
          <w:bCs/>
        </w:rPr>
      </w:pPr>
      <w:r>
        <w:rPr>
          <w:rFonts w:hint="eastAsia" w:ascii="宋体" w:hAnsi="宋体" w:eastAsia="宋体"/>
          <w:b/>
          <w:bCs/>
        </w:rPr>
        <w:t>1、报价表</w:t>
      </w:r>
    </w:p>
    <w:tbl>
      <w:tblPr>
        <w:tblStyle w:val="18"/>
        <w:tblW w:w="5000" w:type="pct"/>
        <w:tblInd w:w="0" w:type="dxa"/>
        <w:tblLayout w:type="autofit"/>
        <w:tblCellMar>
          <w:top w:w="0" w:type="dxa"/>
          <w:left w:w="108" w:type="dxa"/>
          <w:bottom w:w="0" w:type="dxa"/>
          <w:right w:w="108" w:type="dxa"/>
        </w:tblCellMar>
      </w:tblPr>
      <w:tblGrid>
        <w:gridCol w:w="1701"/>
        <w:gridCol w:w="2226"/>
        <w:gridCol w:w="2889"/>
        <w:gridCol w:w="1700"/>
      </w:tblGrid>
      <w:tr>
        <w:tblPrEx>
          <w:tblCellMar>
            <w:top w:w="0" w:type="dxa"/>
            <w:left w:w="108" w:type="dxa"/>
            <w:bottom w:w="0" w:type="dxa"/>
            <w:right w:w="108" w:type="dxa"/>
          </w:tblCellMar>
        </w:tblPrEx>
        <w:trPr>
          <w:trHeight w:val="560" w:hRule="atLeast"/>
        </w:trPr>
        <w:tc>
          <w:tcPr>
            <w:tcW w:w="999" w:type="pc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序号</w:t>
            </w:r>
          </w:p>
        </w:tc>
        <w:tc>
          <w:tcPr>
            <w:tcW w:w="1307" w:type="pct"/>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名称</w:t>
            </w:r>
          </w:p>
        </w:tc>
        <w:tc>
          <w:tcPr>
            <w:tcW w:w="1696" w:type="pct"/>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报价（元）</w:t>
            </w:r>
          </w:p>
        </w:tc>
        <w:tc>
          <w:tcPr>
            <w:tcW w:w="998" w:type="pct"/>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备注</w:t>
            </w:r>
          </w:p>
        </w:tc>
      </w:tr>
      <w:tr>
        <w:tblPrEx>
          <w:tblCellMar>
            <w:top w:w="0" w:type="dxa"/>
            <w:left w:w="108" w:type="dxa"/>
            <w:bottom w:w="0" w:type="dxa"/>
            <w:right w:w="108" w:type="dxa"/>
          </w:tblCellMar>
        </w:tblPrEx>
        <w:trPr>
          <w:trHeight w:val="280" w:hRule="atLeast"/>
        </w:trPr>
        <w:tc>
          <w:tcPr>
            <w:tcW w:w="999" w:type="pct"/>
            <w:tcBorders>
              <w:top w:val="nil"/>
              <w:left w:val="single" w:color="auto" w:sz="4" w:space="0"/>
              <w:bottom w:val="single" w:color="auto" w:sz="4" w:space="0"/>
              <w:right w:val="single" w:color="auto" w:sz="4" w:space="0"/>
            </w:tcBorders>
            <w:vAlign w:val="center"/>
          </w:tcPr>
          <w:p>
            <w:pPr>
              <w:adjustRightInd/>
              <w:snapToGrid/>
              <w:spacing w:after="0"/>
              <w:ind w:firstLine="440" w:firstLineChars="200"/>
              <w:rPr>
                <w:rFonts w:hint="eastAsia" w:ascii="宋体" w:hAnsi="宋体" w:eastAsia="宋体" w:cs="宋体"/>
                <w:color w:val="000000"/>
              </w:rPr>
            </w:pPr>
            <w:r>
              <w:rPr>
                <w:rFonts w:hint="eastAsia" w:ascii="宋体" w:hAnsi="宋体" w:eastAsia="宋体" w:cs="宋体"/>
                <w:color w:val="000000"/>
              </w:rPr>
              <w:t>　</w:t>
            </w:r>
          </w:p>
        </w:tc>
        <w:tc>
          <w:tcPr>
            <w:tcW w:w="1307" w:type="pct"/>
            <w:tcBorders>
              <w:top w:val="nil"/>
              <w:left w:val="nil"/>
              <w:bottom w:val="single" w:color="auto" w:sz="4" w:space="0"/>
              <w:right w:val="single" w:color="auto" w:sz="4" w:space="0"/>
            </w:tcBorders>
            <w:vAlign w:val="center"/>
          </w:tcPr>
          <w:p>
            <w:pPr>
              <w:adjustRightInd/>
              <w:snapToGrid/>
              <w:spacing w:after="0"/>
              <w:ind w:firstLine="440" w:firstLineChars="200"/>
              <w:rPr>
                <w:rFonts w:hint="eastAsia" w:ascii="宋体" w:hAnsi="宋体" w:eastAsia="宋体" w:cs="宋体"/>
                <w:color w:val="000000"/>
              </w:rPr>
            </w:pPr>
            <w:r>
              <w:rPr>
                <w:rFonts w:hint="eastAsia" w:ascii="宋体" w:hAnsi="宋体" w:eastAsia="宋体" w:cs="宋体"/>
                <w:color w:val="000000"/>
              </w:rPr>
              <w:t>　</w:t>
            </w:r>
          </w:p>
        </w:tc>
        <w:tc>
          <w:tcPr>
            <w:tcW w:w="1696" w:type="pct"/>
            <w:tcBorders>
              <w:top w:val="nil"/>
              <w:left w:val="nil"/>
              <w:bottom w:val="single" w:color="auto" w:sz="4" w:space="0"/>
              <w:right w:val="single" w:color="auto" w:sz="4" w:space="0"/>
            </w:tcBorders>
            <w:vAlign w:val="center"/>
          </w:tcPr>
          <w:p>
            <w:pPr>
              <w:adjustRightInd/>
              <w:snapToGrid/>
              <w:spacing w:after="0"/>
              <w:ind w:firstLine="440" w:firstLineChars="200"/>
              <w:rPr>
                <w:rFonts w:hint="eastAsia" w:ascii="宋体" w:hAnsi="宋体" w:eastAsia="宋体" w:cs="宋体"/>
                <w:color w:val="000000"/>
              </w:rPr>
            </w:pPr>
            <w:r>
              <w:rPr>
                <w:rFonts w:hint="eastAsia" w:ascii="宋体" w:hAnsi="宋体" w:eastAsia="宋体" w:cs="宋体"/>
                <w:color w:val="000000"/>
              </w:rPr>
              <w:t>　</w:t>
            </w:r>
          </w:p>
        </w:tc>
        <w:tc>
          <w:tcPr>
            <w:tcW w:w="998" w:type="pct"/>
            <w:tcBorders>
              <w:top w:val="nil"/>
              <w:left w:val="nil"/>
              <w:bottom w:val="single" w:color="auto" w:sz="4" w:space="0"/>
              <w:right w:val="single" w:color="auto" w:sz="4" w:space="0"/>
            </w:tcBorders>
            <w:vAlign w:val="center"/>
          </w:tcPr>
          <w:p>
            <w:pPr>
              <w:adjustRightInd/>
              <w:snapToGrid/>
              <w:spacing w:after="0"/>
              <w:ind w:firstLine="440" w:firstLineChars="200"/>
              <w:rPr>
                <w:rFonts w:hint="eastAsia" w:ascii="宋体" w:hAnsi="宋体" w:eastAsia="宋体" w:cs="宋体"/>
                <w:color w:val="000000"/>
              </w:rPr>
            </w:pPr>
            <w:r>
              <w:rPr>
                <w:rFonts w:hint="eastAsia" w:ascii="宋体" w:hAnsi="宋体" w:eastAsia="宋体" w:cs="宋体"/>
                <w:color w:val="000000"/>
              </w:rPr>
              <w:t>　</w:t>
            </w:r>
          </w:p>
        </w:tc>
      </w:tr>
    </w:tbl>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r>
        <w:rPr>
          <w:rFonts w:hint="eastAsia" w:ascii="宋体" w:hAnsi="宋体" w:eastAsia="宋体"/>
        </w:rPr>
        <w:t>备 注 ：</w:t>
      </w:r>
    </w:p>
    <w:p>
      <w:pPr>
        <w:spacing w:line="360" w:lineRule="auto"/>
        <w:ind w:firstLine="440" w:firstLineChars="200"/>
        <w:rPr>
          <w:rFonts w:hint="eastAsia" w:ascii="宋体" w:hAnsi="宋体" w:eastAsia="宋体"/>
        </w:rPr>
      </w:pPr>
      <w:r>
        <w:rPr>
          <w:rFonts w:hint="eastAsia" w:ascii="宋体" w:hAnsi="宋体" w:eastAsia="宋体"/>
        </w:rPr>
        <w:t>1.</w:t>
      </w:r>
      <w:r>
        <w:rPr>
          <w:rFonts w:ascii="宋体" w:hAnsi="宋体" w:eastAsia="宋体"/>
        </w:rPr>
        <w:t>本次所报价格为</w:t>
      </w:r>
      <w:r>
        <w:rPr>
          <w:rFonts w:hint="eastAsia" w:ascii="宋体" w:hAnsi="宋体" w:eastAsia="宋体"/>
        </w:rPr>
        <w:t>含销项税额，包含报价人销项税额以外的税费及完成本项目所需的全部费用。</w:t>
      </w:r>
    </w:p>
    <w:p>
      <w:pPr>
        <w:spacing w:line="360" w:lineRule="auto"/>
        <w:ind w:firstLine="440" w:firstLineChars="200"/>
        <w:rPr>
          <w:rFonts w:hint="eastAsia" w:ascii="宋体" w:hAnsi="宋体" w:eastAsia="宋体"/>
        </w:rPr>
      </w:pPr>
      <w:r>
        <w:rPr>
          <w:rFonts w:hint="eastAsia" w:ascii="宋体" w:hAnsi="宋体" w:eastAsia="宋体"/>
        </w:rPr>
        <w:t>2.若分项报价明细表内各分项累计金额与报价表总报价金额不一致时，以报价表载明的含税总报价为准，并应对分项报价明细表内的各项金额进行相应修正。拒绝接受此项修正原则的报价，将被视为无效报价。</w:t>
      </w:r>
    </w:p>
    <w:p>
      <w:pPr>
        <w:spacing w:line="360" w:lineRule="auto"/>
        <w:ind w:firstLine="440" w:firstLineChars="200"/>
        <w:rPr>
          <w:rFonts w:hint="eastAsia" w:ascii="宋体" w:hAnsi="宋体" w:eastAsia="宋体"/>
        </w:rPr>
      </w:pPr>
      <w:r>
        <w:rPr>
          <w:rFonts w:hint="eastAsia" w:ascii="宋体" w:hAnsi="宋体" w:eastAsia="宋体"/>
        </w:rPr>
        <w:t>3.响应报价表上的所有价格均须以人民币为单位填报，使用任何其他币种标价的报价将不予接受。</w:t>
      </w:r>
    </w:p>
    <w:p>
      <w:pPr>
        <w:spacing w:line="360" w:lineRule="auto"/>
        <w:ind w:firstLine="440" w:firstLineChars="200"/>
        <w:rPr>
          <w:rFonts w:hint="eastAsia" w:ascii="宋体" w:hAnsi="宋体" w:eastAsia="宋体"/>
        </w:rPr>
      </w:pPr>
      <w:r>
        <w:rPr>
          <w:rFonts w:hint="eastAsia" w:ascii="宋体" w:hAnsi="宋体" w:eastAsia="宋体"/>
        </w:rPr>
        <w:t>4.响应文件的响应报价大写金额和小写金额不一致的，以大写金额为准。</w:t>
      </w:r>
    </w:p>
    <w:p>
      <w:pPr>
        <w:spacing w:line="360" w:lineRule="auto"/>
        <w:ind w:firstLine="440" w:firstLineChars="200"/>
        <w:rPr>
          <w:rFonts w:hint="eastAsia" w:ascii="宋体" w:hAnsi="宋体" w:eastAsia="宋体"/>
        </w:rPr>
      </w:pPr>
      <w:r>
        <w:rPr>
          <w:rFonts w:hint="eastAsia" w:ascii="宋体" w:hAnsi="宋体" w:eastAsia="宋体"/>
        </w:rPr>
        <w:t>5.本表一式二份，一份随报价信封一起提交，一份编入响应文件。</w:t>
      </w:r>
    </w:p>
    <w:p>
      <w:pPr>
        <w:spacing w:line="360" w:lineRule="auto"/>
        <w:ind w:firstLine="440" w:firstLineChars="200"/>
        <w:rPr>
          <w:rFonts w:hint="eastAsia" w:ascii="宋体" w:hAnsi="宋体" w:eastAsia="宋体"/>
        </w:rPr>
      </w:pPr>
      <w:r>
        <w:rPr>
          <w:rFonts w:hint="eastAsia" w:ascii="宋体" w:hAnsi="宋体" w:eastAsia="宋体"/>
        </w:rPr>
        <w:t>6.响应报价保留小数点后两位。</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left="1540" w:leftChars="700" w:firstLine="4180" w:firstLineChars="1900"/>
        <w:rPr>
          <w:rFonts w:hint="eastAsia" w:ascii="宋体" w:hAnsi="宋体" w:eastAsia="宋体"/>
        </w:rPr>
      </w:pPr>
      <w:r>
        <w:rPr>
          <w:rFonts w:hint="eastAsia" w:ascii="宋体" w:hAnsi="宋体" w:eastAsia="宋体"/>
        </w:rPr>
        <w:t>报价人：（公章）</w:t>
      </w:r>
    </w:p>
    <w:p>
      <w:pPr>
        <w:spacing w:line="360" w:lineRule="auto"/>
        <w:ind w:left="1540" w:leftChars="700" w:firstLine="4180" w:firstLineChars="1900"/>
        <w:rPr>
          <w:rFonts w:hint="eastAsia" w:ascii="宋体" w:hAnsi="宋体" w:eastAsia="宋体"/>
        </w:rPr>
        <w:sectPr>
          <w:footerReference r:id="rId16" w:type="default"/>
          <w:pgSz w:w="11906" w:h="16838"/>
          <w:pgMar w:top="1440" w:right="1803" w:bottom="1440" w:left="1803" w:header="851" w:footer="992" w:gutter="0"/>
          <w:cols w:space="0" w:num="1"/>
          <w:docGrid w:type="lines" w:linePitch="332" w:charSpace="0"/>
        </w:sectPr>
      </w:pPr>
      <w:r>
        <w:rPr>
          <w:rFonts w:hint="eastAsia" w:ascii="宋体" w:hAnsi="宋体" w:eastAsia="宋体"/>
        </w:rPr>
        <w:t xml:space="preserve">日期：   年    月  </w:t>
      </w:r>
    </w:p>
    <w:p>
      <w:pPr>
        <w:spacing w:line="360" w:lineRule="auto"/>
        <w:ind w:firstLine="0" w:firstLineChars="0"/>
        <w:rPr>
          <w:rFonts w:hint="eastAsia" w:ascii="宋体" w:hAnsi="宋体" w:eastAsia="宋体"/>
        </w:rPr>
      </w:pPr>
    </w:p>
    <w:p>
      <w:pPr>
        <w:spacing w:line="360" w:lineRule="auto"/>
        <w:ind w:firstLine="442" w:firstLineChars="200"/>
        <w:rPr>
          <w:rFonts w:hint="eastAsia" w:ascii="宋体" w:hAnsi="宋体" w:eastAsia="宋体"/>
          <w:b/>
          <w:bCs/>
        </w:rPr>
      </w:pPr>
      <w:r>
        <w:rPr>
          <w:rFonts w:hint="eastAsia" w:ascii="宋体" w:hAnsi="宋体" w:eastAsia="宋体"/>
          <w:b/>
          <w:bCs/>
        </w:rPr>
        <w:t>2、项目响应声明</w:t>
      </w:r>
    </w:p>
    <w:p>
      <w:pPr>
        <w:spacing w:line="360" w:lineRule="auto"/>
        <w:ind w:firstLine="442" w:firstLineChars="200"/>
        <w:jc w:val="center"/>
        <w:rPr>
          <w:rFonts w:hint="eastAsia" w:ascii="宋体" w:hAnsi="宋体" w:eastAsia="宋体"/>
          <w:b/>
          <w:bCs/>
        </w:rPr>
      </w:pPr>
      <w:r>
        <w:rPr>
          <w:rFonts w:hint="eastAsia" w:ascii="宋体" w:hAnsi="宋体" w:eastAsia="宋体"/>
          <w:b/>
          <w:bCs/>
        </w:rPr>
        <w:t>响应声明</w:t>
      </w:r>
    </w:p>
    <w:p>
      <w:pPr>
        <w:spacing w:line="360" w:lineRule="auto"/>
        <w:ind w:firstLine="440" w:firstLineChars="200"/>
        <w:rPr>
          <w:rFonts w:hint="eastAsia" w:ascii="宋体" w:hAnsi="宋体" w:eastAsia="宋体"/>
        </w:rPr>
      </w:pPr>
      <w:r>
        <w:rPr>
          <w:rFonts w:ascii="宋体" w:hAnsi="宋体" w:eastAsia="宋体"/>
        </w:rPr>
        <w:t>我方已详细查阅了询</w:t>
      </w:r>
      <w:r>
        <w:rPr>
          <w:rFonts w:hint="eastAsia" w:ascii="宋体" w:hAnsi="宋体" w:eastAsia="宋体"/>
        </w:rPr>
        <w:t>比</w:t>
      </w:r>
      <w:r>
        <w:rPr>
          <w:rFonts w:ascii="宋体" w:hAnsi="宋体" w:eastAsia="宋体"/>
        </w:rPr>
        <w:t>文件的所有内容，对询</w:t>
      </w:r>
      <w:r>
        <w:rPr>
          <w:rFonts w:hint="eastAsia" w:ascii="宋体" w:hAnsi="宋体" w:eastAsia="宋体"/>
        </w:rPr>
        <w:t>比</w:t>
      </w:r>
      <w:r>
        <w:rPr>
          <w:rFonts w:ascii="宋体" w:hAnsi="宋体" w:eastAsia="宋体"/>
        </w:rPr>
        <w:t>文件中的“第二章 用户需求”和“第三章 合同条款”完全响应。一旦我方成交，将保证按质、按量、按期地完成项目中的全部责任和义务。</w:t>
      </w:r>
      <w:r>
        <w:rPr>
          <w:rFonts w:hint="eastAsia" w:ascii="宋体" w:hAnsi="宋体" w:eastAsia="宋体"/>
        </w:rPr>
        <w:t>如我方存在成交后放弃或提供虚假证明文件、虚假报价文件或存在实际服务质量低于询比文件要求或报价文件承诺的标准等情况的，我公司将同意并接受贵公司按照法律相关规定追究责任。</w:t>
      </w:r>
    </w:p>
    <w:p>
      <w:pPr>
        <w:spacing w:line="360" w:lineRule="auto"/>
        <w:ind w:firstLine="440" w:firstLineChars="200"/>
        <w:rPr>
          <w:rFonts w:hint="eastAsia" w:ascii="宋体" w:hAnsi="宋体" w:eastAsia="宋体"/>
        </w:rPr>
      </w:pPr>
      <w:r>
        <w:rPr>
          <w:rFonts w:hint="eastAsia" w:ascii="宋体" w:hAnsi="宋体" w:eastAsia="宋体"/>
        </w:rPr>
        <w:t>特此声明。</w:t>
      </w:r>
    </w:p>
    <w:p>
      <w:pPr>
        <w:spacing w:line="360" w:lineRule="auto"/>
        <w:ind w:firstLine="440" w:firstLineChars="200"/>
        <w:rPr>
          <w:rFonts w:hint="eastAsia" w:hAnsi="宋体" w:cs="宋体"/>
        </w:rPr>
      </w:pPr>
    </w:p>
    <w:p>
      <w:pPr>
        <w:spacing w:line="360" w:lineRule="auto"/>
        <w:ind w:firstLine="440" w:firstLineChars="200"/>
        <w:rPr>
          <w:rFonts w:hint="eastAsia" w:hAnsi="宋体" w:cs="宋体"/>
        </w:rPr>
      </w:pPr>
    </w:p>
    <w:p>
      <w:pPr>
        <w:spacing w:line="360" w:lineRule="auto"/>
        <w:ind w:left="4840" w:leftChars="2200" w:firstLine="440" w:firstLineChars="200"/>
        <w:rPr>
          <w:rFonts w:hint="eastAsia" w:ascii="宋体" w:hAnsi="宋体" w:eastAsia="宋体"/>
        </w:rPr>
      </w:pPr>
      <w:r>
        <w:rPr>
          <w:rFonts w:hint="eastAsia" w:ascii="宋体" w:hAnsi="宋体" w:eastAsia="宋体"/>
        </w:rPr>
        <w:t>报价人：（盖章）</w:t>
      </w:r>
    </w:p>
    <w:p>
      <w:pPr>
        <w:spacing w:line="360" w:lineRule="auto"/>
        <w:ind w:left="4840" w:leftChars="2200" w:firstLine="440" w:firstLineChars="200"/>
        <w:rPr>
          <w:rFonts w:hint="eastAsia" w:ascii="宋体" w:hAnsi="宋体" w:eastAsia="宋体"/>
        </w:rPr>
      </w:pPr>
      <w:r>
        <w:rPr>
          <w:rFonts w:hint="eastAsia" w:ascii="宋体" w:hAnsi="宋体" w:eastAsia="宋体"/>
        </w:rPr>
        <w:t>日期：</w:t>
      </w:r>
      <w:r>
        <w:rPr>
          <w:rFonts w:ascii="宋体" w:hAnsi="宋体" w:eastAsia="宋体"/>
        </w:rPr>
        <w:t xml:space="preserve">    </w:t>
      </w: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日</w:t>
      </w:r>
    </w:p>
    <w:p>
      <w:pPr>
        <w:spacing w:line="360" w:lineRule="auto"/>
        <w:rPr>
          <w:rFonts w:hint="eastAsia" w:ascii="宋体" w:hAnsi="宋体" w:eastAsia="宋体" w:cs="宋体"/>
        </w:rPr>
      </w:pPr>
    </w:p>
    <w:p>
      <w:pPr>
        <w:spacing w:line="360" w:lineRule="auto"/>
        <w:rPr>
          <w:rFonts w:hint="eastAsia" w:ascii="宋体" w:hAnsi="宋体" w:eastAsia="宋体" w:cs="宋体"/>
        </w:rPr>
        <w:sectPr>
          <w:pgSz w:w="11906" w:h="16838"/>
          <w:pgMar w:top="1440" w:right="1797" w:bottom="1440" w:left="1797" w:header="851" w:footer="992" w:gutter="0"/>
          <w:cols w:space="425" w:num="1"/>
          <w:docGrid w:type="lines" w:linePitch="312" w:charSpace="0"/>
        </w:sectPr>
      </w:pPr>
    </w:p>
    <w:p>
      <w:pPr>
        <w:spacing w:line="360" w:lineRule="auto"/>
        <w:ind w:firstLine="440" w:firstLineChars="200"/>
        <w:rPr>
          <w:rFonts w:hint="eastAsia" w:ascii="宋体" w:hAnsi="宋体" w:eastAsia="宋体"/>
          <w:b/>
          <w:bCs/>
        </w:rPr>
      </w:pPr>
      <w:r>
        <w:rPr>
          <w:rFonts w:hint="eastAsia" w:ascii="宋体" w:hAnsi="宋体" w:eastAsia="宋体"/>
          <w:b/>
          <w:bCs/>
        </w:rPr>
        <w:t>3、承诺函</w:t>
      </w:r>
    </w:p>
    <w:p>
      <w:pPr>
        <w:spacing w:line="360" w:lineRule="auto"/>
        <w:rPr>
          <w:rFonts w:hint="eastAsia" w:ascii="宋体" w:hAnsi="宋体" w:eastAsia="宋体"/>
        </w:rPr>
      </w:pPr>
      <w:r>
        <w:rPr>
          <w:rFonts w:hint="eastAsia" w:ascii="宋体" w:hAnsi="宋体" w:eastAsia="宋体"/>
        </w:rPr>
        <w:t>致东莞市碧水信息科技有限公司：</w:t>
      </w:r>
    </w:p>
    <w:p>
      <w:pPr>
        <w:spacing w:line="360" w:lineRule="auto"/>
        <w:ind w:firstLine="440" w:firstLineChars="200"/>
        <w:rPr>
          <w:rFonts w:hint="eastAsia" w:ascii="宋体" w:hAnsi="宋体" w:eastAsia="宋体"/>
        </w:rPr>
      </w:pPr>
      <w:r>
        <w:rPr>
          <w:rFonts w:hint="eastAsia" w:ascii="宋体" w:hAnsi="宋体" w:eastAsia="宋体"/>
        </w:rPr>
        <w:t>我公司</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为贵公司询比的</w:t>
      </w:r>
      <w:r>
        <w:rPr>
          <w:rFonts w:hint="eastAsia" w:ascii="宋体" w:hAnsi="宋体" w:eastAsia="宋体"/>
          <w:u w:val="single"/>
        </w:rPr>
        <w:t>仓库信息系统建设项目</w:t>
      </w:r>
      <w:r>
        <w:rPr>
          <w:rFonts w:hint="eastAsia" w:ascii="宋体" w:hAnsi="宋体" w:eastAsia="宋体"/>
        </w:rPr>
        <w:t>的报价单位，已完全理解本次询比文件内容，我公司承诺，该项目递交询比文件时间截止后，我方承诺不再对文件内容进行询问或异议。</w:t>
      </w:r>
    </w:p>
    <w:p>
      <w:pPr>
        <w:spacing w:line="360" w:lineRule="auto"/>
        <w:ind w:firstLine="440" w:firstLineChars="200"/>
        <w:rPr>
          <w:rFonts w:hint="eastAsia" w:ascii="宋体" w:hAnsi="宋体" w:eastAsia="宋体"/>
        </w:rPr>
      </w:pPr>
      <w:r>
        <w:rPr>
          <w:rFonts w:hint="eastAsia" w:ascii="宋体" w:hAnsi="宋体" w:eastAsia="宋体"/>
        </w:rPr>
        <w:t>我方承诺，若我方存在通过弄虚作假、虚假响应询比文件要求等手段骗取成交的，采购人有权或协助主管部门认定我方严重失信的不良行为，纳入相关</w:t>
      </w:r>
      <w:r>
        <w:rPr>
          <w:rFonts w:ascii="宋体" w:hAnsi="宋体" w:eastAsia="宋体"/>
        </w:rPr>
        <w:t>企业信用“黑名单”</w:t>
      </w:r>
      <w:r>
        <w:rPr>
          <w:rFonts w:hint="eastAsia" w:ascii="宋体" w:hAnsi="宋体" w:eastAsia="宋体"/>
        </w:rPr>
        <w:t>，限制我方参与依法必须招标项目的投标，并</w:t>
      </w:r>
      <w:r>
        <w:rPr>
          <w:rFonts w:ascii="宋体" w:hAnsi="宋体" w:eastAsia="宋体"/>
        </w:rPr>
        <w:t>向</w:t>
      </w:r>
      <w:r>
        <w:rPr>
          <w:rFonts w:hint="eastAsia" w:ascii="宋体" w:hAnsi="宋体" w:eastAsia="宋体"/>
        </w:rPr>
        <w:t>行政主管部门报送</w:t>
      </w:r>
      <w:r>
        <w:rPr>
          <w:rFonts w:ascii="宋体" w:hAnsi="宋体" w:eastAsia="宋体"/>
        </w:rPr>
        <w:t>结果。</w:t>
      </w:r>
      <w:r>
        <w:rPr>
          <w:rFonts w:hint="eastAsia" w:ascii="宋体" w:hAnsi="宋体" w:eastAsia="宋体"/>
        </w:rPr>
        <w:t>同时，采购人有权根据《关于对环境保护领域失信生产经营单位及其有关人员开展联合惩戒的合作备忘录》等规定，通过“信用中国”网站向社会公示我方的失信行为，实现“一处失信、处处受限”。</w:t>
      </w:r>
    </w:p>
    <w:p>
      <w:pPr>
        <w:spacing w:line="360" w:lineRule="auto"/>
        <w:ind w:firstLine="440" w:firstLineChars="200"/>
        <w:rPr>
          <w:rFonts w:hint="eastAsia" w:ascii="宋体" w:hAnsi="宋体" w:eastAsia="宋体"/>
        </w:rPr>
      </w:pPr>
      <w:r>
        <w:rPr>
          <w:rFonts w:hint="eastAsia" w:ascii="宋体" w:hAnsi="宋体" w:eastAsia="宋体"/>
        </w:rPr>
        <w:t>若我方递交的询比材料或履行本合同过程中存在提供虚假材料、虚假响应询比文件要求等弄虚作假行为，因此导致我方无法参与采购人相关招标采购活动的，由我方自行承担全部后果。</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r>
        <w:rPr>
          <w:rFonts w:hint="eastAsia" w:ascii="宋体" w:hAnsi="宋体" w:eastAsia="宋体"/>
        </w:rPr>
        <w:t>特此承诺。</w:t>
      </w:r>
    </w:p>
    <w:p>
      <w:pPr>
        <w:spacing w:line="360" w:lineRule="auto"/>
        <w:ind w:left="1540" w:leftChars="700" w:firstLine="440" w:firstLineChars="200"/>
        <w:rPr>
          <w:rFonts w:hint="eastAsia" w:ascii="宋体" w:hAnsi="宋体" w:eastAsia="宋体"/>
        </w:rPr>
      </w:pPr>
      <w:r>
        <w:rPr>
          <w:rFonts w:hint="eastAsia" w:ascii="宋体" w:hAnsi="宋体" w:eastAsia="宋体"/>
        </w:rPr>
        <w:t xml:space="preserve">                                  承诺人（盖章）：</w:t>
      </w:r>
    </w:p>
    <w:p>
      <w:pPr>
        <w:spacing w:line="360" w:lineRule="auto"/>
        <w:ind w:left="4840" w:leftChars="2200" w:firstLine="440" w:firstLineChars="200"/>
        <w:rPr>
          <w:rFonts w:hint="eastAsia" w:ascii="宋体" w:hAnsi="宋体" w:eastAsia="宋体"/>
        </w:rPr>
      </w:pPr>
      <w:r>
        <w:rPr>
          <w:rFonts w:hint="eastAsia" w:ascii="宋体" w:hAnsi="宋体" w:eastAsia="宋体"/>
        </w:rPr>
        <w:t xml:space="preserve">     日期：</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0" w:firstLineChars="0"/>
        <w:rPr>
          <w:rFonts w:hint="eastAsia" w:ascii="宋体" w:hAnsi="宋体" w:eastAsia="宋体"/>
        </w:rPr>
      </w:pPr>
    </w:p>
    <w:p>
      <w:pPr>
        <w:spacing w:line="360" w:lineRule="auto"/>
        <w:ind w:firstLine="440" w:firstLineChars="200"/>
        <w:rPr>
          <w:rFonts w:hint="eastAsia" w:ascii="宋体" w:hAnsi="宋体" w:eastAsia="宋体"/>
          <w:b/>
          <w:bCs/>
        </w:rPr>
      </w:pPr>
      <w:r>
        <w:rPr>
          <w:rFonts w:hint="eastAsia" w:ascii="宋体" w:hAnsi="宋体" w:eastAsia="宋体"/>
          <w:b/>
          <w:bCs/>
        </w:rPr>
        <w:t>4</w:t>
      </w:r>
      <w:r>
        <w:rPr>
          <w:rFonts w:ascii="宋体" w:hAnsi="宋体" w:eastAsia="宋体"/>
          <w:b/>
          <w:bCs/>
        </w:rPr>
        <w:t>.</w:t>
      </w:r>
      <w:r>
        <w:rPr>
          <w:rFonts w:hint="eastAsia" w:ascii="宋体" w:hAnsi="宋体" w:eastAsia="宋体"/>
          <w:b/>
          <w:bCs/>
        </w:rPr>
        <w:t>资质要求材料</w:t>
      </w:r>
    </w:p>
    <w:p>
      <w:pPr>
        <w:spacing w:line="360" w:lineRule="auto"/>
        <w:ind w:firstLine="440" w:firstLineChars="200"/>
        <w:rPr>
          <w:rFonts w:hint="eastAsia" w:ascii="宋体" w:hAnsi="宋体" w:eastAsia="宋体"/>
          <w:b/>
        </w:rPr>
      </w:pPr>
      <w:r>
        <w:rPr>
          <w:rFonts w:hint="eastAsia" w:ascii="宋体" w:hAnsi="宋体" w:eastAsia="宋体"/>
          <w:b/>
        </w:rPr>
        <w:t>（1）信用信息查询记录：提供“信用中国”网站（</w:t>
      </w:r>
      <w:r>
        <w:fldChar w:fldCharType="begin"/>
      </w:r>
      <w:r>
        <w:instrText xml:space="preserve"> HYPERLINK "https://www.creditchina.gov.xn--cn),-xt5f6iba95cc98w9yg9e15g014asjim90a4ulm7ac9aga913qz5f71ce8brw1r442bycsok6bjlcea138vjqa59a462e/" \t "https://chat.deepseek.com/a/chat/s/_blank" </w:instrText>
      </w:r>
      <w:r>
        <w:fldChar w:fldCharType="separate"/>
      </w:r>
      <w:r>
        <w:rPr>
          <w:rFonts w:hint="eastAsia" w:ascii="宋体" w:hAnsi="宋体" w:eastAsia="宋体"/>
          <w:b/>
        </w:rPr>
        <w:t>www.creditchina.gov.cn）关于报价人自身记录的查询结果截图，证明报价人未被列入失信被执行人</w:t>
      </w:r>
      <w:r>
        <w:rPr>
          <w:rFonts w:hint="eastAsia" w:ascii="宋体" w:hAnsi="宋体" w:eastAsia="宋体"/>
          <w:b/>
        </w:rPr>
        <w:fldChar w:fldCharType="end"/>
      </w:r>
      <w:r>
        <w:rPr>
          <w:rFonts w:hint="eastAsia" w:ascii="宋体" w:hAnsi="宋体" w:eastAsia="宋体"/>
          <w:b/>
        </w:rPr>
        <w:t>、重大税收违法失信主体、政府采购严重违法失信行为记录名单（查询时间应为响应文件递交截止当日）。</w:t>
      </w:r>
    </w:p>
    <w:p>
      <w:pPr>
        <w:spacing w:line="360" w:lineRule="auto"/>
        <w:ind w:firstLine="440" w:firstLineChars="200"/>
        <w:rPr>
          <w:rFonts w:hint="eastAsia" w:ascii="宋体" w:hAnsi="宋体" w:eastAsia="宋体"/>
          <w:b/>
        </w:rPr>
      </w:pPr>
      <w:r>
        <w:rPr>
          <w:rFonts w:hint="eastAsia" w:ascii="宋体" w:hAnsi="宋体" w:eastAsia="宋体"/>
          <w:b/>
        </w:rPr>
        <w:t>（2）资格业绩：提供近三年内（自2022年1月1日起至响应文件递交截止日止）须具有为至少1家企业提供仓库信息系统案例经验（须提供合同原件复印件）</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pStyle w:val="2"/>
        <w:rPr>
          <w:rFonts w:hint="eastAsia" w:ascii="宋体" w:hAnsi="宋体" w:eastAsia="宋体"/>
        </w:rPr>
      </w:pPr>
    </w:p>
    <w:p>
      <w:pPr>
        <w:rPr>
          <w:rFonts w:hint="eastAsia"/>
        </w:rPr>
      </w:pPr>
    </w:p>
    <w:p>
      <w:pPr>
        <w:spacing w:line="360" w:lineRule="auto"/>
        <w:ind w:firstLine="440" w:firstLineChars="200"/>
        <w:rPr>
          <w:rFonts w:hint="eastAsia" w:ascii="宋体" w:hAnsi="宋体" w:eastAsia="宋体"/>
          <w:b/>
          <w:bCs/>
        </w:rPr>
      </w:pPr>
      <w:r>
        <w:rPr>
          <w:rFonts w:hint="eastAsia" w:ascii="宋体" w:hAnsi="宋体" w:eastAsia="宋体"/>
          <w:b/>
          <w:bCs/>
        </w:rPr>
        <w:t>5</w:t>
      </w:r>
      <w:r>
        <w:rPr>
          <w:rFonts w:ascii="宋体" w:hAnsi="宋体" w:eastAsia="宋体"/>
          <w:b/>
          <w:bCs/>
        </w:rPr>
        <w:t>.</w:t>
      </w:r>
      <w:r>
        <w:rPr>
          <w:rFonts w:hint="eastAsia" w:ascii="宋体" w:hAnsi="宋体" w:eastAsia="宋体"/>
          <w:b/>
          <w:bCs/>
        </w:rPr>
        <w:t>企业综合实力与资质材料</w:t>
      </w:r>
    </w:p>
    <w:p>
      <w:pPr>
        <w:spacing w:line="360" w:lineRule="auto"/>
        <w:ind w:firstLine="440" w:firstLineChars="200"/>
        <w:rPr>
          <w:rFonts w:hint="eastAsia" w:ascii="宋体" w:hAnsi="宋体" w:eastAsia="宋体"/>
        </w:rPr>
      </w:pPr>
      <w:r>
        <w:rPr>
          <w:rFonts w:ascii="宋体" w:hAnsi="宋体" w:eastAsia="宋体"/>
        </w:rPr>
        <w:t>（报价人须根据</w:t>
      </w:r>
      <w:r>
        <w:rPr>
          <w:rFonts w:hint="eastAsia" w:ascii="宋体" w:hAnsi="宋体" w:eastAsia="宋体"/>
        </w:rPr>
        <w:t>评审要求</w:t>
      </w:r>
      <w:r>
        <w:rPr>
          <w:rFonts w:ascii="宋体" w:hAnsi="宋体" w:eastAsia="宋体"/>
        </w:rPr>
        <w:t>，提供</w:t>
      </w:r>
      <w:r>
        <w:rPr>
          <w:rFonts w:hint="eastAsia" w:ascii="宋体" w:hAnsi="宋体" w:eastAsia="宋体"/>
        </w:rPr>
        <w:t>相关证明资料。</w:t>
      </w:r>
      <w:r>
        <w:rPr>
          <w:rFonts w:ascii="宋体" w:hAnsi="宋体" w:eastAsia="宋体"/>
        </w:rPr>
        <w:t>）</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ascii="宋体" w:hAnsi="宋体" w:eastAsia="宋体"/>
        </w:rPr>
      </w:pPr>
    </w:p>
    <w:p>
      <w:pPr>
        <w:rPr>
          <w:rFonts w:hint="eastAsia" w:ascii="宋体" w:hAnsi="宋体" w:eastAsia="宋体"/>
        </w:rPr>
      </w:pPr>
    </w:p>
    <w:p>
      <w:pPr>
        <w:pStyle w:val="2"/>
        <w:rPr>
          <w:rFonts w:hint="eastAsia"/>
        </w:rPr>
      </w:pPr>
    </w:p>
    <w:p>
      <w:pPr>
        <w:spacing w:line="360" w:lineRule="auto"/>
        <w:ind w:firstLine="440" w:firstLineChars="200"/>
        <w:rPr>
          <w:rFonts w:hint="eastAsia" w:ascii="宋体" w:hAnsi="宋体" w:eastAsia="宋体"/>
          <w:b/>
          <w:bCs/>
        </w:rPr>
      </w:pPr>
      <w:r>
        <w:rPr>
          <w:rFonts w:hint="eastAsia" w:ascii="宋体" w:hAnsi="宋体" w:eastAsia="宋体"/>
          <w:b/>
          <w:bCs/>
        </w:rPr>
        <w:t>6.项目建设方案资料</w:t>
      </w:r>
    </w:p>
    <w:p>
      <w:pPr>
        <w:spacing w:line="360" w:lineRule="auto"/>
        <w:ind w:firstLine="440" w:firstLineChars="200"/>
        <w:rPr>
          <w:rFonts w:hint="eastAsia" w:ascii="宋体" w:hAnsi="宋体" w:eastAsia="宋体"/>
        </w:rPr>
      </w:pPr>
      <w:r>
        <w:rPr>
          <w:rFonts w:ascii="宋体" w:hAnsi="宋体" w:eastAsia="宋体"/>
        </w:rPr>
        <w:t>（报价人须根据</w:t>
      </w:r>
      <w:r>
        <w:rPr>
          <w:rFonts w:hint="eastAsia" w:ascii="宋体" w:hAnsi="宋体" w:eastAsia="宋体"/>
        </w:rPr>
        <w:t>评审要求</w:t>
      </w:r>
      <w:r>
        <w:rPr>
          <w:rFonts w:ascii="宋体" w:hAnsi="宋体" w:eastAsia="宋体"/>
        </w:rPr>
        <w:t>，自行编制并提供详尽的书面方案阐述。）</w:t>
      </w: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spacing w:line="360" w:lineRule="auto"/>
        <w:ind w:firstLine="440" w:firstLineChars="200"/>
        <w:rPr>
          <w:rFonts w:hint="eastAsia" w:ascii="宋体" w:hAnsi="宋体" w:eastAsia="宋体"/>
        </w:rPr>
      </w:pPr>
    </w:p>
    <w:p>
      <w:pPr>
        <w:pStyle w:val="2"/>
        <w:rPr>
          <w:rFonts w:hint="eastAsia" w:ascii="宋体" w:hAnsi="宋体" w:eastAsia="宋体"/>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360" w:lineRule="auto"/>
        <w:ind w:firstLine="440" w:firstLineChars="200"/>
        <w:rPr>
          <w:rFonts w:hint="eastAsia" w:ascii="宋体" w:hAnsi="宋体" w:eastAsia="宋体"/>
          <w:b/>
          <w:bCs/>
        </w:rPr>
      </w:pPr>
      <w:r>
        <w:rPr>
          <w:rFonts w:hint="eastAsia" w:ascii="宋体" w:hAnsi="宋体" w:eastAsia="宋体"/>
          <w:b/>
          <w:bCs/>
        </w:rPr>
        <w:t>7</w:t>
      </w:r>
      <w:r>
        <w:rPr>
          <w:rFonts w:ascii="宋体" w:hAnsi="宋体" w:eastAsia="宋体"/>
          <w:b/>
          <w:bCs/>
        </w:rPr>
        <w:t>.</w:t>
      </w:r>
      <w:r>
        <w:rPr>
          <w:rFonts w:hint="eastAsia" w:ascii="宋体" w:hAnsi="宋体" w:eastAsia="宋体"/>
          <w:b/>
          <w:bCs/>
        </w:rPr>
        <w:t>项目团队资料</w:t>
      </w:r>
    </w:p>
    <w:p>
      <w:pPr>
        <w:spacing w:line="360" w:lineRule="auto"/>
        <w:ind w:firstLine="440" w:firstLineChars="200"/>
        <w:rPr>
          <w:rFonts w:hint="eastAsia" w:ascii="宋体" w:hAnsi="宋体" w:eastAsia="宋体"/>
        </w:rPr>
      </w:pPr>
      <w:r>
        <w:rPr>
          <w:rFonts w:ascii="宋体" w:hAnsi="宋体" w:eastAsia="宋体"/>
        </w:rPr>
        <w:t>（报价人须根据评审要求，提供拟投入本项目团队的书面介绍及相关证明资料。）</w:t>
      </w:r>
    </w:p>
    <w:p>
      <w:pPr>
        <w:spacing w:line="360" w:lineRule="auto"/>
        <w:ind w:firstLine="440" w:firstLineChars="200"/>
        <w:rPr>
          <w:rFonts w:hint="eastAsia" w:ascii="宋体" w:hAnsi="宋体" w:eastAsia="宋体"/>
        </w:rPr>
      </w:pPr>
      <w:r>
        <w:rPr>
          <w:rFonts w:hint="eastAsia" w:ascii="宋体" w:hAnsi="宋体" w:eastAsia="宋体"/>
        </w:rPr>
        <w:t>拟投入本项目人员情况一览表格式</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045"/>
        <w:gridCol w:w="671"/>
        <w:gridCol w:w="615"/>
        <w:gridCol w:w="666"/>
        <w:gridCol w:w="1468"/>
        <w:gridCol w:w="1139"/>
        <w:gridCol w:w="148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9" w:type="pct"/>
            <w:vAlign w:val="center"/>
          </w:tcPr>
          <w:p>
            <w:pPr>
              <w:spacing w:line="360" w:lineRule="auto"/>
              <w:rPr>
                <w:rFonts w:hint="eastAsia" w:ascii="宋体" w:hAnsi="宋体" w:eastAsia="宋体"/>
              </w:rPr>
            </w:pPr>
            <w:r>
              <w:rPr>
                <w:rFonts w:hint="eastAsia" w:ascii="宋体" w:hAnsi="宋体" w:eastAsia="宋体"/>
              </w:rPr>
              <w:t>序号</w:t>
            </w:r>
          </w:p>
        </w:tc>
        <w:tc>
          <w:tcPr>
            <w:tcW w:w="614" w:type="pct"/>
            <w:vAlign w:val="center"/>
          </w:tcPr>
          <w:p>
            <w:pPr>
              <w:spacing w:line="360" w:lineRule="auto"/>
              <w:rPr>
                <w:rFonts w:hint="eastAsia" w:ascii="宋体" w:hAnsi="宋体" w:eastAsia="宋体"/>
              </w:rPr>
            </w:pPr>
            <w:r>
              <w:rPr>
                <w:rFonts w:hint="eastAsia" w:ascii="宋体" w:hAnsi="宋体" w:eastAsia="宋体"/>
              </w:rPr>
              <w:t>姓名</w:t>
            </w:r>
          </w:p>
        </w:tc>
        <w:tc>
          <w:tcPr>
            <w:tcW w:w="394" w:type="pct"/>
            <w:vAlign w:val="center"/>
          </w:tcPr>
          <w:p>
            <w:pPr>
              <w:spacing w:line="360" w:lineRule="auto"/>
              <w:rPr>
                <w:rFonts w:hint="eastAsia" w:ascii="宋体" w:hAnsi="宋体" w:eastAsia="宋体"/>
              </w:rPr>
            </w:pPr>
            <w:r>
              <w:rPr>
                <w:rFonts w:hint="eastAsia" w:ascii="宋体" w:hAnsi="宋体" w:eastAsia="宋体"/>
              </w:rPr>
              <w:t>性别</w:t>
            </w:r>
          </w:p>
        </w:tc>
        <w:tc>
          <w:tcPr>
            <w:tcW w:w="361" w:type="pct"/>
            <w:vAlign w:val="center"/>
          </w:tcPr>
          <w:p>
            <w:pPr>
              <w:spacing w:line="360" w:lineRule="auto"/>
              <w:rPr>
                <w:rFonts w:hint="eastAsia" w:ascii="宋体" w:hAnsi="宋体" w:eastAsia="宋体"/>
              </w:rPr>
            </w:pPr>
            <w:r>
              <w:rPr>
                <w:rFonts w:hint="eastAsia" w:ascii="宋体" w:hAnsi="宋体" w:eastAsia="宋体"/>
              </w:rPr>
              <w:t>年龄</w:t>
            </w:r>
          </w:p>
        </w:tc>
        <w:tc>
          <w:tcPr>
            <w:tcW w:w="391" w:type="pct"/>
            <w:vAlign w:val="center"/>
          </w:tcPr>
          <w:p>
            <w:pPr>
              <w:spacing w:line="360" w:lineRule="auto"/>
              <w:rPr>
                <w:rFonts w:hint="eastAsia" w:ascii="宋体" w:hAnsi="宋体" w:eastAsia="宋体"/>
              </w:rPr>
            </w:pPr>
            <w:r>
              <w:rPr>
                <w:rFonts w:hint="eastAsia" w:ascii="宋体" w:hAnsi="宋体" w:eastAsia="宋体"/>
              </w:rPr>
              <w:t>学历</w:t>
            </w:r>
          </w:p>
        </w:tc>
        <w:tc>
          <w:tcPr>
            <w:tcW w:w="862" w:type="pct"/>
            <w:vAlign w:val="center"/>
          </w:tcPr>
          <w:p>
            <w:pPr>
              <w:spacing w:line="360" w:lineRule="auto"/>
              <w:rPr>
                <w:rFonts w:hint="eastAsia" w:ascii="宋体" w:hAnsi="宋体" w:eastAsia="宋体"/>
              </w:rPr>
            </w:pPr>
            <w:r>
              <w:rPr>
                <w:rFonts w:hint="eastAsia" w:ascii="宋体" w:hAnsi="宋体" w:eastAsia="宋体"/>
              </w:rPr>
              <w:t>资格/职称证书</w:t>
            </w:r>
          </w:p>
        </w:tc>
        <w:tc>
          <w:tcPr>
            <w:tcW w:w="669" w:type="pct"/>
            <w:vAlign w:val="center"/>
          </w:tcPr>
          <w:p>
            <w:pPr>
              <w:spacing w:line="360" w:lineRule="auto"/>
              <w:rPr>
                <w:rFonts w:hint="eastAsia" w:ascii="宋体" w:hAnsi="宋体" w:eastAsia="宋体"/>
              </w:rPr>
            </w:pPr>
            <w:r>
              <w:rPr>
                <w:rFonts w:hint="eastAsia" w:ascii="宋体" w:hAnsi="宋体" w:eastAsia="宋体"/>
              </w:rPr>
              <w:t>拟任职务</w:t>
            </w:r>
          </w:p>
        </w:tc>
        <w:tc>
          <w:tcPr>
            <w:tcW w:w="873" w:type="pct"/>
            <w:vAlign w:val="center"/>
          </w:tcPr>
          <w:p>
            <w:pPr>
              <w:spacing w:line="360" w:lineRule="auto"/>
              <w:rPr>
                <w:rFonts w:hint="eastAsia" w:ascii="宋体" w:hAnsi="宋体" w:eastAsia="宋体"/>
              </w:rPr>
            </w:pPr>
            <w:r>
              <w:rPr>
                <w:rFonts w:hint="eastAsia" w:ascii="宋体" w:hAnsi="宋体" w:eastAsia="宋体"/>
              </w:rPr>
              <w:t>从事本行业年限</w:t>
            </w:r>
          </w:p>
        </w:tc>
        <w:tc>
          <w:tcPr>
            <w:tcW w:w="497" w:type="pct"/>
            <w:vAlign w:val="center"/>
          </w:tcPr>
          <w:p>
            <w:pPr>
              <w:spacing w:line="360" w:lineRule="auto"/>
              <w:rPr>
                <w:rFonts w:hint="eastAsia"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9" w:type="pct"/>
            <w:vAlign w:val="center"/>
          </w:tcPr>
          <w:p>
            <w:pPr>
              <w:spacing w:line="360" w:lineRule="auto"/>
              <w:rPr>
                <w:rFonts w:ascii="Times New Roman"/>
                <w:color w:val="000000"/>
                <w:kern w:val="2"/>
                <w:sz w:val="21"/>
                <w:szCs w:val="21"/>
              </w:rPr>
            </w:pPr>
          </w:p>
        </w:tc>
        <w:tc>
          <w:tcPr>
            <w:tcW w:w="614" w:type="pct"/>
            <w:vAlign w:val="center"/>
          </w:tcPr>
          <w:p>
            <w:pPr>
              <w:spacing w:line="360" w:lineRule="auto"/>
              <w:rPr>
                <w:rFonts w:ascii="Times New Roman"/>
                <w:color w:val="000000"/>
                <w:kern w:val="2"/>
                <w:sz w:val="21"/>
                <w:szCs w:val="21"/>
              </w:rPr>
            </w:pPr>
          </w:p>
        </w:tc>
        <w:tc>
          <w:tcPr>
            <w:tcW w:w="394" w:type="pct"/>
            <w:vAlign w:val="center"/>
          </w:tcPr>
          <w:p>
            <w:pPr>
              <w:spacing w:line="360" w:lineRule="auto"/>
              <w:rPr>
                <w:rFonts w:ascii="Times New Roman"/>
                <w:color w:val="000000"/>
                <w:kern w:val="2"/>
                <w:sz w:val="21"/>
                <w:szCs w:val="21"/>
              </w:rPr>
            </w:pPr>
          </w:p>
        </w:tc>
        <w:tc>
          <w:tcPr>
            <w:tcW w:w="361" w:type="pct"/>
            <w:vAlign w:val="center"/>
          </w:tcPr>
          <w:p>
            <w:pPr>
              <w:spacing w:line="360" w:lineRule="auto"/>
              <w:rPr>
                <w:rFonts w:ascii="Times New Roman"/>
                <w:color w:val="000000"/>
                <w:kern w:val="2"/>
                <w:sz w:val="21"/>
                <w:szCs w:val="21"/>
              </w:rPr>
            </w:pPr>
          </w:p>
        </w:tc>
        <w:tc>
          <w:tcPr>
            <w:tcW w:w="391" w:type="pct"/>
            <w:vAlign w:val="center"/>
          </w:tcPr>
          <w:p>
            <w:pPr>
              <w:spacing w:line="360" w:lineRule="auto"/>
              <w:rPr>
                <w:rFonts w:ascii="Times New Roman"/>
                <w:color w:val="000000"/>
                <w:kern w:val="2"/>
                <w:sz w:val="21"/>
                <w:szCs w:val="21"/>
              </w:rPr>
            </w:pPr>
          </w:p>
        </w:tc>
        <w:tc>
          <w:tcPr>
            <w:tcW w:w="862" w:type="pct"/>
            <w:vAlign w:val="center"/>
          </w:tcPr>
          <w:p>
            <w:pPr>
              <w:spacing w:line="360" w:lineRule="auto"/>
              <w:rPr>
                <w:rFonts w:ascii="Times New Roman"/>
                <w:color w:val="000000"/>
                <w:kern w:val="2"/>
                <w:sz w:val="21"/>
                <w:szCs w:val="21"/>
              </w:rPr>
            </w:pPr>
          </w:p>
        </w:tc>
        <w:tc>
          <w:tcPr>
            <w:tcW w:w="669" w:type="pct"/>
            <w:vAlign w:val="center"/>
          </w:tcPr>
          <w:p>
            <w:pPr>
              <w:spacing w:line="360" w:lineRule="auto"/>
              <w:rPr>
                <w:rFonts w:ascii="Times New Roman"/>
                <w:color w:val="000000"/>
                <w:kern w:val="2"/>
                <w:sz w:val="21"/>
                <w:szCs w:val="21"/>
              </w:rPr>
            </w:pPr>
          </w:p>
        </w:tc>
        <w:tc>
          <w:tcPr>
            <w:tcW w:w="873" w:type="pct"/>
            <w:vAlign w:val="center"/>
          </w:tcPr>
          <w:p>
            <w:pPr>
              <w:spacing w:line="360" w:lineRule="auto"/>
              <w:rPr>
                <w:rFonts w:ascii="Times New Roman"/>
                <w:color w:val="000000"/>
                <w:kern w:val="2"/>
                <w:sz w:val="21"/>
                <w:szCs w:val="21"/>
              </w:rPr>
            </w:pPr>
          </w:p>
        </w:tc>
        <w:tc>
          <w:tcPr>
            <w:tcW w:w="497" w:type="pct"/>
            <w:vAlign w:val="center"/>
          </w:tcPr>
          <w:p>
            <w:pPr>
              <w:spacing w:line="360" w:lineRule="auto"/>
              <w:rPr>
                <w:rFonts w:ascii="Times New Roman"/>
                <w:color w:val="000000"/>
                <w:kern w:val="2"/>
                <w:sz w:val="21"/>
                <w:szCs w:val="21"/>
              </w:rPr>
            </w:pPr>
          </w:p>
        </w:tc>
      </w:tr>
    </w:tbl>
    <w:p>
      <w:pPr>
        <w:spacing w:line="360" w:lineRule="auto"/>
        <w:ind w:firstLine="440" w:firstLineChars="200"/>
        <w:rPr>
          <w:rFonts w:hint="eastAsia" w:ascii="宋体" w:hAnsi="宋体" w:eastAsia="宋体"/>
        </w:rPr>
      </w:pPr>
      <w:r>
        <w:rPr>
          <w:rFonts w:hint="eastAsia" w:ascii="宋体" w:hAnsi="宋体" w:eastAsia="宋体"/>
        </w:rPr>
        <w:t>备注：</w:t>
      </w:r>
    </w:p>
    <w:p>
      <w:pPr>
        <w:spacing w:line="360" w:lineRule="auto"/>
        <w:ind w:firstLine="440" w:firstLineChars="200"/>
        <w:rPr>
          <w:rFonts w:hint="eastAsia" w:ascii="宋体" w:hAnsi="宋体" w:eastAsia="宋体"/>
        </w:rPr>
      </w:pPr>
      <w:r>
        <w:rPr>
          <w:rFonts w:hint="eastAsia" w:ascii="宋体" w:hAnsi="宋体" w:eastAsia="宋体"/>
        </w:rPr>
        <w:t>此表格式供参照，报价人可以根据本表格式内容自行划表填写。</w:t>
      </w:r>
    </w:p>
    <w:p>
      <w:pPr>
        <w:spacing w:line="360" w:lineRule="auto"/>
        <w:rPr>
          <w:rFonts w:ascii="Times New Roman"/>
          <w:color w:val="000000"/>
          <w:kern w:val="2"/>
          <w:sz w:val="21"/>
          <w:szCs w:val="21"/>
        </w:rPr>
      </w:pPr>
    </w:p>
    <w:p>
      <w:pPr>
        <w:spacing w:line="360" w:lineRule="auto"/>
        <w:ind w:left="5280" w:leftChars="2400" w:firstLine="440" w:firstLineChars="200"/>
        <w:rPr>
          <w:rFonts w:hint="eastAsia" w:ascii="宋体" w:hAnsi="宋体" w:eastAsia="宋体"/>
        </w:rPr>
      </w:pPr>
      <w:r>
        <w:rPr>
          <w:rFonts w:hint="eastAsia" w:ascii="宋体" w:hAnsi="宋体" w:eastAsia="宋体"/>
        </w:rPr>
        <w:t>报价人：（公章）</w:t>
      </w:r>
    </w:p>
    <w:p>
      <w:pPr>
        <w:spacing w:line="360" w:lineRule="auto"/>
        <w:ind w:left="5280" w:leftChars="2400" w:firstLine="440" w:firstLineChars="200"/>
        <w:rPr>
          <w:rFonts w:hint="eastAsia" w:ascii="宋体" w:hAnsi="宋体" w:eastAsia="宋体"/>
        </w:rPr>
      </w:pPr>
      <w:r>
        <w:rPr>
          <w:rFonts w:hint="eastAsia" w:ascii="宋体" w:hAnsi="宋体" w:eastAsia="宋体"/>
        </w:rPr>
        <w:t>日期：   年   月   日</w:t>
      </w:r>
    </w:p>
    <w:p>
      <w:pPr>
        <w:spacing w:line="360" w:lineRule="auto"/>
        <w:jc w:val="right"/>
        <w:rPr>
          <w:rFonts w:ascii="Times New Roman"/>
          <w:color w:val="000000"/>
          <w:kern w:val="2"/>
          <w:sz w:val="21"/>
          <w:szCs w:val="21"/>
        </w:rPr>
      </w:pPr>
    </w:p>
    <w:p>
      <w:pPr>
        <w:spacing w:line="360" w:lineRule="auto"/>
        <w:rPr>
          <w:rFonts w:ascii="Times New Roman"/>
          <w:color w:val="000000"/>
          <w:kern w:val="2"/>
          <w:sz w:val="21"/>
          <w:szCs w:val="21"/>
        </w:rPr>
      </w:pPr>
    </w:p>
    <w:p>
      <w:pPr>
        <w:spacing w:line="360" w:lineRule="auto"/>
        <w:ind w:firstLine="4830" w:firstLineChars="2300"/>
        <w:rPr>
          <w:rFonts w:ascii="Times New Roman"/>
          <w:color w:val="000000"/>
          <w:kern w:val="2"/>
          <w:sz w:val="21"/>
          <w:szCs w:val="21"/>
          <w:lang w:val="zh-CN"/>
        </w:rPr>
      </w:pPr>
    </w:p>
    <w:p>
      <w:pPr>
        <w:spacing w:line="360" w:lineRule="auto"/>
        <w:ind w:firstLine="4830" w:firstLineChars="2300"/>
        <w:rPr>
          <w:rFonts w:ascii="Times New Roman"/>
          <w:color w:val="000000"/>
          <w:kern w:val="2"/>
          <w:sz w:val="21"/>
          <w:szCs w:val="21"/>
          <w:lang w:val="zh-CN"/>
        </w:rPr>
      </w:pPr>
    </w:p>
    <w:p>
      <w:pPr>
        <w:spacing w:line="360" w:lineRule="auto"/>
        <w:jc w:val="center"/>
        <w:rPr>
          <w:rFonts w:hint="eastAsia" w:hAnsi="宋体"/>
          <w:b/>
          <w:bCs/>
          <w:color w:val="000000"/>
          <w:kern w:val="2"/>
          <w:sz w:val="30"/>
          <w:szCs w:val="30"/>
          <w:lang w:val="zh-CN"/>
        </w:rPr>
      </w:pPr>
    </w:p>
    <w:p>
      <w:pPr>
        <w:spacing w:line="360" w:lineRule="auto"/>
        <w:jc w:val="center"/>
        <w:rPr>
          <w:rFonts w:hint="eastAsia" w:hAnsi="宋体"/>
          <w:b/>
          <w:bCs/>
          <w:color w:val="000000"/>
          <w:kern w:val="2"/>
          <w:sz w:val="30"/>
          <w:szCs w:val="30"/>
          <w:lang w:val="zh-CN"/>
        </w:rPr>
      </w:pPr>
    </w:p>
    <w:p>
      <w:pPr>
        <w:spacing w:line="360" w:lineRule="auto"/>
        <w:ind w:firstLine="440" w:firstLineChars="200"/>
        <w:rPr>
          <w:rFonts w:hint="eastAsia" w:ascii="宋体" w:hAnsi="宋体" w:eastAsia="宋体"/>
        </w:rPr>
      </w:pPr>
    </w:p>
    <w:p>
      <w:pPr>
        <w:rPr>
          <w:rFonts w:hint="eastAsia"/>
        </w:rPr>
      </w:pPr>
    </w:p>
    <w:p>
      <w:pPr>
        <w:spacing w:line="360" w:lineRule="auto"/>
        <w:ind w:firstLine="440" w:firstLineChars="200"/>
        <w:rPr>
          <w:rFonts w:hint="eastAsia" w:ascii="宋体" w:hAnsi="宋体" w:eastAsia="宋体"/>
          <w:b/>
          <w:bCs/>
        </w:rPr>
      </w:pPr>
      <w:r>
        <w:rPr>
          <w:rFonts w:hint="eastAsia" w:ascii="宋体" w:hAnsi="宋体" w:eastAsia="宋体"/>
          <w:b/>
          <w:bCs/>
        </w:rPr>
        <w:t>8</w:t>
      </w:r>
      <w:r>
        <w:rPr>
          <w:rFonts w:ascii="宋体" w:hAnsi="宋体" w:eastAsia="宋体"/>
          <w:b/>
          <w:bCs/>
        </w:rPr>
        <w:t>.</w:t>
      </w:r>
      <w:r>
        <w:rPr>
          <w:rFonts w:hint="eastAsia" w:ascii="宋体" w:hAnsi="宋体" w:eastAsia="宋体"/>
          <w:b/>
          <w:bCs/>
        </w:rPr>
        <w:t>相关项目经验，为企业提供仓库信息系统的成功案例证明。</w:t>
      </w:r>
    </w:p>
    <w:p>
      <w:pPr>
        <w:spacing w:line="360" w:lineRule="auto"/>
        <w:ind w:firstLine="440" w:firstLineChars="200"/>
        <w:jc w:val="center"/>
        <w:rPr>
          <w:rFonts w:hint="eastAsia" w:ascii="宋体" w:hAnsi="宋体" w:eastAsia="宋体"/>
        </w:rPr>
      </w:pPr>
    </w:p>
    <w:p>
      <w:pPr>
        <w:spacing w:line="360" w:lineRule="auto"/>
        <w:ind w:firstLine="440" w:firstLineChars="200"/>
        <w:jc w:val="center"/>
        <w:rPr>
          <w:rFonts w:hint="eastAsia" w:ascii="宋体" w:hAnsi="宋体" w:eastAsia="宋体"/>
        </w:rPr>
      </w:pPr>
      <w:r>
        <w:rPr>
          <w:rFonts w:hint="eastAsia" w:ascii="宋体" w:hAnsi="宋体" w:eastAsia="宋体"/>
        </w:rPr>
        <w:t>报价人相关的服务业绩表</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1274"/>
        <w:gridCol w:w="2003"/>
        <w:gridCol w:w="1007"/>
        <w:gridCol w:w="1007"/>
        <w:gridCol w:w="1783"/>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rPr>
            </w:pPr>
            <w:r>
              <w:rPr>
                <w:rFonts w:hint="eastAsia" w:ascii="宋体" w:hAnsi="宋体" w:eastAsia="宋体"/>
                <w:color w:val="000000"/>
                <w:sz w:val="21"/>
                <w:szCs w:val="21"/>
                <w:lang w:val="zh-CN"/>
              </w:rPr>
              <w:t>序号</w:t>
            </w: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hint="eastAsia" w:ascii="宋体" w:hAnsi="宋体" w:eastAsia="宋体"/>
                <w:color w:val="000000"/>
                <w:sz w:val="21"/>
                <w:szCs w:val="21"/>
                <w:lang w:val="zh-CN"/>
              </w:rPr>
              <w:t>项目名称</w:t>
            </w:r>
          </w:p>
        </w:tc>
        <w:tc>
          <w:tcPr>
            <w:tcW w:w="11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rPr>
            </w:pPr>
            <w:r>
              <w:rPr>
                <w:rFonts w:hint="eastAsia" w:ascii="宋体" w:hAnsi="宋体" w:eastAsia="宋体"/>
                <w:color w:val="000000"/>
                <w:sz w:val="21"/>
                <w:szCs w:val="21"/>
              </w:rPr>
              <w:t>合同主要内容</w:t>
            </w:r>
          </w:p>
        </w:tc>
        <w:tc>
          <w:tcPr>
            <w:tcW w:w="5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rPr>
            </w:pPr>
            <w:r>
              <w:rPr>
                <w:rFonts w:hint="eastAsia" w:ascii="宋体" w:hAnsi="宋体" w:eastAsia="宋体"/>
                <w:color w:val="000000"/>
                <w:sz w:val="21"/>
                <w:szCs w:val="21"/>
              </w:rPr>
              <w:t>合同期限</w:t>
            </w:r>
          </w:p>
        </w:tc>
        <w:tc>
          <w:tcPr>
            <w:tcW w:w="5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hint="eastAsia" w:ascii="宋体" w:hAnsi="宋体" w:eastAsia="宋体"/>
                <w:color w:val="000000"/>
                <w:sz w:val="21"/>
                <w:szCs w:val="21"/>
                <w:lang w:val="zh-CN"/>
              </w:rPr>
              <w:t>签约日期</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rPr>
            </w:pPr>
            <w:r>
              <w:rPr>
                <w:rFonts w:hint="eastAsia" w:ascii="宋体" w:hAnsi="宋体" w:eastAsia="宋体"/>
                <w:color w:val="000000"/>
                <w:sz w:val="21"/>
                <w:szCs w:val="21"/>
              </w:rPr>
              <w:t>委托</w:t>
            </w:r>
            <w:r>
              <w:rPr>
                <w:rFonts w:hint="eastAsia" w:ascii="宋体" w:hAnsi="宋体" w:eastAsia="宋体"/>
                <w:color w:val="000000"/>
                <w:sz w:val="21"/>
                <w:szCs w:val="21"/>
                <w:lang w:val="zh-CN"/>
              </w:rPr>
              <w:t>方单位名称、联系人及电话</w:t>
            </w:r>
          </w:p>
        </w:tc>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rPr>
            </w:pPr>
            <w:r>
              <w:rPr>
                <w:rFonts w:hint="eastAsia" w:ascii="宋体" w:hAnsi="宋体" w:eastAsia="宋体"/>
                <w:color w:val="000000"/>
                <w:sz w:val="2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ascii="宋体" w:hAnsi="宋体" w:eastAsia="宋体"/>
                <w:color w:val="000000"/>
                <w:sz w:val="21"/>
                <w:szCs w:val="21"/>
                <w:lang w:val="zh-CN"/>
              </w:rPr>
              <w:t>1</w:t>
            </w:r>
          </w:p>
        </w:tc>
        <w:tc>
          <w:tcPr>
            <w:tcW w:w="7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1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ascii="宋体" w:hAnsi="宋体" w:eastAsia="宋体"/>
                <w:color w:val="000000"/>
                <w:sz w:val="21"/>
                <w:szCs w:val="21"/>
                <w:lang w:val="zh-CN"/>
              </w:rPr>
              <w:t>2</w:t>
            </w:r>
          </w:p>
        </w:tc>
        <w:tc>
          <w:tcPr>
            <w:tcW w:w="7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1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ascii="宋体" w:hAnsi="宋体" w:eastAsia="宋体"/>
                <w:color w:val="000000"/>
                <w:sz w:val="21"/>
                <w:szCs w:val="21"/>
                <w:lang w:val="zh-CN"/>
              </w:rPr>
              <w:t>3</w:t>
            </w:r>
          </w:p>
        </w:tc>
        <w:tc>
          <w:tcPr>
            <w:tcW w:w="7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1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val="zh-CN"/>
              </w:rPr>
            </w:pPr>
            <w:r>
              <w:rPr>
                <w:rFonts w:ascii="宋体" w:hAnsi="宋体" w:eastAsia="宋体"/>
                <w:color w:val="000000"/>
                <w:sz w:val="21"/>
                <w:szCs w:val="21"/>
                <w:lang w:val="zh-CN"/>
              </w:rPr>
              <w:t>…</w:t>
            </w:r>
          </w:p>
        </w:tc>
        <w:tc>
          <w:tcPr>
            <w:tcW w:w="7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1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olor w:val="000000"/>
                <w:sz w:val="21"/>
                <w:szCs w:val="21"/>
              </w:rPr>
            </w:pPr>
          </w:p>
        </w:tc>
      </w:tr>
    </w:tbl>
    <w:p>
      <w:pPr>
        <w:spacing w:line="360" w:lineRule="auto"/>
        <w:ind w:left="391" w:leftChars="-58" w:hanging="518" w:hangingChars="247"/>
        <w:rPr>
          <w:rFonts w:hint="eastAsia" w:hAnsi="宋体"/>
          <w:color w:val="000000"/>
          <w:kern w:val="2"/>
          <w:sz w:val="21"/>
          <w:lang w:val="zh-CN"/>
        </w:rPr>
      </w:pPr>
    </w:p>
    <w:p>
      <w:pPr>
        <w:spacing w:line="360" w:lineRule="auto"/>
        <w:ind w:firstLine="440" w:firstLineChars="200"/>
        <w:rPr>
          <w:rFonts w:hint="eastAsia" w:ascii="宋体" w:hAnsi="宋体" w:eastAsia="宋体"/>
        </w:rPr>
      </w:pPr>
      <w:r>
        <w:rPr>
          <w:rFonts w:hint="eastAsia" w:ascii="宋体" w:hAnsi="宋体" w:eastAsia="宋体"/>
        </w:rPr>
        <w:t>备注：</w:t>
      </w:r>
    </w:p>
    <w:p>
      <w:pPr>
        <w:spacing w:line="360" w:lineRule="auto"/>
        <w:ind w:firstLine="440" w:firstLineChars="200"/>
        <w:rPr>
          <w:rFonts w:hint="eastAsia" w:ascii="宋体" w:hAnsi="宋体" w:eastAsia="宋体"/>
        </w:rPr>
      </w:pPr>
      <w:r>
        <w:rPr>
          <w:rFonts w:hint="eastAsia" w:ascii="宋体" w:hAnsi="宋体" w:eastAsia="宋体"/>
        </w:rPr>
        <w:t>（1）业绩须附合同原件复印件。</w:t>
      </w:r>
    </w:p>
    <w:p>
      <w:pPr>
        <w:spacing w:line="360" w:lineRule="auto"/>
        <w:ind w:firstLine="440" w:firstLineChars="200"/>
        <w:rPr>
          <w:rFonts w:hint="eastAsia" w:ascii="宋体" w:hAnsi="宋体" w:eastAsia="宋体"/>
        </w:rPr>
      </w:pPr>
      <w:r>
        <w:rPr>
          <w:rFonts w:hint="eastAsia" w:ascii="宋体" w:hAnsi="宋体" w:eastAsia="宋体"/>
        </w:rPr>
        <w:t>（2）所提供的合同复印件必须能够清晰、有效地证明：服务方为报价人本单位、合同约定的服务内容明确包含仓储系统软件授权和相关服务。不符合上述任一条件的业绩将视为无效；</w:t>
      </w:r>
    </w:p>
    <w:p>
      <w:pPr>
        <w:spacing w:line="360" w:lineRule="auto"/>
        <w:ind w:left="5940" w:leftChars="2700" w:firstLine="440" w:firstLineChars="200"/>
        <w:rPr>
          <w:rFonts w:hint="eastAsia" w:ascii="宋体" w:hAnsi="宋体" w:eastAsia="宋体"/>
        </w:rPr>
      </w:pPr>
    </w:p>
    <w:p>
      <w:pPr>
        <w:spacing w:line="360" w:lineRule="auto"/>
        <w:ind w:left="5940" w:leftChars="2700" w:firstLine="440" w:firstLineChars="200"/>
        <w:rPr>
          <w:rFonts w:hint="eastAsia" w:ascii="宋体" w:hAnsi="宋体" w:eastAsia="宋体"/>
        </w:rPr>
      </w:pPr>
      <w:r>
        <w:rPr>
          <w:rFonts w:hint="eastAsia" w:ascii="宋体" w:hAnsi="宋体" w:eastAsia="宋体"/>
        </w:rPr>
        <w:t>报价人：（公章）</w:t>
      </w:r>
    </w:p>
    <w:p>
      <w:pPr>
        <w:spacing w:line="360" w:lineRule="auto"/>
        <w:ind w:left="5940" w:leftChars="2700" w:firstLine="440" w:firstLineChars="200"/>
        <w:rPr>
          <w:rFonts w:hint="eastAsia" w:hAnsi="宋体" w:cs="宋体"/>
          <w:color w:val="000000"/>
          <w:kern w:val="2"/>
          <w:sz w:val="21"/>
        </w:rPr>
        <w:sectPr>
          <w:headerReference r:id="rId17" w:type="default"/>
          <w:footerReference r:id="rId18" w:type="default"/>
          <w:pgSz w:w="11906" w:h="16838"/>
          <w:pgMar w:top="1440" w:right="1803" w:bottom="1440" w:left="1803" w:header="851" w:footer="992" w:gutter="0"/>
          <w:cols w:space="0" w:num="1"/>
          <w:docGrid w:type="linesAndChars" w:linePitch="332" w:charSpace="0"/>
        </w:sectPr>
      </w:pPr>
      <w:r>
        <w:rPr>
          <w:rFonts w:hint="eastAsia" w:ascii="宋体" w:hAnsi="宋体" w:eastAsia="宋体"/>
        </w:rPr>
        <w:t xml:space="preserve">日期： </w:t>
      </w:r>
      <w:r>
        <w:rPr>
          <w:rFonts w:ascii="宋体" w:hAnsi="宋体" w:eastAsia="宋体"/>
        </w:rPr>
        <w:t xml:space="preserve">  </w:t>
      </w: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ascii="Times New Roman"/>
          <w:color w:val="000000"/>
          <w:kern w:val="2"/>
          <w:sz w:val="21"/>
          <w:szCs w:val="21"/>
          <w:lang w:val="zh-CN"/>
        </w:rPr>
        <w:t xml:space="preserve"> </w:t>
      </w:r>
      <w:bookmarkStart w:id="14" w:name="_Toc534278252"/>
      <w:bookmarkStart w:id="15" w:name="_Toc534701786"/>
      <w:bookmarkStart w:id="16" w:name="_Toc513226437"/>
    </w:p>
    <w:bookmarkEnd w:id="14"/>
    <w:bookmarkEnd w:id="15"/>
    <w:bookmarkEnd w:id="16"/>
    <w:p>
      <w:pPr>
        <w:spacing w:line="360" w:lineRule="auto"/>
        <w:ind w:firstLine="442" w:firstLineChars="200"/>
        <w:rPr>
          <w:rFonts w:hint="eastAsia" w:ascii="宋体" w:hAnsi="宋体" w:eastAsia="宋体"/>
          <w:b/>
          <w:bCs/>
        </w:rPr>
      </w:pPr>
      <w:r>
        <w:rPr>
          <w:rFonts w:hint="eastAsia" w:ascii="宋体" w:hAnsi="宋体" w:eastAsia="宋体"/>
          <w:b/>
          <w:bCs/>
        </w:rPr>
        <w:t>9、</w:t>
      </w:r>
      <w:r>
        <w:rPr>
          <w:rFonts w:ascii="宋体" w:hAnsi="宋体" w:eastAsia="宋体"/>
          <w:b/>
          <w:bCs/>
        </w:rPr>
        <w:t>报价人认为有必要提供的资料</w:t>
      </w:r>
    </w:p>
    <w:p>
      <w:pPr>
        <w:spacing w:line="360" w:lineRule="auto"/>
        <w:rPr>
          <w:rFonts w:hint="eastAsia" w:ascii="宋体" w:hAnsi="宋体" w:eastAsia="宋体" w:cs="宋体"/>
        </w:rPr>
      </w:pPr>
    </w:p>
    <w:p>
      <w:pPr>
        <w:spacing w:line="360" w:lineRule="auto"/>
        <w:rPr>
          <w:rFonts w:hint="eastAsia" w:ascii="宋体" w:hAnsi="宋体" w:eastAsia="宋体" w:cs="宋体"/>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647296"/>
    </w:sdtPr>
    <w:sdtContent>
      <w:p>
        <w:pPr>
          <w:pStyle w:val="14"/>
          <w:ind w:firstLine="360"/>
          <w:jc w:val="center"/>
        </w:pPr>
        <w:r>
          <w:fldChar w:fldCharType="begin"/>
        </w:r>
        <w:r>
          <w:instrText xml:space="preserve">PAGE   \* MERGEFORMAT</w:instrText>
        </w:r>
        <w:r>
          <w:fldChar w:fldCharType="separate"/>
        </w:r>
        <w:r>
          <w:t>10</w:t>
        </w:r>
        <w:r>
          <w:fldChar w:fldCharType="end"/>
        </w:r>
      </w:p>
    </w:sdtContent>
  </w:sdt>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eastAsia="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ind w:firstLine="36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4"/>
                      <w:ind w:firstLine="36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9E045"/>
    <w:multiLevelType w:val="multilevel"/>
    <w:tmpl w:val="95F9E04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573"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pStyle w:val="41"/>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15B73315"/>
    <w:multiLevelType w:val="multilevel"/>
    <w:tmpl w:val="15B73315"/>
    <w:lvl w:ilvl="0" w:tentative="0">
      <w:start w:val="1"/>
      <w:numFmt w:val="bullet"/>
      <w:lvlText w:val="•"/>
      <w:lvlJc w:val="left"/>
      <w:pPr>
        <w:ind w:left="1280" w:hanging="440"/>
      </w:pPr>
      <w:rPr>
        <w:rFonts w:hint="default" w:ascii="Arial" w:hAnsi="Arial"/>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2">
    <w:nsid w:val="2FD36BEE"/>
    <w:multiLevelType w:val="multilevel"/>
    <w:tmpl w:val="2FD36BEE"/>
    <w:lvl w:ilvl="0" w:tentative="0">
      <w:start w:val="1"/>
      <w:numFmt w:val="decimal"/>
      <w:pStyle w:val="3"/>
      <w:suff w:val="nothing"/>
      <w:lvlText w:val="第%1章  "/>
      <w:lvlJc w:val="left"/>
      <w:pPr>
        <w:ind w:left="0" w:firstLine="0"/>
      </w:pPr>
      <w:rPr>
        <w:rFonts w:hint="default" w:ascii="Arial" w:hAnsi="Arial" w:cs="Arial"/>
        <w:b/>
        <w:bCs/>
        <w:i w:val="0"/>
        <w:iCs w:val="0"/>
        <w:caps w:val="0"/>
        <w:strike w:val="0"/>
        <w:dstrike w:val="0"/>
        <w:vanish w:val="0"/>
        <w:color w:val="auto"/>
        <w:sz w:val="28"/>
        <w:szCs w:val="44"/>
        <w:vertAlign w:val="baseline"/>
        <w14:shadow w14:blurRad="0" w14:dist="0" w14:dir="0" w14:sx="0" w14:sy="0" w14:kx="0" w14:ky="0" w14:algn="none">
          <w14:srgbClr w14:val="000000"/>
        </w14:shadow>
      </w:rPr>
    </w:lvl>
    <w:lvl w:ilvl="1" w:tentative="0">
      <w:start w:val="1"/>
      <w:numFmt w:val="decimal"/>
      <w:pStyle w:val="4"/>
      <w:suff w:val="nothing"/>
      <w:lvlText w:val="%1.%2  "/>
      <w:lvlJc w:val="left"/>
      <w:pPr>
        <w:ind w:left="993" w:firstLine="0"/>
      </w:pPr>
      <w:rPr>
        <w:rFonts w:hint="default" w:ascii="Arial" w:hAnsi="Arial" w:cs="Arial"/>
        <w:b w:val="0"/>
        <w:bCs w:val="0"/>
        <w:i w:val="0"/>
        <w:iCs w:val="0"/>
        <w:caps w:val="0"/>
        <w:strike w:val="0"/>
        <w:dstrike w:val="0"/>
        <w:vanish w:val="0"/>
        <w:color w:val="auto"/>
        <w:sz w:val="21"/>
        <w:szCs w:val="30"/>
        <w:vertAlign w:val="baseline"/>
        <w14:shadow w14:blurRad="0" w14:dist="0" w14:dir="0" w14:sx="0" w14:sy="0" w14:kx="0" w14:ky="0" w14:algn="none">
          <w14:srgbClr w14:val="000000"/>
        </w14:shadow>
      </w:rPr>
    </w:lvl>
    <w:lvl w:ilvl="2" w:tentative="0">
      <w:start w:val="1"/>
      <w:numFmt w:val="decimal"/>
      <w:pStyle w:val="5"/>
      <w:suff w:val="nothing"/>
      <w:lvlText w:val="%1.%2.%3  "/>
      <w:lvlJc w:val="left"/>
      <w:pPr>
        <w:ind w:left="0" w:firstLine="0"/>
      </w:pPr>
      <w:rPr>
        <w:rFonts w:hint="default" w:ascii="Arial" w:hAnsi="Arial" w:cs="Arial"/>
        <w:b w:val="0"/>
        <w:bCs w:val="0"/>
        <w:i w:val="0"/>
        <w:iCs w:val="0"/>
        <w:caps w:val="0"/>
        <w:strike w:val="0"/>
        <w:dstrike w:val="0"/>
        <w:vanish w:val="0"/>
        <w:color w:val="auto"/>
        <w:sz w:val="24"/>
        <w:szCs w:val="24"/>
        <w:vertAlign w:val="baseline"/>
        <w14:shadow w14:blurRad="0" w14:dist="0" w14:dir="0" w14:sx="0" w14:sy="0" w14:kx="0" w14:ky="0" w14:algn="none">
          <w14:srgbClr w14:val="000000"/>
        </w14:shadow>
      </w:rPr>
    </w:lvl>
    <w:lvl w:ilvl="3" w:tentative="0">
      <w:start w:val="1"/>
      <w:numFmt w:val="decimal"/>
      <w:pStyle w:val="6"/>
      <w:suff w:val="nothing"/>
      <w:lvlText w:val="%1.%2.%3.%4. "/>
      <w:lvlJc w:val="left"/>
      <w:pPr>
        <w:ind w:left="2949" w:hanging="255"/>
      </w:pPr>
      <w:rPr>
        <w:rFonts w:hint="default" w:ascii="Arial" w:hAnsi="Arial" w:cs="Arial"/>
        <w:b w:val="0"/>
        <w:bCs w:val="0"/>
        <w:i w:val="0"/>
        <w:iCs w:val="0"/>
        <w:caps w:val="0"/>
        <w:strike w:val="0"/>
        <w:dstrike w:val="0"/>
        <w:vanish w:val="0"/>
        <w:color w:val="auto"/>
        <w:sz w:val="21"/>
        <w:szCs w:val="21"/>
        <w:vertAlign w:val="baseline"/>
        <w14:shadow w14:blurRad="0" w14:dist="0" w14:dir="0" w14:sx="0" w14:sy="0" w14:kx="0" w14:ky="0" w14:algn="none">
          <w14:srgbClr w14:val="000000"/>
        </w14:shadow>
      </w:rPr>
    </w:lvl>
    <w:lvl w:ilvl="4" w:tentative="0">
      <w:start w:val="1"/>
      <w:numFmt w:val="decimal"/>
      <w:pStyle w:val="7"/>
      <w:lvlText w:val="%1.%2.%3.%4.%5"/>
      <w:lvlJc w:val="left"/>
      <w:pPr>
        <w:tabs>
          <w:tab w:val="left" w:pos="510"/>
        </w:tabs>
        <w:ind w:left="510" w:hanging="510"/>
      </w:pPr>
      <w:rPr>
        <w:rFonts w:hint="default" w:ascii="Arial" w:hAnsi="Arial" w:eastAsia="宋体"/>
        <w:b w:val="0"/>
        <w:bCs w:val="0"/>
        <w:i w:val="0"/>
        <w:iCs w:val="0"/>
        <w:caps w:val="0"/>
        <w:strike w:val="0"/>
        <w:dstrike w:val="0"/>
        <w:snapToGrid/>
        <w:vanish w:val="0"/>
        <w:color w:val="auto"/>
        <w:spacing w:val="0"/>
        <w:w w:val="100"/>
        <w:kern w:val="0"/>
        <w:position w:val="0"/>
        <w:sz w:val="21"/>
        <w:szCs w:val="21"/>
        <w:u w:val="none"/>
        <w:vertAlign w:val="baseline"/>
        <w14:shadow w14:blurRad="0" w14:dist="0" w14:dir="0" w14:sx="0" w14:sy="0" w14:kx="0" w14:ky="0" w14:algn="none">
          <w14:srgbClr w14:val="000000"/>
        </w14:shadow>
      </w:rPr>
    </w:lvl>
    <w:lvl w:ilvl="5" w:tentative="0">
      <w:start w:val="1"/>
      <w:numFmt w:val="decimal"/>
      <w:lvlRestart w:val="1"/>
      <w:suff w:val="space"/>
      <w:lvlText w:val="图%1-%6"/>
      <w:lvlJc w:val="left"/>
      <w:pPr>
        <w:ind w:left="1134" w:firstLine="0"/>
      </w:pPr>
      <w:rPr>
        <w:rFonts w:hint="default" w:ascii="Arial" w:hAnsi="Arial" w:eastAsia="黑体"/>
        <w:b w:val="0"/>
        <w:bCs w:val="0"/>
        <w:i w:val="0"/>
        <w:iCs w:val="0"/>
        <w:color w:val="auto"/>
        <w:sz w:val="18"/>
        <w:szCs w:val="18"/>
        <w:u w:val="none"/>
      </w:rPr>
    </w:lvl>
    <w:lvl w:ilvl="6" w:tentative="0">
      <w:start w:val="1"/>
      <w:numFmt w:val="decimal"/>
      <w:lvlRestart w:val="1"/>
      <w:suff w:val="space"/>
      <w:lvlText w:val="表%1-%7"/>
      <w:lvlJc w:val="left"/>
      <w:pPr>
        <w:ind w:left="1134" w:firstLine="0"/>
      </w:pPr>
      <w:rPr>
        <w:rFonts w:hint="default" w:ascii="Arial" w:hAnsi="Arial" w:eastAsia="黑体"/>
        <w:b w:val="0"/>
        <w:bCs w:val="0"/>
        <w:i w:val="0"/>
        <w:iCs w:val="0"/>
        <w:caps w:val="0"/>
        <w:strike w:val="0"/>
        <w:dstrike w:val="0"/>
        <w:snapToGrid/>
        <w:vanish w:val="0"/>
        <w:color w:val="auto"/>
        <w:spacing w:val="0"/>
        <w:w w:val="100"/>
        <w:kern w:val="0"/>
        <w:position w:val="0"/>
        <w:sz w:val="18"/>
        <w:szCs w:val="18"/>
        <w:vertAlign w:val="baseline"/>
        <w14:shadow w14:blurRad="0" w14:dist="0" w14:dir="0" w14:sx="0" w14:sy="0" w14:kx="0" w14:ky="0" w14:algn="none">
          <w14:srgbClr w14:val="000000"/>
        </w14:shadow>
      </w:rPr>
    </w:lvl>
    <w:lvl w:ilvl="7" w:tentative="0">
      <w:start w:val="1"/>
      <w:numFmt w:val="none"/>
      <w:suff w:val="nothing"/>
      <w:lvlText w:val=""/>
      <w:lvlJc w:val="left"/>
      <w:pPr>
        <w:ind w:left="0" w:firstLine="0"/>
      </w:pPr>
      <w:rPr>
        <w:rFonts w:hint="eastAsia"/>
      </w:rPr>
    </w:lvl>
    <w:lvl w:ilvl="8" w:tentative="0">
      <w:start w:val="1"/>
      <w:numFmt w:val="decimal"/>
      <w:lvlText w:val="步骤%9："/>
      <w:lvlJc w:val="left"/>
      <w:pPr>
        <w:tabs>
          <w:tab w:val="left" w:pos="1134"/>
        </w:tabs>
        <w:ind w:left="1134" w:hanging="907"/>
      </w:pPr>
      <w:rPr>
        <w:rFonts w:hint="default" w:ascii="Arial" w:hAnsi="Arial" w:eastAsia="宋体"/>
        <w:b/>
        <w:bCs/>
        <w:i w:val="0"/>
        <w:iCs w:val="0"/>
        <w:color w:val="auto"/>
        <w:sz w:val="21"/>
        <w:szCs w:val="21"/>
      </w:rPr>
    </w:lvl>
  </w:abstractNum>
  <w:abstractNum w:abstractNumId="3">
    <w:nsid w:val="4F2A4258"/>
    <w:multiLevelType w:val="multilevel"/>
    <w:tmpl w:val="4F2A4258"/>
    <w:lvl w:ilvl="0" w:tentative="0">
      <w:start w:val="1"/>
      <w:numFmt w:val="decimal"/>
      <w:pStyle w:val="64"/>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4F302902"/>
    <w:multiLevelType w:val="multilevel"/>
    <w:tmpl w:val="4F302902"/>
    <w:lvl w:ilvl="0" w:tentative="0">
      <w:start w:val="1"/>
      <w:numFmt w:val="none"/>
      <w:pStyle w:val="5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CA38FA"/>
    <w:rsid w:val="00000B69"/>
    <w:rsid w:val="00001808"/>
    <w:rsid w:val="00001FD9"/>
    <w:rsid w:val="0000270C"/>
    <w:rsid w:val="00007E59"/>
    <w:rsid w:val="00021ECE"/>
    <w:rsid w:val="00025226"/>
    <w:rsid w:val="00033ABA"/>
    <w:rsid w:val="00035911"/>
    <w:rsid w:val="00056538"/>
    <w:rsid w:val="00060CDE"/>
    <w:rsid w:val="00066B43"/>
    <w:rsid w:val="000775F6"/>
    <w:rsid w:val="00077FD6"/>
    <w:rsid w:val="00090E7C"/>
    <w:rsid w:val="00092D2E"/>
    <w:rsid w:val="00095D49"/>
    <w:rsid w:val="000960A2"/>
    <w:rsid w:val="000976E8"/>
    <w:rsid w:val="000A1CFA"/>
    <w:rsid w:val="000A68DB"/>
    <w:rsid w:val="000C5BC1"/>
    <w:rsid w:val="000C68AE"/>
    <w:rsid w:val="000E4E65"/>
    <w:rsid w:val="00100214"/>
    <w:rsid w:val="001025CC"/>
    <w:rsid w:val="001133BF"/>
    <w:rsid w:val="00120E09"/>
    <w:rsid w:val="0012367B"/>
    <w:rsid w:val="0013098F"/>
    <w:rsid w:val="00132543"/>
    <w:rsid w:val="0013521E"/>
    <w:rsid w:val="00136231"/>
    <w:rsid w:val="0013723A"/>
    <w:rsid w:val="00142FBE"/>
    <w:rsid w:val="001466B0"/>
    <w:rsid w:val="00183AC5"/>
    <w:rsid w:val="001957F8"/>
    <w:rsid w:val="001A2165"/>
    <w:rsid w:val="001A49EE"/>
    <w:rsid w:val="001B6731"/>
    <w:rsid w:val="001C4B36"/>
    <w:rsid w:val="001E6A00"/>
    <w:rsid w:val="001F19E5"/>
    <w:rsid w:val="001F4F29"/>
    <w:rsid w:val="001F5E12"/>
    <w:rsid w:val="00206F14"/>
    <w:rsid w:val="002106D8"/>
    <w:rsid w:val="00212E1B"/>
    <w:rsid w:val="0021503F"/>
    <w:rsid w:val="00220660"/>
    <w:rsid w:val="002444FC"/>
    <w:rsid w:val="002604CE"/>
    <w:rsid w:val="00262457"/>
    <w:rsid w:val="002665C1"/>
    <w:rsid w:val="0027524C"/>
    <w:rsid w:val="00276469"/>
    <w:rsid w:val="0028209C"/>
    <w:rsid w:val="00284596"/>
    <w:rsid w:val="00287C8B"/>
    <w:rsid w:val="002926B2"/>
    <w:rsid w:val="002A6ABA"/>
    <w:rsid w:val="002B3A43"/>
    <w:rsid w:val="002B7D45"/>
    <w:rsid w:val="002C23C9"/>
    <w:rsid w:val="002C7D8E"/>
    <w:rsid w:val="002C7F25"/>
    <w:rsid w:val="002D3D63"/>
    <w:rsid w:val="002E17D7"/>
    <w:rsid w:val="002E6D02"/>
    <w:rsid w:val="002F00C8"/>
    <w:rsid w:val="002F42E8"/>
    <w:rsid w:val="002F700B"/>
    <w:rsid w:val="00303D5C"/>
    <w:rsid w:val="00305D9B"/>
    <w:rsid w:val="0031107C"/>
    <w:rsid w:val="003237E5"/>
    <w:rsid w:val="0032424C"/>
    <w:rsid w:val="0033284B"/>
    <w:rsid w:val="00334F09"/>
    <w:rsid w:val="00344CEF"/>
    <w:rsid w:val="003459E6"/>
    <w:rsid w:val="00356BEB"/>
    <w:rsid w:val="00362F10"/>
    <w:rsid w:val="00363A6A"/>
    <w:rsid w:val="0038776F"/>
    <w:rsid w:val="0039373F"/>
    <w:rsid w:val="003956FF"/>
    <w:rsid w:val="003A6073"/>
    <w:rsid w:val="003A69AA"/>
    <w:rsid w:val="003C355E"/>
    <w:rsid w:val="003C5D82"/>
    <w:rsid w:val="003C6D0D"/>
    <w:rsid w:val="003D076E"/>
    <w:rsid w:val="003D4763"/>
    <w:rsid w:val="003E20C5"/>
    <w:rsid w:val="003E3FDC"/>
    <w:rsid w:val="003F29F0"/>
    <w:rsid w:val="003F7670"/>
    <w:rsid w:val="00401D78"/>
    <w:rsid w:val="00402F96"/>
    <w:rsid w:val="00416E15"/>
    <w:rsid w:val="00420A1D"/>
    <w:rsid w:val="00430138"/>
    <w:rsid w:val="004305AA"/>
    <w:rsid w:val="00450438"/>
    <w:rsid w:val="004548C5"/>
    <w:rsid w:val="00465DAD"/>
    <w:rsid w:val="00475B03"/>
    <w:rsid w:val="004918FA"/>
    <w:rsid w:val="004D780D"/>
    <w:rsid w:val="004F6009"/>
    <w:rsid w:val="004F65C5"/>
    <w:rsid w:val="004F7DB4"/>
    <w:rsid w:val="00504835"/>
    <w:rsid w:val="005051E4"/>
    <w:rsid w:val="005120E8"/>
    <w:rsid w:val="00513487"/>
    <w:rsid w:val="00522C65"/>
    <w:rsid w:val="005236A0"/>
    <w:rsid w:val="00536B66"/>
    <w:rsid w:val="00541D45"/>
    <w:rsid w:val="0054631A"/>
    <w:rsid w:val="00555F88"/>
    <w:rsid w:val="00564F8A"/>
    <w:rsid w:val="0056617A"/>
    <w:rsid w:val="00566225"/>
    <w:rsid w:val="00570385"/>
    <w:rsid w:val="005727DA"/>
    <w:rsid w:val="00582004"/>
    <w:rsid w:val="005820FA"/>
    <w:rsid w:val="00586DE9"/>
    <w:rsid w:val="005914D2"/>
    <w:rsid w:val="00592B5C"/>
    <w:rsid w:val="00593B81"/>
    <w:rsid w:val="005B071E"/>
    <w:rsid w:val="005B66CC"/>
    <w:rsid w:val="005C2C9F"/>
    <w:rsid w:val="005D4A2F"/>
    <w:rsid w:val="005E58C2"/>
    <w:rsid w:val="00603454"/>
    <w:rsid w:val="006161C4"/>
    <w:rsid w:val="00626FE3"/>
    <w:rsid w:val="00627258"/>
    <w:rsid w:val="00630299"/>
    <w:rsid w:val="0063182F"/>
    <w:rsid w:val="0063684C"/>
    <w:rsid w:val="006504B7"/>
    <w:rsid w:val="00656AE8"/>
    <w:rsid w:val="006575DA"/>
    <w:rsid w:val="006632A9"/>
    <w:rsid w:val="00666B57"/>
    <w:rsid w:val="006744E8"/>
    <w:rsid w:val="00686F3E"/>
    <w:rsid w:val="0068753C"/>
    <w:rsid w:val="00690B19"/>
    <w:rsid w:val="006938D9"/>
    <w:rsid w:val="006A4A8F"/>
    <w:rsid w:val="006B05BA"/>
    <w:rsid w:val="006B6BBF"/>
    <w:rsid w:val="006B79F6"/>
    <w:rsid w:val="006B7FFA"/>
    <w:rsid w:val="006D3C6A"/>
    <w:rsid w:val="006E059B"/>
    <w:rsid w:val="006E1460"/>
    <w:rsid w:val="006E1C61"/>
    <w:rsid w:val="006F33DC"/>
    <w:rsid w:val="006F59D5"/>
    <w:rsid w:val="00716CF0"/>
    <w:rsid w:val="00724554"/>
    <w:rsid w:val="0073112E"/>
    <w:rsid w:val="007319DC"/>
    <w:rsid w:val="007429B0"/>
    <w:rsid w:val="00746315"/>
    <w:rsid w:val="00750A80"/>
    <w:rsid w:val="00754142"/>
    <w:rsid w:val="007601E5"/>
    <w:rsid w:val="00764D0B"/>
    <w:rsid w:val="00773086"/>
    <w:rsid w:val="007742DA"/>
    <w:rsid w:val="00775C67"/>
    <w:rsid w:val="00784899"/>
    <w:rsid w:val="007A5999"/>
    <w:rsid w:val="007E3AC5"/>
    <w:rsid w:val="007E4381"/>
    <w:rsid w:val="007F1847"/>
    <w:rsid w:val="007F68BB"/>
    <w:rsid w:val="00804611"/>
    <w:rsid w:val="0081322F"/>
    <w:rsid w:val="00815CA1"/>
    <w:rsid w:val="00815F3D"/>
    <w:rsid w:val="008179CF"/>
    <w:rsid w:val="008272BB"/>
    <w:rsid w:val="00835609"/>
    <w:rsid w:val="00845103"/>
    <w:rsid w:val="00847227"/>
    <w:rsid w:val="008472FF"/>
    <w:rsid w:val="008511B2"/>
    <w:rsid w:val="00855198"/>
    <w:rsid w:val="0086248D"/>
    <w:rsid w:val="00883346"/>
    <w:rsid w:val="00885F14"/>
    <w:rsid w:val="008869AA"/>
    <w:rsid w:val="00891893"/>
    <w:rsid w:val="008A093D"/>
    <w:rsid w:val="008B120A"/>
    <w:rsid w:val="008D06AC"/>
    <w:rsid w:val="008D7816"/>
    <w:rsid w:val="008E2F2B"/>
    <w:rsid w:val="008E4EA0"/>
    <w:rsid w:val="008E6BAB"/>
    <w:rsid w:val="008F0BDD"/>
    <w:rsid w:val="008F68B9"/>
    <w:rsid w:val="00907BD3"/>
    <w:rsid w:val="00913533"/>
    <w:rsid w:val="009140B3"/>
    <w:rsid w:val="00946403"/>
    <w:rsid w:val="00946760"/>
    <w:rsid w:val="00956906"/>
    <w:rsid w:val="009605E5"/>
    <w:rsid w:val="00960F8A"/>
    <w:rsid w:val="0096186B"/>
    <w:rsid w:val="00963A17"/>
    <w:rsid w:val="0096631D"/>
    <w:rsid w:val="00967225"/>
    <w:rsid w:val="00982C58"/>
    <w:rsid w:val="00984BDE"/>
    <w:rsid w:val="00985479"/>
    <w:rsid w:val="0098581C"/>
    <w:rsid w:val="00994F78"/>
    <w:rsid w:val="009A3E04"/>
    <w:rsid w:val="009B09F0"/>
    <w:rsid w:val="009B0AEB"/>
    <w:rsid w:val="009C0AD3"/>
    <w:rsid w:val="009C1F09"/>
    <w:rsid w:val="009C4A7B"/>
    <w:rsid w:val="009C60D6"/>
    <w:rsid w:val="009D744D"/>
    <w:rsid w:val="009E5A00"/>
    <w:rsid w:val="009E5AE7"/>
    <w:rsid w:val="009E7F70"/>
    <w:rsid w:val="009F1498"/>
    <w:rsid w:val="00A0013F"/>
    <w:rsid w:val="00A1643B"/>
    <w:rsid w:val="00A17B73"/>
    <w:rsid w:val="00A21695"/>
    <w:rsid w:val="00A334F1"/>
    <w:rsid w:val="00A50C6F"/>
    <w:rsid w:val="00A57F42"/>
    <w:rsid w:val="00A61BD5"/>
    <w:rsid w:val="00A660D5"/>
    <w:rsid w:val="00A84EF0"/>
    <w:rsid w:val="00A942C9"/>
    <w:rsid w:val="00AB5A4C"/>
    <w:rsid w:val="00AC2FD0"/>
    <w:rsid w:val="00AC6C02"/>
    <w:rsid w:val="00AE7532"/>
    <w:rsid w:val="00B136AC"/>
    <w:rsid w:val="00B1629B"/>
    <w:rsid w:val="00B227E9"/>
    <w:rsid w:val="00B3026E"/>
    <w:rsid w:val="00B32365"/>
    <w:rsid w:val="00B33BB4"/>
    <w:rsid w:val="00B51950"/>
    <w:rsid w:val="00B7185A"/>
    <w:rsid w:val="00B81C60"/>
    <w:rsid w:val="00B823D1"/>
    <w:rsid w:val="00BA4063"/>
    <w:rsid w:val="00BA4990"/>
    <w:rsid w:val="00BB0232"/>
    <w:rsid w:val="00BB342C"/>
    <w:rsid w:val="00BB63C7"/>
    <w:rsid w:val="00BD1383"/>
    <w:rsid w:val="00BD7AB4"/>
    <w:rsid w:val="00BE4F1E"/>
    <w:rsid w:val="00C121F7"/>
    <w:rsid w:val="00C36842"/>
    <w:rsid w:val="00C37892"/>
    <w:rsid w:val="00C41E7A"/>
    <w:rsid w:val="00C42D88"/>
    <w:rsid w:val="00C4598C"/>
    <w:rsid w:val="00C45D7E"/>
    <w:rsid w:val="00C60471"/>
    <w:rsid w:val="00C62FBD"/>
    <w:rsid w:val="00C6372F"/>
    <w:rsid w:val="00C66853"/>
    <w:rsid w:val="00C76CC6"/>
    <w:rsid w:val="00C8296C"/>
    <w:rsid w:val="00C84F0C"/>
    <w:rsid w:val="00C87B31"/>
    <w:rsid w:val="00C904F1"/>
    <w:rsid w:val="00C934E0"/>
    <w:rsid w:val="00C93E79"/>
    <w:rsid w:val="00C961E2"/>
    <w:rsid w:val="00C970F2"/>
    <w:rsid w:val="00CA38FA"/>
    <w:rsid w:val="00CA56A8"/>
    <w:rsid w:val="00CB28A8"/>
    <w:rsid w:val="00CB3023"/>
    <w:rsid w:val="00CC286E"/>
    <w:rsid w:val="00CD4120"/>
    <w:rsid w:val="00CD60E9"/>
    <w:rsid w:val="00CE42A1"/>
    <w:rsid w:val="00CF0066"/>
    <w:rsid w:val="00CF032B"/>
    <w:rsid w:val="00CF3356"/>
    <w:rsid w:val="00CF5584"/>
    <w:rsid w:val="00CF72FE"/>
    <w:rsid w:val="00CF7BEB"/>
    <w:rsid w:val="00D052B2"/>
    <w:rsid w:val="00D055B7"/>
    <w:rsid w:val="00D1032F"/>
    <w:rsid w:val="00D129AE"/>
    <w:rsid w:val="00D13D94"/>
    <w:rsid w:val="00D14A6B"/>
    <w:rsid w:val="00D322F5"/>
    <w:rsid w:val="00D528C2"/>
    <w:rsid w:val="00D61337"/>
    <w:rsid w:val="00D619AE"/>
    <w:rsid w:val="00D62D38"/>
    <w:rsid w:val="00D73FE8"/>
    <w:rsid w:val="00D7764A"/>
    <w:rsid w:val="00D814E9"/>
    <w:rsid w:val="00D83D47"/>
    <w:rsid w:val="00DB7C70"/>
    <w:rsid w:val="00DC74DC"/>
    <w:rsid w:val="00DE06FA"/>
    <w:rsid w:val="00E000E8"/>
    <w:rsid w:val="00E10C82"/>
    <w:rsid w:val="00E1755B"/>
    <w:rsid w:val="00E23ECE"/>
    <w:rsid w:val="00E30A58"/>
    <w:rsid w:val="00E33C60"/>
    <w:rsid w:val="00E52057"/>
    <w:rsid w:val="00E54471"/>
    <w:rsid w:val="00E63B25"/>
    <w:rsid w:val="00E65102"/>
    <w:rsid w:val="00E65181"/>
    <w:rsid w:val="00E6551A"/>
    <w:rsid w:val="00E714A2"/>
    <w:rsid w:val="00E72AE9"/>
    <w:rsid w:val="00E73095"/>
    <w:rsid w:val="00E76F2F"/>
    <w:rsid w:val="00E92D0F"/>
    <w:rsid w:val="00E94E15"/>
    <w:rsid w:val="00EA3A77"/>
    <w:rsid w:val="00EB60B0"/>
    <w:rsid w:val="00ED5AA3"/>
    <w:rsid w:val="00ED7D18"/>
    <w:rsid w:val="00EE1551"/>
    <w:rsid w:val="00EE20F9"/>
    <w:rsid w:val="00F11925"/>
    <w:rsid w:val="00F128B4"/>
    <w:rsid w:val="00F179FE"/>
    <w:rsid w:val="00F32507"/>
    <w:rsid w:val="00F402C6"/>
    <w:rsid w:val="00F46798"/>
    <w:rsid w:val="00F52D6D"/>
    <w:rsid w:val="00F546FD"/>
    <w:rsid w:val="00F560FD"/>
    <w:rsid w:val="00F56DD3"/>
    <w:rsid w:val="00F60AFD"/>
    <w:rsid w:val="00F654FE"/>
    <w:rsid w:val="00FB2D4A"/>
    <w:rsid w:val="00FD0E0F"/>
    <w:rsid w:val="00FD1E22"/>
    <w:rsid w:val="00FE34B5"/>
    <w:rsid w:val="00FF037D"/>
    <w:rsid w:val="00FF2A79"/>
    <w:rsid w:val="06A0349B"/>
    <w:rsid w:val="0D8F744B"/>
    <w:rsid w:val="15323E58"/>
    <w:rsid w:val="19636986"/>
    <w:rsid w:val="1AFD46EE"/>
    <w:rsid w:val="20D41831"/>
    <w:rsid w:val="27B844E3"/>
    <w:rsid w:val="32C4213C"/>
    <w:rsid w:val="37C1228D"/>
    <w:rsid w:val="3E2F39B7"/>
    <w:rsid w:val="456F4189"/>
    <w:rsid w:val="510C366A"/>
    <w:rsid w:val="51263F5B"/>
    <w:rsid w:val="536270DB"/>
    <w:rsid w:val="59D83C91"/>
    <w:rsid w:val="5B1B2F8A"/>
    <w:rsid w:val="5C835609"/>
    <w:rsid w:val="5F6223DF"/>
    <w:rsid w:val="62B75D01"/>
    <w:rsid w:val="63753E69"/>
    <w:rsid w:val="6A5677B0"/>
    <w:rsid w:val="6ED43235"/>
    <w:rsid w:val="7A9136E9"/>
    <w:rsid w:val="7E370343"/>
    <w:rsid w:val="7EFB3F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80"/>
    </w:pPr>
    <w:rPr>
      <w:rFonts w:ascii="Tahoma" w:hAnsi="Tahoma" w:eastAsia="微软雅黑" w:cstheme="minorBidi"/>
      <w:sz w:val="22"/>
      <w:szCs w:val="22"/>
      <w:lang w:val="en-US" w:eastAsia="zh-CN" w:bidi="ar-SA"/>
    </w:rPr>
  </w:style>
  <w:style w:type="paragraph" w:styleId="3">
    <w:name w:val="heading 1"/>
    <w:basedOn w:val="1"/>
    <w:next w:val="1"/>
    <w:link w:val="25"/>
    <w:qFormat/>
    <w:uiPriority w:val="0"/>
    <w:pPr>
      <w:keepNext/>
      <w:keepLines/>
      <w:numPr>
        <w:ilvl w:val="0"/>
        <w:numId w:val="1"/>
      </w:numPr>
      <w:spacing w:before="50" w:beforeLines="50" w:after="50" w:afterLines="50" w:line="360" w:lineRule="auto"/>
      <w:outlineLvl w:val="0"/>
    </w:pPr>
    <w:rPr>
      <w:rFonts w:eastAsia="宋体"/>
      <w:b/>
      <w:kern w:val="44"/>
      <w:sz w:val="28"/>
    </w:rPr>
  </w:style>
  <w:style w:type="paragraph" w:styleId="4">
    <w:name w:val="heading 2"/>
    <w:basedOn w:val="1"/>
    <w:next w:val="1"/>
    <w:link w:val="26"/>
    <w:unhideWhenUsed/>
    <w:qFormat/>
    <w:uiPriority w:val="0"/>
    <w:pPr>
      <w:keepNext/>
      <w:keepLines/>
      <w:numPr>
        <w:ilvl w:val="1"/>
        <w:numId w:val="1"/>
      </w:numPr>
      <w:spacing w:before="50" w:beforeLines="50" w:after="50" w:afterLines="50"/>
      <w:outlineLvl w:val="1"/>
    </w:pPr>
    <w:rPr>
      <w:rFonts w:asciiTheme="majorHAnsi" w:hAnsiTheme="majorHAnsi" w:eastAsiaTheme="majorEastAsia" w:cstheme="majorBidi"/>
      <w:b/>
      <w:bCs/>
      <w:sz w:val="21"/>
      <w:szCs w:val="32"/>
    </w:rPr>
  </w:style>
  <w:style w:type="paragraph" w:styleId="5">
    <w:name w:val="heading 3"/>
    <w:basedOn w:val="1"/>
    <w:next w:val="1"/>
    <w:link w:val="27"/>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28"/>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0"/>
    <w:semiHidden/>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unhideWhenUsed/>
    <w:qFormat/>
    <w:uiPriority w:val="99"/>
    <w:pPr>
      <w:spacing w:after="120"/>
    </w:pPr>
  </w:style>
  <w:style w:type="paragraph" w:styleId="9">
    <w:name w:val="annotation text"/>
    <w:basedOn w:val="1"/>
    <w:link w:val="47"/>
    <w:semiHidden/>
    <w:unhideWhenUsed/>
    <w:qFormat/>
    <w:uiPriority w:val="99"/>
    <w:pPr>
      <w:widowControl w:val="0"/>
      <w:adjustRightInd/>
      <w:snapToGrid/>
      <w:spacing w:after="0"/>
    </w:pPr>
    <w:rPr>
      <w:rFonts w:ascii="Calibri" w:hAnsi="Calibri" w:eastAsia="宋体" w:cs="Times New Roman"/>
      <w:kern w:val="2"/>
      <w:sz w:val="21"/>
      <w:lang w:val="zh-CN"/>
    </w:rPr>
  </w:style>
  <w:style w:type="paragraph" w:styleId="10">
    <w:name w:val="toc 3"/>
    <w:basedOn w:val="1"/>
    <w:next w:val="1"/>
    <w:unhideWhenUsed/>
    <w:qFormat/>
    <w:uiPriority w:val="39"/>
    <w:pPr>
      <w:widowControl w:val="0"/>
      <w:adjustRightInd/>
      <w:snapToGrid/>
      <w:spacing w:after="0"/>
      <w:ind w:left="840" w:leftChars="400" w:firstLine="560" w:firstLineChars="200"/>
      <w:jc w:val="both"/>
    </w:pPr>
    <w:rPr>
      <w:rFonts w:ascii="Times New Roman" w:hAnsi="Times New Roman" w:eastAsia="仿宋_GB2312" w:cs="Times New Roman"/>
      <w:bCs/>
      <w:snapToGrid w:val="0"/>
      <w:sz w:val="28"/>
      <w:szCs w:val="30"/>
    </w:rPr>
  </w:style>
  <w:style w:type="paragraph" w:styleId="11">
    <w:name w:val="Plain Text"/>
    <w:basedOn w:val="1"/>
    <w:link w:val="72"/>
    <w:qFormat/>
    <w:uiPriority w:val="0"/>
    <w:pPr>
      <w:widowControl w:val="0"/>
      <w:adjustRightInd/>
      <w:snapToGrid/>
      <w:spacing w:after="0"/>
      <w:jc w:val="both"/>
    </w:pPr>
    <w:rPr>
      <w:rFonts w:ascii="宋体" w:hAnsi="Courier New" w:eastAsia="宋体" w:cs="Times New Roman"/>
      <w:kern w:val="2"/>
      <w:sz w:val="21"/>
      <w:szCs w:val="20"/>
    </w:rPr>
  </w:style>
  <w:style w:type="paragraph" w:styleId="12">
    <w:name w:val="Date"/>
    <w:basedOn w:val="1"/>
    <w:next w:val="1"/>
    <w:link w:val="53"/>
    <w:semiHidden/>
    <w:unhideWhenUsed/>
    <w:qFormat/>
    <w:uiPriority w:val="99"/>
    <w:pPr>
      <w:widowControl w:val="0"/>
      <w:adjustRightInd/>
      <w:snapToGrid/>
      <w:spacing w:after="0"/>
      <w:ind w:left="100" w:leftChars="2500" w:firstLine="560" w:firstLineChars="200"/>
      <w:jc w:val="both"/>
    </w:pPr>
    <w:rPr>
      <w:rFonts w:ascii="Times New Roman" w:hAnsi="Times New Roman" w:eastAsia="仿宋_GB2312" w:cs="Times New Roman"/>
      <w:bCs/>
      <w:snapToGrid w:val="0"/>
      <w:sz w:val="28"/>
      <w:szCs w:val="30"/>
      <w:lang w:val="zh-CN"/>
    </w:rPr>
  </w:style>
  <w:style w:type="paragraph" w:styleId="13">
    <w:name w:val="Balloon Text"/>
    <w:basedOn w:val="1"/>
    <w:link w:val="45"/>
    <w:semiHidden/>
    <w:unhideWhenUsed/>
    <w:qFormat/>
    <w:uiPriority w:val="99"/>
    <w:pPr>
      <w:widowControl w:val="0"/>
      <w:adjustRightInd/>
      <w:snapToGrid/>
      <w:spacing w:after="0"/>
      <w:ind w:firstLine="560" w:firstLineChars="200"/>
      <w:jc w:val="both"/>
    </w:pPr>
    <w:rPr>
      <w:rFonts w:ascii="Times New Roman" w:hAnsi="Times New Roman" w:eastAsia="仿宋_GB2312" w:cs="Times New Roman"/>
      <w:bCs/>
      <w:snapToGrid w:val="0"/>
      <w:sz w:val="18"/>
      <w:szCs w:val="18"/>
      <w:lang w:val="zh-CN"/>
    </w:rPr>
  </w:style>
  <w:style w:type="paragraph" w:styleId="14">
    <w:name w:val="footer"/>
    <w:basedOn w:val="1"/>
    <w:link w:val="37"/>
    <w:unhideWhenUsed/>
    <w:qFormat/>
    <w:uiPriority w:val="99"/>
    <w:pPr>
      <w:widowControl w:val="0"/>
      <w:tabs>
        <w:tab w:val="center" w:pos="4153"/>
        <w:tab w:val="right" w:pos="8306"/>
      </w:tabs>
      <w:adjustRightInd/>
      <w:spacing w:after="0"/>
      <w:ind w:firstLine="560" w:firstLineChars="200"/>
    </w:pPr>
    <w:rPr>
      <w:rFonts w:ascii="Calibri" w:hAnsi="Calibri" w:eastAsia="宋体" w:cs="Times New Roman"/>
      <w:sz w:val="18"/>
      <w:szCs w:val="18"/>
      <w:lang w:val="zh-CN"/>
    </w:rPr>
  </w:style>
  <w:style w:type="paragraph" w:styleId="15">
    <w:name w:val="header"/>
    <w:basedOn w:val="1"/>
    <w:link w:val="35"/>
    <w:unhideWhenUsed/>
    <w:qFormat/>
    <w:uiPriority w:val="99"/>
    <w:pPr>
      <w:widowControl w:val="0"/>
      <w:pBdr>
        <w:bottom w:val="single" w:color="auto" w:sz="6" w:space="1"/>
      </w:pBdr>
      <w:tabs>
        <w:tab w:val="center" w:pos="4153"/>
        <w:tab w:val="right" w:pos="8306"/>
      </w:tabs>
      <w:adjustRightInd/>
      <w:spacing w:after="0"/>
      <w:ind w:firstLine="560" w:firstLineChars="200"/>
      <w:jc w:val="center"/>
    </w:pPr>
    <w:rPr>
      <w:rFonts w:ascii="Calibri" w:hAnsi="Calibri" w:eastAsia="宋体" w:cs="Times New Roman"/>
      <w:sz w:val="18"/>
      <w:szCs w:val="18"/>
      <w:lang w:val="zh-CN"/>
    </w:rPr>
  </w:style>
  <w:style w:type="paragraph" w:styleId="16">
    <w:name w:val="Body Text Indent 3"/>
    <w:basedOn w:val="1"/>
    <w:link w:val="68"/>
    <w:semiHidden/>
    <w:unhideWhenUsed/>
    <w:qFormat/>
    <w:uiPriority w:val="99"/>
    <w:pPr>
      <w:spacing w:after="120"/>
      <w:ind w:left="420" w:leftChars="200"/>
    </w:pPr>
    <w:rPr>
      <w:sz w:val="16"/>
      <w:szCs w:val="16"/>
    </w:rPr>
  </w:style>
  <w:style w:type="paragraph" w:styleId="17">
    <w:name w:val="annotation subject"/>
    <w:basedOn w:val="9"/>
    <w:next w:val="9"/>
    <w:link w:val="54"/>
    <w:semiHidden/>
    <w:unhideWhenUsed/>
    <w:qFormat/>
    <w:uiPriority w:val="99"/>
    <w:pPr>
      <w:ind w:firstLine="560" w:firstLineChars="200"/>
    </w:pPr>
    <w:rPr>
      <w:rFonts w:ascii="Times New Roman" w:hAnsi="Times New Roman" w:eastAsia="仿宋_GB2312"/>
      <w:b/>
      <w:bCs/>
      <w:snapToGrid w:val="0"/>
      <w:kern w:val="0"/>
      <w:sz w:val="28"/>
      <w:szCs w:val="30"/>
      <w:lang w:val="en-US"/>
    </w:rPr>
  </w:style>
  <w:style w:type="table" w:styleId="19">
    <w:name w:val="Table Grid"/>
    <w:basedOn w:val="1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semiHidden/>
    <w:unhideWhenUsed/>
    <w:qFormat/>
    <w:uiPriority w:val="99"/>
    <w:rPr>
      <w:color w:val="954F72"/>
      <w:u w:val="single"/>
    </w:rPr>
  </w:style>
  <w:style w:type="character" w:styleId="23">
    <w:name w:val="Hyperlink"/>
    <w:unhideWhenUsed/>
    <w:qFormat/>
    <w:uiPriority w:val="99"/>
    <w:rPr>
      <w:color w:val="0563C1"/>
      <w:u w:val="single"/>
    </w:rPr>
  </w:style>
  <w:style w:type="character" w:styleId="24">
    <w:name w:val="annotation reference"/>
    <w:semiHidden/>
    <w:unhideWhenUsed/>
    <w:qFormat/>
    <w:uiPriority w:val="99"/>
    <w:rPr>
      <w:sz w:val="21"/>
      <w:szCs w:val="21"/>
    </w:rPr>
  </w:style>
  <w:style w:type="character" w:customStyle="1" w:styleId="25">
    <w:name w:val="标题 1 字符"/>
    <w:basedOn w:val="20"/>
    <w:link w:val="3"/>
    <w:qFormat/>
    <w:uiPriority w:val="0"/>
    <w:rPr>
      <w:rFonts w:ascii="Tahoma" w:hAnsi="Tahoma" w:eastAsia="宋体"/>
      <w:b/>
      <w:kern w:val="44"/>
      <w:sz w:val="28"/>
    </w:rPr>
  </w:style>
  <w:style w:type="character" w:customStyle="1" w:styleId="26">
    <w:name w:val="标题 2 字符"/>
    <w:basedOn w:val="20"/>
    <w:link w:val="4"/>
    <w:qFormat/>
    <w:uiPriority w:val="0"/>
    <w:rPr>
      <w:rFonts w:asciiTheme="majorHAnsi" w:hAnsiTheme="majorHAnsi" w:eastAsiaTheme="majorEastAsia" w:cstheme="majorBidi"/>
      <w:b/>
      <w:bCs/>
      <w:kern w:val="0"/>
      <w:szCs w:val="32"/>
    </w:rPr>
  </w:style>
  <w:style w:type="character" w:customStyle="1" w:styleId="27">
    <w:name w:val="标题 3 字符"/>
    <w:basedOn w:val="20"/>
    <w:link w:val="5"/>
    <w:qFormat/>
    <w:uiPriority w:val="9"/>
    <w:rPr>
      <w:rFonts w:ascii="Tahoma" w:hAnsi="Tahoma" w:eastAsia="微软雅黑"/>
      <w:b/>
      <w:bCs/>
      <w:kern w:val="0"/>
      <w:sz w:val="32"/>
      <w:szCs w:val="32"/>
    </w:rPr>
  </w:style>
  <w:style w:type="character" w:customStyle="1" w:styleId="28">
    <w:name w:val="标题 4 字符"/>
    <w:basedOn w:val="20"/>
    <w:link w:val="6"/>
    <w:qFormat/>
    <w:uiPriority w:val="9"/>
    <w:rPr>
      <w:rFonts w:asciiTheme="majorHAnsi" w:hAnsiTheme="majorHAnsi" w:eastAsiaTheme="majorEastAsia" w:cstheme="majorBidi"/>
      <w:b/>
      <w:bCs/>
      <w:kern w:val="0"/>
      <w:sz w:val="28"/>
      <w:szCs w:val="28"/>
    </w:rPr>
  </w:style>
  <w:style w:type="character" w:customStyle="1" w:styleId="29">
    <w:name w:val="正文文本 字符"/>
    <w:basedOn w:val="20"/>
    <w:link w:val="2"/>
    <w:qFormat/>
    <w:uiPriority w:val="99"/>
    <w:rPr>
      <w:rFonts w:ascii="Tahoma" w:hAnsi="Tahoma" w:eastAsia="微软雅黑"/>
      <w:kern w:val="0"/>
      <w:sz w:val="22"/>
    </w:rPr>
  </w:style>
  <w:style w:type="paragraph" w:styleId="30">
    <w:name w:val="List Paragraph"/>
    <w:basedOn w:val="1"/>
    <w:qFormat/>
    <w:uiPriority w:val="34"/>
    <w:pPr>
      <w:ind w:firstLine="420" w:firstLineChars="200"/>
    </w:pPr>
  </w:style>
  <w:style w:type="character" w:customStyle="1" w:styleId="31">
    <w:name w:val="标题 1 Char"/>
    <w:qFormat/>
    <w:uiPriority w:val="0"/>
    <w:rPr>
      <w:rFonts w:ascii="黑体" w:hAnsi="宋体" w:eastAsia="黑体" w:cs="宋体"/>
      <w:bCs/>
      <w:snapToGrid w:val="0"/>
      <w:color w:val="000000"/>
      <w:spacing w:val="15"/>
      <w:sz w:val="30"/>
      <w:szCs w:val="30"/>
    </w:rPr>
  </w:style>
  <w:style w:type="character" w:customStyle="1" w:styleId="32">
    <w:name w:val="标题 3 Char"/>
    <w:qFormat/>
    <w:uiPriority w:val="9"/>
    <w:rPr>
      <w:rFonts w:ascii="Times New Roman" w:hAnsi="Times New Roman" w:eastAsia="黑体"/>
      <w:bCs/>
      <w:snapToGrid w:val="0"/>
      <w:sz w:val="28"/>
      <w:szCs w:val="32"/>
      <w:lang w:val="zh-CN" w:eastAsia="zh-CN"/>
    </w:rPr>
  </w:style>
  <w:style w:type="character" w:customStyle="1" w:styleId="33">
    <w:name w:val="标题 2 Char"/>
    <w:qFormat/>
    <w:uiPriority w:val="0"/>
    <w:rPr>
      <w:rFonts w:ascii="黑体" w:hAnsi="宋体" w:eastAsia="黑体"/>
      <w:bCs/>
      <w:snapToGrid w:val="0"/>
      <w:color w:val="000000"/>
      <w:spacing w:val="15"/>
      <w:sz w:val="30"/>
      <w:szCs w:val="30"/>
      <w:lang w:val="zh-CN" w:eastAsia="zh-CN"/>
    </w:rPr>
  </w:style>
  <w:style w:type="character" w:customStyle="1" w:styleId="34">
    <w:name w:val="页眉 字符"/>
    <w:basedOn w:val="20"/>
    <w:semiHidden/>
    <w:qFormat/>
    <w:uiPriority w:val="99"/>
    <w:rPr>
      <w:rFonts w:ascii="Tahoma" w:hAnsi="Tahoma" w:eastAsia="微软雅黑"/>
      <w:kern w:val="0"/>
      <w:sz w:val="18"/>
      <w:szCs w:val="18"/>
    </w:rPr>
  </w:style>
  <w:style w:type="character" w:customStyle="1" w:styleId="35">
    <w:name w:val="页眉 字符1"/>
    <w:link w:val="15"/>
    <w:qFormat/>
    <w:uiPriority w:val="99"/>
    <w:rPr>
      <w:rFonts w:ascii="Calibri" w:hAnsi="Calibri" w:eastAsia="宋体" w:cs="Times New Roman"/>
      <w:kern w:val="0"/>
      <w:sz w:val="18"/>
      <w:szCs w:val="18"/>
      <w:lang w:val="zh-CN" w:eastAsia="zh-CN"/>
    </w:rPr>
  </w:style>
  <w:style w:type="character" w:customStyle="1" w:styleId="36">
    <w:name w:val="页脚 字符"/>
    <w:basedOn w:val="20"/>
    <w:qFormat/>
    <w:uiPriority w:val="99"/>
    <w:rPr>
      <w:rFonts w:ascii="Tahoma" w:hAnsi="Tahoma" w:eastAsia="微软雅黑"/>
      <w:kern w:val="0"/>
      <w:sz w:val="18"/>
      <w:szCs w:val="18"/>
    </w:rPr>
  </w:style>
  <w:style w:type="character" w:customStyle="1" w:styleId="37">
    <w:name w:val="页脚 字符1"/>
    <w:link w:val="14"/>
    <w:qFormat/>
    <w:uiPriority w:val="99"/>
    <w:rPr>
      <w:rFonts w:ascii="Calibri" w:hAnsi="Calibri" w:eastAsia="宋体" w:cs="Times New Roman"/>
      <w:kern w:val="0"/>
      <w:sz w:val="18"/>
      <w:szCs w:val="18"/>
      <w:lang w:val="zh-CN" w:eastAsia="zh-CN"/>
    </w:rPr>
  </w:style>
  <w:style w:type="paragraph" w:customStyle="1" w:styleId="38">
    <w:name w:val="GW-标题4"/>
    <w:basedOn w:val="1"/>
    <w:qFormat/>
    <w:uiPriority w:val="0"/>
    <w:pPr>
      <w:tabs>
        <w:tab w:val="left" w:pos="8286"/>
      </w:tabs>
      <w:adjustRightInd/>
      <w:snapToGrid/>
      <w:spacing w:after="0" w:line="600" w:lineRule="exact"/>
      <w:ind w:firstLine="340"/>
      <w:outlineLvl w:val="3"/>
    </w:pPr>
    <w:rPr>
      <w:rFonts w:ascii="黑体" w:hAnsi="宋体" w:eastAsia="黑体" w:cs="宋体"/>
      <w:bCs/>
      <w:snapToGrid w:val="0"/>
      <w:color w:val="000000"/>
      <w:spacing w:val="15"/>
      <w:sz w:val="30"/>
      <w:szCs w:val="30"/>
    </w:rPr>
  </w:style>
  <w:style w:type="paragraph" w:customStyle="1" w:styleId="39">
    <w:name w:val="GW-标题5"/>
    <w:basedOn w:val="38"/>
    <w:qFormat/>
    <w:uiPriority w:val="0"/>
    <w:pPr>
      <w:ind w:firstLine="454"/>
      <w:outlineLvl w:val="4"/>
    </w:pPr>
    <w:rPr>
      <w:sz w:val="28"/>
    </w:rPr>
  </w:style>
  <w:style w:type="paragraph" w:customStyle="1" w:styleId="40">
    <w:name w:val="GW-标题6"/>
    <w:basedOn w:val="39"/>
    <w:qFormat/>
    <w:uiPriority w:val="0"/>
    <w:pPr>
      <w:ind w:firstLine="0"/>
      <w:outlineLvl w:val="5"/>
    </w:pPr>
    <w:rPr>
      <w:sz w:val="24"/>
    </w:rPr>
  </w:style>
  <w:style w:type="paragraph" w:customStyle="1" w:styleId="41">
    <w:name w:val="GW-标题7"/>
    <w:basedOn w:val="40"/>
    <w:qFormat/>
    <w:uiPriority w:val="0"/>
    <w:pPr>
      <w:numPr>
        <w:ilvl w:val="6"/>
        <w:numId w:val="2"/>
      </w:numPr>
      <w:ind w:left="0" w:firstLine="0"/>
      <w:outlineLvl w:val="6"/>
    </w:pPr>
    <w:rPr>
      <w:sz w:val="21"/>
    </w:rPr>
  </w:style>
  <w:style w:type="paragraph" w:customStyle="1" w:styleId="42">
    <w:name w:val="TOC 标题1"/>
    <w:basedOn w:val="3"/>
    <w:next w:val="1"/>
    <w:unhideWhenUsed/>
    <w:qFormat/>
    <w:uiPriority w:val="39"/>
    <w:pPr>
      <w:numPr>
        <w:numId w:val="0"/>
      </w:numPr>
      <w:adjustRightInd/>
      <w:snapToGrid/>
      <w:spacing w:before="240" w:after="0" w:line="259" w:lineRule="auto"/>
      <w:jc w:val="center"/>
      <w:outlineLvl w:val="9"/>
    </w:pPr>
    <w:rPr>
      <w:rFonts w:ascii="Calibri Light" w:hAnsi="Calibri Light" w:cs="Times New Roman"/>
      <w:b w:val="0"/>
      <w:color w:val="2E74B5"/>
      <w:kern w:val="0"/>
      <w:sz w:val="32"/>
      <w:szCs w:val="32"/>
      <w:lang w:val="zh-CN"/>
    </w:rPr>
  </w:style>
  <w:style w:type="paragraph" w:customStyle="1" w:styleId="43">
    <w:name w:val="_Style 31"/>
    <w:basedOn w:val="1"/>
    <w:next w:val="30"/>
    <w:qFormat/>
    <w:uiPriority w:val="34"/>
    <w:pPr>
      <w:widowControl w:val="0"/>
      <w:adjustRightInd/>
      <w:snapToGrid/>
      <w:spacing w:after="0"/>
      <w:ind w:firstLine="420" w:firstLineChars="200"/>
      <w:jc w:val="both"/>
    </w:pPr>
    <w:rPr>
      <w:rFonts w:ascii="Times New Roman" w:hAnsi="Times New Roman" w:eastAsia="仿宋_GB2312" w:cs="Times New Roman"/>
      <w:bCs/>
      <w:snapToGrid w:val="0"/>
      <w:sz w:val="28"/>
      <w:szCs w:val="30"/>
    </w:rPr>
  </w:style>
  <w:style w:type="character" w:customStyle="1" w:styleId="44">
    <w:name w:val="批注框文本 字符"/>
    <w:basedOn w:val="20"/>
    <w:semiHidden/>
    <w:qFormat/>
    <w:uiPriority w:val="99"/>
    <w:rPr>
      <w:rFonts w:ascii="Tahoma" w:hAnsi="Tahoma" w:eastAsia="微软雅黑"/>
      <w:kern w:val="0"/>
      <w:sz w:val="18"/>
      <w:szCs w:val="18"/>
    </w:rPr>
  </w:style>
  <w:style w:type="character" w:customStyle="1" w:styleId="45">
    <w:name w:val="批注框文本 字符1"/>
    <w:link w:val="13"/>
    <w:semiHidden/>
    <w:qFormat/>
    <w:uiPriority w:val="99"/>
    <w:rPr>
      <w:rFonts w:ascii="Times New Roman" w:hAnsi="Times New Roman" w:eastAsia="仿宋_GB2312" w:cs="Times New Roman"/>
      <w:bCs/>
      <w:snapToGrid w:val="0"/>
      <w:kern w:val="0"/>
      <w:sz w:val="18"/>
      <w:szCs w:val="18"/>
      <w:lang w:val="zh-CN" w:eastAsia="zh-CN"/>
    </w:rPr>
  </w:style>
  <w:style w:type="character" w:customStyle="1" w:styleId="46">
    <w:name w:val="批注文字 字符"/>
    <w:basedOn w:val="20"/>
    <w:semiHidden/>
    <w:qFormat/>
    <w:uiPriority w:val="99"/>
    <w:rPr>
      <w:rFonts w:ascii="Tahoma" w:hAnsi="Tahoma" w:eastAsia="微软雅黑"/>
      <w:kern w:val="0"/>
      <w:sz w:val="22"/>
    </w:rPr>
  </w:style>
  <w:style w:type="character" w:customStyle="1" w:styleId="47">
    <w:name w:val="批注文字 字符1"/>
    <w:link w:val="9"/>
    <w:semiHidden/>
    <w:qFormat/>
    <w:uiPriority w:val="99"/>
    <w:rPr>
      <w:rFonts w:ascii="Calibri" w:hAnsi="Calibri" w:eastAsia="宋体" w:cs="Times New Roman"/>
      <w:lang w:val="zh-CN" w:eastAsia="zh-CN"/>
    </w:rPr>
  </w:style>
  <w:style w:type="paragraph" w:customStyle="1" w:styleId="48">
    <w:name w:val="Char Char Char Char Char 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49">
    <w:name w:val="注："/>
    <w:next w:val="1"/>
    <w:qFormat/>
    <w:uiPriority w:val="0"/>
    <w:pPr>
      <w:widowControl w:val="0"/>
      <w:autoSpaceDE w:val="0"/>
      <w:autoSpaceDN w:val="0"/>
      <w:spacing w:after="80"/>
      <w:ind w:left="840" w:hanging="420"/>
      <w:jc w:val="both"/>
    </w:pPr>
    <w:rPr>
      <w:rFonts w:ascii="宋体" w:hAnsi="Times New Roman" w:eastAsia="宋体" w:cs="Times New Roman"/>
      <w:sz w:val="18"/>
      <w:lang w:val="en-US" w:eastAsia="zh-CN" w:bidi="ar-SA"/>
    </w:rPr>
  </w:style>
  <w:style w:type="paragraph" w:customStyle="1" w:styleId="50">
    <w:name w:val="段"/>
    <w:qFormat/>
    <w:uiPriority w:val="0"/>
    <w:pPr>
      <w:autoSpaceDE w:val="0"/>
      <w:autoSpaceDN w:val="0"/>
      <w:spacing w:after="80"/>
      <w:ind w:firstLine="200" w:firstLineChars="200"/>
      <w:jc w:val="both"/>
    </w:pPr>
    <w:rPr>
      <w:rFonts w:ascii="宋体" w:hAnsi="Times New Roman" w:eastAsia="宋体" w:cs="Times New Roman"/>
      <w:sz w:val="21"/>
      <w:lang w:val="en-US" w:eastAsia="zh-CN" w:bidi="ar-SA"/>
    </w:rPr>
  </w:style>
  <w:style w:type="paragraph" w:customStyle="1" w:styleId="51">
    <w:name w:val="附录表标题"/>
    <w:next w:val="50"/>
    <w:qFormat/>
    <w:uiPriority w:val="0"/>
    <w:pPr>
      <w:numPr>
        <w:ilvl w:val="0"/>
        <w:numId w:val="3"/>
      </w:numPr>
      <w:spacing w:after="80"/>
      <w:jc w:val="center"/>
      <w:textAlignment w:val="baseline"/>
    </w:pPr>
    <w:rPr>
      <w:rFonts w:ascii="黑体" w:hAnsi="Times New Roman" w:eastAsia="黑体" w:cs="Times New Roman"/>
      <w:kern w:val="21"/>
      <w:sz w:val="21"/>
      <w:lang w:val="en-US" w:eastAsia="zh-CN" w:bidi="ar-SA"/>
    </w:rPr>
  </w:style>
  <w:style w:type="paragraph" w:customStyle="1" w:styleId="52">
    <w:name w:val="Char"/>
    <w:basedOn w:val="1"/>
    <w:qFormat/>
    <w:uiPriority w:val="0"/>
    <w:pPr>
      <w:adjustRightInd/>
      <w:snapToGrid/>
      <w:spacing w:after="160" w:line="240" w:lineRule="exact"/>
    </w:pPr>
    <w:rPr>
      <w:rFonts w:ascii="宋体" w:hAnsi="宋体" w:eastAsia="宋体" w:cs="Times New Roman"/>
      <w:sz w:val="21"/>
      <w:szCs w:val="21"/>
      <w:lang w:eastAsia="en-US"/>
    </w:rPr>
  </w:style>
  <w:style w:type="character" w:customStyle="1" w:styleId="53">
    <w:name w:val="日期 字符"/>
    <w:basedOn w:val="20"/>
    <w:link w:val="12"/>
    <w:semiHidden/>
    <w:qFormat/>
    <w:uiPriority w:val="99"/>
    <w:rPr>
      <w:rFonts w:ascii="Times New Roman" w:hAnsi="Times New Roman" w:eastAsia="仿宋_GB2312" w:cs="Times New Roman"/>
      <w:bCs/>
      <w:snapToGrid w:val="0"/>
      <w:kern w:val="0"/>
      <w:sz w:val="28"/>
      <w:szCs w:val="30"/>
      <w:lang w:val="zh-CN" w:eastAsia="zh-CN"/>
    </w:rPr>
  </w:style>
  <w:style w:type="character" w:customStyle="1" w:styleId="54">
    <w:name w:val="批注主题 字符"/>
    <w:basedOn w:val="46"/>
    <w:link w:val="17"/>
    <w:semiHidden/>
    <w:qFormat/>
    <w:uiPriority w:val="99"/>
    <w:rPr>
      <w:rFonts w:ascii="Times New Roman" w:hAnsi="Times New Roman" w:eastAsia="仿宋_GB2312" w:cs="Times New Roman"/>
      <w:b/>
      <w:bCs/>
      <w:snapToGrid w:val="0"/>
      <w:kern w:val="0"/>
      <w:sz w:val="28"/>
      <w:szCs w:val="30"/>
    </w:rPr>
  </w:style>
  <w:style w:type="paragraph" w:customStyle="1" w:styleId="55">
    <w:name w:val="修订1"/>
    <w:hidden/>
    <w:semiHidden/>
    <w:qFormat/>
    <w:uiPriority w:val="99"/>
    <w:pPr>
      <w:spacing w:after="80"/>
    </w:pPr>
    <w:rPr>
      <w:rFonts w:ascii="Times New Roman" w:hAnsi="Times New Roman" w:eastAsia="仿宋_GB2312" w:cs="Times New Roman"/>
      <w:bCs/>
      <w:snapToGrid w:val="0"/>
      <w:sz w:val="28"/>
      <w:szCs w:val="30"/>
      <w:lang w:val="en-US" w:eastAsia="zh-CN" w:bidi="ar-SA"/>
    </w:rPr>
  </w:style>
  <w:style w:type="paragraph" w:customStyle="1" w:styleId="56">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7">
    <w:name w:val="xl6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sz w:val="20"/>
      <w:szCs w:val="20"/>
    </w:rPr>
  </w:style>
  <w:style w:type="paragraph" w:customStyle="1" w:styleId="58">
    <w:name w:val="xl6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sz w:val="20"/>
      <w:szCs w:val="20"/>
    </w:rPr>
  </w:style>
  <w:style w:type="paragraph" w:customStyle="1" w:styleId="59">
    <w:name w:val="xl65"/>
    <w:basedOn w:val="1"/>
    <w:qFormat/>
    <w:uiPriority w:val="0"/>
    <w:pPr>
      <w:adjustRightInd/>
      <w:snapToGrid/>
      <w:spacing w:before="100" w:beforeAutospacing="1" w:after="100" w:afterAutospacing="1"/>
    </w:pPr>
    <w:rPr>
      <w:rFonts w:ascii="宋体" w:hAnsi="宋体" w:eastAsia="宋体" w:cs="宋体"/>
      <w:sz w:val="20"/>
      <w:szCs w:val="20"/>
    </w:rPr>
  </w:style>
  <w:style w:type="character" w:customStyle="1" w:styleId="60">
    <w:name w:val="标题 5 字符"/>
    <w:basedOn w:val="20"/>
    <w:link w:val="7"/>
    <w:semiHidden/>
    <w:qFormat/>
    <w:uiPriority w:val="9"/>
    <w:rPr>
      <w:rFonts w:ascii="Tahoma" w:hAnsi="Tahoma" w:eastAsia="微软雅黑"/>
      <w:b/>
      <w:bCs/>
      <w:kern w:val="0"/>
      <w:sz w:val="28"/>
      <w:szCs w:val="28"/>
    </w:rPr>
  </w:style>
  <w:style w:type="character" w:customStyle="1" w:styleId="61">
    <w:name w:val="正文缩进2格 Char"/>
    <w:link w:val="62"/>
    <w:qFormat/>
    <w:uiPriority w:val="0"/>
    <w:rPr>
      <w:rFonts w:ascii="仿宋_GB2312" w:hAnsi="宋体" w:eastAsia="仿宋_GB2312"/>
      <w:sz w:val="31"/>
    </w:rPr>
  </w:style>
  <w:style w:type="paragraph" w:customStyle="1" w:styleId="62">
    <w:name w:val="正文缩进2格"/>
    <w:basedOn w:val="1"/>
    <w:link w:val="61"/>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character" w:customStyle="1" w:styleId="63">
    <w:name w:val="标题 6 字符"/>
    <w:basedOn w:val="20"/>
    <w:link w:val="8"/>
    <w:qFormat/>
    <w:uiPriority w:val="9"/>
    <w:rPr>
      <w:rFonts w:asciiTheme="majorHAnsi" w:hAnsiTheme="majorHAnsi" w:eastAsiaTheme="majorEastAsia" w:cstheme="majorBidi"/>
      <w:b/>
      <w:bCs/>
      <w:kern w:val="0"/>
      <w:sz w:val="24"/>
      <w:szCs w:val="24"/>
    </w:rPr>
  </w:style>
  <w:style w:type="paragraph" w:customStyle="1" w:styleId="64">
    <w:name w:val="表格内的red dot"/>
    <w:qFormat/>
    <w:uiPriority w:val="99"/>
    <w:pPr>
      <w:numPr>
        <w:ilvl w:val="0"/>
        <w:numId w:val="4"/>
      </w:numPr>
      <w:tabs>
        <w:tab w:val="left" w:pos="420"/>
      </w:tabs>
      <w:spacing w:line="288" w:lineRule="auto"/>
    </w:pPr>
    <w:rPr>
      <w:rFonts w:ascii="Calibri" w:hAnsi="Calibri" w:eastAsia="新宋体" w:cs="Times New Roman"/>
      <w:kern w:val="2"/>
      <w:sz w:val="21"/>
      <w:szCs w:val="21"/>
      <w:lang w:val="en-US" w:eastAsia="zh-CN" w:bidi="ar-SA"/>
    </w:rPr>
  </w:style>
  <w:style w:type="paragraph" w:customStyle="1" w:styleId="65">
    <w:name w:val="Revision"/>
    <w:hidden/>
    <w:unhideWhenUsed/>
    <w:qFormat/>
    <w:uiPriority w:val="99"/>
    <w:rPr>
      <w:rFonts w:ascii="Tahoma" w:hAnsi="Tahoma" w:eastAsia="微软雅黑" w:cstheme="minorBidi"/>
      <w:sz w:val="22"/>
      <w:szCs w:val="22"/>
      <w:lang w:val="en-US" w:eastAsia="zh-CN" w:bidi="ar-SA"/>
    </w:rPr>
  </w:style>
  <w:style w:type="paragraph" w:customStyle="1" w:styleId="66">
    <w:name w:val="样式 标题 2 + 宋体 段前: 0.5 行 段后: 0.5 行 行距: 多倍行距 1.15 字行"/>
    <w:basedOn w:val="4"/>
    <w:qFormat/>
    <w:uiPriority w:val="0"/>
    <w:pPr>
      <w:spacing w:line="276" w:lineRule="auto"/>
    </w:pPr>
    <w:rPr>
      <w:rFonts w:ascii="宋体" w:hAnsi="宋体" w:eastAsia="宋体" w:cs="宋体"/>
      <w:szCs w:val="20"/>
    </w:rPr>
  </w:style>
  <w:style w:type="paragraph" w:customStyle="1" w:styleId="67">
    <w:name w:val="样式 标题 2 + 段前: 0.5 行 段后: 0.5 行 行距: 多倍行距 1.15 字行"/>
    <w:basedOn w:val="4"/>
    <w:qFormat/>
    <w:uiPriority w:val="0"/>
    <w:pPr>
      <w:spacing w:line="276" w:lineRule="auto"/>
      <w:ind w:left="0"/>
    </w:pPr>
    <w:rPr>
      <w:rFonts w:cs="宋体"/>
      <w:szCs w:val="20"/>
    </w:rPr>
  </w:style>
  <w:style w:type="character" w:customStyle="1" w:styleId="68">
    <w:name w:val="正文文本缩进 3 字符"/>
    <w:basedOn w:val="20"/>
    <w:link w:val="16"/>
    <w:semiHidden/>
    <w:qFormat/>
    <w:uiPriority w:val="99"/>
    <w:rPr>
      <w:rFonts w:ascii="Tahoma" w:hAnsi="Tahoma" w:eastAsia="微软雅黑" w:cstheme="minorBidi"/>
      <w:sz w:val="16"/>
      <w:szCs w:val="16"/>
    </w:rPr>
  </w:style>
  <w:style w:type="table" w:customStyle="1" w:styleId="69">
    <w:name w:val="网格型3"/>
    <w:basedOn w:val="1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0">
    <w:name w:val="No Spacing"/>
    <w:link w:val="71"/>
    <w:qFormat/>
    <w:uiPriority w:val="1"/>
    <w:rPr>
      <w:rFonts w:asciiTheme="minorHAnsi" w:hAnsiTheme="minorHAnsi" w:eastAsiaTheme="minorEastAsia" w:cstheme="minorBidi"/>
      <w:sz w:val="22"/>
      <w:szCs w:val="22"/>
      <w:lang w:val="en-US" w:eastAsia="zh-CN" w:bidi="ar-SA"/>
    </w:rPr>
  </w:style>
  <w:style w:type="character" w:customStyle="1" w:styleId="71">
    <w:name w:val="无间隔 字符"/>
    <w:basedOn w:val="20"/>
    <w:link w:val="70"/>
    <w:qFormat/>
    <w:uiPriority w:val="1"/>
    <w:rPr>
      <w:rFonts w:asciiTheme="minorHAnsi" w:hAnsiTheme="minorHAnsi" w:eastAsiaTheme="minorEastAsia" w:cstheme="minorBidi"/>
      <w:sz w:val="22"/>
      <w:szCs w:val="22"/>
    </w:rPr>
  </w:style>
  <w:style w:type="character" w:customStyle="1" w:styleId="72">
    <w:name w:val="纯文本 字符"/>
    <w:basedOn w:val="20"/>
    <w:link w:val="11"/>
    <w:qFormat/>
    <w:uiPriority w:val="0"/>
    <w:rPr>
      <w:rFonts w:ascii="宋体" w:hAnsi="Courier New"/>
      <w:kern w:val="2"/>
      <w:sz w:val="21"/>
    </w:rPr>
  </w:style>
  <w:style w:type="paragraph" w:customStyle="1" w:styleId="73">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b7d838d7-a983-4814-b0e2-2da467a06020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1066BB52</paraID>
      <start>0</start>
      <end>2</end>
      <status>unmodified</status>
      <modifiedWord/>
      <trackRevisions>false</trackRevisions>
    </reviewItem>
    <reviewItem>
      <errorID>88853539-fb12-4c85-b134-ba4f2d94c9d7</errorID>
      <errorWord>盘完</errorWord>
      <group>L1_Word</group>
      <groupName>字词问题</groupName>
      <ability>L2_Typo</ability>
      <abilityName>字词错误</abilityName>
      <candidateList>
        <item>盘点</item>
      </candidateList>
      <explain/>
      <paraID>16EE54C5</paraID>
      <start>35</start>
      <end>37</end>
      <status>unmodified</status>
      <modifiedWord/>
      <trackRevisions>false</trackRevisions>
    </reviewItem>
    <reviewItem>
      <errorID>8e4ece10-2846-45c9-8cee-9355cf8ed636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7D1B8415</paraID>
      <start>0</start>
      <end>2</end>
      <status>unmodified</status>
      <modifiedWord/>
      <trackRevisions>false</trackRevisions>
    </reviewItem>
    <reviewItem>
      <errorID>4fb3b728-a94b-40fc-9e1c-62eb37558aa1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5D884743</paraID>
      <start>0</start>
      <end>2</end>
      <status>unmodified</status>
      <modifiedWord/>
      <trackRevisions>false</trackRevisions>
    </reviewItem>
    <reviewItem>
      <errorID>7417157d-853c-4b9c-9a22-df9044f8385d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16E1DFC9</paraID>
      <start>0</start>
      <end>2</end>
      <status>unmodified</status>
      <modifiedWord/>
      <trackRevisions>false</trackRevisions>
    </reviewItem>
    <reviewItem>
      <errorID>22c3716f-0bf1-45dd-a8aa-8c426890c353</errorID>
      <errorWord>家</errorWord>
      <group>L1_Word</group>
      <groupName>字词问题</groupName>
      <ability>L2_Typo</ability>
      <abilityName>字词错误</abilityName>
      <candidateList>
        <item>家和</item>
      </candidateList>
      <explain/>
      <paraID> B87EB43</paraID>
      <start>37</start>
      <end>38</end>
      <status>unmodified</status>
      <modifiedWord/>
      <trackRevisions>false</trackRevisions>
    </reviewItem>
    <reviewItem>
      <errorID>680c9049-b669-4ae8-9963-6334878b5fd8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1647C995</paraID>
      <start>0</start>
      <end>2</end>
      <status>unmodified</status>
      <modifiedWord/>
      <trackRevisions>false</trackRevisions>
    </reviewItem>
    <reviewItem>
      <errorID>77fb08e5-9923-4d32-b6d2-eaea0abc03c5</errorID>
      <errorWord>）</errorWord>
      <group>L1_Word</group>
      <groupName>字词问题</groupName>
      <ability>L2_Typo</ability>
      <abilityName>字词错误</abilityName>
      <candidateList>
        <item>）在</item>
      </candidateList>
      <explain/>
      <paraID>200C0276</paraID>
      <start>2</start>
      <end>3</end>
      <status>unmodified</status>
      <modifiedWord/>
      <trackRevisions>false</trackRevisions>
    </reviewItem>
    <reviewItem>
      <errorID>b6e654eb-fbe6-4788-820e-5dd58f380b14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CB2719C</paraID>
      <start>0</start>
      <end>2</end>
      <status>unmodified</status>
      <modifiedWord/>
      <trackRevisions>false</trackRevisions>
    </reviewItem>
    <reviewItem>
      <errorID>1b01c75c-1511-43c2-8242-0374998681a0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23A6C161</paraID>
      <start>29</start>
      <end>30</end>
      <status>unmodified</status>
      <modifiedWord/>
      <trackRevisions>false</trackRevisions>
    </reviewItem>
    <reviewItem>
      <errorID>e113451e-27fa-4b3b-a03c-6479b61f3f0f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71B0B0B1</paraID>
      <start>0</start>
      <end>2</end>
      <status>unmodified</status>
      <modifiedWord/>
      <trackRevisions>false</trackRevisions>
    </reviewItem>
    <reviewItem>
      <errorID>aa178f1d-920c-4909-892a-7401c28ce988</errorID>
      <errorWord>图</errorWord>
      <group>L1_Word</group>
      <groupName>字词问题</groupName>
      <ability>L2_Typo</ability>
      <abilityName>字词错误</abilityName>
      <candidateList>
        <item>图所</item>
      </candidateList>
      <explain/>
      <paraID>22776772</paraID>
      <start>38</start>
      <end>39</end>
      <status>unmodified</status>
      <modifiedWord/>
      <trackRevisions>false</trackRevisions>
    </reviewItem>
    <reviewItem>
      <errorID>5bad75d3-c855-4c11-844f-5e1596f0b1bb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721970E0</paraID>
      <start>0</start>
      <end>2</end>
      <status>unmodified</status>
      <modifiedWord/>
      <trackRevisions>false</trackRevisions>
    </reviewItem>
    <reviewItem>
      <errorID>17b9ebbb-0c1d-4e38-9c84-b976b5d914ec</errorID>
      <errorWord>模块模块</errorWord>
      <group>L1_Word</group>
      <groupName>字词问题</groupName>
      <ability>L2_Typo</ability>
      <abilityName>字词错误</abilityName>
      <candidateList>
        <item>模块</item>
      </candidateList>
      <explain/>
      <paraID>4F797C53</paraID>
      <start>0</start>
      <end>4</end>
      <status>unmodified</status>
      <modifiedWord/>
      <trackRevisions>false</trackRevisions>
    </reviewItem>
    <reviewItem>
      <errorID>2152929f-83f0-4cd5-845e-74046a825128</errorID>
      <errorWord>以便可</errorWord>
      <group>L1_Word</group>
      <groupName>字词问题</groupName>
      <ability>L2_Typo</ability>
      <abilityName>字词错误</abilityName>
      <candidateList>
        <item>以便</item>
      </candidateList>
      <explain>〈连〉用在下半句话的开头，表示使下文所说的目的容易实现：请在信封上写清邮政编码，～迅速投递。</explain>
      <paraID>58758D2D</paraID>
      <start>210</start>
      <end>213</end>
      <status>unmodified</status>
      <modifiedWord/>
      <trackRevisions>false</trackRevisions>
    </reviewItem>
    <reviewItem>
      <errorID>fe44af25-8f65-479d-9823-e1a9a4a32c5d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39AC73DE</paraID>
      <start>0</start>
      <end>2</end>
      <status>unmodified</status>
      <modifiedWord/>
      <trackRevisions>false</trackRevisions>
    </reviewItem>
    <reviewItem>
      <errorID>202540c1-4b73-43cb-8e23-868b67dd6adf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27AACB</paraID>
      <start>0</start>
      <end>2</end>
      <status>unmodified</status>
      <modifiedWord/>
      <trackRevisions>false</trackRevisions>
    </reviewItem>
    <reviewItem>
      <errorID>b5e7a243-4568-4b13-bcfa-40be550628ab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6EF92D7D</paraID>
      <start>0</start>
      <end>2</end>
      <status>unmodified</status>
      <modifiedWord/>
      <trackRevisions>false</trackRevisions>
    </reviewItem>
    <reviewItem>
      <errorID>a2729fb1-9c7b-4647-9837-6e1694dfaf87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13567A18</paraID>
      <start>0</start>
      <end>2</end>
      <status>unmodified</status>
      <modifiedWord/>
      <trackRevisions>false</trackRevisions>
    </reviewItem>
    <reviewItem>
      <errorID>65741041-dee6-4fa4-9fdc-2ff14ef8a320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7796A8AE</paraID>
      <start>0</start>
      <end>2</end>
      <status>unmodified</status>
      <modifiedWord/>
      <trackRevisions>false</trackRevisions>
    </reviewItem>
    <reviewItem>
      <errorID>f7e1fc5d-9703-4111-9c01-5d136ca2c214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69D223BA</paraID>
      <start>0</start>
      <end>2</end>
      <status>unmodified</status>
      <modifiedWord/>
      <trackRevisions>false</trackRevisions>
    </reviewItem>
    <reviewItem>
      <errorID>7908fda8-d994-43cf-acaf-ea8e931a63db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3DB194FA</paraID>
      <start>0</start>
      <end>2</end>
      <status>unmodified</status>
      <modifiedWord/>
      <trackRevisions>false</trackRevisions>
    </reviewItem>
    <reviewItem>
      <errorID>31851149-b260-4d1c-b878-66c75b1fc0a3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60ACFEB4</paraID>
      <start>0</start>
      <end>2</end>
      <status>unmodified</status>
      <modifiedWord/>
      <trackRevisions>false</trackRevisions>
    </reviewItem>
    <reviewItem>
      <errorID>09a197bc-ee8c-4491-a0e9-84e298c793bd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67B42EF5</paraID>
      <start>0</start>
      <end>2</end>
      <status>unmodified</status>
      <modifiedWord/>
      <trackRevisions>false</trackRevisions>
    </reviewItem>
    <reviewItem>
      <errorID>a38ee6c5-0502-4de1-affa-9098523ad132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67A589B</paraID>
      <start>0</start>
      <end>2</end>
      <status>unmodified</status>
      <modifiedWord/>
      <trackRevisions>false</trackRevisions>
    </reviewItem>
    <reviewItem>
      <errorID>01ea282a-1932-4f9a-bbf2-d8fa8b1f09ad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1EA5DF7E</paraID>
      <start>0</start>
      <end>2</end>
      <status>unmodified</status>
      <modifiedWord/>
      <trackRevisions>false</trackRevisions>
    </reviewItem>
    <reviewItem>
      <errorID>bcd146de-49f6-4210-8db6-940d8cc22224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4234B5C0</paraID>
      <start>0</start>
      <end>2</end>
      <status>unmodified</status>
      <modifiedWord/>
      <trackRevisions>false</trackRevisions>
    </reviewItem>
    <reviewItem>
      <errorID>ddf848b6-9c50-452c-a3d3-04d1d5a24ade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35134B</paraID>
      <start>0</start>
      <end>2</end>
      <status>unmodified</status>
      <modifiedWord/>
      <trackRevisions>false</trackRevisions>
    </reviewItem>
    <reviewItem>
      <errorID>56947b83-0329-482f-a49f-0a1b55c7772e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53230F0D</paraID>
      <start>0</start>
      <end>2</end>
      <status>unmodified</status>
      <modifiedWord/>
      <trackRevisions>false</trackRevisions>
    </reviewItem>
    <reviewItem>
      <errorID>c6ecb4ca-a410-40ec-97c6-74aa7363094a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36F92D54</paraID>
      <start>0</start>
      <end>2</end>
      <status>unmodified</status>
      <modifiedWord/>
      <trackRevisions>false</trackRevisions>
    </reviewItem>
    <reviewItem>
      <errorID>408a7cd1-0df6-48e2-b63f-e614e47f5fc0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4E7D25F2</paraID>
      <start>0</start>
      <end>2</end>
      <status>unmodified</status>
      <modifiedWord/>
      <trackRevisions>false</trackRevisions>
    </reviewItem>
    <reviewItem>
      <errorID>ee54f748-a735-49dc-9252-87a7530b9406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252B44D1</paraID>
      <start>0</start>
      <end>2</end>
      <status>unmodified</status>
      <modifiedWord/>
      <trackRevisions>false</trackRevisions>
    </reviewItem>
    <reviewItem>
      <errorID>0298f90d-2996-43b6-ba36-e7cb732b45ae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7CE307D4</paraID>
      <start>0</start>
      <end>2</end>
      <status>unmodified</status>
      <modifiedWord/>
      <trackRevisions>false</trackRevisions>
    </reviewItem>
    <reviewItem>
      <errorID>6166bee4-589b-4298-989f-0c72e5ab738b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33BA8DB4</paraID>
      <start>0</start>
      <end>2</end>
      <status>unmodified</status>
      <modifiedWord/>
      <trackRevisions>false</trackRevisions>
    </reviewItem>
    <reviewItem>
      <errorID>8f781ea6-b0f9-4cc2-86f8-f7e408bc47b0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73FD02B4</paraID>
      <start>0</start>
      <end>2</end>
      <status>unmodified</status>
      <modifiedWord/>
      <trackRevisions>false</trackRevisions>
    </reviewItem>
    <reviewItem>
      <errorID>0554698c-f3d7-46f1-a4fa-48804a6dff72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1BF03B53</paraID>
      <start>0</start>
      <end>2</end>
      <status>unmodified</status>
      <modifiedWord/>
      <trackRevisions>false</trackRevisions>
    </reviewItem>
    <reviewItem>
      <errorID>1b577aec-51b6-4b92-98b3-77e447f160ef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17F2C9B6</paraID>
      <start>0</start>
      <end>2</end>
      <status>unmodified</status>
      <modifiedWord/>
      <trackRevisions>false</trackRevisions>
    </reviewItem>
    <reviewItem>
      <errorID>4d598adc-3ded-43a3-a786-1178c6bedee5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58310F73</paraID>
      <start>0</start>
      <end>2</end>
      <status>unmodified</status>
      <modifiedWord/>
      <trackRevisions>false</trackRevisions>
    </reviewItem>
    <reviewItem>
      <errorID>5df07cad-d3da-4045-a906-2d5c0c8f2b95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6D2AA1CA</paraID>
      <start>0</start>
      <end>2</end>
      <status>unmodified</status>
      <modifiedWord/>
      <trackRevisions>false</trackRevisions>
    </reviewItem>
    <reviewItem>
      <errorID>9bcc5a13-c794-4ef2-ba20-cc81dbc7f3fe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198DEB9A</paraID>
      <start>0</start>
      <end>2</end>
      <status>unmodified</status>
      <modifiedWord/>
      <trackRevisions>false</trackRevisions>
    </reviewItem>
    <reviewItem>
      <errorID>14cf6153-3fd7-4442-a4da-369e747b584d</errorID>
      <errorWord>，，</errorWord>
      <group>L1_Punc</group>
      <groupName>标点问题</groupName>
      <ability>L2_Punc</ability>
      <abilityName>标点符号检查</abilityName>
      <candidateList>
        <item>，</item>
      </candidateList>
      <explain/>
      <paraID>530A594F</paraID>
      <start>54</start>
      <end>56</end>
      <status>unmodified</status>
      <modifiedWord/>
      <trackRevisions>false</trackRevisions>
    </reviewItem>
    <reviewItem>
      <errorID>81062c78-40a7-468f-90cc-69835e78ce9f</errorID>
      <errorWord>,</errorWord>
      <group>L1_Format</group>
      <groupName>格式问题</groupName>
      <ability>L2_HalfPunc</ability>
      <abilityName>全半角检查</abilityName>
      <candidateList>
        <item>，</item>
      </candidateList>
      <explain>文本全半角错误。</explain>
      <paraID>5FA60E4C</paraID>
      <start>24</start>
      <end>25</end>
      <status>unmodified</status>
      <modifiedWord/>
      <trackRevisions>false</trackRevisions>
    </reviewItem>
    <reviewItem>
      <errorID>35c22ac8-ee3f-4bbc-8065-6f73264fe09e</errorID>
      <errorWord>，</errorWord>
      <group>L1_Word</group>
      <groupName>字词问题</groupName>
      <ability>L2_Typo</ability>
      <abilityName>字词错误</abilityName>
      <candidateList>
        <item>，由</item>
      </candidateList>
      <explain/>
      <paraID>31B3D44E</paraID>
      <start>169</start>
      <end>170</end>
      <status>unmodified</status>
      <modifiedWord/>
      <trackRevisions>false</trackRevisions>
    </reviewItem>
    <reviewItem>
      <errorID>6f4faca0-fe4b-4d4b-8be0-4bedbe879874</errorID>
      <errorWord>其它</errorWord>
      <group>L1_Word</group>
      <groupName>字词问题</groupName>
      <ability>L2_Alias</ability>
      <abilityName>也作/曾用词</abilityName>
      <candidateList>
        <item>其他</item>
      </candidateList>
      <explain>词汇[其它]为不规范表述或旧称，其规范书面表述为[其他]。</explain>
      <paraID>518EF2EA</paraID>
      <start>6</start>
      <end>8</end>
      <status>unmodified</status>
      <modifiedWord/>
      <trackRevisions>false</trackRevisions>
    </reviewItem>
    <reviewItem>
      <errorID>2c913467-1c46-4ea8-a6d9-6c49d6e4055f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1C3A9D8E</paraID>
      <start>10</start>
      <end>11</end>
      <status>unmodified</status>
      <modifiedWord/>
      <trackRevisions>false</trackRevisions>
    </reviewItem>
    <reviewItem>
      <errorID>8e11f377-f6be-4313-9225-547c6735703d</errorID>
      <errorWord>二个</errorWord>
      <group>L1_Word</group>
      <groupName>字词问题</groupName>
      <ability>L2_Typo</ability>
      <abilityName>字词错误</abilityName>
      <candidateList>
        <item>两个</item>
      </candidateList>
      <explain/>
      <paraID>1C3A9D8E</paraID>
      <start>16</start>
      <end>18</end>
      <status>unmodified</status>
      <modifiedWord/>
      <trackRevisions>false</trackRevisions>
    </reviewItem>
    <reviewItem>
      <errorID>71d411d2-18b1-404e-b916-75b6cce9dcec</errorID>
      <errorWord>二个</errorWord>
      <group>L1_Word</group>
      <groupName>字词问题</groupName>
      <ability>L2_Typo</ability>
      <abilityName>字词错误</abilityName>
      <candidateList>
        <item>两个</item>
      </candidateList>
      <explain/>
      <paraID>1C3A9D8E</paraID>
      <start>77</start>
      <end>79</end>
      <status>unmodified</status>
      <modifiedWord/>
      <trackRevisions>false</trackRevisions>
    </reviewItem>
    <reviewItem>
      <errorID>02c8e222-1371-4969-8c2c-f13337bbb688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3858BBA7</paraID>
      <start>0</start>
      <end>2</end>
      <status>unmodified</status>
      <modifiedWord/>
      <trackRevisions>false</trackRevisions>
    </reviewItem>
    <reviewItem>
      <errorID>429bc5f9-f16e-4645-86cd-6c19734579ca</errorID>
      <errorWord>供应商的</errorWord>
      <group>L1_Word</group>
      <groupName>字词问题</groupName>
      <ability>L2_Typo</ability>
      <abilityName>字词错误</abilityName>
      <candidateList>
        <item>供应商</item>
      </candidateList>
      <explain/>
      <paraID>3858BBA7</paraID>
      <start>2</start>
      <end>6</end>
      <status>unmodified</status>
      <modifiedWord/>
      <trackRevisions>false</trackRevisions>
    </reviewItem>
    <reviewItem>
      <errorID>ddea5703-73a4-4c34-9cf1-32b2b5491341</errorID>
      <errorWord>、以及</errorWord>
      <group>L1_Punc</group>
      <groupName>标点问题</groupName>
      <ability>L2_Punc</ability>
      <abilityName>标点符号检查</abilityName>
      <candidateList>
        <item>，以及</item>
      </candidateList>
      <explain>连接词前后不宜使用顿号，建议使用逗号。</explain>
      <paraID>3858BBA7</paraID>
      <start>43</start>
      <end>46</end>
      <status>unmodified</status>
      <modifiedWord/>
      <trackRevisions>false</trackRevisions>
    </reviewItem>
    <reviewItem>
      <errorID>1c65c47d-f6f7-4a5e-a243-02a2788657b0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3858BBA7</paraID>
      <start>142</start>
      <end>143</end>
      <status>unmodified</status>
      <modifiedWord/>
      <trackRevisions>false</trackRevisions>
    </reviewItem>
    <reviewItem>
      <errorID>55328b5c-a216-45b2-9e04-e87c861dedff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3858BBA7</paraID>
      <start>201</start>
      <end>202</end>
      <status>unmodified</status>
      <modifiedWord/>
      <trackRevisions>false</trackRevisions>
    </reviewItem>
    <reviewItem>
      <errorID>b78cf830-5ae8-495c-a31d-311ea8045818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3858BBA7</paraID>
      <start>225</start>
      <end>226</end>
      <status>unmodified</status>
      <modifiedWord/>
      <trackRevisions>false</trackRevisions>
    </reviewItem>
    <reviewItem>
      <errorID>bc538dd1-61e3-4440-8a02-5696085866e3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205E40CF</paraID>
      <start>0</start>
      <end>2</end>
      <status>unmodified</status>
      <modifiedWord/>
      <trackRevisions>false</trackRevisions>
    </reviewItem>
    <reviewItem>
      <errorID>a1b26dcc-1a28-4167-8e4d-9f218919fe6d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205E40CF</paraID>
      <start>87</start>
      <end>88</end>
      <status>unmodified</status>
      <modifiedWord/>
      <trackRevisions>false</trackRevisions>
    </reviewItem>
    <reviewItem>
      <errorID>3bd95607-0cb2-49ff-9d14-cdcfa735233c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205E40CF</paraID>
      <start>130</start>
      <end>131</end>
      <status>unmodified</status>
      <modifiedWord/>
      <trackRevisions>false</trackRevisions>
    </reviewItem>
    <reviewItem>
      <errorID>44176b79-42ac-49f5-9dcf-d7ce8872ee2b</errorID>
      <errorWord>(</errorWord>
      <group>L1_Format</group>
      <groupName>格式问题</groupName>
      <ability>L2_HalfPunc</ability>
      <abilityName>全半角检查</abilityName>
      <candidateList>
        <item>（</item>
      </candidateList>
      <explain>文本全半角错误。</explain>
      <paraID>7890424B</paraID>
      <start>74</start>
      <end>75</end>
      <status>unmodified</status>
      <modifiedWord/>
      <trackRevisions>false</trackRevisions>
    </reviewItem>
    <reviewItem>
      <errorID>9cd9c7f8-deeb-4581-9242-00d7139fb9d9</errorID>
      <errorWord>)</errorWord>
      <group>L1_Format</group>
      <groupName>格式问题</groupName>
      <ability>L2_HalfPunc</ability>
      <abilityName>全半角检查</abilityName>
      <candidateList>
        <item>）</item>
      </candidateList>
      <explain>文本全半角错误。</explain>
      <paraID>7890424B</paraID>
      <start>87</start>
      <end>88</end>
      <status>unmodified</status>
      <modifiedWord/>
      <trackRevisions>false</trackRevisions>
    </reviewItem>
    <reviewItem>
      <errorID>07b34622-4cfd-4117-9698-88107a9eff76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6E69FBB7</paraID>
      <start>0</start>
      <end>2</end>
      <status>unmodified</status>
      <modifiedWord/>
      <trackRevisions>false</trackRevisions>
    </reviewItem>
    <reviewItem>
      <errorID>666a4e2e-70f6-487b-a7c8-278b355226f2</errorID>
      <errorWord>一式二份</errorWord>
      <group>L1_Word</group>
      <groupName>字词问题</groupName>
      <ability>L2_Typo</ability>
      <abilityName>字词错误</abilityName>
      <candidateList>
        <item>一式两份</item>
      </candidateList>
      <explain/>
      <paraID>482D41EB</paraID>
      <start>4</start>
      <end>8</end>
      <status>unmodified</status>
      <modifiedWord/>
      <trackRevisions>false</trackRevisions>
    </reviewItem>
    <reviewItem>
      <errorID>5e25c261-6015-487a-b76d-ca55c9a83b63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4BA875C2</paraID>
      <start>0</start>
      <end>2</end>
      <status>unmodified</status>
      <modifiedWord/>
      <trackRevisions>false</trackRevisions>
    </reviewItem>
    <reviewItem>
      <errorID>5a14f9ae-bca1-4c46-84bd-49062fff84ef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4CDEC848</paraID>
      <start>0</start>
      <end>2</end>
      <status>unmodified</status>
      <modifiedWord/>
      <trackRevisions>false</trackRevisions>
    </reviewItem>
    <reviewItem>
      <errorID>69c2873d-3c21-4d83-9269-357b5844776a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BDEFFAE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1A6A9-8B61-41B1-BD8F-3CFB7015DE20}">
  <ds:schemaRefs/>
</ds:datastoreItem>
</file>

<file path=customXml/itemProps3.xml><?xml version="1.0" encoding="utf-8"?>
<ds:datastoreItem xmlns:ds="http://schemas.openxmlformats.org/officeDocument/2006/customXml" ds:itemID="{a1463e46-8418-43c2-8dfd-120aa549cdaf}">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16029</Words>
  <Characters>16489</Characters>
  <Lines>118</Lines>
  <Paragraphs>33</Paragraphs>
  <TotalTime>20</TotalTime>
  <ScaleCrop>false</ScaleCrop>
  <LinksUpToDate>false</LinksUpToDate>
  <CharactersWithSpaces>16804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2025-12-24T07:23:00Z</dcterms:created>
  <dc:creator>Zhang Jun</dc:creator>
  <cp:lastModifiedBy>黎少杰</cp:lastModifiedBy>
  <cp:lastPrinted>2025-11-17T03:08:00Z</cp:lastPrinted>
  <dcterms:modified xsi:type="dcterms:W3CDTF">2026-03-10T09:07:27Z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eyJoZGlkIjoiOWY1MWUxOGIyM2RjY2QzNGQ0ZjdiNDYwNDlmY2Q0MmUiLCJ1c2VySWQiOiIxNDc3OTk4ODUxIn0=</vt:lpwstr>
  </property>
  <property fmtid="{D5CDD505-2E9C-101B-9397-08002B2CF9AE}" pid="3" name="KSOProductBuildVer">
    <vt:lpwstr>2052-11.8.6.11825</vt:lpwstr>
  </property>
  <property fmtid="{D5CDD505-2E9C-101B-9397-08002B2CF9AE}" pid="4" name="ICV">
    <vt:lpwstr>34FCBC22C68D4B95916CAD91D42D3921_13</vt:lpwstr>
  </property>
</Properties>
</file>